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3" w:lineRule="exact"/>
        <w:rPr>
          <w:sz w:val="24"/>
          <w:szCs w:val="24"/>
          <w:color w:val="auto"/>
        </w:rPr>
      </w:pPr>
    </w:p>
    <w:p>
      <w:pPr>
        <w:ind w:left="1080"/>
        <w:spacing w:after="0"/>
        <w:tabs>
          <w:tab w:leader="none" w:pos="7240" w:val="left"/>
        </w:tabs>
        <w:rPr>
          <w:sz w:val="20"/>
          <w:szCs w:val="20"/>
          <w:color w:val="auto"/>
        </w:rPr>
      </w:pPr>
      <w:r>
        <w:rPr>
          <w:rFonts w:ascii="Arial" w:cs="Arial" w:eastAsia="Arial" w:hAnsi="Arial"/>
          <w:sz w:val="20"/>
          <w:szCs w:val="20"/>
          <w:color w:val="auto"/>
        </w:rPr>
        <w:t>For the quarterly period ended June 30, 2014</w:t>
      </w:r>
      <w:r>
        <w:rPr>
          <w:sz w:val="20"/>
          <w:szCs w:val="20"/>
          <w:color w:val="auto"/>
        </w:rPr>
        <w:tab/>
      </w:r>
      <w:r>
        <w:rPr>
          <w:rFonts w:ascii="Arial" w:cs="Arial" w:eastAsia="Arial" w:hAnsi="Arial"/>
          <w:sz w:val="18"/>
          <w:szCs w:val="18"/>
          <w:color w:val="auto"/>
        </w:rPr>
        <w:t>Commission File Number 0-18761</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1" w:right="239" w:bottom="0" w:gutter="0" w:footer="0" w:header="0"/>
        </w:sectPr>
      </w:pPr>
    </w:p>
    <w:p>
      <w:pPr>
        <w:spacing w:after="0" w:line="200" w:lineRule="exact"/>
        <w:rPr>
          <w:sz w:val="24"/>
          <w:szCs w:val="24"/>
          <w:color w:val="auto"/>
        </w:rPr>
      </w:pPr>
    </w:p>
    <w:p>
      <w:pPr>
        <w:spacing w:after="0" w:line="210"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color w:val="auto"/>
        </w:rPr>
        <w:t>39-1679918</w:t>
      </w:r>
    </w:p>
    <w:p>
      <w:pPr>
        <w:spacing w:after="0" w:line="43" w:lineRule="exact"/>
        <w:rPr>
          <w:sz w:val="24"/>
          <w:szCs w:val="24"/>
          <w:color w:val="auto"/>
        </w:rPr>
      </w:pPr>
    </w:p>
    <w:p>
      <w:pPr>
        <w:sectPr>
          <w:pgSz w:w="11900" w:h="16838" w:orient="portrait"/>
          <w:cols w:equalWidth="0" w:num="2">
            <w:col w:w="6280" w:space="720"/>
            <w:col w:w="4420"/>
          </w:cols>
          <w:pgMar w:left="240" w:top="231" w:right="239" w:bottom="0" w:gutter="0" w:footer="0" w:header="0"/>
          <w:type w:val="continuous"/>
        </w:sectPr>
      </w:pPr>
    </w:p>
    <w:p>
      <w:pPr>
        <w:spacing w:after="0" w:line="12" w:lineRule="exact"/>
        <w:rPr>
          <w:sz w:val="24"/>
          <w:szCs w:val="24"/>
          <w:color w:val="auto"/>
        </w:rPr>
      </w:pPr>
    </w:p>
    <w:p>
      <w:pPr>
        <w:ind w:left="1960"/>
        <w:spacing w:after="0"/>
        <w:rPr>
          <w:sz w:val="20"/>
          <w:szCs w:val="20"/>
          <w:color w:val="auto"/>
        </w:rPr>
      </w:pPr>
      <w:r>
        <w:rPr>
          <w:rFonts w:ascii="Arial" w:cs="Arial" w:eastAsia="Arial" w:hAnsi="Arial"/>
          <w:sz w:val="13"/>
          <w:szCs w:val="13"/>
          <w:color w:val="auto"/>
        </w:rPr>
        <w:t>(State or other jurisdiction of</w:t>
      </w:r>
    </w:p>
    <w:p>
      <w:pPr>
        <w:ind w:left="19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6280" w:space="720"/>
            <w:col w:w="4420"/>
          </w:cols>
          <w:pgMar w:left="240" w:top="231" w:right="239" w:bottom="0" w:gutter="0" w:footer="0" w:header="0"/>
          <w:type w:val="continuous"/>
        </w:sectPr>
      </w:pP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1 Monster Way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Corona, California 92879</w:t>
      </w:r>
    </w:p>
    <w:p>
      <w:pPr>
        <w:jc w:val="center"/>
        <w:ind w:right="-19"/>
        <w:spacing w:after="0"/>
        <w:rPr>
          <w:sz w:val="20"/>
          <w:szCs w:val="20"/>
          <w:color w:val="auto"/>
        </w:rPr>
      </w:pPr>
      <w:r>
        <w:rPr>
          <w:rFonts w:ascii="Arial" w:cs="Arial" w:eastAsia="Arial" w:hAnsi="Arial"/>
          <w:sz w:val="13"/>
          <w:szCs w:val="13"/>
          <w:color w:val="auto"/>
        </w:rPr>
        <w:t>(Address of principal executive offices) (Zip code)</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(951) 739 – 6200</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(Registrant’s telephone number, including area code)</w:t>
      </w:r>
    </w:p>
    <w:p>
      <w:pPr>
        <w:sectPr>
          <w:pgSz w:w="11900" w:h="16838" w:orient="portrait"/>
          <w:cols w:equalWidth="0" w:num="1">
            <w:col w:w="11420"/>
          </w:cols>
          <w:pgMar w:left="240" w:top="231" w:right="239" w:bottom="0" w:gutter="0" w:footer="0" w:header="0"/>
          <w:type w:val="continuous"/>
        </w:sectPr>
      </w:pPr>
    </w:p>
    <w:p>
      <w:pPr>
        <w:spacing w:after="0" w:line="200" w:lineRule="exact"/>
        <w:rPr>
          <w:sz w:val="24"/>
          <w:szCs w:val="24"/>
          <w:color w:val="auto"/>
        </w:rPr>
      </w:pPr>
    </w:p>
    <w:p>
      <w:pPr>
        <w:spacing w:after="0" w:line="233"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6"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16"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6"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32"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1" w:right="239" w:bottom="0" w:gutter="0" w:footer="0" w:header="0"/>
          <w:type w:val="continuous"/>
        </w:sectPr>
      </w:pPr>
    </w:p>
    <w:p>
      <w:pPr>
        <w:spacing w:after="0" w:line="181" w:lineRule="exact"/>
        <w:rPr>
          <w:sz w:val="24"/>
          <w:szCs w:val="24"/>
          <w:color w:val="auto"/>
        </w:rPr>
      </w:pPr>
    </w:p>
    <w:p>
      <w:pPr>
        <w:ind w:left="20"/>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25"/>
          <w:szCs w:val="25"/>
          <w:color w:val="auto"/>
        </w:rPr>
        <w:t>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25"/>
          <w:szCs w:val="25"/>
          <w:color w:val="auto"/>
        </w:rPr>
        <w:t>o</w:t>
      </w:r>
    </w:p>
    <w:p>
      <w:pPr>
        <w:spacing w:after="0" w:line="91" w:lineRule="exact"/>
        <w:rPr>
          <w:sz w:val="24"/>
          <w:szCs w:val="24"/>
          <w:color w:val="auto"/>
        </w:rPr>
      </w:pPr>
    </w:p>
    <w:p>
      <w:pPr>
        <w:sectPr>
          <w:pgSz w:w="11900" w:h="16838" w:orient="portrait"/>
          <w:cols w:equalWidth="0" w:num="2">
            <w:col w:w="6640" w:space="720"/>
            <w:col w:w="4060"/>
          </w:cols>
          <w:pgMar w:left="240" w:top="231" w:right="239" w:bottom="0" w:gutter="0" w:footer="0" w:header="0"/>
          <w:type w:val="continuous"/>
        </w:sectPr>
      </w:pPr>
    </w:p>
    <w:p>
      <w:pPr>
        <w:ind w:left="20"/>
        <w:spacing w:after="0"/>
        <w:rPr>
          <w:sz w:val="20"/>
          <w:szCs w:val="20"/>
          <w:color w:val="auto"/>
        </w:rPr>
      </w:pPr>
      <w:r>
        <w:rPr>
          <w:rFonts w:ascii="Arial" w:cs="Arial" w:eastAsia="Arial" w:hAnsi="Arial"/>
          <w:sz w:val="18"/>
          <w:szCs w:val="18"/>
          <w:color w:val="auto"/>
        </w:rPr>
        <w:t xml:space="preserve">Non-accelerated filer </w:t>
      </w:r>
      <w:r>
        <w:rPr>
          <w:rFonts w:ascii="Arial" w:cs="Arial" w:eastAsia="Arial" w:hAnsi="Arial"/>
          <w:sz w:val="25"/>
          <w:szCs w:val="25"/>
          <w:color w:val="auto"/>
        </w:rPr>
        <w:t>o</w:t>
      </w:r>
      <w:r>
        <w:rPr>
          <w:rFonts w:ascii="Arial" w:cs="Arial" w:eastAsia="Arial" w:hAnsi="Arial"/>
          <w:sz w:val="18"/>
          <w:szCs w:val="18"/>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xml:space="preserve">Smaller reporting company </w:t>
      </w:r>
      <w:r>
        <w:rPr>
          <w:rFonts w:ascii="Arial" w:cs="Arial" w:eastAsia="Arial" w:hAnsi="Arial"/>
          <w:sz w:val="25"/>
          <w:szCs w:val="25"/>
          <w:color w:val="auto"/>
        </w:rPr>
        <w:t>o</w:t>
      </w:r>
    </w:p>
    <w:p>
      <w:pPr>
        <w:spacing w:after="0" w:line="200" w:lineRule="exact"/>
        <w:rPr>
          <w:sz w:val="24"/>
          <w:szCs w:val="24"/>
          <w:color w:val="auto"/>
        </w:rPr>
      </w:pPr>
    </w:p>
    <w:p>
      <w:pPr>
        <w:sectPr>
          <w:pgSz w:w="11900" w:h="16838" w:orient="portrait"/>
          <w:cols w:equalWidth="0" w:num="2">
            <w:col w:w="6640" w:space="720"/>
            <w:col w:w="4060"/>
          </w:cols>
          <w:pgMar w:left="240" w:top="231" w:right="239" w:bottom="0" w:gutter="0" w:footer="0" w:header="0"/>
          <w:type w:val="continuous"/>
        </w:sectPr>
      </w:pPr>
    </w:p>
    <w:p>
      <w:pPr>
        <w:spacing w:after="0" w:line="44"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16"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Registrant had 167,176,357 shares of common stock, par value $0.005 per share, outstanding as of July 23,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MONSTER BEVERAGE CORPORATION AND SUBSIDIARIES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JUNE 30, 2014</w:t>
      </w: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INDEX</w:t>
            </w:r>
          </w:p>
        </w:tc>
        <w:tc>
          <w:tcPr>
            <w:tcW w:w="464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r>
      <w:tr>
        <w:trPr>
          <w:trHeight w:val="642"/>
        </w:trPr>
        <w:tc>
          <w:tcPr>
            <w:tcW w:w="560" w:type="dxa"/>
            <w:vAlign w:val="bottom"/>
          </w:tcPr>
          <w:p>
            <w:pPr>
              <w:spacing w:after="0"/>
              <w:rPr>
                <w:rFonts w:ascii="Arial" w:cs="Arial" w:eastAsia="Arial" w:hAnsi="Arial"/>
                <w:sz w:val="20"/>
                <w:szCs w:val="20"/>
                <w:b w:val="1"/>
                <w:bCs w:val="1"/>
                <w:color w:val="0000EE"/>
                <w:w w:val="97"/>
              </w:rPr>
            </w:pPr>
            <w:hyperlink w:anchor="page2">
              <w:r>
                <w:rPr>
                  <w:rFonts w:ascii="Arial" w:cs="Arial" w:eastAsia="Arial" w:hAnsi="Arial"/>
                  <w:sz w:val="20"/>
                  <w:szCs w:val="20"/>
                  <w:b w:val="1"/>
                  <w:bCs w:val="1"/>
                  <w:color w:val="0000EE"/>
                  <w:w w:val="97"/>
                </w:rPr>
                <w:t>Part I.</w:t>
              </w:r>
            </w:hyperlink>
          </w:p>
        </w:tc>
        <w:tc>
          <w:tcPr>
            <w:tcW w:w="720" w:type="dxa"/>
            <w:vAlign w:val="bottom"/>
          </w:tcPr>
          <w:p>
            <w:pPr>
              <w:spacing w:after="0"/>
              <w:rPr>
                <w:sz w:val="24"/>
                <w:szCs w:val="24"/>
                <w:color w:val="auto"/>
              </w:rPr>
            </w:pPr>
          </w:p>
        </w:tc>
        <w:tc>
          <w:tcPr>
            <w:tcW w:w="9400" w:type="dxa"/>
            <w:vAlign w:val="bottom"/>
            <w:gridSpan w:val="6"/>
          </w:tcPr>
          <w:p>
            <w:pPr>
              <w:spacing w:after="0"/>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FINANCIAL INFORMATION</w:t>
              </w:r>
            </w:hyperlink>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w w:val="84"/>
              </w:rPr>
              <w:t>Page No.</w:t>
            </w: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439"/>
        </w:trPr>
        <w:tc>
          <w:tcPr>
            <w:tcW w:w="1280" w:type="dxa"/>
            <w:vAlign w:val="bottom"/>
            <w:gridSpan w:val="2"/>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Item 1.</w:t>
              </w:r>
            </w:hyperlink>
          </w:p>
        </w:tc>
        <w:tc>
          <w:tcPr>
            <w:tcW w:w="9400" w:type="dxa"/>
            <w:vAlign w:val="bottom"/>
            <w:gridSpan w:val="6"/>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Financial Statements (Unaudited)</w:t>
              </w:r>
            </w:hyperlink>
          </w:p>
        </w:tc>
        <w:tc>
          <w:tcPr>
            <w:tcW w:w="74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0" w:type="dxa"/>
            <w:vAlign w:val="bottom"/>
            <w:gridSpan w:val="6"/>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Balance Sheets as of June 30, 2014 and December 31, 2013</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0"/>
        </w:trPr>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ectPr>
          <w:pgSz w:w="11900" w:h="16838" w:orient="portrait"/>
          <w:cols w:equalWidth="0" w:num="1">
            <w:col w:w="11420"/>
          </w:cols>
          <w:pgMar w:left="240" w:top="231" w:right="239" w:bottom="0" w:gutter="0" w:footer="0" w:header="0"/>
          <w:type w:val="continuous"/>
        </w:sectPr>
      </w:pPr>
    </w:p>
    <w:bookmarkStart w:id="1" w:name="page2"/>
    <w:bookmarkEnd w:id="1"/>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0" w:type="dxa"/>
            <w:vAlign w:val="bottom"/>
            <w:gridSpan w:val="24"/>
          </w:tcPr>
          <w:p>
            <w:pPr>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Condensed Consolidated Statements of Income for the Three- and Six-Months Ended June 30, 2014 and 2013</w:t>
              </w:r>
            </w:hyperlink>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0" w:type="dxa"/>
            <w:vAlign w:val="bottom"/>
            <w:gridSpan w:val="24"/>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Condensed Consolidated Statements of Comprehensive Income for the Three- and Six-Months Ended June 30,</w:t>
              </w:r>
            </w:hyperlink>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Borders>
              <w:top w:val="single" w:sz="8" w:color="0000EE"/>
              <w:bottom w:val="single" w:sz="8" w:color="0000EE"/>
            </w:tcBorders>
            <w:gridSpan w:val="6"/>
          </w:tcPr>
          <w:p>
            <w:pPr>
              <w:spacing w:after="0" w:line="209" w:lineRule="exact"/>
              <w:rPr>
                <w:rFonts w:ascii="Arial" w:cs="Arial" w:eastAsia="Arial" w:hAnsi="Arial"/>
                <w:sz w:val="20"/>
                <w:szCs w:val="20"/>
                <w:color w:val="0000EE"/>
                <w:w w:val="86"/>
              </w:rPr>
            </w:pPr>
            <w:hyperlink w:anchor="page4">
              <w:r>
                <w:rPr>
                  <w:rFonts w:ascii="Arial" w:cs="Arial" w:eastAsia="Arial" w:hAnsi="Arial"/>
                  <w:sz w:val="20"/>
                  <w:szCs w:val="20"/>
                  <w:color w:val="0000EE"/>
                  <w:w w:val="86"/>
                </w:rPr>
                <w:t>2014 and 2013</w:t>
              </w:r>
            </w:hyperlink>
          </w:p>
        </w:tc>
        <w:tc>
          <w:tcPr>
            <w:tcW w:w="5740" w:type="dxa"/>
            <w:vAlign w:val="bottom"/>
            <w:tcBorders>
              <w:top w:val="single" w:sz="8" w:color="0000EE"/>
            </w:tcBorders>
            <w:gridSpan w:val="10"/>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20" w:type="dxa"/>
            <w:vAlign w:val="bottom"/>
            <w:gridSpan w:val="21"/>
          </w:tcPr>
          <w:p>
            <w:pPr>
              <w:spacing w:after="0"/>
              <w:rPr>
                <w:rFonts w:ascii="Arial" w:cs="Arial" w:eastAsia="Arial" w:hAnsi="Arial"/>
                <w:sz w:val="20"/>
                <w:szCs w:val="20"/>
                <w:color w:val="0000EE"/>
                <w:w w:val="93"/>
              </w:rPr>
            </w:pPr>
            <w:hyperlink w:anchor="page4">
              <w:r>
                <w:rPr>
                  <w:rFonts w:ascii="Arial" w:cs="Arial" w:eastAsia="Arial" w:hAnsi="Arial"/>
                  <w:sz w:val="20"/>
                  <w:szCs w:val="20"/>
                  <w:color w:val="0000EE"/>
                  <w:w w:val="93"/>
                </w:rPr>
                <w:t>Condensed Consolidated Statements of Cash Flows for the Six-Months Ended June 30, 2014 and 2013</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0" w:type="dxa"/>
            <w:vAlign w:val="bottom"/>
            <w:tcBorders>
              <w:top w:val="single" w:sz="8" w:color="0000EE"/>
              <w:bottom w:val="single" w:sz="8" w:color="0000EE"/>
            </w:tcBorders>
            <w:gridSpan w:val="13"/>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Notes to Condensed Consolidated Financial Statements</w:t>
              </w:r>
            </w:hyperlink>
          </w:p>
        </w:tc>
        <w:tc>
          <w:tcPr>
            <w:tcW w:w="2520" w:type="dxa"/>
            <w:vAlign w:val="bottom"/>
            <w:tcBorders>
              <w:top w:val="single" w:sz="8" w:color="0000EE"/>
            </w:tcBorders>
            <w:gridSpan w:val="3"/>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439"/>
        </w:trPr>
        <w:tc>
          <w:tcPr>
            <w:tcW w:w="1280" w:type="dxa"/>
            <w:vAlign w:val="bottom"/>
            <w:gridSpan w:val="4"/>
          </w:tcPr>
          <w:p>
            <w:pPr>
              <w:spacing w:after="0"/>
              <w:rPr>
                <w:rFonts w:ascii="Arial" w:cs="Arial" w:eastAsia="Arial" w:hAnsi="Arial"/>
                <w:sz w:val="20"/>
                <w:szCs w:val="20"/>
                <w:color w:val="0000EE"/>
              </w:rPr>
            </w:pPr>
            <w:hyperlink w:anchor="page20">
              <w:r>
                <w:rPr>
                  <w:rFonts w:ascii="Arial" w:cs="Arial" w:eastAsia="Arial" w:hAnsi="Arial"/>
                  <w:sz w:val="20"/>
                  <w:szCs w:val="20"/>
                  <w:color w:val="0000EE"/>
                </w:rPr>
                <w:t>Item 2.</w:t>
              </w:r>
            </w:hyperlink>
          </w:p>
        </w:tc>
        <w:tc>
          <w:tcPr>
            <w:tcW w:w="7200" w:type="dxa"/>
            <w:vAlign w:val="bottom"/>
            <w:gridSpan w:val="18"/>
          </w:tcPr>
          <w:p>
            <w:pPr>
              <w:spacing w:after="0"/>
              <w:rPr>
                <w:rFonts w:ascii="Arial" w:cs="Arial" w:eastAsia="Arial" w:hAnsi="Arial"/>
                <w:sz w:val="20"/>
                <w:szCs w:val="20"/>
                <w:color w:val="0000EE"/>
                <w:w w:val="91"/>
              </w:rPr>
            </w:pPr>
            <w:hyperlink w:anchor="page20">
              <w:r>
                <w:rPr>
                  <w:rFonts w:ascii="Arial" w:cs="Arial" w:eastAsia="Arial" w:hAnsi="Arial"/>
                  <w:sz w:val="20"/>
                  <w:szCs w:val="20"/>
                  <w:color w:val="0000EE"/>
                  <w:w w:val="91"/>
                </w:rPr>
                <w:t>Management’s Discussion and Analysis of Financial Condition and Results of Operations</w:t>
              </w:r>
            </w:hyperlink>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gridSpan w:val="4"/>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Item 3.</w:t>
              </w:r>
            </w:hyperlink>
          </w:p>
        </w:tc>
        <w:tc>
          <w:tcPr>
            <w:tcW w:w="6920" w:type="dxa"/>
            <w:vAlign w:val="bottom"/>
            <w:gridSpan w:val="16"/>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Quantitative and Qualitative Disclosures About Market Risk</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gridSpan w:val="4"/>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Item 4.</w:t>
              </w:r>
            </w:hyperlink>
          </w:p>
        </w:tc>
        <w:tc>
          <w:tcPr>
            <w:tcW w:w="6920" w:type="dxa"/>
            <w:vAlign w:val="bottom"/>
            <w:gridSpan w:val="16"/>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Controls and Procedures</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tcBorders>
              <w:bottom w:val="single" w:sz="8" w:color="0000EE"/>
            </w:tcBorders>
            <w:gridSpan w:val="2"/>
          </w:tcPr>
          <w:p>
            <w:pPr>
              <w:spacing w:after="0"/>
              <w:rPr>
                <w:rFonts w:ascii="Arial" w:cs="Arial" w:eastAsia="Arial" w:hAnsi="Arial"/>
                <w:sz w:val="20"/>
                <w:szCs w:val="20"/>
                <w:b w:val="1"/>
                <w:bCs w:val="1"/>
                <w:color w:val="0000EE"/>
              </w:rPr>
            </w:pPr>
            <w:hyperlink w:anchor="page30">
              <w:r>
                <w:rPr>
                  <w:rFonts w:ascii="Arial" w:cs="Arial" w:eastAsia="Arial" w:hAnsi="Arial"/>
                  <w:sz w:val="20"/>
                  <w:szCs w:val="20"/>
                  <w:b w:val="1"/>
                  <w:bCs w:val="1"/>
                  <w:color w:val="0000EE"/>
                </w:rPr>
                <w:t>Part II.</w:t>
              </w:r>
            </w:hyperlink>
          </w:p>
        </w:tc>
        <w:tc>
          <w:tcPr>
            <w:tcW w:w="640" w:type="dxa"/>
            <w:vAlign w:val="bottom"/>
            <w:gridSpan w:val="2"/>
          </w:tcPr>
          <w:p>
            <w:pPr>
              <w:spacing w:after="0"/>
              <w:rPr>
                <w:sz w:val="24"/>
                <w:szCs w:val="24"/>
                <w:color w:val="auto"/>
              </w:rPr>
            </w:pPr>
          </w:p>
        </w:tc>
        <w:tc>
          <w:tcPr>
            <w:tcW w:w="2080" w:type="dxa"/>
            <w:vAlign w:val="bottom"/>
            <w:tcBorders>
              <w:bottom w:val="single" w:sz="8" w:color="0000EE"/>
            </w:tcBorders>
            <w:gridSpan w:val="9"/>
          </w:tcPr>
          <w:p>
            <w:pPr>
              <w:spacing w:after="0"/>
              <w:rPr>
                <w:rFonts w:ascii="Arial" w:cs="Arial" w:eastAsia="Arial" w:hAnsi="Arial"/>
                <w:sz w:val="20"/>
                <w:szCs w:val="20"/>
                <w:color w:val="0000EE"/>
                <w:w w:val="95"/>
              </w:rPr>
            </w:pPr>
            <w:hyperlink w:anchor="page30">
              <w:r>
                <w:rPr>
                  <w:rFonts w:ascii="Arial" w:cs="Arial" w:eastAsia="Arial" w:hAnsi="Arial"/>
                  <w:sz w:val="20"/>
                  <w:szCs w:val="20"/>
                  <w:color w:val="0000EE"/>
                  <w:w w:val="95"/>
                </w:rPr>
                <w:t>OTHER INFORMATION</w:t>
              </w:r>
            </w:hyperlink>
          </w:p>
        </w:tc>
        <w:tc>
          <w:tcPr>
            <w:tcW w:w="484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80" w:type="dxa"/>
            <w:vAlign w:val="bottom"/>
            <w:gridSpan w:val="4"/>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Item 1.</w:t>
              </w:r>
            </w:hyperlink>
          </w:p>
        </w:tc>
        <w:tc>
          <w:tcPr>
            <w:tcW w:w="6920" w:type="dxa"/>
            <w:vAlign w:val="bottom"/>
            <w:gridSpan w:val="16"/>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Legal Proceedings</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 w:type="dxa"/>
            <w:vAlign w:val="bottom"/>
            <w:tcBorders>
              <w:bottom w:val="single" w:sz="8" w:color="0000EE"/>
            </w:tcBorders>
            <w:gridSpan w:val="3"/>
          </w:tcPr>
          <w:p>
            <w:pPr>
              <w:spacing w:after="0"/>
              <w:rPr>
                <w:rFonts w:ascii="Arial" w:cs="Arial" w:eastAsia="Arial" w:hAnsi="Arial"/>
                <w:sz w:val="20"/>
                <w:szCs w:val="20"/>
                <w:color w:val="0000EE"/>
                <w:w w:val="93"/>
              </w:rPr>
            </w:pPr>
            <w:hyperlink w:anchor="page30">
              <w:r>
                <w:rPr>
                  <w:rFonts w:ascii="Arial" w:cs="Arial" w:eastAsia="Arial" w:hAnsi="Arial"/>
                  <w:sz w:val="20"/>
                  <w:szCs w:val="20"/>
                  <w:color w:val="0000EE"/>
                  <w:w w:val="93"/>
                </w:rPr>
                <w:t>Item 1A.</w:t>
              </w:r>
            </w:hyperlink>
          </w:p>
        </w:tc>
        <w:tc>
          <w:tcPr>
            <w:tcW w:w="560" w:type="dxa"/>
            <w:vAlign w:val="bottom"/>
          </w:tcPr>
          <w:p>
            <w:pPr>
              <w:spacing w:after="0"/>
              <w:rPr>
                <w:sz w:val="24"/>
                <w:szCs w:val="24"/>
                <w:color w:val="auto"/>
              </w:rPr>
            </w:pPr>
          </w:p>
        </w:tc>
        <w:tc>
          <w:tcPr>
            <w:tcW w:w="1000" w:type="dxa"/>
            <w:vAlign w:val="bottom"/>
            <w:tcBorders>
              <w:bottom w:val="single" w:sz="8" w:color="0000EE"/>
            </w:tcBorders>
            <w:gridSpan w:val="5"/>
          </w:tcPr>
          <w:p>
            <w:pPr>
              <w:spacing w:after="0"/>
              <w:rPr>
                <w:rFonts w:ascii="Arial" w:cs="Arial" w:eastAsia="Arial" w:hAnsi="Arial"/>
                <w:sz w:val="20"/>
                <w:szCs w:val="20"/>
                <w:color w:val="0000EE"/>
                <w:w w:val="88"/>
              </w:rPr>
            </w:pPr>
            <w:hyperlink w:anchor="page30">
              <w:r>
                <w:rPr>
                  <w:rFonts w:ascii="Arial" w:cs="Arial" w:eastAsia="Arial" w:hAnsi="Arial"/>
                  <w:sz w:val="20"/>
                  <w:szCs w:val="20"/>
                  <w:color w:val="0000EE"/>
                  <w:w w:val="88"/>
                </w:rPr>
                <w:t>Risk Factors</w:t>
              </w:r>
            </w:hyperlink>
          </w:p>
        </w:tc>
        <w:tc>
          <w:tcPr>
            <w:tcW w:w="5920" w:type="dxa"/>
            <w:vAlign w:val="bottom"/>
            <w:gridSpan w:val="11"/>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439"/>
        </w:trPr>
        <w:tc>
          <w:tcPr>
            <w:tcW w:w="1280" w:type="dxa"/>
            <w:vAlign w:val="bottom"/>
            <w:gridSpan w:val="4"/>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Item 2.</w:t>
              </w:r>
            </w:hyperlink>
          </w:p>
        </w:tc>
        <w:tc>
          <w:tcPr>
            <w:tcW w:w="6920" w:type="dxa"/>
            <w:vAlign w:val="bottom"/>
            <w:gridSpan w:val="16"/>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Unregistered Sales of Equity Securities and Use of Proceeds</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9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3.</w:t>
              </w:r>
            </w:hyperlink>
          </w:p>
        </w:tc>
        <w:tc>
          <w:tcPr>
            <w:tcW w:w="6920" w:type="dxa"/>
            <w:vAlign w:val="bottom"/>
            <w:gridSpan w:val="16"/>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Defaults Upon Senior Securities</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9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4.</w:t>
              </w:r>
            </w:hyperlink>
          </w:p>
        </w:tc>
        <w:tc>
          <w:tcPr>
            <w:tcW w:w="6920" w:type="dxa"/>
            <w:vAlign w:val="bottom"/>
            <w:gridSpan w:val="16"/>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Mine Safety Disclosures</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5.</w:t>
              </w:r>
            </w:hyperlink>
          </w:p>
        </w:tc>
        <w:tc>
          <w:tcPr>
            <w:tcW w:w="6920" w:type="dxa"/>
            <w:vAlign w:val="bottom"/>
            <w:gridSpan w:val="16"/>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Other Information</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8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6.</w:t>
              </w:r>
            </w:hyperlink>
          </w:p>
        </w:tc>
        <w:tc>
          <w:tcPr>
            <w:tcW w:w="6920" w:type="dxa"/>
            <w:vAlign w:val="bottom"/>
            <w:gridSpan w:val="16"/>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Exhibits</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Arial" w:cs="Arial" w:eastAsia="Arial" w:hAnsi="Arial"/>
                <w:sz w:val="20"/>
                <w:szCs w:val="20"/>
                <w:color w:val="0000EE"/>
                <w:w w:val="85"/>
              </w:rPr>
            </w:pPr>
            <w:hyperlink w:anchor="page31">
              <w:r>
                <w:rPr>
                  <w:rFonts w:ascii="Arial" w:cs="Arial" w:eastAsia="Arial" w:hAnsi="Arial"/>
                  <w:sz w:val="20"/>
                  <w:szCs w:val="20"/>
                  <w:color w:val="0000EE"/>
                  <w:w w:val="85"/>
                </w:rPr>
                <w:t>Signatures</w:t>
              </w:r>
            </w:hyperlink>
          </w:p>
        </w:tc>
        <w:tc>
          <w:tcPr>
            <w:tcW w:w="6080" w:type="dxa"/>
            <w:vAlign w:val="bottom"/>
            <w:gridSpan w:val="13"/>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453"/>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gridSpan w:val="15"/>
          </w:tcPr>
          <w:p>
            <w:pPr>
              <w:ind w:left="4380"/>
              <w:spacing w:after="0"/>
              <w:rPr>
                <w:sz w:val="20"/>
                <w:szCs w:val="20"/>
                <w:color w:val="auto"/>
              </w:rPr>
            </w:pPr>
            <w:r>
              <w:rPr>
                <w:rFonts w:ascii="Arial" w:cs="Arial" w:eastAsia="Arial" w:hAnsi="Arial"/>
                <w:sz w:val="18"/>
                <w:szCs w:val="18"/>
                <w:color w:val="auto"/>
              </w:rPr>
              <w:t>2</w:t>
            </w: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gridSpan w:val="2"/>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37"/>
        </w:trPr>
        <w:tc>
          <w:tcPr>
            <w:tcW w:w="1420" w:type="dxa"/>
            <w:vAlign w:val="bottom"/>
            <w:tcBorders>
              <w:bottom w:val="single" w:sz="8" w:color="0000EE"/>
            </w:tcBorders>
            <w:gridSpan w:val="5"/>
          </w:tcPr>
          <w:p>
            <w:pPr>
              <w:spacing w:after="0"/>
              <w:rPr>
                <w:rFonts w:ascii="Arial" w:cs="Arial" w:eastAsia="Arial" w:hAnsi="Arial"/>
                <w:sz w:val="20"/>
                <w:szCs w:val="20"/>
                <w:color w:val="0000EE"/>
                <w:w w:val="88"/>
              </w:rPr>
            </w:pPr>
            <w:hyperlink w:anchor="page1">
              <w:r>
                <w:rPr>
                  <w:rFonts w:ascii="Arial" w:cs="Arial" w:eastAsia="Arial" w:hAnsi="Arial"/>
                  <w:sz w:val="20"/>
                  <w:szCs w:val="20"/>
                  <w:color w:val="0000EE"/>
                  <w:w w:val="88"/>
                </w:rPr>
                <w:t>Table of Contents</w:t>
              </w:r>
            </w:hyperlink>
          </w:p>
        </w:tc>
        <w:tc>
          <w:tcPr>
            <w:tcW w:w="6780" w:type="dxa"/>
            <w:vAlign w:val="bottom"/>
            <w:gridSpan w:val="15"/>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8200" w:type="dxa"/>
            <w:vAlign w:val="bottom"/>
            <w:gridSpan w:val="20"/>
          </w:tcPr>
          <w:p>
            <w:pPr>
              <w:spacing w:after="0"/>
              <w:rPr>
                <w:sz w:val="20"/>
                <w:szCs w:val="20"/>
                <w:color w:val="auto"/>
              </w:rPr>
            </w:pPr>
            <w:r>
              <w:rPr>
                <w:rFonts w:ascii="Arial" w:cs="Arial" w:eastAsia="Arial" w:hAnsi="Arial"/>
                <w:sz w:val="20"/>
                <w:szCs w:val="20"/>
                <w:b w:val="1"/>
                <w:bCs w:val="1"/>
                <w:color w:val="auto"/>
              </w:rPr>
              <w:t>PART I – FINANCIAL INFORMATION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200" w:type="dxa"/>
            <w:vAlign w:val="bottom"/>
            <w:gridSpan w:val="20"/>
          </w:tcPr>
          <w:p>
            <w:pPr>
              <w:spacing w:after="0"/>
              <w:rPr>
                <w:sz w:val="20"/>
                <w:szCs w:val="20"/>
                <w:color w:val="auto"/>
              </w:rPr>
            </w:pPr>
            <w:r>
              <w:rPr>
                <w:rFonts w:ascii="Arial" w:cs="Arial" w:eastAsia="Arial" w:hAnsi="Arial"/>
                <w:sz w:val="20"/>
                <w:szCs w:val="20"/>
                <w:b w:val="1"/>
                <w:bCs w:val="1"/>
                <w:color w:val="auto"/>
              </w:rPr>
              <w:t>ITEM 1. CONDENSED CONSOLIDATED FINANCIAL STATEMENTS (UNAUDITED)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200" w:type="dxa"/>
            <w:vAlign w:val="bottom"/>
            <w:gridSpan w:val="20"/>
          </w:tcPr>
          <w:p>
            <w:pPr>
              <w:spacing w:after="0"/>
              <w:rPr>
                <w:sz w:val="20"/>
                <w:szCs w:val="20"/>
                <w:color w:val="auto"/>
              </w:rPr>
            </w:pPr>
            <w:r>
              <w:rPr>
                <w:rFonts w:ascii="Arial" w:cs="Arial" w:eastAsia="Arial" w:hAnsi="Arial"/>
                <w:sz w:val="20"/>
                <w:szCs w:val="20"/>
                <w:b w:val="1"/>
                <w:bCs w:val="1"/>
                <w:color w:val="auto"/>
              </w:rPr>
              <w:t>MONSTER BEVERAGE CORPORATION AND SUBSIDIARIES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gridSpan w:val="20"/>
          </w:tcPr>
          <w:p>
            <w:pPr>
              <w:spacing w:after="0"/>
              <w:rPr>
                <w:sz w:val="20"/>
                <w:szCs w:val="20"/>
                <w:color w:val="auto"/>
              </w:rPr>
            </w:pPr>
            <w:r>
              <w:rPr>
                <w:rFonts w:ascii="Arial" w:cs="Arial" w:eastAsia="Arial" w:hAnsi="Arial"/>
                <w:sz w:val="20"/>
                <w:szCs w:val="20"/>
                <w:b w:val="1"/>
                <w:bCs w:val="1"/>
                <w:color w:val="auto"/>
              </w:rPr>
              <w:t>CONDENSED CONSOLIDATED BALANCE SHEETS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gridSpan w:val="20"/>
          </w:tcPr>
          <w:p>
            <w:pPr>
              <w:spacing w:after="0"/>
              <w:rPr>
                <w:sz w:val="20"/>
                <w:szCs w:val="20"/>
                <w:color w:val="auto"/>
              </w:rPr>
            </w:pPr>
            <w:r>
              <w:rPr>
                <w:rFonts w:ascii="Arial" w:cs="Arial" w:eastAsia="Arial" w:hAnsi="Arial"/>
                <w:sz w:val="20"/>
                <w:szCs w:val="20"/>
                <w:b w:val="1"/>
                <w:bCs w:val="1"/>
                <w:color w:val="auto"/>
              </w:rPr>
              <w:t>AS OF JUNE 30, 2014 AND DECEMBER 31, 2013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200" w:type="dxa"/>
            <w:vAlign w:val="bottom"/>
            <w:gridSpan w:val="20"/>
          </w:tcPr>
          <w:p>
            <w:pPr>
              <w:spacing w:after="0"/>
              <w:rPr>
                <w:sz w:val="20"/>
                <w:szCs w:val="20"/>
                <w:color w:val="auto"/>
              </w:rPr>
            </w:pPr>
            <w:r>
              <w:rPr>
                <w:rFonts w:ascii="Arial" w:cs="Arial" w:eastAsia="Arial" w:hAnsi="Arial"/>
                <w:sz w:val="20"/>
                <w:szCs w:val="20"/>
                <w:b w:val="1"/>
                <w:bCs w:val="1"/>
                <w:color w:val="auto"/>
              </w:rPr>
              <w:t>(In Thousands, Except Par Value) (Unaudited)</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w w:val="90"/>
              </w:rPr>
              <w:t>June 30,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vMerge w:val="restart"/>
          </w:tcPr>
          <w:p>
            <w:pPr>
              <w:spacing w:after="0"/>
              <w:rPr>
                <w:sz w:val="18"/>
                <w:szCs w:val="18"/>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6"/>
              </w:rPr>
              <w:t>ASSETS</w:t>
            </w:r>
          </w:p>
        </w:tc>
        <w:tc>
          <w:tcPr>
            <w:tcW w:w="3940" w:type="dxa"/>
            <w:vAlign w:val="bottom"/>
            <w:gridSpan w:val="4"/>
            <w:vMerge w:val="restart"/>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620" w:type="dxa"/>
            <w:vAlign w:val="bottom"/>
            <w:tcBorders>
              <w:bottom w:val="single" w:sz="8" w:color="auto"/>
            </w:tcBorders>
            <w:gridSpan w:val="2"/>
            <w:vMerge w:val="continue"/>
          </w:tcPr>
          <w:p>
            <w:pPr>
              <w:spacing w:after="0"/>
              <w:rPr>
                <w:sz w:val="12"/>
                <w:szCs w:val="12"/>
                <w:color w:val="auto"/>
              </w:rPr>
            </w:pPr>
          </w:p>
        </w:tc>
        <w:tc>
          <w:tcPr>
            <w:tcW w:w="39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200" w:type="dxa"/>
            <w:vAlign w:val="bottom"/>
            <w:gridSpan w:val="20"/>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0" w:type="dxa"/>
            <w:vAlign w:val="bottom"/>
            <w:gridSpan w:val="20"/>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373,051</w:t>
            </w:r>
          </w:p>
        </w:tc>
        <w:tc>
          <w:tcPr>
            <w:tcW w:w="160" w:type="dxa"/>
            <w:vAlign w:val="bottom"/>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211,349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0"/>
          </w:tcPr>
          <w:p>
            <w:pPr>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453,969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402,247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0"/>
          </w:tcPr>
          <w:p>
            <w:pPr>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395,460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291,638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0"/>
          </w:tcPr>
          <w:p>
            <w:pPr>
              <w:spacing w:after="0"/>
              <w:rPr>
                <w:sz w:val="20"/>
                <w:szCs w:val="20"/>
                <w:color w:val="auto"/>
              </w:rPr>
            </w:pPr>
            <w:r>
              <w:rPr>
                <w:rFonts w:ascii="Arial" w:cs="Arial" w:eastAsia="Arial" w:hAnsi="Arial"/>
                <w:sz w:val="16"/>
                <w:szCs w:val="16"/>
                <w:color w:val="auto"/>
              </w:rPr>
              <w:t>Distributor receivables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3,332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4,542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gridSpan w:val="4"/>
          </w:tcPr>
          <w:p>
            <w:pPr>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207,908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221,449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0"/>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25,594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21,376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0"/>
          </w:tcPr>
          <w:p>
            <w:pPr>
              <w:spacing w:after="0"/>
              <w:rPr>
                <w:sz w:val="20"/>
                <w:szCs w:val="20"/>
                <w:color w:val="auto"/>
              </w:rPr>
            </w:pPr>
            <w:r>
              <w:rPr>
                <w:rFonts w:ascii="Arial" w:cs="Arial" w:eastAsia="Arial" w:hAnsi="Arial"/>
                <w:sz w:val="16"/>
                <w:szCs w:val="16"/>
                <w:color w:val="auto"/>
              </w:rPr>
              <w:t>Prepaid income taxes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7,115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9,518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0" w:type="dxa"/>
            <w:vAlign w:val="bottom"/>
            <w:gridSpan w:val="20"/>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20,924</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color w:val="auto"/>
              </w:rPr>
              <w:t>20,924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0" w:type="dxa"/>
            <w:vAlign w:val="bottom"/>
            <w:gridSpan w:val="20"/>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1,487,353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1,183,043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1280" w:type="dxa"/>
            <w:vAlign w:val="bottom"/>
            <w:gridSpan w:val="4"/>
          </w:tcPr>
          <w:p>
            <w:pPr>
              <w:spacing w:after="0"/>
              <w:rPr>
                <w:sz w:val="20"/>
                <w:szCs w:val="20"/>
                <w:color w:val="auto"/>
              </w:rPr>
            </w:pPr>
            <w:r>
              <w:rPr>
                <w:rFonts w:ascii="Arial" w:cs="Arial" w:eastAsia="Arial" w:hAnsi="Arial"/>
                <w:sz w:val="16"/>
                <w:szCs w:val="16"/>
                <w:color w:val="auto"/>
              </w:rPr>
              <w:t>INVESTMENTS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51,682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9,792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00" w:type="dxa"/>
            <w:vAlign w:val="bottom"/>
            <w:gridSpan w:val="20"/>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91,218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88,143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0"/>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63,443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63,611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0"/>
          </w:tcPr>
          <w:p>
            <w:pPr>
              <w:spacing w:after="0"/>
              <w:rPr>
                <w:sz w:val="20"/>
                <w:szCs w:val="20"/>
                <w:color w:val="auto"/>
              </w:rPr>
            </w:pPr>
            <w:r>
              <w:rPr>
                <w:rFonts w:ascii="Arial" w:cs="Arial" w:eastAsia="Arial" w:hAnsi="Arial"/>
                <w:sz w:val="16"/>
                <w:szCs w:val="16"/>
                <w:color w:val="auto"/>
              </w:rPr>
              <w:t>INTANGIBLES, net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66,351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65,774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gridSpan w:val="4"/>
          </w:tcPr>
          <w:p>
            <w:pPr>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8,972</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color w:val="auto"/>
              </w:rPr>
              <w:t>10,146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40" w:type="dxa"/>
            <w:vAlign w:val="bottom"/>
            <w:gridSpan w:val="7"/>
          </w:tcPr>
          <w:p>
            <w:pPr>
              <w:jc w:val="center"/>
              <w:ind w:right="3660"/>
              <w:spacing w:after="0"/>
              <w:rPr>
                <w:sz w:val="20"/>
                <w:szCs w:val="20"/>
                <w:color w:val="auto"/>
              </w:rPr>
            </w:pPr>
            <w:r>
              <w:rPr>
                <w:rFonts w:ascii="Arial" w:cs="Arial" w:eastAsia="Arial" w:hAnsi="Arial"/>
                <w:sz w:val="16"/>
                <w:szCs w:val="16"/>
                <w:b w:val="1"/>
                <w:bCs w:val="1"/>
                <w:color w:val="auto"/>
                <w:w w:val="86"/>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1,769,019</w:t>
            </w:r>
          </w:p>
        </w:tc>
        <w:tc>
          <w:tcPr>
            <w:tcW w:w="160" w:type="dxa"/>
            <w:vAlign w:val="bottom"/>
          </w:tcPr>
          <w:p>
            <w:pPr>
              <w:spacing w:after="0"/>
              <w:rPr>
                <w:sz w:val="17"/>
                <w:szCs w:val="17"/>
                <w:color w:val="auto"/>
              </w:rPr>
            </w:pPr>
          </w:p>
        </w:tc>
        <w:tc>
          <w:tcPr>
            <w:tcW w:w="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color w:val="auto"/>
              </w:rPr>
              <w:t>1,420,509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10"/>
            <w:vMerge w:val="restart"/>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480" w:type="dxa"/>
            <w:vAlign w:val="bottom"/>
            <w:gridSpan w:val="2"/>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tcBorders>
              <w:bottom w:val="single" w:sz="8" w:color="auto"/>
            </w:tcBorders>
            <w:gridSpan w:val="10"/>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200" w:type="dxa"/>
            <w:vAlign w:val="bottom"/>
            <w:gridSpan w:val="20"/>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80" w:type="dxa"/>
            <w:vAlign w:val="bottom"/>
            <w:gridSpan w:val="4"/>
          </w:tcPr>
          <w:p>
            <w:pPr>
              <w:spacing w:after="0"/>
              <w:rPr>
                <w:sz w:val="20"/>
                <w:szCs w:val="20"/>
                <w:color w:val="auto"/>
              </w:rPr>
            </w:pPr>
            <w:r>
              <w:rPr>
                <w:rFonts w:ascii="Arial" w:cs="Arial" w:eastAsia="Arial" w:hAnsi="Arial"/>
                <w:sz w:val="16"/>
                <w:szCs w:val="16"/>
                <w:color w:val="auto"/>
                <w:w w:val="99"/>
              </w:rPr>
              <w:t>Accounts payable</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155,776</w:t>
            </w:r>
          </w:p>
        </w:tc>
        <w:tc>
          <w:tcPr>
            <w:tcW w:w="160" w:type="dxa"/>
            <w:vAlign w:val="bottom"/>
          </w:tcPr>
          <w:p>
            <w:pPr>
              <w:spacing w:after="0"/>
              <w:rPr>
                <w:sz w:val="17"/>
                <w:szCs w:val="17"/>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119,376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gridSpan w:val="4"/>
          </w:tcPr>
          <w:p>
            <w:pPr>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80,792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59,113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0"/>
          </w:tcPr>
          <w:p>
            <w:pPr>
              <w:spacing w:after="0"/>
              <w:rPr>
                <w:sz w:val="20"/>
                <w:szCs w:val="20"/>
                <w:color w:val="auto"/>
              </w:rPr>
            </w:pPr>
            <w:r>
              <w:rPr>
                <w:rFonts w:ascii="Arial" w:cs="Arial" w:eastAsia="Arial" w:hAnsi="Arial"/>
                <w:sz w:val="16"/>
                <w:szCs w:val="16"/>
                <w:color w:val="auto"/>
              </w:rPr>
              <w:t>Accrued promotional allowances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130,807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99,470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gridSpan w:val="4"/>
          </w:tcPr>
          <w:p>
            <w:pPr>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14,317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color w:val="auto"/>
              </w:rPr>
              <w:t>13,832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-5357495</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-5357495</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1" w:orient="portrait"/>
          <w:cols w:equalWidth="0" w:num="1">
            <w:col w:w="11460"/>
          </w:cols>
          <w:pgMar w:left="240" w:top="32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3"/>
        </w:trPr>
        <w:tc>
          <w:tcPr>
            <w:tcW w:w="8200" w:type="dxa"/>
            <w:vAlign w:val="bottom"/>
          </w:tcPr>
          <w:p>
            <w:pPr>
              <w:spacing w:after="0"/>
              <w:rPr>
                <w:sz w:val="20"/>
                <w:szCs w:val="20"/>
                <w:color w:val="auto"/>
              </w:rPr>
            </w:pPr>
            <w:r>
              <w:rPr>
                <w:rFonts w:ascii="Arial" w:cs="Arial" w:eastAsia="Arial" w:hAnsi="Arial"/>
                <w:sz w:val="16"/>
                <w:szCs w:val="16"/>
                <w:color w:val="auto"/>
              </w:rPr>
              <w:t>Accrued compensation</w:t>
            </w:r>
          </w:p>
        </w:tc>
        <w:tc>
          <w:tcPr>
            <w:tcW w:w="4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10,310</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14,864</w:t>
            </w:r>
          </w:p>
        </w:tc>
      </w:tr>
      <w:tr>
        <w:trPr>
          <w:trHeight w:val="206"/>
        </w:trPr>
        <w:tc>
          <w:tcPr>
            <w:tcW w:w="8200" w:type="dxa"/>
            <w:vAlign w:val="bottom"/>
          </w:tcPr>
          <w:p>
            <w:pPr>
              <w:spacing w:after="0"/>
              <w:rPr>
                <w:sz w:val="20"/>
                <w:szCs w:val="20"/>
                <w:color w:val="auto"/>
              </w:rPr>
            </w:pPr>
            <w:r>
              <w:rPr>
                <w:rFonts w:ascii="Arial" w:cs="Arial" w:eastAsia="Arial" w:hAnsi="Arial"/>
                <w:sz w:val="16"/>
                <w:szCs w:val="16"/>
                <w:color w:val="auto"/>
              </w:rPr>
              <w:t>Income taxes payable</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12,839</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9,359</w:t>
            </w:r>
          </w:p>
        </w:tc>
      </w:tr>
      <w:tr>
        <w:trPr>
          <w:trHeight w:val="206"/>
        </w:trPr>
        <w:tc>
          <w:tcPr>
            <w:tcW w:w="82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4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404,841</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316,014</w:t>
            </w:r>
          </w:p>
        </w:tc>
      </w:tr>
      <w:tr>
        <w:trPr>
          <w:trHeight w:val="395"/>
        </w:trPr>
        <w:tc>
          <w:tcPr>
            <w:tcW w:w="8200" w:type="dxa"/>
            <w:vAlign w:val="bottom"/>
          </w:tcPr>
          <w:p>
            <w:pPr>
              <w:spacing w:after="0"/>
              <w:rPr>
                <w:sz w:val="20"/>
                <w:szCs w:val="20"/>
                <w:color w:val="auto"/>
              </w:rPr>
            </w:pPr>
            <w:r>
              <w:rPr>
                <w:rFonts w:ascii="Arial" w:cs="Arial" w:eastAsia="Arial" w:hAnsi="Arial"/>
                <w:sz w:val="16"/>
                <w:szCs w:val="16"/>
                <w:color w:val="auto"/>
              </w:rPr>
              <w:t>DEFERRED REVENUE</w:t>
            </w:r>
          </w:p>
        </w:tc>
        <w:tc>
          <w:tcPr>
            <w:tcW w:w="400" w:type="dxa"/>
            <w:vAlign w:val="bottom"/>
          </w:tcPr>
          <w:p>
            <w:pPr>
              <w:spacing w:after="0"/>
              <w:rPr>
                <w:sz w:val="24"/>
                <w:szCs w:val="24"/>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108,547</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112,216</w:t>
            </w:r>
          </w:p>
        </w:tc>
      </w:tr>
      <w:tr>
        <w:trPr>
          <w:trHeight w:val="405"/>
        </w:trPr>
        <w:tc>
          <w:tcPr>
            <w:tcW w:w="820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1"/>
        </w:trPr>
        <w:tc>
          <w:tcPr>
            <w:tcW w:w="8200" w:type="dxa"/>
            <w:vAlign w:val="bottom"/>
          </w:tcPr>
          <w:p>
            <w:pPr>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8200" w:type="dxa"/>
            <w:vAlign w:val="bottom"/>
          </w:tcPr>
          <w:p>
            <w:pPr>
              <w:spacing w:after="0"/>
              <w:rPr>
                <w:sz w:val="20"/>
                <w:szCs w:val="20"/>
                <w:color w:val="auto"/>
              </w:rPr>
            </w:pPr>
            <w:r>
              <w:rPr>
                <w:rFonts w:ascii="Arial" w:cs="Arial" w:eastAsia="Arial" w:hAnsi="Arial"/>
                <w:sz w:val="16"/>
                <w:szCs w:val="16"/>
                <w:color w:val="auto"/>
                <w:w w:val="98"/>
              </w:rPr>
              <w:t>Common stock - $0.005 par value; 240,000 shares authorized; 206,364 shares issued and 167,171 outstanding as of</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8200" w:type="dxa"/>
            <w:vAlign w:val="bottom"/>
          </w:tcPr>
          <w:p>
            <w:pPr>
              <w:ind w:left="180"/>
              <w:spacing w:after="0"/>
              <w:rPr>
                <w:sz w:val="20"/>
                <w:szCs w:val="20"/>
                <w:color w:val="auto"/>
              </w:rPr>
            </w:pPr>
            <w:r>
              <w:rPr>
                <w:rFonts w:ascii="Arial" w:cs="Arial" w:eastAsia="Arial" w:hAnsi="Arial"/>
                <w:sz w:val="16"/>
                <w:szCs w:val="16"/>
                <w:color w:val="auto"/>
              </w:rPr>
              <w:t>June 30, 2014; 206,014 shares issued and 166,822 outstanding as of December 31, 2013</w:t>
            </w:r>
          </w:p>
        </w:tc>
        <w:tc>
          <w:tcPr>
            <w:tcW w:w="4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1,032</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1,030</w:t>
            </w:r>
          </w:p>
        </w:tc>
      </w:tr>
      <w:tr>
        <w:trPr>
          <w:trHeight w:val="203"/>
        </w:trPr>
        <w:tc>
          <w:tcPr>
            <w:tcW w:w="820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394,612</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368,069</w:t>
            </w:r>
          </w:p>
        </w:tc>
      </w:tr>
      <w:tr>
        <w:trPr>
          <w:trHeight w:val="203"/>
        </w:trPr>
        <w:tc>
          <w:tcPr>
            <w:tcW w:w="8200" w:type="dxa"/>
            <w:vAlign w:val="bottom"/>
          </w:tcPr>
          <w:p>
            <w:pPr>
              <w:spacing w:after="0"/>
              <w:rPr>
                <w:sz w:val="20"/>
                <w:szCs w:val="20"/>
                <w:color w:val="auto"/>
              </w:rPr>
            </w:pPr>
            <w:r>
              <w:rPr>
                <w:rFonts w:ascii="Arial" w:cs="Arial" w:eastAsia="Arial" w:hAnsi="Arial"/>
                <w:sz w:val="16"/>
                <w:szCs w:val="16"/>
                <w:color w:val="auto"/>
              </w:rPr>
              <w:t>Retained earnings</w:t>
            </w:r>
          </w:p>
        </w:tc>
        <w:tc>
          <w:tcPr>
            <w:tcW w:w="4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2,083,579</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1,847,325</w:t>
            </w:r>
          </w:p>
        </w:tc>
      </w:tr>
      <w:tr>
        <w:trPr>
          <w:trHeight w:val="203"/>
        </w:trPr>
        <w:tc>
          <w:tcPr>
            <w:tcW w:w="820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(621)</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(1,233)</w:t>
            </w:r>
          </w:p>
        </w:tc>
      </w:tr>
      <w:tr>
        <w:trPr>
          <w:trHeight w:val="206"/>
        </w:trPr>
        <w:tc>
          <w:tcPr>
            <w:tcW w:w="8200" w:type="dxa"/>
            <w:vAlign w:val="bottom"/>
          </w:tcPr>
          <w:p>
            <w:pPr>
              <w:spacing w:after="0"/>
              <w:rPr>
                <w:sz w:val="20"/>
                <w:szCs w:val="20"/>
                <w:color w:val="auto"/>
              </w:rPr>
            </w:pPr>
            <w:r>
              <w:rPr>
                <w:rFonts w:ascii="Arial" w:cs="Arial" w:eastAsia="Arial" w:hAnsi="Arial"/>
                <w:sz w:val="16"/>
                <w:szCs w:val="16"/>
                <w:color w:val="auto"/>
                <w:w w:val="96"/>
              </w:rPr>
              <w:t>Common stock in treasury, at cost; 39,193 and 39,192 shares as of June 30, 2014 and December 31, 2013, respectively</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(1,222,971)</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(1,222,912)</w:t>
            </w:r>
          </w:p>
        </w:tc>
      </w:tr>
      <w:tr>
        <w:trPr>
          <w:trHeight w:val="202"/>
        </w:trPr>
        <w:tc>
          <w:tcPr>
            <w:tcW w:w="8200" w:type="dxa"/>
            <w:vAlign w:val="bottom"/>
          </w:tcPr>
          <w:p>
            <w:pPr>
              <w:ind w:left="18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1,255,631</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992,279</w:t>
            </w:r>
          </w:p>
        </w:tc>
      </w:tr>
      <w:tr>
        <w:trPr>
          <w:trHeight w:val="196"/>
        </w:trPr>
        <w:tc>
          <w:tcPr>
            <w:tcW w:w="8200" w:type="dxa"/>
            <w:vAlign w:val="bottom"/>
          </w:tcPr>
          <w:p>
            <w:pPr>
              <w:ind w:left="2500"/>
              <w:spacing w:after="0"/>
              <w:rPr>
                <w:sz w:val="20"/>
                <w:szCs w:val="20"/>
                <w:color w:val="auto"/>
              </w:rPr>
            </w:pPr>
            <w:r>
              <w:rPr>
                <w:rFonts w:ascii="Arial" w:cs="Arial" w:eastAsia="Arial" w:hAnsi="Arial"/>
                <w:sz w:val="16"/>
                <w:szCs w:val="16"/>
                <w:b w:val="1"/>
                <w:bCs w:val="1"/>
                <w:color w:val="auto"/>
              </w:rPr>
              <w:t>Total Liabilities and Stockholders’ Equity</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1,769,019</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1,420,509</w:t>
            </w:r>
          </w:p>
        </w:tc>
      </w:tr>
      <w:tr>
        <w:trPr>
          <w:trHeight w:val="20"/>
        </w:trPr>
        <w:tc>
          <w:tcPr>
            <w:tcW w:w="8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INCOME</w:t>
      </w:r>
    </w:p>
    <w:p>
      <w:pPr>
        <w:ind w:right="4940"/>
        <w:spacing w:after="0" w:line="244" w:lineRule="auto"/>
        <w:rPr>
          <w:sz w:val="20"/>
          <w:szCs w:val="20"/>
          <w:color w:val="auto"/>
        </w:rPr>
      </w:pPr>
      <w:r>
        <w:rPr>
          <w:rFonts w:ascii="Arial" w:cs="Arial" w:eastAsia="Arial" w:hAnsi="Arial"/>
          <w:sz w:val="20"/>
          <w:szCs w:val="20"/>
          <w:b w:val="1"/>
          <w:bCs w:val="1"/>
          <w:color w:val="auto"/>
        </w:rPr>
        <w:t>FOR THE THREE- AND SIX-MONTHS ENDED JUNE 30, 2014 AND 2013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Three-Months Ended</w:t>
            </w:r>
          </w:p>
        </w:tc>
        <w:tc>
          <w:tcPr>
            <w:tcW w:w="320" w:type="dxa"/>
            <w:vAlign w:val="bottom"/>
          </w:tcPr>
          <w:p>
            <w:pPr>
              <w:spacing w:after="0"/>
              <w:rPr>
                <w:sz w:val="18"/>
                <w:szCs w:val="18"/>
                <w:color w:val="auto"/>
              </w:rPr>
            </w:pPr>
          </w:p>
        </w:tc>
        <w:tc>
          <w:tcPr>
            <w:tcW w:w="286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Six-Months Ended</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426"/>
        </w:trPr>
        <w:tc>
          <w:tcPr>
            <w:tcW w:w="4760" w:type="dxa"/>
            <w:vAlign w:val="bottom"/>
          </w:tcPr>
          <w:p>
            <w:pPr>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687,199</w:t>
            </w:r>
          </w:p>
        </w:tc>
        <w:tc>
          <w:tcPr>
            <w:tcW w:w="180" w:type="dxa"/>
            <w:vAlign w:val="bottom"/>
          </w:tcPr>
          <w:p>
            <w:pPr>
              <w:spacing w:after="0"/>
              <w:rPr>
                <w:sz w:val="24"/>
                <w:szCs w:val="24"/>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630,934</w:t>
            </w:r>
          </w:p>
        </w:tc>
        <w:tc>
          <w:tcPr>
            <w:tcW w:w="18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1,223,329</w:t>
            </w:r>
          </w:p>
        </w:tc>
        <w:tc>
          <w:tcPr>
            <w:tcW w:w="160" w:type="dxa"/>
            <w:vAlign w:val="bottom"/>
          </w:tcPr>
          <w:p>
            <w:pPr>
              <w:spacing w:after="0"/>
              <w:rPr>
                <w:sz w:val="24"/>
                <w:szCs w:val="24"/>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1,115,158</w:t>
            </w: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307,911</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294,672</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557,222</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526,857</w:t>
            </w:r>
          </w:p>
        </w:tc>
        <w:tc>
          <w:tcPr>
            <w:tcW w:w="0" w:type="dxa"/>
            <w:vAlign w:val="bottom"/>
          </w:tcPr>
          <w:p>
            <w:pPr>
              <w:spacing w:after="0"/>
              <w:rPr>
                <w:sz w:val="1"/>
                <w:szCs w:val="1"/>
                <w:color w:val="auto"/>
              </w:rPr>
            </w:pPr>
          </w:p>
        </w:tc>
      </w:tr>
      <w:tr>
        <w:trPr>
          <w:trHeight w:val="426"/>
        </w:trPr>
        <w:tc>
          <w:tcPr>
            <w:tcW w:w="476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379,288</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336,262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666,107</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588,301</w:t>
            </w: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163,475</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156,835</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301,430</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301,569</w:t>
            </w:r>
          </w:p>
        </w:tc>
        <w:tc>
          <w:tcPr>
            <w:tcW w:w="0" w:type="dxa"/>
            <w:vAlign w:val="bottom"/>
          </w:tcPr>
          <w:p>
            <w:pPr>
              <w:spacing w:after="0"/>
              <w:rPr>
                <w:sz w:val="1"/>
                <w:szCs w:val="1"/>
                <w:color w:val="auto"/>
              </w:rPr>
            </w:pPr>
          </w:p>
        </w:tc>
      </w:tr>
      <w:tr>
        <w:trPr>
          <w:trHeight w:val="426"/>
        </w:trPr>
        <w:tc>
          <w:tcPr>
            <w:tcW w:w="476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215,813</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179,427</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364,677</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286,732</w:t>
            </w:r>
          </w:p>
        </w:tc>
        <w:tc>
          <w:tcPr>
            <w:tcW w:w="0" w:type="dxa"/>
            <w:vAlign w:val="bottom"/>
          </w:tcPr>
          <w:p>
            <w:pPr>
              <w:spacing w:after="0"/>
              <w:rPr>
                <w:sz w:val="1"/>
                <w:szCs w:val="1"/>
                <w:color w:val="auto"/>
              </w:rPr>
            </w:pPr>
          </w:p>
        </w:tc>
      </w:tr>
      <w:tr>
        <w:trPr>
          <w:trHeight w:val="418"/>
        </w:trPr>
        <w:tc>
          <w:tcPr>
            <w:tcW w:w="476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3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(3,468)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(Loss) gain on investments and put options, net (Note 3)</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0"/>
        </w:trPr>
        <w:tc>
          <w:tcPr>
            <w:tcW w:w="4760" w:type="dxa"/>
            <w:vAlign w:val="bottom"/>
          </w:tcPr>
          <w:p>
            <w:pPr>
              <w:ind w:left="36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426"/>
        </w:trPr>
        <w:tc>
          <w:tcPr>
            <w:tcW w:w="47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215,991</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176,025</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365,009</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281,429</w:t>
            </w: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74,988</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69,152</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128,755</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111,060</w:t>
            </w:r>
          </w:p>
        </w:tc>
        <w:tc>
          <w:tcPr>
            <w:tcW w:w="0" w:type="dxa"/>
            <w:vAlign w:val="bottom"/>
          </w:tcPr>
          <w:p>
            <w:pPr>
              <w:spacing w:after="0"/>
              <w:rPr>
                <w:sz w:val="1"/>
                <w:szCs w:val="1"/>
                <w:color w:val="auto"/>
              </w:rPr>
            </w:pPr>
          </w:p>
        </w:tc>
      </w:tr>
      <w:tr>
        <w:trPr>
          <w:trHeight w:val="426"/>
        </w:trPr>
        <w:tc>
          <w:tcPr>
            <w:tcW w:w="476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141,003</w:t>
            </w:r>
          </w:p>
        </w:tc>
        <w:tc>
          <w:tcPr>
            <w:tcW w:w="180" w:type="dxa"/>
            <w:vAlign w:val="bottom"/>
          </w:tcPr>
          <w:p>
            <w:pPr>
              <w:spacing w:after="0"/>
              <w:rPr>
                <w:sz w:val="24"/>
                <w:szCs w:val="24"/>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106,873</w:t>
            </w:r>
          </w:p>
        </w:tc>
        <w:tc>
          <w:tcPr>
            <w:tcW w:w="180" w:type="dxa"/>
            <w:vAlign w:val="bottom"/>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236,254</w:t>
            </w:r>
          </w:p>
        </w:tc>
        <w:tc>
          <w:tcPr>
            <w:tcW w:w="160" w:type="dxa"/>
            <w:vAlign w:val="bottom"/>
          </w:tcPr>
          <w:p>
            <w:pPr>
              <w:spacing w:after="0"/>
              <w:rPr>
                <w:sz w:val="24"/>
                <w:szCs w:val="24"/>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170,369</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760" w:type="dxa"/>
            <w:vAlign w:val="bottom"/>
            <w:vMerge w:val="continue"/>
          </w:tcPr>
          <w:p>
            <w:pPr>
              <w:spacing w:after="0"/>
              <w:rPr>
                <w:sz w:val="24"/>
                <w:szCs w:val="24"/>
                <w:color w:val="auto"/>
              </w:rPr>
            </w:pP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70"/>
              <w:spacing w:after="0"/>
              <w:rPr>
                <w:sz w:val="20"/>
                <w:szCs w:val="20"/>
                <w:color w:val="auto"/>
              </w:rPr>
            </w:pPr>
            <w:r>
              <w:rPr>
                <w:rFonts w:ascii="Arial" w:cs="Arial" w:eastAsia="Arial" w:hAnsi="Arial"/>
                <w:sz w:val="18"/>
                <w:szCs w:val="18"/>
                <w:color w:val="auto"/>
              </w:rPr>
              <w:t>0.84</w:t>
            </w:r>
          </w:p>
        </w:tc>
        <w:tc>
          <w:tcPr>
            <w:tcW w:w="180" w:type="dxa"/>
            <w:vAlign w:val="bottom"/>
          </w:tcPr>
          <w:p>
            <w:pPr>
              <w:spacing w:after="0"/>
              <w:rPr>
                <w:sz w:val="24"/>
                <w:szCs w:val="24"/>
                <w:color w:val="auto"/>
              </w:rPr>
            </w:pP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90"/>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24"/>
                <w:szCs w:val="24"/>
                <w:color w:val="auto"/>
              </w:rPr>
            </w:pPr>
          </w:p>
        </w:tc>
        <w:tc>
          <w:tcPr>
            <w:tcW w:w="3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4"/>
                <w:szCs w:val="24"/>
                <w:color w:val="auto"/>
              </w:rPr>
            </w:pP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2"/>
        </w:trPr>
        <w:tc>
          <w:tcPr>
            <w:tcW w:w="476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0.81</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0.62</w:t>
            </w: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1.36</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COMMON STOCK AND COMMON STOCK</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340" w:type="dxa"/>
            <w:vAlign w:val="bottom"/>
          </w:tcPr>
          <w:p>
            <w:pPr>
              <w:spacing w:after="0"/>
              <w:rPr>
                <w:sz w:val="19"/>
                <w:szCs w:val="19"/>
                <w:color w:val="auto"/>
              </w:rPr>
            </w:pPr>
          </w:p>
        </w:tc>
        <w:tc>
          <w:tcPr>
            <w:tcW w:w="1220" w:type="dxa"/>
            <w:vAlign w:val="bottom"/>
            <w:vMerge w:val="restart"/>
          </w:tcPr>
          <w:p>
            <w:pPr>
              <w:jc w:val="right"/>
              <w:ind w:right="70"/>
              <w:spacing w:after="0"/>
              <w:rPr>
                <w:sz w:val="20"/>
                <w:szCs w:val="20"/>
                <w:color w:val="auto"/>
              </w:rPr>
            </w:pPr>
            <w:r>
              <w:rPr>
                <w:rFonts w:ascii="Arial" w:cs="Arial" w:eastAsia="Arial" w:hAnsi="Arial"/>
                <w:sz w:val="18"/>
                <w:szCs w:val="18"/>
                <w:color w:val="auto"/>
              </w:rPr>
              <w:t>167,098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restart"/>
          </w:tcPr>
          <w:p>
            <w:pPr>
              <w:jc w:val="right"/>
              <w:ind w:right="90"/>
              <w:spacing w:after="0"/>
              <w:rPr>
                <w:sz w:val="20"/>
                <w:szCs w:val="20"/>
                <w:color w:val="auto"/>
              </w:rPr>
            </w:pPr>
            <w:r>
              <w:rPr>
                <w:rFonts w:ascii="Arial" w:cs="Arial" w:eastAsia="Arial" w:hAnsi="Arial"/>
                <w:sz w:val="18"/>
                <w:szCs w:val="18"/>
                <w:color w:val="auto"/>
              </w:rPr>
              <w:t>166,447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167,006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165,988</w:t>
            </w:r>
          </w:p>
        </w:tc>
        <w:tc>
          <w:tcPr>
            <w:tcW w:w="0" w:type="dxa"/>
            <w:vAlign w:val="bottom"/>
          </w:tcPr>
          <w:p>
            <w:pPr>
              <w:spacing w:after="0"/>
              <w:rPr>
                <w:sz w:val="1"/>
                <w:szCs w:val="1"/>
                <w:color w:val="auto"/>
              </w:rPr>
            </w:pPr>
          </w:p>
        </w:tc>
      </w:tr>
      <w:tr>
        <w:trPr>
          <w:trHeight w:val="217"/>
        </w:trPr>
        <w:tc>
          <w:tcPr>
            <w:tcW w:w="476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173,964</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173,350</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173,869</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172,992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ectPr>
          <w:pgSz w:w="11900" w:h="16838" w:orient="portrait"/>
          <w:cols w:equalWidth="0" w:num="1">
            <w:col w:w="11420"/>
          </w:cols>
          <w:pgMar w:left="240" w:top="130" w:right="239" w:bottom="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3" w:lineRule="exact"/>
        <w:rPr>
          <w:sz w:val="20"/>
          <w:szCs w:val="20"/>
          <w:color w:val="auto"/>
        </w:rPr>
      </w:pPr>
    </w:p>
    <w:p>
      <w:pPr>
        <w:ind w:right="4120"/>
        <w:spacing w:after="0" w:line="241" w:lineRule="auto"/>
        <w:rPr>
          <w:sz w:val="20"/>
          <w:szCs w:val="20"/>
          <w:color w:val="auto"/>
        </w:rPr>
      </w:pPr>
      <w:r>
        <w:rPr>
          <w:rFonts w:ascii="Arial" w:cs="Arial" w:eastAsia="Arial" w:hAnsi="Arial"/>
          <w:sz w:val="20"/>
          <w:szCs w:val="20"/>
          <w:b w:val="1"/>
          <w:bCs w:val="1"/>
          <w:color w:val="auto"/>
        </w:rPr>
        <w:t>CONDENSED CONSOLIDATED STATEMENTS OF COMPREHENSIVE INCOME FOR THE THREE-AND SIX-MONTHS ENDED JUNE 30, 2014 AND 2013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60" w:type="dxa"/>
            <w:vAlign w:val="bottom"/>
            <w:gridSpan w:val="5"/>
          </w:tcPr>
          <w:p>
            <w:pPr>
              <w:ind w:left="480"/>
              <w:spacing w:after="0"/>
              <w:rPr>
                <w:sz w:val="20"/>
                <w:szCs w:val="20"/>
                <w:color w:val="auto"/>
              </w:rPr>
            </w:pPr>
            <w:r>
              <w:rPr>
                <w:rFonts w:ascii="Arial" w:cs="Arial" w:eastAsia="Arial" w:hAnsi="Arial"/>
                <w:sz w:val="20"/>
                <w:szCs w:val="20"/>
                <w:color w:val="auto"/>
              </w:rPr>
              <w:t>Three-Months Ended</w:t>
            </w:r>
          </w:p>
        </w:tc>
        <w:tc>
          <w:tcPr>
            <w:tcW w:w="320" w:type="dxa"/>
            <w:vAlign w:val="bottom"/>
          </w:tcPr>
          <w:p>
            <w:pPr>
              <w:spacing w:after="0"/>
              <w:rPr>
                <w:sz w:val="19"/>
                <w:szCs w:val="19"/>
                <w:color w:val="auto"/>
              </w:rPr>
            </w:pPr>
          </w:p>
        </w:tc>
        <w:tc>
          <w:tcPr>
            <w:tcW w:w="2860" w:type="dxa"/>
            <w:vAlign w:val="bottom"/>
            <w:gridSpan w:val="4"/>
          </w:tcPr>
          <w:p>
            <w:pPr>
              <w:jc w:val="right"/>
              <w:ind w:right="821"/>
              <w:spacing w:after="0"/>
              <w:rPr>
                <w:sz w:val="20"/>
                <w:szCs w:val="20"/>
                <w:color w:val="auto"/>
              </w:rPr>
            </w:pPr>
            <w:r>
              <w:rPr>
                <w:rFonts w:ascii="Arial" w:cs="Arial" w:eastAsia="Arial" w:hAnsi="Arial"/>
                <w:sz w:val="20"/>
                <w:szCs w:val="20"/>
                <w:color w:val="auto"/>
              </w:rPr>
              <w:t>Six-Months Ended</w:t>
            </w:r>
          </w:p>
        </w:tc>
        <w:tc>
          <w:tcPr>
            <w:tcW w:w="0" w:type="dxa"/>
            <w:vAlign w:val="bottom"/>
          </w:tcPr>
          <w:p>
            <w:pPr>
              <w:spacing w:after="0"/>
              <w:rPr>
                <w:sz w:val="1"/>
                <w:szCs w:val="1"/>
                <w:color w:val="auto"/>
              </w:rPr>
            </w:pPr>
          </w:p>
        </w:tc>
      </w:tr>
      <w:tr>
        <w:trPr>
          <w:trHeight w:val="246"/>
        </w:trPr>
        <w:tc>
          <w:tcPr>
            <w:tcW w:w="47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June 30,</w:t>
            </w:r>
          </w:p>
        </w:tc>
        <w:tc>
          <w:tcPr>
            <w:tcW w:w="12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color w:val="auto"/>
              </w:rPr>
              <w:t>June 30,</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6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81"/>
              <w:spacing w:after="0" w:line="223" w:lineRule="exact"/>
              <w:rPr>
                <w:sz w:val="20"/>
                <w:szCs w:val="20"/>
                <w:color w:val="auto"/>
              </w:rPr>
            </w:pPr>
            <w:r>
              <w:rPr>
                <w:rFonts w:ascii="Arial" w:cs="Arial" w:eastAsia="Arial" w:hAnsi="Arial"/>
                <w:sz w:val="20"/>
                <w:szCs w:val="20"/>
                <w:color w:val="auto"/>
              </w:rPr>
              <w:t>2014</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81"/>
              <w:spacing w:after="0" w:line="223" w:lineRule="exact"/>
              <w:rPr>
                <w:sz w:val="20"/>
                <w:szCs w:val="20"/>
                <w:color w:val="auto"/>
              </w:rPr>
            </w:pPr>
            <w:r>
              <w:rPr>
                <w:rFonts w:ascii="Arial" w:cs="Arial" w:eastAsia="Arial" w:hAnsi="Arial"/>
                <w:sz w:val="20"/>
                <w:szCs w:val="20"/>
                <w:color w:val="auto"/>
              </w:rPr>
              <w:t>2013</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2014</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06"/>
        </w:trPr>
        <w:tc>
          <w:tcPr>
            <w:tcW w:w="4760" w:type="dxa"/>
            <w:vAlign w:val="bottom"/>
            <w:vMerge w:val="continue"/>
          </w:tcPr>
          <w:p>
            <w:pPr>
              <w:spacing w:after="0"/>
              <w:rPr>
                <w:sz w:val="17"/>
                <w:szCs w:val="17"/>
                <w:color w:val="auto"/>
              </w:rPr>
            </w:pPr>
          </w:p>
        </w:tc>
        <w:tc>
          <w:tcPr>
            <w:tcW w:w="3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81"/>
              <w:spacing w:after="0" w:line="207" w:lineRule="exact"/>
              <w:rPr>
                <w:sz w:val="20"/>
                <w:szCs w:val="20"/>
                <w:color w:val="auto"/>
              </w:rPr>
            </w:pPr>
            <w:r>
              <w:rPr>
                <w:rFonts w:ascii="Arial" w:cs="Arial" w:eastAsia="Arial" w:hAnsi="Arial"/>
                <w:sz w:val="20"/>
                <w:szCs w:val="20"/>
                <w:color w:val="auto"/>
              </w:rPr>
              <w:t>141,003</w:t>
            </w:r>
          </w:p>
        </w:tc>
        <w:tc>
          <w:tcPr>
            <w:tcW w:w="180" w:type="dxa"/>
            <w:vAlign w:val="bottom"/>
          </w:tcPr>
          <w:p>
            <w:pPr>
              <w:spacing w:after="0"/>
              <w:rPr>
                <w:sz w:val="17"/>
                <w:szCs w:val="17"/>
                <w:color w:val="auto"/>
              </w:rPr>
            </w:pPr>
          </w:p>
        </w:tc>
        <w:tc>
          <w:tcPr>
            <w:tcW w:w="36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106,873</w:t>
            </w:r>
          </w:p>
        </w:tc>
        <w:tc>
          <w:tcPr>
            <w:tcW w:w="180" w:type="dxa"/>
            <w:vAlign w:val="bottom"/>
          </w:tcPr>
          <w:p>
            <w:pPr>
              <w:spacing w:after="0"/>
              <w:rPr>
                <w:sz w:val="17"/>
                <w:szCs w:val="17"/>
                <w:color w:val="auto"/>
              </w:rPr>
            </w:pPr>
          </w:p>
        </w:tc>
        <w:tc>
          <w:tcPr>
            <w:tcW w:w="3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236,254</w:t>
            </w:r>
          </w:p>
        </w:tc>
        <w:tc>
          <w:tcPr>
            <w:tcW w:w="160" w:type="dxa"/>
            <w:vAlign w:val="bottom"/>
          </w:tcPr>
          <w:p>
            <w:pPr>
              <w:spacing w:after="0"/>
              <w:rPr>
                <w:sz w:val="17"/>
                <w:szCs w:val="17"/>
                <w:color w:val="auto"/>
              </w:rPr>
            </w:pPr>
          </w:p>
        </w:tc>
        <w:tc>
          <w:tcPr>
            <w:tcW w:w="3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61"/>
              <w:spacing w:after="0" w:line="207" w:lineRule="exact"/>
              <w:rPr>
                <w:sz w:val="20"/>
                <w:szCs w:val="20"/>
                <w:color w:val="auto"/>
              </w:rPr>
            </w:pPr>
            <w:r>
              <w:rPr>
                <w:rFonts w:ascii="Arial" w:cs="Arial" w:eastAsia="Arial" w:hAnsi="Arial"/>
                <w:sz w:val="20"/>
                <w:szCs w:val="20"/>
                <w:color w:val="auto"/>
              </w:rPr>
              <w:t>170,369</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20"/>
                <w:szCs w:val="20"/>
                <w:color w:val="auto"/>
              </w:rPr>
              <w:t>Other comprehensive income (loss):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20"/>
                <w:szCs w:val="20"/>
                <w:color w:val="auto"/>
              </w:rPr>
              <w:t>Change in foreign currency translation adjustment</w:t>
            </w:r>
          </w:p>
        </w:tc>
        <w:tc>
          <w:tcPr>
            <w:tcW w:w="320" w:type="dxa"/>
            <w:vAlign w:val="bottom"/>
          </w:tcPr>
          <w:p>
            <w:pPr>
              <w:spacing w:after="0"/>
              <w:rPr>
                <w:sz w:val="19"/>
                <w:szCs w:val="19"/>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510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(2,441)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Arial" w:cs="Arial" w:eastAsia="Arial" w:hAnsi="Arial"/>
                <w:sz w:val="20"/>
                <w:szCs w:val="20"/>
                <w:color w:val="auto"/>
              </w:rPr>
              <w:t>612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(3,533)</w:t>
            </w: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20"/>
                <w:szCs w:val="20"/>
                <w:color w:val="auto"/>
              </w:rPr>
              <w:t>Available-for-sale investments: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540"/>
              <w:spacing w:after="0"/>
              <w:rPr>
                <w:sz w:val="20"/>
                <w:szCs w:val="20"/>
                <w:color w:val="auto"/>
              </w:rPr>
            </w:pPr>
            <w:r>
              <w:rPr>
                <w:rFonts w:ascii="Arial" w:cs="Arial" w:eastAsia="Arial" w:hAnsi="Arial"/>
                <w:sz w:val="20"/>
                <w:szCs w:val="20"/>
                <w:color w:val="auto"/>
              </w:rPr>
              <w:t>Change in net unrealized gains</w:t>
            </w:r>
          </w:p>
        </w:tc>
        <w:tc>
          <w:tcPr>
            <w:tcW w:w="320" w:type="dxa"/>
            <w:vAlign w:val="bottom"/>
          </w:tcPr>
          <w:p>
            <w:pPr>
              <w:spacing w:after="0"/>
              <w:rPr>
                <w:sz w:val="19"/>
                <w:szCs w:val="19"/>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540"/>
              <w:spacing w:after="0"/>
              <w:rPr>
                <w:sz w:val="20"/>
                <w:szCs w:val="20"/>
                <w:color w:val="auto"/>
              </w:rPr>
            </w:pPr>
            <w:r>
              <w:rPr>
                <w:rFonts w:ascii="Arial" w:cs="Arial" w:eastAsia="Arial" w:hAnsi="Arial"/>
                <w:sz w:val="20"/>
                <w:szCs w:val="20"/>
                <w:color w:val="auto"/>
              </w:rPr>
              <w:t>Reclassification adjustment for net gains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760" w:type="dxa"/>
            <w:vAlign w:val="bottom"/>
          </w:tcPr>
          <w:p>
            <w:pPr>
              <w:ind w:left="720"/>
              <w:spacing w:after="0"/>
              <w:rPr>
                <w:sz w:val="20"/>
                <w:szCs w:val="20"/>
                <w:color w:val="auto"/>
              </w:rPr>
            </w:pPr>
            <w:r>
              <w:rPr>
                <w:rFonts w:ascii="Arial" w:cs="Arial" w:eastAsia="Arial" w:hAnsi="Arial"/>
                <w:sz w:val="20"/>
                <w:szCs w:val="20"/>
                <w:color w:val="auto"/>
              </w:rPr>
              <w:t>included in net income</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(1,525)</w:t>
            </w:r>
          </w:p>
        </w:tc>
        <w:tc>
          <w:tcPr>
            <w:tcW w:w="0" w:type="dxa"/>
            <w:vAlign w:val="bottom"/>
          </w:tcPr>
          <w:p>
            <w:pPr>
              <w:spacing w:after="0"/>
              <w:rPr>
                <w:sz w:val="1"/>
                <w:szCs w:val="1"/>
                <w:color w:val="auto"/>
              </w:rPr>
            </w:pPr>
          </w:p>
        </w:tc>
      </w:tr>
      <w:tr>
        <w:trPr>
          <w:trHeight w:val="223"/>
        </w:trPr>
        <w:tc>
          <w:tcPr>
            <w:tcW w:w="4760" w:type="dxa"/>
            <w:vAlign w:val="bottom"/>
          </w:tcPr>
          <w:p>
            <w:pPr>
              <w:ind w:left="540"/>
              <w:spacing w:after="0" w:line="223" w:lineRule="exact"/>
              <w:rPr>
                <w:sz w:val="20"/>
                <w:szCs w:val="20"/>
                <w:color w:val="auto"/>
              </w:rPr>
            </w:pPr>
            <w:r>
              <w:rPr>
                <w:rFonts w:ascii="Arial" w:cs="Arial" w:eastAsia="Arial" w:hAnsi="Arial"/>
                <w:sz w:val="20"/>
                <w:szCs w:val="20"/>
                <w:color w:val="auto"/>
              </w:rPr>
              <w:t>Net change in available-for-sale investments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(1,525)</w:t>
            </w:r>
          </w:p>
        </w:tc>
        <w:tc>
          <w:tcPr>
            <w:tcW w:w="0" w:type="dxa"/>
            <w:vAlign w:val="bottom"/>
          </w:tcPr>
          <w:p>
            <w:pPr>
              <w:spacing w:after="0"/>
              <w:rPr>
                <w:sz w:val="1"/>
                <w:szCs w:val="1"/>
                <w:color w:val="auto"/>
              </w:rPr>
            </w:pPr>
          </w:p>
        </w:tc>
      </w:tr>
      <w:tr>
        <w:trPr>
          <w:trHeight w:val="223"/>
        </w:trPr>
        <w:tc>
          <w:tcPr>
            <w:tcW w:w="4760" w:type="dxa"/>
            <w:vAlign w:val="bottom"/>
          </w:tcPr>
          <w:p>
            <w:pPr>
              <w:spacing w:after="0" w:line="223" w:lineRule="exact"/>
              <w:rPr>
                <w:sz w:val="20"/>
                <w:szCs w:val="20"/>
                <w:color w:val="auto"/>
              </w:rPr>
            </w:pPr>
            <w:r>
              <w:rPr>
                <w:rFonts w:ascii="Arial" w:cs="Arial" w:eastAsia="Arial" w:hAnsi="Arial"/>
                <w:sz w:val="20"/>
                <w:szCs w:val="20"/>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510</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(2,441)</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612</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(5,058)</w:t>
            </w:r>
          </w:p>
        </w:tc>
        <w:tc>
          <w:tcPr>
            <w:tcW w:w="0" w:type="dxa"/>
            <w:vAlign w:val="bottom"/>
          </w:tcPr>
          <w:p>
            <w:pPr>
              <w:spacing w:after="0"/>
              <w:rPr>
                <w:sz w:val="1"/>
                <w:szCs w:val="1"/>
                <w:color w:val="auto"/>
              </w:rPr>
            </w:pPr>
          </w:p>
        </w:tc>
      </w:tr>
      <w:tr>
        <w:trPr>
          <w:trHeight w:val="223"/>
        </w:trPr>
        <w:tc>
          <w:tcPr>
            <w:tcW w:w="4760" w:type="dxa"/>
            <w:vAlign w:val="bottom"/>
          </w:tcPr>
          <w:p>
            <w:pPr>
              <w:spacing w:after="0" w:line="223" w:lineRule="exact"/>
              <w:rPr>
                <w:sz w:val="20"/>
                <w:szCs w:val="20"/>
                <w:color w:val="auto"/>
              </w:rPr>
            </w:pPr>
            <w:r>
              <w:rPr>
                <w:rFonts w:ascii="Arial" w:cs="Arial" w:eastAsia="Arial" w:hAnsi="Arial"/>
                <w:sz w:val="20"/>
                <w:szCs w:val="20"/>
                <w:color w:val="auto"/>
              </w:rPr>
              <w:t>Comprehensive income</w:t>
            </w:r>
          </w:p>
        </w:tc>
        <w:tc>
          <w:tcPr>
            <w:tcW w:w="3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141,513</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104,432</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236,866</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165,311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SIX-MONTHS ENDED JUNE 30, 2014 AND 2013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Six-Months Ended</w:t>
            </w:r>
          </w:p>
        </w:tc>
        <w:tc>
          <w:tcPr>
            <w:tcW w:w="0" w:type="dxa"/>
            <w:vAlign w:val="bottom"/>
          </w:tcPr>
          <w:p>
            <w:pPr>
              <w:spacing w:after="0"/>
              <w:rPr>
                <w:sz w:val="1"/>
                <w:szCs w:val="1"/>
                <w:color w:val="auto"/>
              </w:rPr>
            </w:pPr>
          </w:p>
        </w:tc>
      </w:tr>
      <w:tr>
        <w:trPr>
          <w:trHeight w:val="142"/>
        </w:trPr>
        <w:tc>
          <w:tcPr>
            <w:tcW w:w="820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200" w:type="dxa"/>
            <w:vAlign w:val="bottom"/>
          </w:tcPr>
          <w:p>
            <w:pPr>
              <w:spacing w:after="0"/>
              <w:rPr>
                <w:sz w:val="12"/>
                <w:szCs w:val="12"/>
                <w:color w:val="auto"/>
              </w:rPr>
            </w:pPr>
          </w:p>
        </w:tc>
        <w:tc>
          <w:tcPr>
            <w:tcW w:w="15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12"/>
                <w:szCs w:val="12"/>
                <w:color w:val="auto"/>
              </w:rPr>
            </w:pPr>
          </w:p>
        </w:tc>
        <w:tc>
          <w:tcPr>
            <w:tcW w:w="132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w w:val="96"/>
              </w:rPr>
              <w:t>June 30, 2013</w:t>
            </w:r>
          </w:p>
        </w:tc>
        <w:tc>
          <w:tcPr>
            <w:tcW w:w="0" w:type="dxa"/>
            <w:vAlign w:val="bottom"/>
          </w:tcPr>
          <w:p>
            <w:pPr>
              <w:spacing w:after="0"/>
              <w:rPr>
                <w:sz w:val="1"/>
                <w:szCs w:val="1"/>
                <w:color w:val="auto"/>
              </w:rPr>
            </w:pPr>
          </w:p>
        </w:tc>
      </w:tr>
      <w:tr>
        <w:trPr>
          <w:trHeight w:val="110"/>
        </w:trPr>
        <w:tc>
          <w:tcPr>
            <w:tcW w:w="8200" w:type="dxa"/>
            <w:vAlign w:val="bottom"/>
            <w:vMerge w:val="continue"/>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236,254</w:t>
            </w:r>
          </w:p>
        </w:tc>
        <w:tc>
          <w:tcPr>
            <w:tcW w:w="1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170,369</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ind w:left="32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12,995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10,337</w:t>
            </w:r>
          </w:p>
        </w:tc>
        <w:tc>
          <w:tcPr>
            <w:tcW w:w="0" w:type="dxa"/>
            <w:vAlign w:val="bottom"/>
          </w:tcPr>
          <w:p>
            <w:pPr>
              <w:spacing w:after="0"/>
              <w:rPr>
                <w:sz w:val="1"/>
                <w:szCs w:val="1"/>
                <w:color w:val="auto"/>
              </w:rPr>
            </w:pPr>
          </w:p>
        </w:tc>
      </w:tr>
      <w:tr>
        <w:trPr>
          <w:trHeight w:val="149"/>
        </w:trPr>
        <w:tc>
          <w:tcPr>
            <w:tcW w:w="8200" w:type="dxa"/>
            <w:vAlign w:val="bottom"/>
          </w:tcPr>
          <w:p>
            <w:pPr>
              <w:ind w:left="32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20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(185)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9"/>
        </w:trPr>
        <w:tc>
          <w:tcPr>
            <w:tcW w:w="8200" w:type="dxa"/>
            <w:vAlign w:val="bottom"/>
          </w:tcPr>
          <w:p>
            <w:pPr>
              <w:ind w:left="320"/>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15,089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14,392</w:t>
            </w:r>
          </w:p>
        </w:tc>
        <w:tc>
          <w:tcPr>
            <w:tcW w:w="0" w:type="dxa"/>
            <w:vAlign w:val="bottom"/>
          </w:tcPr>
          <w:p>
            <w:pPr>
              <w:spacing w:after="0"/>
              <w:rPr>
                <w:sz w:val="1"/>
                <w:szCs w:val="1"/>
                <w:color w:val="auto"/>
              </w:rPr>
            </w:pPr>
          </w:p>
        </w:tc>
      </w:tr>
      <w:tr>
        <w:trPr>
          <w:trHeight w:val="149"/>
        </w:trPr>
        <w:tc>
          <w:tcPr>
            <w:tcW w:w="8200" w:type="dxa"/>
            <w:vAlign w:val="bottom"/>
          </w:tcPr>
          <w:p>
            <w:pPr>
              <w:ind w:left="320"/>
              <w:spacing w:after="0" w:line="149" w:lineRule="exact"/>
              <w:rPr>
                <w:sz w:val="20"/>
                <w:szCs w:val="20"/>
                <w:color w:val="auto"/>
              </w:rPr>
            </w:pPr>
            <w:r>
              <w:rPr>
                <w:rFonts w:ascii="Arial" w:cs="Arial" w:eastAsia="Arial" w:hAnsi="Arial"/>
                <w:sz w:val="14"/>
                <w:szCs w:val="14"/>
                <w:color w:val="auto"/>
              </w:rPr>
              <w:t>Loss on put option</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8200" w:type="dxa"/>
            <w:vAlign w:val="bottom"/>
          </w:tcPr>
          <w:p>
            <w:pPr>
              <w:ind w:left="320"/>
              <w:spacing w:after="0" w:line="149" w:lineRule="exact"/>
              <w:rPr>
                <w:sz w:val="20"/>
                <w:szCs w:val="20"/>
                <w:color w:val="auto"/>
              </w:rPr>
            </w:pPr>
            <w:r>
              <w:rPr>
                <w:rFonts w:ascii="Arial" w:cs="Arial" w:eastAsia="Arial" w:hAnsi="Arial"/>
                <w:sz w:val="14"/>
                <w:szCs w:val="14"/>
                <w:color w:val="auto"/>
              </w:rPr>
              <w:t>Gain on investments, net</w:t>
            </w:r>
          </w:p>
        </w:tc>
        <w:tc>
          <w:tcPr>
            <w:tcW w:w="20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149"/>
        </w:trPr>
        <w:tc>
          <w:tcPr>
            <w:tcW w:w="8200" w:type="dxa"/>
            <w:vAlign w:val="bottom"/>
          </w:tcPr>
          <w:p>
            <w:pPr>
              <w:ind w:left="320"/>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149"/>
        </w:trPr>
        <w:tc>
          <w:tcPr>
            <w:tcW w:w="8200" w:type="dxa"/>
            <w:vAlign w:val="bottom"/>
          </w:tcPr>
          <w:p>
            <w:pPr>
              <w:ind w:left="32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20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(3,303)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(28,883)</w:t>
            </w:r>
          </w:p>
        </w:tc>
        <w:tc>
          <w:tcPr>
            <w:tcW w:w="0" w:type="dxa"/>
            <w:vAlign w:val="bottom"/>
          </w:tcPr>
          <w:p>
            <w:pPr>
              <w:spacing w:after="0"/>
              <w:rPr>
                <w:sz w:val="1"/>
                <w:szCs w:val="1"/>
                <w:color w:val="auto"/>
              </w:rPr>
            </w:pPr>
          </w:p>
        </w:tc>
      </w:tr>
      <w:tr>
        <w:trPr>
          <w:trHeight w:val="149"/>
        </w:trPr>
        <w:tc>
          <w:tcPr>
            <w:tcW w:w="8200" w:type="dxa"/>
            <w:vAlign w:val="bottom"/>
          </w:tcPr>
          <w:p>
            <w:pPr>
              <w:ind w:left="32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ind w:left="540"/>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(99,711)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(104,993)</w:t>
            </w:r>
          </w:p>
        </w:tc>
        <w:tc>
          <w:tcPr>
            <w:tcW w:w="0" w:type="dxa"/>
            <w:vAlign w:val="bottom"/>
          </w:tcPr>
          <w:p>
            <w:pPr>
              <w:spacing w:after="0"/>
              <w:rPr>
                <w:sz w:val="1"/>
                <w:szCs w:val="1"/>
                <w:color w:val="auto"/>
              </w:rPr>
            </w:pPr>
          </w:p>
        </w:tc>
      </w:tr>
      <w:tr>
        <w:trPr>
          <w:trHeight w:val="149"/>
        </w:trPr>
        <w:tc>
          <w:tcPr>
            <w:tcW w:w="8200" w:type="dxa"/>
            <w:vAlign w:val="bottom"/>
          </w:tcPr>
          <w:p>
            <w:pPr>
              <w:ind w:left="540"/>
              <w:spacing w:after="0" w:line="149" w:lineRule="exact"/>
              <w:rPr>
                <w:sz w:val="20"/>
                <w:szCs w:val="20"/>
                <w:color w:val="auto"/>
              </w:rPr>
            </w:pPr>
            <w:r>
              <w:rPr>
                <w:rFonts w:ascii="Arial" w:cs="Arial" w:eastAsia="Arial" w:hAnsi="Arial"/>
                <w:sz w:val="14"/>
                <w:szCs w:val="14"/>
                <w:color w:val="auto"/>
              </w:rPr>
              <w:t>Distributor receivables</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1,242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(5,310)</w:t>
            </w:r>
          </w:p>
        </w:tc>
        <w:tc>
          <w:tcPr>
            <w:tcW w:w="0" w:type="dxa"/>
            <w:vAlign w:val="bottom"/>
          </w:tcPr>
          <w:p>
            <w:pPr>
              <w:spacing w:after="0"/>
              <w:rPr>
                <w:sz w:val="1"/>
                <w:szCs w:val="1"/>
                <w:color w:val="auto"/>
              </w:rPr>
            </w:pPr>
          </w:p>
        </w:tc>
      </w:tr>
      <w:tr>
        <w:trPr>
          <w:trHeight w:val="149"/>
        </w:trPr>
        <w:tc>
          <w:tcPr>
            <w:tcW w:w="8200" w:type="dxa"/>
            <w:vAlign w:val="bottom"/>
          </w:tcPr>
          <w:p>
            <w:pPr>
              <w:ind w:left="540"/>
              <w:spacing w:after="0" w:line="149" w:lineRule="exact"/>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13,536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(33,972)</w:t>
            </w:r>
          </w:p>
        </w:tc>
        <w:tc>
          <w:tcPr>
            <w:tcW w:w="0" w:type="dxa"/>
            <w:vAlign w:val="bottom"/>
          </w:tcPr>
          <w:p>
            <w:pPr>
              <w:spacing w:after="0"/>
              <w:rPr>
                <w:sz w:val="1"/>
                <w:szCs w:val="1"/>
                <w:color w:val="auto"/>
              </w:rPr>
            </w:pPr>
          </w:p>
        </w:tc>
      </w:tr>
      <w:tr>
        <w:trPr>
          <w:trHeight w:val="149"/>
        </w:trPr>
        <w:tc>
          <w:tcPr>
            <w:tcW w:w="8200" w:type="dxa"/>
            <w:vAlign w:val="bottom"/>
          </w:tcPr>
          <w:p>
            <w:pPr>
              <w:ind w:left="5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(4,189)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(8,523)</w:t>
            </w:r>
          </w:p>
        </w:tc>
        <w:tc>
          <w:tcPr>
            <w:tcW w:w="0" w:type="dxa"/>
            <w:vAlign w:val="bottom"/>
          </w:tcPr>
          <w:p>
            <w:pPr>
              <w:spacing w:after="0"/>
              <w:rPr>
                <w:sz w:val="1"/>
                <w:szCs w:val="1"/>
                <w:color w:val="auto"/>
              </w:rPr>
            </w:pPr>
          </w:p>
        </w:tc>
      </w:tr>
      <w:tr>
        <w:trPr>
          <w:trHeight w:val="149"/>
        </w:trPr>
        <w:tc>
          <w:tcPr>
            <w:tcW w:w="8200" w:type="dxa"/>
            <w:vAlign w:val="bottom"/>
          </w:tcPr>
          <w:p>
            <w:pPr>
              <w:ind w:left="540"/>
              <w:spacing w:after="0" w:line="149" w:lineRule="exact"/>
              <w:rPr>
                <w:sz w:val="20"/>
                <w:szCs w:val="20"/>
                <w:color w:val="auto"/>
              </w:rPr>
            </w:pPr>
            <w:r>
              <w:rPr>
                <w:rFonts w:ascii="Arial" w:cs="Arial" w:eastAsia="Arial" w:hAnsi="Arial"/>
                <w:sz w:val="14"/>
                <w:szCs w:val="14"/>
                <w:color w:val="auto"/>
              </w:rPr>
              <w:t>Prepaid income taxes</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2,503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(4,118)</w:t>
            </w:r>
          </w:p>
        </w:tc>
        <w:tc>
          <w:tcPr>
            <w:tcW w:w="0" w:type="dxa"/>
            <w:vAlign w:val="bottom"/>
          </w:tcPr>
          <w:p>
            <w:pPr>
              <w:spacing w:after="0"/>
              <w:rPr>
                <w:sz w:val="1"/>
                <w:szCs w:val="1"/>
                <w:color w:val="auto"/>
              </w:rPr>
            </w:pPr>
          </w:p>
        </w:tc>
      </w:tr>
      <w:tr>
        <w:trPr>
          <w:trHeight w:val="149"/>
        </w:trPr>
        <w:tc>
          <w:tcPr>
            <w:tcW w:w="8200" w:type="dxa"/>
            <w:vAlign w:val="bottom"/>
          </w:tcPr>
          <w:p>
            <w:pPr>
              <w:ind w:left="54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36,113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16,877</w:t>
            </w:r>
          </w:p>
        </w:tc>
        <w:tc>
          <w:tcPr>
            <w:tcW w:w="0" w:type="dxa"/>
            <w:vAlign w:val="bottom"/>
          </w:tcPr>
          <w:p>
            <w:pPr>
              <w:spacing w:after="0"/>
              <w:rPr>
                <w:sz w:val="1"/>
                <w:szCs w:val="1"/>
                <w:color w:val="auto"/>
              </w:rPr>
            </w:pPr>
          </w:p>
        </w:tc>
      </w:tr>
      <w:tr>
        <w:trPr>
          <w:trHeight w:val="149"/>
        </w:trPr>
        <w:tc>
          <w:tcPr>
            <w:tcW w:w="8200" w:type="dxa"/>
            <w:vAlign w:val="bottom"/>
          </w:tcPr>
          <w:p>
            <w:pPr>
              <w:ind w:left="540"/>
              <w:spacing w:after="0" w:line="149" w:lineRule="exact"/>
              <w:rPr>
                <w:sz w:val="20"/>
                <w:szCs w:val="20"/>
                <w:color w:val="auto"/>
              </w:rPr>
            </w:pPr>
            <w:r>
              <w:rPr>
                <w:rFonts w:ascii="Arial" w:cs="Arial" w:eastAsia="Arial" w:hAnsi="Arial"/>
                <w:sz w:val="14"/>
                <w:szCs w:val="14"/>
                <w:color w:val="auto"/>
              </w:rPr>
              <w:t>Accrued liabilities</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17,529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15,987</w:t>
            </w:r>
          </w:p>
        </w:tc>
        <w:tc>
          <w:tcPr>
            <w:tcW w:w="0" w:type="dxa"/>
            <w:vAlign w:val="bottom"/>
          </w:tcPr>
          <w:p>
            <w:pPr>
              <w:spacing w:after="0"/>
              <w:rPr>
                <w:sz w:val="1"/>
                <w:szCs w:val="1"/>
                <w:color w:val="auto"/>
              </w:rPr>
            </w:pPr>
          </w:p>
        </w:tc>
      </w:tr>
      <w:tr>
        <w:trPr>
          <w:trHeight w:val="149"/>
        </w:trPr>
        <w:tc>
          <w:tcPr>
            <w:tcW w:w="8200" w:type="dxa"/>
            <w:vAlign w:val="bottom"/>
          </w:tcPr>
          <w:p>
            <w:pPr>
              <w:ind w:left="540"/>
              <w:spacing w:after="0" w:line="149" w:lineRule="exact"/>
              <w:rPr>
                <w:sz w:val="20"/>
                <w:szCs w:val="20"/>
                <w:color w:val="auto"/>
              </w:rPr>
            </w:pPr>
            <w:r>
              <w:rPr>
                <w:rFonts w:ascii="Arial" w:cs="Arial" w:eastAsia="Arial" w:hAnsi="Arial"/>
                <w:sz w:val="14"/>
                <w:szCs w:val="14"/>
                <w:color w:val="auto"/>
              </w:rPr>
              <w:t>Accrued promotional allowances</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31,776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22,188</w:t>
            </w:r>
          </w:p>
        </w:tc>
        <w:tc>
          <w:tcPr>
            <w:tcW w:w="0" w:type="dxa"/>
            <w:vAlign w:val="bottom"/>
          </w:tcPr>
          <w:p>
            <w:pPr>
              <w:spacing w:after="0"/>
              <w:rPr>
                <w:sz w:val="1"/>
                <w:szCs w:val="1"/>
                <w:color w:val="auto"/>
              </w:rPr>
            </w:pPr>
          </w:p>
        </w:tc>
      </w:tr>
      <w:tr>
        <w:trPr>
          <w:trHeight w:val="149"/>
        </w:trPr>
        <w:tc>
          <w:tcPr>
            <w:tcW w:w="8200" w:type="dxa"/>
            <w:vAlign w:val="bottom"/>
          </w:tcPr>
          <w:p>
            <w:pPr>
              <w:ind w:left="540"/>
              <w:spacing w:after="0" w:line="149" w:lineRule="exact"/>
              <w:rPr>
                <w:sz w:val="20"/>
                <w:szCs w:val="20"/>
                <w:color w:val="auto"/>
              </w:rPr>
            </w:pPr>
            <w:r>
              <w:rPr>
                <w:rFonts w:ascii="Arial" w:cs="Arial" w:eastAsia="Arial" w:hAnsi="Arial"/>
                <w:sz w:val="14"/>
                <w:szCs w:val="14"/>
                <w:color w:val="auto"/>
              </w:rPr>
              <w:t>Accrued distributor terminations</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3,464</w:t>
            </w:r>
          </w:p>
        </w:tc>
        <w:tc>
          <w:tcPr>
            <w:tcW w:w="0" w:type="dxa"/>
            <w:vAlign w:val="bottom"/>
          </w:tcPr>
          <w:p>
            <w:pPr>
              <w:spacing w:after="0"/>
              <w:rPr>
                <w:sz w:val="1"/>
                <w:szCs w:val="1"/>
                <w:color w:val="auto"/>
              </w:rPr>
            </w:pPr>
          </w:p>
        </w:tc>
      </w:tr>
      <w:tr>
        <w:trPr>
          <w:trHeight w:val="149"/>
        </w:trPr>
        <w:tc>
          <w:tcPr>
            <w:tcW w:w="8200" w:type="dxa"/>
            <w:vAlign w:val="bottom"/>
          </w:tcPr>
          <w:p>
            <w:pPr>
              <w:ind w:left="540"/>
              <w:spacing w:after="0" w:line="149" w:lineRule="exact"/>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(4,618)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(4,122)</w:t>
            </w:r>
          </w:p>
        </w:tc>
        <w:tc>
          <w:tcPr>
            <w:tcW w:w="0" w:type="dxa"/>
            <w:vAlign w:val="bottom"/>
          </w:tcPr>
          <w:p>
            <w:pPr>
              <w:spacing w:after="0"/>
              <w:rPr>
                <w:sz w:val="1"/>
                <w:szCs w:val="1"/>
                <w:color w:val="auto"/>
              </w:rPr>
            </w:pPr>
          </w:p>
        </w:tc>
      </w:tr>
      <w:tr>
        <w:trPr>
          <w:trHeight w:val="149"/>
        </w:trPr>
        <w:tc>
          <w:tcPr>
            <w:tcW w:w="8200" w:type="dxa"/>
            <w:vAlign w:val="bottom"/>
          </w:tcPr>
          <w:p>
            <w:pPr>
              <w:ind w:left="540"/>
              <w:spacing w:after="0" w:line="149" w:lineRule="exact"/>
              <w:rPr>
                <w:sz w:val="20"/>
                <w:szCs w:val="20"/>
                <w:color w:val="auto"/>
              </w:rPr>
            </w:pPr>
            <w:r>
              <w:rPr>
                <w:rFonts w:ascii="Arial" w:cs="Arial" w:eastAsia="Arial" w:hAnsi="Arial"/>
                <w:sz w:val="14"/>
                <w:szCs w:val="14"/>
                <w:color w:val="auto"/>
              </w:rPr>
              <w:t>Income taxes payable</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6,780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33,019</w:t>
            </w:r>
          </w:p>
        </w:tc>
        <w:tc>
          <w:tcPr>
            <w:tcW w:w="0" w:type="dxa"/>
            <w:vAlign w:val="bottom"/>
          </w:tcPr>
          <w:p>
            <w:pPr>
              <w:spacing w:after="0"/>
              <w:rPr>
                <w:sz w:val="1"/>
                <w:szCs w:val="1"/>
                <w:color w:val="auto"/>
              </w:rPr>
            </w:pPr>
          </w:p>
        </w:tc>
      </w:tr>
      <w:tr>
        <w:trPr>
          <w:trHeight w:val="167"/>
        </w:trPr>
        <w:tc>
          <w:tcPr>
            <w:tcW w:w="8200" w:type="dxa"/>
            <w:vAlign w:val="bottom"/>
          </w:tcPr>
          <w:p>
            <w:pPr>
              <w:ind w:left="540"/>
              <w:spacing w:after="0"/>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(3,180)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6,788</w:t>
            </w:r>
          </w:p>
        </w:tc>
        <w:tc>
          <w:tcPr>
            <w:tcW w:w="0" w:type="dxa"/>
            <w:vAlign w:val="bottom"/>
          </w:tcPr>
          <w:p>
            <w:pPr>
              <w:spacing w:after="0"/>
              <w:rPr>
                <w:sz w:val="1"/>
                <w:szCs w:val="1"/>
                <w:color w:val="auto"/>
              </w:rPr>
            </w:pPr>
          </w:p>
        </w:tc>
      </w:tr>
      <w:tr>
        <w:trPr>
          <w:trHeight w:val="176"/>
        </w:trPr>
        <w:tc>
          <w:tcPr>
            <w:tcW w:w="8200" w:type="dxa"/>
            <w:vAlign w:val="bottom"/>
          </w:tcPr>
          <w:p>
            <w:pPr>
              <w:ind w:left="86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Pr>
          <w:p>
            <w:pPr>
              <w:spacing w:after="0"/>
              <w:rPr>
                <w:sz w:val="15"/>
                <w:szCs w:val="15"/>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258,977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99,720</w:t>
            </w:r>
          </w:p>
        </w:tc>
        <w:tc>
          <w:tcPr>
            <w:tcW w:w="0" w:type="dxa"/>
            <w:vAlign w:val="bottom"/>
          </w:tcPr>
          <w:p>
            <w:pPr>
              <w:spacing w:after="0"/>
              <w:rPr>
                <w:sz w:val="1"/>
                <w:szCs w:val="1"/>
                <w:color w:val="auto"/>
              </w:rPr>
            </w:pPr>
          </w:p>
        </w:tc>
      </w:tr>
      <w:tr>
        <w:trPr>
          <w:trHeight w:val="245"/>
        </w:trPr>
        <w:tc>
          <w:tcPr>
            <w:tcW w:w="820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Maturities of held-to-maturity investments</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324,819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107,416</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Sales of trading investments</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3,450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20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(421,797)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(154,525)</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20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(15,074)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(22,497)</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310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8,665</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Increase in intangibles</w:t>
            </w:r>
          </w:p>
        </w:tc>
        <w:tc>
          <w:tcPr>
            <w:tcW w:w="20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(828)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(5,101)</w:t>
            </w:r>
          </w:p>
        </w:tc>
        <w:tc>
          <w:tcPr>
            <w:tcW w:w="0" w:type="dxa"/>
            <w:vAlign w:val="bottom"/>
          </w:tcPr>
          <w:p>
            <w:pPr>
              <w:spacing w:after="0"/>
              <w:rPr>
                <w:sz w:val="1"/>
                <w:szCs w:val="1"/>
                <w:color w:val="auto"/>
              </w:rPr>
            </w:pPr>
          </w:p>
        </w:tc>
      </w:tr>
      <w:tr>
        <w:trPr>
          <w:trHeight w:val="167"/>
        </w:trPr>
        <w:tc>
          <w:tcPr>
            <w:tcW w:w="8200" w:type="dxa"/>
            <w:vAlign w:val="bottom"/>
          </w:tcPr>
          <w:p>
            <w:pPr>
              <w:spacing w:after="0"/>
              <w:rPr>
                <w:sz w:val="20"/>
                <w:szCs w:val="20"/>
                <w:color w:val="auto"/>
              </w:rPr>
            </w:pPr>
            <w:r>
              <w:rPr>
                <w:rFonts w:ascii="Arial" w:cs="Arial" w:eastAsia="Arial" w:hAnsi="Arial"/>
                <w:sz w:val="14"/>
                <w:szCs w:val="14"/>
                <w:color w:val="auto"/>
              </w:rPr>
              <w:t>Decrease (increase) in other assets</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1,102</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(4,538)</w:t>
            </w:r>
          </w:p>
        </w:tc>
        <w:tc>
          <w:tcPr>
            <w:tcW w:w="0" w:type="dxa"/>
            <w:vAlign w:val="bottom"/>
          </w:tcPr>
          <w:p>
            <w:pPr>
              <w:spacing w:after="0"/>
              <w:rPr>
                <w:sz w:val="1"/>
                <w:szCs w:val="1"/>
                <w:color w:val="auto"/>
              </w:rPr>
            </w:pPr>
          </w:p>
        </w:tc>
      </w:tr>
      <w:tr>
        <w:trPr>
          <w:trHeight w:val="176"/>
        </w:trPr>
        <w:tc>
          <w:tcPr>
            <w:tcW w:w="8200" w:type="dxa"/>
            <w:vAlign w:val="bottom"/>
          </w:tcPr>
          <w:p>
            <w:pPr>
              <w:ind w:left="86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Pr>
          <w:p>
            <w:pPr>
              <w:spacing w:after="0"/>
              <w:rPr>
                <w:sz w:val="15"/>
                <w:szCs w:val="15"/>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(108,018)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(70,580)</w:t>
            </w:r>
          </w:p>
        </w:tc>
        <w:tc>
          <w:tcPr>
            <w:tcW w:w="0" w:type="dxa"/>
            <w:vAlign w:val="bottom"/>
          </w:tcPr>
          <w:p>
            <w:pPr>
              <w:spacing w:after="0"/>
              <w:rPr>
                <w:sz w:val="1"/>
                <w:szCs w:val="1"/>
                <w:color w:val="auto"/>
              </w:rPr>
            </w:pPr>
          </w:p>
        </w:tc>
      </w:tr>
      <w:tr>
        <w:trPr>
          <w:trHeight w:val="245"/>
        </w:trPr>
        <w:tc>
          <w:tcPr>
            <w:tcW w:w="820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Principal payments on debt</w:t>
            </w:r>
          </w:p>
        </w:tc>
        <w:tc>
          <w:tcPr>
            <w:tcW w:w="20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(973)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3,303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28,883</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7,716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16,288</w:t>
            </w:r>
          </w:p>
        </w:tc>
        <w:tc>
          <w:tcPr>
            <w:tcW w:w="0" w:type="dxa"/>
            <w:vAlign w:val="bottom"/>
          </w:tcPr>
          <w:p>
            <w:pPr>
              <w:spacing w:after="0"/>
              <w:rPr>
                <w:sz w:val="1"/>
                <w:szCs w:val="1"/>
                <w:color w:val="auto"/>
              </w:rPr>
            </w:pPr>
          </w:p>
        </w:tc>
      </w:tr>
      <w:tr>
        <w:trPr>
          <w:trHeight w:val="167"/>
        </w:trPr>
        <w:tc>
          <w:tcPr>
            <w:tcW w:w="8200" w:type="dxa"/>
            <w:vAlign w:val="bottom"/>
          </w:tcPr>
          <w:p>
            <w:pPr>
              <w:spacing w:after="0"/>
              <w:rPr>
                <w:sz w:val="20"/>
                <w:szCs w:val="20"/>
                <w:color w:val="auto"/>
              </w:rPr>
            </w:pPr>
            <w:r>
              <w:rPr>
                <w:rFonts w:ascii="Arial" w:cs="Arial" w:eastAsia="Arial" w:hAnsi="Arial"/>
                <w:sz w:val="14"/>
                <w:szCs w:val="14"/>
                <w:color w:val="auto"/>
              </w:rPr>
              <w:t>Purchases of common stock held in treasury</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(13,396)</w:t>
            </w:r>
          </w:p>
        </w:tc>
        <w:tc>
          <w:tcPr>
            <w:tcW w:w="0" w:type="dxa"/>
            <w:vAlign w:val="bottom"/>
          </w:tcPr>
          <w:p>
            <w:pPr>
              <w:spacing w:after="0"/>
              <w:rPr>
                <w:sz w:val="1"/>
                <w:szCs w:val="1"/>
                <w:color w:val="auto"/>
              </w:rPr>
            </w:pPr>
          </w:p>
        </w:tc>
      </w:tr>
      <w:tr>
        <w:trPr>
          <w:trHeight w:val="142"/>
        </w:trPr>
        <w:tc>
          <w:tcPr>
            <w:tcW w:w="8200" w:type="dxa"/>
            <w:vAlign w:val="bottom"/>
          </w:tcPr>
          <w:p>
            <w:pPr>
              <w:ind w:left="86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9,987</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30,981</w:t>
            </w:r>
          </w:p>
        </w:tc>
        <w:tc>
          <w:tcPr>
            <w:tcW w:w="0" w:type="dxa"/>
            <w:vAlign w:val="bottom"/>
          </w:tcPr>
          <w:p>
            <w:pPr>
              <w:spacing w:after="0"/>
              <w:rPr>
                <w:sz w:val="1"/>
                <w:szCs w:val="1"/>
                <w:color w:val="auto"/>
              </w:rPr>
            </w:pPr>
          </w:p>
        </w:tc>
      </w:tr>
      <w:tr>
        <w:trPr>
          <w:trHeight w:val="306"/>
        </w:trPr>
        <w:tc>
          <w:tcPr>
            <w:tcW w:w="820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tcPr>
          <w:p>
            <w:pPr>
              <w:spacing w:after="0"/>
              <w:rPr>
                <w:sz w:val="24"/>
                <w:szCs w:val="24"/>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756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263"/>
        </w:trPr>
        <w:tc>
          <w:tcPr>
            <w:tcW w:w="8200" w:type="dxa"/>
            <w:vAlign w:val="bottom"/>
          </w:tcPr>
          <w:p>
            <w:pPr>
              <w:spacing w:after="0"/>
              <w:rPr>
                <w:sz w:val="20"/>
                <w:szCs w:val="20"/>
                <w:color w:val="auto"/>
              </w:rPr>
            </w:pPr>
            <w:r>
              <w:rPr>
                <w:rFonts w:ascii="Arial" w:cs="Arial" w:eastAsia="Arial" w:hAnsi="Arial"/>
                <w:sz w:val="14"/>
                <w:szCs w:val="14"/>
                <w:color w:val="auto"/>
              </w:rPr>
              <w:t>NET INCREASE IN CASH AND</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8200" w:type="dxa"/>
            <w:vAlign w:val="bottom"/>
          </w:tcPr>
          <w:p>
            <w:pPr>
              <w:ind w:left="320"/>
              <w:spacing w:after="0" w:line="149" w:lineRule="exact"/>
              <w:rPr>
                <w:sz w:val="20"/>
                <w:szCs w:val="20"/>
                <w:color w:val="auto"/>
              </w:rPr>
            </w:pPr>
            <w:r>
              <w:rPr>
                <w:rFonts w:ascii="Arial" w:cs="Arial" w:eastAsia="Arial" w:hAnsi="Arial"/>
                <w:sz w:val="14"/>
                <w:szCs w:val="14"/>
                <w:color w:val="auto"/>
              </w:rPr>
              <w:t>CASH EQUIVALENTS</w:t>
            </w:r>
          </w:p>
        </w:tc>
        <w:tc>
          <w:tcPr>
            <w:tcW w:w="20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161,702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61,325</w:t>
            </w:r>
          </w:p>
        </w:tc>
        <w:tc>
          <w:tcPr>
            <w:tcW w:w="0" w:type="dxa"/>
            <w:vAlign w:val="bottom"/>
          </w:tcPr>
          <w:p>
            <w:pPr>
              <w:spacing w:after="0"/>
              <w:rPr>
                <w:sz w:val="1"/>
                <w:szCs w:val="1"/>
                <w:color w:val="auto"/>
              </w:rPr>
            </w:pPr>
          </w:p>
        </w:tc>
      </w:tr>
      <w:tr>
        <w:trPr>
          <w:trHeight w:val="167"/>
        </w:trPr>
        <w:tc>
          <w:tcPr>
            <w:tcW w:w="82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211,349</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222,514</w:t>
            </w:r>
          </w:p>
        </w:tc>
        <w:tc>
          <w:tcPr>
            <w:tcW w:w="0" w:type="dxa"/>
            <w:vAlign w:val="bottom"/>
          </w:tcPr>
          <w:p>
            <w:pPr>
              <w:spacing w:after="0"/>
              <w:rPr>
                <w:sz w:val="1"/>
                <w:szCs w:val="1"/>
                <w:color w:val="auto"/>
              </w:rPr>
            </w:pPr>
          </w:p>
        </w:tc>
      </w:tr>
      <w:tr>
        <w:trPr>
          <w:trHeight w:val="142"/>
        </w:trPr>
        <w:tc>
          <w:tcPr>
            <w:tcW w:w="8200" w:type="dxa"/>
            <w:vAlign w:val="bottom"/>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2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373,051</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283,839</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2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8200" w:type="dxa"/>
            <w:vAlign w:val="bottom"/>
          </w:tcPr>
          <w:p>
            <w:pPr>
              <w:ind w:left="140"/>
              <w:spacing w:after="0"/>
              <w:rPr>
                <w:sz w:val="20"/>
                <w:szCs w:val="20"/>
                <w:color w:val="auto"/>
              </w:rPr>
            </w:pPr>
            <w:r>
              <w:rPr>
                <w:rFonts w:ascii="Arial" w:cs="Arial" w:eastAsia="Arial" w:hAnsi="Arial"/>
                <w:sz w:val="14"/>
                <w:szCs w:val="14"/>
                <w:color w:val="auto"/>
              </w:rPr>
              <w:t>Cash paid during the period for:</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108"/>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9"/>
        </w:trPr>
        <w:tc>
          <w:tcPr>
            <w:tcW w:w="8200" w:type="dxa"/>
            <w:vAlign w:val="bottom"/>
          </w:tcPr>
          <w:p>
            <w:pPr>
              <w:ind w:left="320"/>
              <w:spacing w:after="0" w:line="154" w:lineRule="exact"/>
              <w:rPr>
                <w:sz w:val="20"/>
                <w:szCs w:val="20"/>
                <w:color w:val="auto"/>
              </w:rPr>
            </w:pPr>
            <w:r>
              <w:rPr>
                <w:rFonts w:ascii="Arial" w:cs="Arial" w:eastAsia="Arial" w:hAnsi="Arial"/>
                <w:sz w:val="14"/>
                <w:szCs w:val="14"/>
                <w:color w:val="auto"/>
              </w:rPr>
              <w:t>Interest</w:t>
            </w:r>
          </w:p>
        </w:tc>
        <w:tc>
          <w:tcPr>
            <w:tcW w:w="200" w:type="dxa"/>
            <w:vAlign w:val="bottom"/>
            <w:tcBorders>
              <w:bottom w:val="single" w:sz="8" w:color="auto"/>
            </w:tcBorders>
            <w:vMerge w:val="continue"/>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ind w:left="320"/>
              <w:spacing w:after="0"/>
              <w:rPr>
                <w:sz w:val="20"/>
                <w:szCs w:val="20"/>
                <w:color w:val="auto"/>
              </w:rPr>
            </w:pPr>
            <w:r>
              <w:rPr>
                <w:rFonts w:ascii="Arial" w:cs="Arial" w:eastAsia="Arial" w:hAnsi="Arial"/>
                <w:sz w:val="14"/>
                <w:szCs w:val="14"/>
                <w:color w:val="auto"/>
              </w:rPr>
              <w:t>Income taxes</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00" w:type="dxa"/>
            <w:vAlign w:val="bottom"/>
            <w:vMerge w:val="continue"/>
          </w:tcPr>
          <w:p>
            <w:pPr>
              <w:spacing w:after="0"/>
              <w:rPr>
                <w:sz w:val="11"/>
                <w:szCs w:val="11"/>
                <w:color w:val="auto"/>
              </w:rPr>
            </w:pPr>
          </w:p>
        </w:tc>
        <w:tc>
          <w:tcPr>
            <w:tcW w:w="20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08"/>
              <w:spacing w:after="0" w:line="129" w:lineRule="exact"/>
              <w:rPr>
                <w:sz w:val="20"/>
                <w:szCs w:val="20"/>
                <w:color w:val="auto"/>
              </w:rPr>
            </w:pPr>
            <w:r>
              <w:rPr>
                <w:rFonts w:ascii="Arial" w:cs="Arial" w:eastAsia="Arial" w:hAnsi="Arial"/>
                <w:sz w:val="14"/>
                <w:szCs w:val="14"/>
                <w:color w:val="auto"/>
              </w:rPr>
              <w:t>119,654</w:t>
            </w:r>
          </w:p>
        </w:tc>
        <w:tc>
          <w:tcPr>
            <w:tcW w:w="160" w:type="dxa"/>
            <w:vAlign w:val="bottom"/>
          </w:tcPr>
          <w:p>
            <w:pPr>
              <w:spacing w:after="0"/>
              <w:rPr>
                <w:sz w:val="11"/>
                <w:szCs w:val="11"/>
                <w:color w:val="auto"/>
              </w:rPr>
            </w:pP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4"/>
                <w:szCs w:val="14"/>
                <w:color w:val="auto"/>
              </w:rPr>
              <w:t>82,720</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420"/>
          </w:cols>
          <w:pgMar w:left="240" w:top="116" w:right="239" w:bottom="0" w:gutter="0" w:footer="0" w:header="0"/>
          <w:type w:val="continuous"/>
        </w:sectPr>
      </w:pPr>
    </w:p>
    <w:bookmarkStart w:id="4" w:name="page5"/>
    <w:bookmarkEnd w:id="4"/>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SIX-MONTHS ENDED JUNE 30, 2014 AND 2013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entered into capital leases for the acquisition of promotional vehicles of $0.5 million and $1.8 million for the six-months ended June 30, 2014 and 2013, respectively.</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Included in accounts payable are property and equipment purchases of $0.1 million and $2.0 million as of June 30, 2014 and December 31, 2013,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BASIS OF PRESENTATION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Reference is made to the Notes to Consolidated Financial Statements, in Monster Beverage Corporation and Subsidiaries (the “Company” or, in reference to the Company’s former name, “Hansen Natural Corporation”) Annual Report on Form 10-K for the year ended December 31, 2013 (“Form 10-K”) for a summary of significant accounting policies utilized by the Company and its consolidated subsidiaries and other disclosures, which should be read in conjunction with this Quarterly Report on Form 10-Q (“Form 10-Q”).</w:t>
      </w:r>
    </w:p>
    <w:p>
      <w:pPr>
        <w:spacing w:after="0" w:line="19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six-months ended June 30, 2014 and 2013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32"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9"/>
          <w:szCs w:val="19"/>
          <w:color w:val="auto"/>
        </w:rPr>
        <w:t>In June 2014, the Financial Accounting Standards Board (the “FASB”) issued Accounting Standards Update (“ASU”) No. 2014-12, “Compensation—Stock Compensation (Topic 718): Accounting for Share-Based Payments When the Terms of an Award Provide That a Performance Target Could Be Achieved after the Requisite Service Period (a consensus of the FASB Emerging Issues Task Force)”. ASU 2014-12 clarifies that a performance target that affects vesting and that could be 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ASU 2014-12 is effective for annual periods, and interim periods within those years, beginning after December 15, 2015. Early adoption is permitted.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The adoption of ASU 2014-12 is not expected to have a material impact on the Company’s financial position, results of operations or liquidity.</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2014-09 requires that a company recognize revenue at an amount that reflects the consideration to which the company expects to be entitled in exchange for transferring goods or services to a customer. In applying the new guidance, a company will</w:t>
      </w:r>
    </w:p>
    <w:p>
      <w:pPr>
        <w:spacing w:after="0" w:line="1"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9"/>
          <w:szCs w:val="19"/>
          <w:color w:val="auto"/>
        </w:rPr>
      </w:pPr>
      <w:r>
        <w:rPr>
          <w:rFonts w:ascii="Arial" w:cs="Arial" w:eastAsia="Arial" w:hAnsi="Arial"/>
          <w:sz w:val="19"/>
          <w:szCs w:val="19"/>
          <w:color w:val="auto"/>
        </w:rPr>
        <w:t>identify the contract(s) with a customer; (2) identify the performance obligations in the contract; (3) determine the transaction price;</w:t>
      </w:r>
    </w:p>
    <w:p>
      <w:pPr>
        <w:spacing w:after="0" w:line="11" w:lineRule="exact"/>
        <w:rPr>
          <w:rFonts w:ascii="Arial" w:cs="Arial" w:eastAsia="Arial" w:hAnsi="Arial"/>
          <w:sz w:val="19"/>
          <w:szCs w:val="19"/>
          <w:color w:val="auto"/>
        </w:rPr>
      </w:pPr>
    </w:p>
    <w:p>
      <w:pPr>
        <w:ind w:left="280" w:hanging="272"/>
        <w:spacing w:after="0"/>
        <w:tabs>
          <w:tab w:leader="none" w:pos="2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allocate the transaction price to the contract’s performance obligations; and (5) recognize</w:t>
      </w:r>
    </w:p>
    <w:p>
      <w:pPr>
        <w:sectPr>
          <w:pgSz w:w="11900" w:h="16897" w:orient="portrait"/>
          <w:cols w:equalWidth="0" w:num="1">
            <w:col w:w="11420"/>
          </w:cols>
          <w:pgMar w:left="240" w:top="341"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revenue when (or as) the entity satisfies a performance obligation. ASU 2014-09 is effective for reporting periods beginning after December 15, 2016 and can be adopted using either a full retrospective or modified approach. The Company is currently evaluating the impact of ASU 2014-09 on its financial position, results of operations and liquidity.</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April 2014, the FASB issued ASU No. 2014-08, “Presentation of Financial Statements and Property, Plant, and Equipment - Reporting Discontinued Operations and Disclosures of Disposals of Components of an Entity”. ASU 2014-08 provides new guidance related to the definition of a discontinued operation and requires new disclosures of both discontinued operations and certain other disposals that do not meet the definition of a discontinued operation. This new guidance is effective for fiscal years beginning on or after December 15, 2014 and interim periods within those years. The adoption of ASU 2014-08 is not expected to have a material impact on the Company’s financial position, results of operations or liquidity.</w:t>
      </w:r>
    </w:p>
    <w:p>
      <w:pPr>
        <w:spacing w:after="0" w:line="210" w:lineRule="exact"/>
        <w:rPr>
          <w:sz w:val="20"/>
          <w:szCs w:val="20"/>
          <w:color w:val="auto"/>
        </w:rPr>
      </w:pPr>
    </w:p>
    <w:p>
      <w:pPr>
        <w:ind w:left="640" w:hanging="632"/>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left="63"/>
              <w:spacing w:after="0"/>
              <w:rPr>
                <w:sz w:val="20"/>
                <w:szCs w:val="20"/>
                <w:color w:val="auto"/>
              </w:rPr>
            </w:pPr>
            <w:r>
              <w:rPr>
                <w:rFonts w:ascii="Arial" w:cs="Arial" w:eastAsia="Arial" w:hAnsi="Arial"/>
                <w:sz w:val="15"/>
                <w:szCs w:val="15"/>
                <w:color w:val="auto"/>
                <w:w w:val="92"/>
              </w:rPr>
              <w:t>Continuous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color w:val="auto"/>
                <w:w w:val="92"/>
              </w:rPr>
              <w:t>Continuous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89"/>
              </w:rPr>
              <w:t>Gross</w:t>
            </w:r>
          </w:p>
        </w:tc>
        <w:tc>
          <w:tcPr>
            <w:tcW w:w="18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left="63"/>
              <w:spacing w:after="0" w:line="162" w:lineRule="exact"/>
              <w:rPr>
                <w:sz w:val="20"/>
                <w:szCs w:val="20"/>
                <w:color w:val="auto"/>
              </w:rPr>
            </w:pPr>
            <w:r>
              <w:rPr>
                <w:rFonts w:ascii="Arial" w:cs="Arial" w:eastAsia="Arial" w:hAnsi="Arial"/>
                <w:sz w:val="15"/>
                <w:szCs w:val="15"/>
                <w:color w:val="auto"/>
                <w:w w:val="91"/>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83"/>
              <w:spacing w:after="0" w:line="162" w:lineRule="exact"/>
              <w:rPr>
                <w:sz w:val="20"/>
                <w:szCs w:val="20"/>
                <w:color w:val="auto"/>
              </w:rPr>
            </w:pPr>
            <w:r>
              <w:rPr>
                <w:rFonts w:ascii="Arial" w:cs="Arial" w:eastAsia="Arial" w:hAnsi="Arial"/>
                <w:sz w:val="15"/>
                <w:szCs w:val="15"/>
                <w:color w:val="auto"/>
                <w:w w:val="91"/>
              </w:rPr>
              <w:t>Unrealized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4"/>
              </w:rPr>
              <w:t>Unrealized</w:t>
            </w:r>
          </w:p>
        </w:tc>
        <w:tc>
          <w:tcPr>
            <w:tcW w:w="18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1"/>
              </w:rPr>
              <w:t>Unrealized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left="63"/>
              <w:spacing w:after="0" w:line="162" w:lineRule="exact"/>
              <w:rPr>
                <w:sz w:val="20"/>
                <w:szCs w:val="20"/>
                <w:color w:val="auto"/>
              </w:rPr>
            </w:pPr>
            <w:r>
              <w:rPr>
                <w:rFonts w:ascii="Arial" w:cs="Arial" w:eastAsia="Arial" w:hAnsi="Arial"/>
                <w:sz w:val="15"/>
                <w:szCs w:val="15"/>
                <w:color w:val="auto"/>
                <w:w w:val="91"/>
              </w:rPr>
              <w:t>Loss Position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83"/>
              <w:spacing w:after="0" w:line="162" w:lineRule="exact"/>
              <w:rPr>
                <w:sz w:val="20"/>
                <w:szCs w:val="20"/>
                <w:color w:val="auto"/>
              </w:rPr>
            </w:pPr>
            <w:r>
              <w:rPr>
                <w:rFonts w:ascii="Arial" w:cs="Arial" w:eastAsia="Arial" w:hAnsi="Arial"/>
                <w:sz w:val="15"/>
                <w:szCs w:val="15"/>
                <w:color w:val="auto"/>
                <w:w w:val="91"/>
              </w:rPr>
              <w:t>Loss Position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8"/>
              </w:rPr>
              <w:t>Holding</w:t>
            </w:r>
          </w:p>
        </w:tc>
        <w:tc>
          <w:tcPr>
            <w:tcW w:w="18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4"/>
                <w:szCs w:val="14"/>
                <w:color w:val="auto"/>
              </w:rPr>
            </w:pPr>
          </w:p>
        </w:tc>
        <w:tc>
          <w:tcPr>
            <w:tcW w:w="860" w:type="dxa"/>
            <w:vAlign w:val="bottom"/>
          </w:tcPr>
          <w:p>
            <w:pPr>
              <w:jc w:val="center"/>
              <w:ind w:right="183"/>
              <w:spacing w:after="0" w:line="162" w:lineRule="exact"/>
              <w:rPr>
                <w:sz w:val="20"/>
                <w:szCs w:val="20"/>
                <w:color w:val="auto"/>
              </w:rPr>
            </w:pPr>
            <w:r>
              <w:rPr>
                <w:rFonts w:ascii="Arial" w:cs="Arial" w:eastAsia="Arial" w:hAnsi="Arial"/>
                <w:sz w:val="15"/>
                <w:szCs w:val="15"/>
                <w:color w:val="auto"/>
                <w:w w:val="92"/>
              </w:rPr>
              <w:t>Fair</w:t>
            </w:r>
          </w:p>
        </w:tc>
        <w:tc>
          <w:tcPr>
            <w:tcW w:w="220" w:type="dxa"/>
            <w:vAlign w:val="bottom"/>
          </w:tcPr>
          <w:p>
            <w:pPr>
              <w:spacing w:after="0"/>
              <w:rPr>
                <w:sz w:val="14"/>
                <w:szCs w:val="14"/>
                <w:color w:val="auto"/>
              </w:rPr>
            </w:pPr>
          </w:p>
        </w:tc>
        <w:tc>
          <w:tcPr>
            <w:tcW w:w="1000" w:type="dxa"/>
            <w:vAlign w:val="bottom"/>
          </w:tcPr>
          <w:p>
            <w:pPr>
              <w:jc w:val="center"/>
              <w:ind w:left="43"/>
              <w:spacing w:after="0" w:line="162" w:lineRule="exact"/>
              <w:rPr>
                <w:sz w:val="20"/>
                <w:szCs w:val="20"/>
                <w:color w:val="auto"/>
              </w:rPr>
            </w:pPr>
            <w:r>
              <w:rPr>
                <w:rFonts w:ascii="Arial" w:cs="Arial" w:eastAsia="Arial" w:hAnsi="Arial"/>
                <w:sz w:val="15"/>
                <w:szCs w:val="15"/>
                <w:color w:val="auto"/>
                <w:w w:val="88"/>
              </w:rPr>
              <w:t>less than 12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90"/>
              </w:rPr>
              <w:t>greater than 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June 30, 2014</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91"/>
              </w:rPr>
              <w:t>Gains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83"/>
              <w:spacing w:after="0"/>
              <w:rPr>
                <w:sz w:val="20"/>
                <w:szCs w:val="20"/>
                <w:color w:val="auto"/>
              </w:rPr>
            </w:pPr>
            <w:r>
              <w:rPr>
                <w:rFonts w:ascii="Arial" w:cs="Arial" w:eastAsia="Arial" w:hAnsi="Arial"/>
                <w:sz w:val="15"/>
                <w:szCs w:val="15"/>
                <w:color w:val="auto"/>
                <w:w w:val="93"/>
              </w:rPr>
              <w:t>Value</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left="63"/>
              <w:spacing w:after="0"/>
              <w:rPr>
                <w:sz w:val="20"/>
                <w:szCs w:val="20"/>
                <w:color w:val="auto"/>
              </w:rPr>
            </w:pPr>
            <w:r>
              <w:rPr>
                <w:rFonts w:ascii="Arial" w:cs="Arial" w:eastAsia="Arial" w:hAnsi="Arial"/>
                <w:sz w:val="15"/>
                <w:szCs w:val="15"/>
                <w:color w:val="auto"/>
                <w:w w:val="93"/>
              </w:rPr>
              <w:t>Months</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w w:val="93"/>
              </w:rPr>
              <w:t>Months</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5"/>
                <w:szCs w:val="15"/>
                <w:b w:val="1"/>
                <w:bCs w:val="1"/>
                <w:color w:val="auto"/>
              </w:rPr>
              <w:t>Held-to-Maturity</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20" w:type="dxa"/>
            <w:vAlign w:val="bottom"/>
          </w:tcPr>
          <w:p>
            <w:pPr>
              <w:jc w:val="right"/>
              <w:ind w:right="3"/>
              <w:spacing w:after="0" w:line="162" w:lineRule="exact"/>
              <w:rPr>
                <w:sz w:val="20"/>
                <w:szCs w:val="20"/>
                <w:color w:val="auto"/>
              </w:rPr>
            </w:pPr>
            <w:r>
              <w:rPr>
                <w:rFonts w:ascii="Arial" w:cs="Arial" w:eastAsia="Arial" w:hAnsi="Arial"/>
                <w:sz w:val="15"/>
                <w:szCs w:val="15"/>
                <w:color w:val="auto"/>
              </w:rPr>
              <w:t>6,007</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6,007</w:t>
            </w:r>
          </w:p>
        </w:tc>
        <w:tc>
          <w:tcPr>
            <w:tcW w:w="1220" w:type="dxa"/>
            <w:vAlign w:val="bottom"/>
            <w:gridSpan w:val="2"/>
          </w:tcPr>
          <w:p>
            <w:pPr>
              <w:jc w:val="right"/>
              <w:ind w:right="783"/>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5"/>
                <w:szCs w:val="15"/>
                <w:color w:val="auto"/>
              </w:rPr>
              <w:t>Commercial paper</w:t>
            </w:r>
          </w:p>
        </w:tc>
        <w:tc>
          <w:tcPr>
            <w:tcW w:w="180" w:type="dxa"/>
            <w:vAlign w:val="bottom"/>
          </w:tcPr>
          <w:p>
            <w:pPr>
              <w:spacing w:after="0"/>
              <w:rPr>
                <w:sz w:val="14"/>
                <w:szCs w:val="14"/>
                <w:color w:val="auto"/>
              </w:rPr>
            </w:pPr>
          </w:p>
        </w:tc>
        <w:tc>
          <w:tcPr>
            <w:tcW w:w="1220" w:type="dxa"/>
            <w:vAlign w:val="bottom"/>
          </w:tcPr>
          <w:p>
            <w:pPr>
              <w:jc w:val="right"/>
              <w:ind w:right="3"/>
              <w:spacing w:after="0" w:line="162" w:lineRule="exact"/>
              <w:rPr>
                <w:sz w:val="20"/>
                <w:szCs w:val="20"/>
                <w:color w:val="auto"/>
              </w:rPr>
            </w:pPr>
            <w:r>
              <w:rPr>
                <w:rFonts w:ascii="Arial" w:cs="Arial" w:eastAsia="Arial" w:hAnsi="Arial"/>
                <w:sz w:val="15"/>
                <w:szCs w:val="15"/>
                <w:color w:val="auto"/>
              </w:rPr>
              <w:t>9,996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9,996</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180" w:type="dxa"/>
            <w:vAlign w:val="bottom"/>
          </w:tcPr>
          <w:p>
            <w:pPr>
              <w:spacing w:after="0"/>
              <w:rPr>
                <w:sz w:val="14"/>
                <w:szCs w:val="14"/>
                <w:color w:val="auto"/>
              </w:rPr>
            </w:pPr>
          </w:p>
        </w:tc>
        <w:tc>
          <w:tcPr>
            <w:tcW w:w="1220" w:type="dxa"/>
            <w:vAlign w:val="bottom"/>
          </w:tcPr>
          <w:p>
            <w:pPr>
              <w:jc w:val="right"/>
              <w:ind w:right="3"/>
              <w:spacing w:after="0" w:line="162" w:lineRule="exact"/>
              <w:rPr>
                <w:sz w:val="20"/>
                <w:szCs w:val="20"/>
                <w:color w:val="auto"/>
              </w:rPr>
            </w:pPr>
            <w:r>
              <w:rPr>
                <w:rFonts w:ascii="Arial" w:cs="Arial" w:eastAsia="Arial" w:hAnsi="Arial"/>
                <w:sz w:val="15"/>
                <w:szCs w:val="15"/>
                <w:color w:val="auto"/>
              </w:rPr>
              <w:t>431,597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76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431,673</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180"/>
              <w:spacing w:after="0"/>
              <w:rPr>
                <w:sz w:val="20"/>
                <w:szCs w:val="20"/>
                <w:color w:val="auto"/>
              </w:rPr>
            </w:pPr>
            <w:r>
              <w:rPr>
                <w:rFonts w:ascii="Arial" w:cs="Arial" w:eastAsia="Arial" w:hAnsi="Arial"/>
                <w:sz w:val="15"/>
                <w:szCs w:val="15"/>
                <w:color w:val="auto"/>
              </w:rPr>
              <w:t>Municipal securities</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45,232</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45,256</w:t>
            </w:r>
          </w:p>
        </w:tc>
        <w:tc>
          <w:tcPr>
            <w:tcW w:w="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00" w:type="dxa"/>
            <w:vAlign w:val="bottom"/>
          </w:tcPr>
          <w:p>
            <w:pPr>
              <w:ind w:left="540"/>
              <w:spacing w:after="0" w:line="156"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492,832</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100</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492,932</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right"/>
              <w:ind w:right="783"/>
              <w:spacing w:after="0" w:line="156"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line="142" w:lineRule="exact"/>
              <w:rPr>
                <w:sz w:val="20"/>
                <w:szCs w:val="20"/>
                <w:color w:val="auto"/>
              </w:rPr>
            </w:pPr>
            <w:r>
              <w:rPr>
                <w:rFonts w:ascii="Arial" w:cs="Arial" w:eastAsia="Arial" w:hAnsi="Arial"/>
                <w:sz w:val="15"/>
                <w:szCs w:val="15"/>
                <w:b w:val="1"/>
                <w:bCs w:val="1"/>
                <w:color w:val="auto"/>
              </w:rPr>
              <w:t>Trading</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6,369</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180"/>
              <w:spacing w:after="0"/>
              <w:rPr>
                <w:sz w:val="20"/>
                <w:szCs w:val="20"/>
                <w:color w:val="auto"/>
              </w:rPr>
            </w:pPr>
            <w:r>
              <w:rPr>
                <w:rFonts w:ascii="Arial" w:cs="Arial" w:eastAsia="Arial" w:hAnsi="Arial"/>
                <w:sz w:val="15"/>
                <w:szCs w:val="15"/>
                <w:color w:val="auto"/>
              </w:rPr>
              <w:t>Auction rate securities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6,450</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00" w:type="dxa"/>
            <w:vAlign w:val="bottom"/>
          </w:tcPr>
          <w:p>
            <w:pPr>
              <w:ind w:left="540"/>
              <w:spacing w:after="0" w:line="156" w:lineRule="exact"/>
              <w:rPr>
                <w:sz w:val="20"/>
                <w:szCs w:val="20"/>
                <w:color w:val="auto"/>
              </w:rPr>
            </w:pPr>
            <w:r>
              <w:rPr>
                <w:rFonts w:ascii="Arial" w:cs="Arial" w:eastAsia="Arial" w:hAnsi="Arial"/>
                <w:sz w:val="15"/>
                <w:szCs w:val="15"/>
                <w:color w:val="auto"/>
              </w:rPr>
              <w:t>Total</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505,751</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vMerge w:val="restart"/>
          </w:tcPr>
          <w:p>
            <w:pPr>
              <w:jc w:val="center"/>
              <w:ind w:left="63"/>
              <w:spacing w:after="0"/>
              <w:rPr>
                <w:sz w:val="20"/>
                <w:szCs w:val="20"/>
                <w:color w:val="auto"/>
              </w:rPr>
            </w:pPr>
            <w:r>
              <w:rPr>
                <w:rFonts w:ascii="Arial" w:cs="Arial" w:eastAsia="Arial" w:hAnsi="Arial"/>
                <w:sz w:val="15"/>
                <w:szCs w:val="15"/>
                <w:color w:val="auto"/>
                <w:w w:val="92"/>
              </w:rPr>
              <w:t>Continuous</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restart"/>
          </w:tcPr>
          <w:p>
            <w:pPr>
              <w:jc w:val="center"/>
              <w:ind w:right="83"/>
              <w:spacing w:after="0"/>
              <w:rPr>
                <w:sz w:val="20"/>
                <w:szCs w:val="20"/>
                <w:color w:val="auto"/>
              </w:rPr>
            </w:pPr>
            <w:r>
              <w:rPr>
                <w:rFonts w:ascii="Arial" w:cs="Arial" w:eastAsia="Arial" w:hAnsi="Arial"/>
                <w:sz w:val="15"/>
                <w:szCs w:val="15"/>
                <w:color w:val="auto"/>
                <w:w w:val="92"/>
              </w:rPr>
              <w:t>Continuous</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89"/>
              </w:rPr>
              <w:t>Gross</w:t>
            </w:r>
          </w:p>
        </w:tc>
        <w:tc>
          <w:tcPr>
            <w:tcW w:w="18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left="63"/>
              <w:spacing w:after="0" w:line="162" w:lineRule="exact"/>
              <w:rPr>
                <w:sz w:val="20"/>
                <w:szCs w:val="20"/>
                <w:color w:val="auto"/>
              </w:rPr>
            </w:pPr>
            <w:r>
              <w:rPr>
                <w:rFonts w:ascii="Arial" w:cs="Arial" w:eastAsia="Arial" w:hAnsi="Arial"/>
                <w:sz w:val="15"/>
                <w:szCs w:val="15"/>
                <w:color w:val="auto"/>
                <w:w w:val="91"/>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83"/>
              <w:spacing w:after="0" w:line="162" w:lineRule="exact"/>
              <w:rPr>
                <w:sz w:val="20"/>
                <w:szCs w:val="20"/>
                <w:color w:val="auto"/>
              </w:rPr>
            </w:pPr>
            <w:r>
              <w:rPr>
                <w:rFonts w:ascii="Arial" w:cs="Arial" w:eastAsia="Arial" w:hAnsi="Arial"/>
                <w:sz w:val="15"/>
                <w:szCs w:val="15"/>
                <w:color w:val="auto"/>
                <w:w w:val="91"/>
              </w:rPr>
              <w:t>Unrealized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4"/>
              </w:rPr>
              <w:t>Unrealized</w:t>
            </w:r>
          </w:p>
        </w:tc>
        <w:tc>
          <w:tcPr>
            <w:tcW w:w="18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1"/>
              </w:rPr>
              <w:t>Unrealized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left="63"/>
              <w:spacing w:after="0" w:line="162" w:lineRule="exact"/>
              <w:rPr>
                <w:sz w:val="20"/>
                <w:szCs w:val="20"/>
                <w:color w:val="auto"/>
              </w:rPr>
            </w:pPr>
            <w:r>
              <w:rPr>
                <w:rFonts w:ascii="Arial" w:cs="Arial" w:eastAsia="Arial" w:hAnsi="Arial"/>
                <w:sz w:val="15"/>
                <w:szCs w:val="15"/>
                <w:color w:val="auto"/>
                <w:w w:val="91"/>
              </w:rPr>
              <w:t>Loss Position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83"/>
              <w:spacing w:after="0" w:line="162" w:lineRule="exact"/>
              <w:rPr>
                <w:sz w:val="20"/>
                <w:szCs w:val="20"/>
                <w:color w:val="auto"/>
              </w:rPr>
            </w:pPr>
            <w:r>
              <w:rPr>
                <w:rFonts w:ascii="Arial" w:cs="Arial" w:eastAsia="Arial" w:hAnsi="Arial"/>
                <w:sz w:val="15"/>
                <w:szCs w:val="15"/>
                <w:color w:val="auto"/>
                <w:w w:val="91"/>
              </w:rPr>
              <w:t>Loss Position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8"/>
              </w:rPr>
              <w:t>Holding</w:t>
            </w:r>
          </w:p>
        </w:tc>
        <w:tc>
          <w:tcPr>
            <w:tcW w:w="18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4"/>
                <w:szCs w:val="14"/>
                <w:color w:val="auto"/>
              </w:rPr>
            </w:pPr>
          </w:p>
        </w:tc>
        <w:tc>
          <w:tcPr>
            <w:tcW w:w="860" w:type="dxa"/>
            <w:vAlign w:val="bottom"/>
          </w:tcPr>
          <w:p>
            <w:pPr>
              <w:jc w:val="center"/>
              <w:ind w:right="183"/>
              <w:spacing w:after="0" w:line="162" w:lineRule="exact"/>
              <w:rPr>
                <w:sz w:val="20"/>
                <w:szCs w:val="20"/>
                <w:color w:val="auto"/>
              </w:rPr>
            </w:pPr>
            <w:r>
              <w:rPr>
                <w:rFonts w:ascii="Arial" w:cs="Arial" w:eastAsia="Arial" w:hAnsi="Arial"/>
                <w:sz w:val="15"/>
                <w:szCs w:val="15"/>
                <w:color w:val="auto"/>
                <w:w w:val="92"/>
              </w:rPr>
              <w:t>Fair</w:t>
            </w:r>
          </w:p>
        </w:tc>
        <w:tc>
          <w:tcPr>
            <w:tcW w:w="220" w:type="dxa"/>
            <w:vAlign w:val="bottom"/>
          </w:tcPr>
          <w:p>
            <w:pPr>
              <w:spacing w:after="0"/>
              <w:rPr>
                <w:sz w:val="14"/>
                <w:szCs w:val="14"/>
                <w:color w:val="auto"/>
              </w:rPr>
            </w:pPr>
          </w:p>
        </w:tc>
        <w:tc>
          <w:tcPr>
            <w:tcW w:w="1000" w:type="dxa"/>
            <w:vAlign w:val="bottom"/>
          </w:tcPr>
          <w:p>
            <w:pPr>
              <w:jc w:val="center"/>
              <w:ind w:left="43"/>
              <w:spacing w:after="0" w:line="162" w:lineRule="exact"/>
              <w:rPr>
                <w:sz w:val="20"/>
                <w:szCs w:val="20"/>
                <w:color w:val="auto"/>
              </w:rPr>
            </w:pPr>
            <w:r>
              <w:rPr>
                <w:rFonts w:ascii="Arial" w:cs="Arial" w:eastAsia="Arial" w:hAnsi="Arial"/>
                <w:sz w:val="15"/>
                <w:szCs w:val="15"/>
                <w:color w:val="auto"/>
                <w:w w:val="88"/>
              </w:rPr>
              <w:t>less than 12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90"/>
              </w:rPr>
              <w:t>greater than 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2013</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91"/>
              </w:rPr>
              <w:t>Gains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83"/>
              <w:spacing w:after="0"/>
              <w:rPr>
                <w:sz w:val="20"/>
                <w:szCs w:val="20"/>
                <w:color w:val="auto"/>
              </w:rPr>
            </w:pPr>
            <w:r>
              <w:rPr>
                <w:rFonts w:ascii="Arial" w:cs="Arial" w:eastAsia="Arial" w:hAnsi="Arial"/>
                <w:sz w:val="15"/>
                <w:szCs w:val="15"/>
                <w:color w:val="auto"/>
                <w:w w:val="93"/>
              </w:rPr>
              <w:t>Value</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left="63"/>
              <w:spacing w:after="0"/>
              <w:rPr>
                <w:sz w:val="20"/>
                <w:szCs w:val="20"/>
                <w:color w:val="auto"/>
              </w:rPr>
            </w:pPr>
            <w:r>
              <w:rPr>
                <w:rFonts w:ascii="Arial" w:cs="Arial" w:eastAsia="Arial" w:hAnsi="Arial"/>
                <w:sz w:val="15"/>
                <w:szCs w:val="15"/>
                <w:color w:val="auto"/>
                <w:w w:val="93"/>
              </w:rPr>
              <w:t>Months</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w w:val="93"/>
              </w:rPr>
              <w:t>Months</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5"/>
                <w:szCs w:val="15"/>
                <w:b w:val="1"/>
                <w:bCs w:val="1"/>
                <w:color w:val="auto"/>
              </w:rPr>
              <w:t>Held-to-Maturity</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20" w:type="dxa"/>
            <w:vAlign w:val="bottom"/>
          </w:tcPr>
          <w:p>
            <w:pPr>
              <w:jc w:val="right"/>
              <w:ind w:right="3"/>
              <w:spacing w:after="0" w:line="162" w:lineRule="exact"/>
              <w:rPr>
                <w:sz w:val="20"/>
                <w:szCs w:val="20"/>
                <w:color w:val="auto"/>
              </w:rPr>
            </w:pPr>
            <w:r>
              <w:rPr>
                <w:rFonts w:ascii="Arial" w:cs="Arial" w:eastAsia="Arial" w:hAnsi="Arial"/>
                <w:sz w:val="15"/>
                <w:szCs w:val="15"/>
                <w:color w:val="auto"/>
              </w:rPr>
              <w:t>22,045</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22,045</w:t>
            </w:r>
          </w:p>
        </w:tc>
        <w:tc>
          <w:tcPr>
            <w:tcW w:w="1220" w:type="dxa"/>
            <w:vAlign w:val="bottom"/>
            <w:gridSpan w:val="2"/>
          </w:tcPr>
          <w:p>
            <w:pPr>
              <w:jc w:val="right"/>
              <w:ind w:right="783"/>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5"/>
                <w:szCs w:val="15"/>
                <w:color w:val="auto"/>
              </w:rPr>
              <w:t>Commercial paper</w:t>
            </w:r>
          </w:p>
        </w:tc>
        <w:tc>
          <w:tcPr>
            <w:tcW w:w="180" w:type="dxa"/>
            <w:vAlign w:val="bottom"/>
          </w:tcPr>
          <w:p>
            <w:pPr>
              <w:spacing w:after="0"/>
              <w:rPr>
                <w:sz w:val="14"/>
                <w:szCs w:val="14"/>
                <w:color w:val="auto"/>
              </w:rPr>
            </w:pPr>
          </w:p>
        </w:tc>
        <w:tc>
          <w:tcPr>
            <w:tcW w:w="1220" w:type="dxa"/>
            <w:vAlign w:val="bottom"/>
          </w:tcPr>
          <w:p>
            <w:pPr>
              <w:jc w:val="right"/>
              <w:ind w:right="3"/>
              <w:spacing w:after="0" w:line="162" w:lineRule="exact"/>
              <w:rPr>
                <w:sz w:val="20"/>
                <w:szCs w:val="20"/>
                <w:color w:val="auto"/>
              </w:rPr>
            </w:pPr>
            <w:r>
              <w:rPr>
                <w:rFonts w:ascii="Arial" w:cs="Arial" w:eastAsia="Arial" w:hAnsi="Arial"/>
                <w:sz w:val="15"/>
                <w:szCs w:val="15"/>
                <w:color w:val="auto"/>
              </w:rPr>
              <w:t>5,991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5,991</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180"/>
              <w:spacing w:after="0"/>
              <w:rPr>
                <w:sz w:val="20"/>
                <w:szCs w:val="20"/>
                <w:color w:val="auto"/>
              </w:rPr>
            </w:pPr>
            <w:r>
              <w:rPr>
                <w:rFonts w:ascii="Arial" w:cs="Arial" w:eastAsia="Arial" w:hAnsi="Arial"/>
                <w:sz w:val="15"/>
                <w:szCs w:val="15"/>
                <w:color w:val="auto"/>
              </w:rPr>
              <w:t>Municipal securities</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367,819</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367,867</w:t>
            </w:r>
          </w:p>
        </w:tc>
        <w:tc>
          <w:tcPr>
            <w:tcW w:w="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00" w:type="dxa"/>
            <w:vAlign w:val="bottom"/>
          </w:tcPr>
          <w:p>
            <w:pPr>
              <w:ind w:left="540"/>
              <w:spacing w:after="0" w:line="156"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395,855</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48</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395,903</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right"/>
              <w:ind w:right="783"/>
              <w:spacing w:after="0" w:line="156"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line="142" w:lineRule="exact"/>
              <w:rPr>
                <w:sz w:val="20"/>
                <w:szCs w:val="20"/>
                <w:color w:val="auto"/>
              </w:rPr>
            </w:pPr>
            <w:r>
              <w:rPr>
                <w:rFonts w:ascii="Arial" w:cs="Arial" w:eastAsia="Arial" w:hAnsi="Arial"/>
                <w:sz w:val="15"/>
                <w:szCs w:val="15"/>
                <w:b w:val="1"/>
                <w:bCs w:val="1"/>
                <w:color w:val="auto"/>
              </w:rPr>
              <w:t>Trading</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6,392</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180"/>
              <w:spacing w:after="0"/>
              <w:rPr>
                <w:sz w:val="20"/>
                <w:szCs w:val="20"/>
                <w:color w:val="auto"/>
              </w:rPr>
            </w:pPr>
            <w:r>
              <w:rPr>
                <w:rFonts w:ascii="Arial" w:cs="Arial" w:eastAsia="Arial" w:hAnsi="Arial"/>
                <w:sz w:val="15"/>
                <w:szCs w:val="15"/>
                <w:color w:val="auto"/>
              </w:rPr>
              <w:t>Auction rate securities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9,792</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00" w:type="dxa"/>
            <w:vAlign w:val="bottom"/>
          </w:tcPr>
          <w:p>
            <w:pPr>
              <w:ind w:left="540"/>
              <w:spacing w:after="0" w:line="156" w:lineRule="exact"/>
              <w:rPr>
                <w:sz w:val="20"/>
                <w:szCs w:val="20"/>
                <w:color w:val="auto"/>
              </w:rPr>
            </w:pPr>
            <w:r>
              <w:rPr>
                <w:rFonts w:ascii="Arial" w:cs="Arial" w:eastAsia="Arial" w:hAnsi="Arial"/>
                <w:sz w:val="15"/>
                <w:szCs w:val="15"/>
                <w:color w:val="auto"/>
              </w:rPr>
              <w:t>Total</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412,087</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During the three- and six-months ended June 30, 2014, realized gains or losses recognized on the sale of investments were not significant. During the year ended December 31, 2013, the Company recognized $2.5 million of realized gains on the sale of available-for-sale investments. Realized gains or losses on the sale of all other investments during the year ended December 31, 2013 were not significant.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a net gain through earnings on its trading securities as follows:</w:t>
      </w:r>
    </w:p>
    <w:p>
      <w:pPr>
        <w:spacing w:after="0" w:line="229" w:lineRule="exact"/>
        <w:rPr>
          <w:sz w:val="20"/>
          <w:szCs w:val="20"/>
          <w:color w:val="auto"/>
        </w:rPr>
      </w:pPr>
    </w:p>
    <w:tbl>
      <w:tblPr>
        <w:tblLayout w:type="fixed"/>
        <w:tblInd w:w="4900" w:type="dxa"/>
        <w:tblCellMar>
          <w:top w:w="0" w:type="dxa"/>
          <w:left w:w="0" w:type="dxa"/>
          <w:bottom w:w="0" w:type="dxa"/>
          <w:right w:w="0" w:type="dxa"/>
        </w:tblCellMar>
      </w:tblPr>
      <w:tr>
        <w:trPr>
          <w:trHeight w:val="230"/>
        </w:trPr>
        <w:tc>
          <w:tcPr>
            <w:tcW w:w="3320" w:type="dxa"/>
            <w:vAlign w:val="bottom"/>
            <w:gridSpan w:val="5"/>
          </w:tcPr>
          <w:p>
            <w:pPr>
              <w:jc w:val="center"/>
              <w:ind w:right="280"/>
              <w:spacing w:after="0"/>
              <w:rPr>
                <w:sz w:val="20"/>
                <w:szCs w:val="20"/>
                <w:color w:val="auto"/>
              </w:rPr>
            </w:pPr>
            <w:r>
              <w:rPr>
                <w:rFonts w:ascii="Arial" w:cs="Arial" w:eastAsia="Arial" w:hAnsi="Arial"/>
                <w:sz w:val="20"/>
                <w:szCs w:val="20"/>
                <w:color w:val="auto"/>
                <w:w w:val="89"/>
              </w:rPr>
              <w:t>Three-Months Ended</w:t>
            </w:r>
          </w:p>
        </w:tc>
        <w:tc>
          <w:tcPr>
            <w:tcW w:w="3000" w:type="dxa"/>
            <w:vAlign w:val="bottom"/>
            <w:gridSpan w:val="4"/>
          </w:tcPr>
          <w:p>
            <w:pPr>
              <w:jc w:val="center"/>
              <w:spacing w:after="0"/>
              <w:rPr>
                <w:sz w:val="20"/>
                <w:szCs w:val="20"/>
                <w:color w:val="auto"/>
              </w:rPr>
            </w:pPr>
            <w:r>
              <w:rPr>
                <w:rFonts w:ascii="Arial" w:cs="Arial" w:eastAsia="Arial" w:hAnsi="Arial"/>
                <w:sz w:val="20"/>
                <w:szCs w:val="20"/>
                <w:color w:val="auto"/>
                <w:w w:val="90"/>
              </w:rPr>
              <w:t>Six-Months Ended</w:t>
            </w:r>
          </w:p>
        </w:tc>
      </w:tr>
      <w:tr>
        <w:trPr>
          <w:trHeight w:val="246"/>
        </w:trPr>
        <w:tc>
          <w:tcPr>
            <w:tcW w:w="1040" w:type="dxa"/>
            <w:vAlign w:val="bottom"/>
          </w:tcPr>
          <w:p>
            <w:pPr>
              <w:spacing w:after="0"/>
              <w:rPr>
                <w:sz w:val="21"/>
                <w:szCs w:val="21"/>
                <w:color w:val="auto"/>
              </w:rPr>
            </w:pPr>
          </w:p>
        </w:tc>
        <w:tc>
          <w:tcPr>
            <w:tcW w:w="2280" w:type="dxa"/>
            <w:vAlign w:val="bottom"/>
            <w:gridSpan w:val="4"/>
          </w:tcPr>
          <w:p>
            <w:pPr>
              <w:jc w:val="center"/>
              <w:ind w:right="1340"/>
              <w:spacing w:after="0"/>
              <w:rPr>
                <w:sz w:val="20"/>
                <w:szCs w:val="20"/>
                <w:color w:val="auto"/>
              </w:rPr>
            </w:pPr>
            <w:r>
              <w:rPr>
                <w:rFonts w:ascii="Arial" w:cs="Arial" w:eastAsia="Arial" w:hAnsi="Arial"/>
                <w:sz w:val="20"/>
                <w:szCs w:val="20"/>
                <w:color w:val="auto"/>
                <w:w w:val="85"/>
              </w:rPr>
              <w:t>June 30,</w:t>
            </w:r>
          </w:p>
        </w:tc>
        <w:tc>
          <w:tcPr>
            <w:tcW w:w="1020" w:type="dxa"/>
            <w:vAlign w:val="bottom"/>
          </w:tcPr>
          <w:p>
            <w:pPr>
              <w:spacing w:after="0"/>
              <w:rPr>
                <w:sz w:val="21"/>
                <w:szCs w:val="21"/>
                <w:color w:val="auto"/>
              </w:rPr>
            </w:pPr>
          </w:p>
        </w:tc>
        <w:tc>
          <w:tcPr>
            <w:tcW w:w="1980" w:type="dxa"/>
            <w:vAlign w:val="bottom"/>
            <w:gridSpan w:val="3"/>
          </w:tcPr>
          <w:p>
            <w:pPr>
              <w:jc w:val="center"/>
              <w:ind w:right="941"/>
              <w:spacing w:after="0"/>
              <w:rPr>
                <w:sz w:val="20"/>
                <w:szCs w:val="20"/>
                <w:color w:val="auto"/>
              </w:rPr>
            </w:pPr>
            <w:r>
              <w:rPr>
                <w:rFonts w:ascii="Arial" w:cs="Arial" w:eastAsia="Arial" w:hAnsi="Arial"/>
                <w:sz w:val="20"/>
                <w:szCs w:val="20"/>
                <w:color w:val="auto"/>
                <w:w w:val="85"/>
              </w:rPr>
              <w:t>June 30,</w:t>
            </w:r>
          </w:p>
        </w:tc>
      </w:tr>
      <w:tr>
        <w:trPr>
          <w:trHeight w:val="223"/>
        </w:trPr>
        <w:tc>
          <w:tcPr>
            <w:tcW w:w="1040" w:type="dxa"/>
            <w:vAlign w:val="bottom"/>
            <w:tcBorders>
              <w:top w:val="single" w:sz="8" w:color="auto"/>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2014</w:t>
            </w:r>
          </w:p>
        </w:tc>
        <w:tc>
          <w:tcPr>
            <w:tcW w:w="3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2013</w:t>
            </w:r>
          </w:p>
        </w:tc>
        <w:tc>
          <w:tcPr>
            <w:tcW w:w="2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2014</w:t>
            </w:r>
          </w:p>
        </w:tc>
        <w:tc>
          <w:tcPr>
            <w:tcW w:w="3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2013</w:t>
            </w:r>
          </w:p>
        </w:tc>
      </w:tr>
    </w:tbl>
    <w:p>
      <w:pPr>
        <w:sectPr>
          <w:pgSz w:w="11900" w:h="16838" w:orient="portrait"/>
          <w:cols w:equalWidth="0" w:num="1">
            <w:col w:w="11420"/>
          </w:cols>
          <w:pgMar w:left="240" w:top="341" w:right="239" w:bottom="0" w:gutter="0" w:footer="0" w:header="0"/>
        </w:sectPr>
      </w:pPr>
    </w:p>
    <w:bookmarkStart w:id="6" w:name="page7"/>
    <w:bookmarkEnd w:id="6"/>
    <w:p>
      <w:pPr>
        <w:spacing w:after="0" w:line="22" w:lineRule="exact"/>
        <w:rPr>
          <w:sz w:val="20"/>
          <w:szCs w:val="20"/>
          <w:color w:val="auto"/>
        </w:rPr>
      </w:pPr>
    </w:p>
    <w:tbl>
      <w:tblPr>
        <w:tblLayout w:type="fixed"/>
        <w:tblInd w:w="660" w:type="dxa"/>
        <w:tblCellMar>
          <w:top w:w="0" w:type="dxa"/>
          <w:left w:w="0" w:type="dxa"/>
          <w:bottom w:w="0" w:type="dxa"/>
          <w:right w:w="0" w:type="dxa"/>
        </w:tblCellMar>
      </w:tblPr>
      <w:tr>
        <w:trPr>
          <w:trHeight w:val="231"/>
        </w:trPr>
        <w:tc>
          <w:tcPr>
            <w:tcW w:w="4240" w:type="dxa"/>
            <w:vAlign w:val="bottom"/>
          </w:tcPr>
          <w:p>
            <w:pPr>
              <w:spacing w:after="0"/>
              <w:rPr>
                <w:sz w:val="20"/>
                <w:szCs w:val="20"/>
                <w:color w:val="auto"/>
              </w:rPr>
            </w:pPr>
            <w:r>
              <w:rPr>
                <w:rFonts w:ascii="Arial" w:cs="Arial" w:eastAsia="Arial" w:hAnsi="Arial"/>
                <w:sz w:val="20"/>
                <w:szCs w:val="20"/>
                <w:color w:val="auto"/>
              </w:rPr>
              <w:t>Gain on trading securities sold</w:t>
            </w:r>
          </w:p>
        </w:tc>
        <w:tc>
          <w:tcPr>
            <w:tcW w:w="54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rPr>
              <w:t>138</w:t>
            </w:r>
          </w:p>
        </w:tc>
        <w:tc>
          <w:tcPr>
            <w:tcW w:w="300" w:type="dxa"/>
            <w:vAlign w:val="bottom"/>
          </w:tcPr>
          <w:p>
            <w:pPr>
              <w:spacing w:after="0"/>
              <w:rPr>
                <w:sz w:val="20"/>
                <w:szCs w:val="20"/>
                <w:color w:val="auto"/>
              </w:rPr>
            </w:pPr>
          </w:p>
        </w:tc>
        <w:tc>
          <w:tcPr>
            <w:tcW w:w="56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52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1"/>
              <w:spacing w:after="0"/>
              <w:rPr>
                <w:sz w:val="20"/>
                <w:szCs w:val="20"/>
                <w:color w:val="auto"/>
              </w:rPr>
            </w:pPr>
            <w:r>
              <w:rPr>
                <w:rFonts w:ascii="Arial" w:cs="Arial" w:eastAsia="Arial" w:hAnsi="Arial"/>
                <w:sz w:val="20"/>
                <w:szCs w:val="20"/>
                <w:color w:val="auto"/>
              </w:rPr>
              <w:t>269</w:t>
            </w:r>
          </w:p>
        </w:tc>
        <w:tc>
          <w:tcPr>
            <w:tcW w:w="280" w:type="dxa"/>
            <w:vAlign w:val="bottom"/>
          </w:tcPr>
          <w:p>
            <w:pPr>
              <w:spacing w:after="0"/>
              <w:rPr>
                <w:sz w:val="20"/>
                <w:szCs w:val="20"/>
                <w:color w:val="auto"/>
              </w:rPr>
            </w:pPr>
          </w:p>
        </w:tc>
        <w:tc>
          <w:tcPr>
            <w:tcW w:w="56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21"/>
              <w:spacing w:after="0"/>
              <w:rPr>
                <w:sz w:val="20"/>
                <w:szCs w:val="20"/>
                <w:color w:val="auto"/>
              </w:rPr>
            </w:pPr>
            <w:r>
              <w:rPr>
                <w:rFonts w:ascii="Arial" w:cs="Arial" w:eastAsia="Arial" w:hAnsi="Arial"/>
                <w:sz w:val="20"/>
                <w:szCs w:val="20"/>
                <w:color w:val="auto"/>
              </w:rPr>
              <w:t>-</w:t>
            </w:r>
          </w:p>
        </w:tc>
      </w:tr>
      <w:tr>
        <w:trPr>
          <w:trHeight w:val="246"/>
        </w:trPr>
        <w:tc>
          <w:tcPr>
            <w:tcW w:w="4240" w:type="dxa"/>
            <w:vAlign w:val="bottom"/>
          </w:tcPr>
          <w:p>
            <w:pPr>
              <w:spacing w:after="0"/>
              <w:rPr>
                <w:sz w:val="20"/>
                <w:szCs w:val="20"/>
                <w:color w:val="auto"/>
              </w:rPr>
            </w:pPr>
            <w:r>
              <w:rPr>
                <w:rFonts w:ascii="Arial" w:cs="Arial" w:eastAsia="Arial" w:hAnsi="Arial"/>
                <w:sz w:val="20"/>
                <w:szCs w:val="20"/>
                <w:color w:val="auto"/>
              </w:rPr>
              <w:t>(Loss) gain on trading securities held</w:t>
            </w: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w:t>
            </w:r>
          </w:p>
        </w:tc>
        <w:tc>
          <w:tcPr>
            <w:tcW w:w="3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392</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w:t>
            </w:r>
          </w:p>
        </w:tc>
        <w:tc>
          <w:tcPr>
            <w:tcW w:w="2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399</w:t>
            </w:r>
          </w:p>
        </w:tc>
      </w:tr>
      <w:tr>
        <w:trPr>
          <w:trHeight w:val="223"/>
        </w:trPr>
        <w:tc>
          <w:tcPr>
            <w:tcW w:w="4240" w:type="dxa"/>
            <w:vAlign w:val="bottom"/>
          </w:tcPr>
          <w:p>
            <w:pPr>
              <w:spacing w:after="0" w:line="223" w:lineRule="exact"/>
              <w:rPr>
                <w:sz w:val="20"/>
                <w:szCs w:val="20"/>
                <w:color w:val="auto"/>
              </w:rPr>
            </w:pPr>
            <w:r>
              <w:rPr>
                <w:rFonts w:ascii="Arial" w:cs="Arial" w:eastAsia="Arial" w:hAnsi="Arial"/>
                <w:sz w:val="20"/>
                <w:szCs w:val="20"/>
                <w:color w:val="auto"/>
              </w:rPr>
              <w:t>Gain on trading securites</w:t>
            </w:r>
          </w:p>
        </w:tc>
        <w:tc>
          <w:tcPr>
            <w:tcW w:w="540" w:type="dxa"/>
            <w:vAlign w:val="bottom"/>
            <w:tcBorders>
              <w:bottom w:val="single" w:sz="8" w:color="auto"/>
            </w:tcBorders>
          </w:tcPr>
          <w:p>
            <w:pPr>
              <w:jc w:val="right"/>
              <w:ind w:right="281"/>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17</w:t>
            </w: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ind w:right="301"/>
              <w:spacing w:after="0" w:line="223" w:lineRule="exact"/>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392</w:t>
            </w:r>
          </w:p>
        </w:tc>
        <w:tc>
          <w:tcPr>
            <w:tcW w:w="280" w:type="dxa"/>
            <w:vAlign w:val="bottom"/>
          </w:tcPr>
          <w:p>
            <w:pPr>
              <w:spacing w:after="0"/>
              <w:rPr>
                <w:sz w:val="19"/>
                <w:szCs w:val="19"/>
                <w:color w:val="auto"/>
              </w:rPr>
            </w:pPr>
          </w:p>
        </w:tc>
        <w:tc>
          <w:tcPr>
            <w:tcW w:w="520" w:type="dxa"/>
            <w:vAlign w:val="bottom"/>
            <w:tcBorders>
              <w:bottom w:val="single" w:sz="8" w:color="auto"/>
            </w:tcBorders>
          </w:tcPr>
          <w:p>
            <w:pPr>
              <w:jc w:val="right"/>
              <w:ind w:right="261"/>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84</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281"/>
              <w:spacing w:after="0" w:line="223" w:lineRule="exact"/>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399</w:t>
            </w:r>
          </w:p>
        </w:tc>
      </w:tr>
      <w:tr>
        <w:trPr>
          <w:trHeight w:val="20"/>
        </w:trPr>
        <w:tc>
          <w:tcPr>
            <w:tcW w:w="4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Company’s investments at June 30, 2014 and December 31, 2013 in certificates of deposit, commercial paper and/or municipal securities carried investment grade credit ratings. All of the Company’s investments at June 30, 2014 and December 31, 2013 in municipal, educational or other public body securities with an auction reset feature (“auction rate securities”) also carried investment grade credit ratings.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1045"/>
              <w:spacing w:after="0"/>
              <w:rPr>
                <w:sz w:val="20"/>
                <w:szCs w:val="20"/>
                <w:color w:val="auto"/>
              </w:rPr>
            </w:pPr>
            <w:r>
              <w:rPr>
                <w:rFonts w:ascii="Arial" w:cs="Arial" w:eastAsia="Arial" w:hAnsi="Arial"/>
                <w:sz w:val="19"/>
                <w:szCs w:val="19"/>
                <w:color w:val="auto"/>
              </w:rPr>
              <w:t>June 30, 2014</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785"/>
              <w:spacing w:after="0"/>
              <w:rPr>
                <w:sz w:val="20"/>
                <w:szCs w:val="20"/>
                <w:color w:val="auto"/>
              </w:rPr>
            </w:pPr>
            <w:r>
              <w:rPr>
                <w:rFonts w:ascii="Arial" w:cs="Arial" w:eastAsia="Arial" w:hAnsi="Arial"/>
                <w:sz w:val="19"/>
                <w:szCs w:val="19"/>
                <w:color w:val="auto"/>
              </w:rPr>
              <w:t>December 31, 2013</w:t>
            </w:r>
          </w:p>
        </w:tc>
        <w:tc>
          <w:tcPr>
            <w:tcW w:w="0" w:type="dxa"/>
            <w:vAlign w:val="bottom"/>
          </w:tcPr>
          <w:p>
            <w:pPr>
              <w:spacing w:after="0"/>
              <w:rPr>
                <w:sz w:val="1"/>
                <w:szCs w:val="1"/>
                <w:color w:val="auto"/>
              </w:rPr>
            </w:pPr>
          </w:p>
        </w:tc>
      </w:tr>
      <w:tr>
        <w:trPr>
          <w:trHeight w:val="426"/>
        </w:trPr>
        <w:tc>
          <w:tcPr>
            <w:tcW w:w="368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1820" w:type="dxa"/>
            <w:vAlign w:val="bottom"/>
            <w:gridSpan w:val="3"/>
          </w:tcPr>
          <w:p>
            <w:pPr>
              <w:ind w:left="160"/>
              <w:spacing w:after="0"/>
              <w:rPr>
                <w:sz w:val="20"/>
                <w:szCs w:val="20"/>
                <w:color w:val="auto"/>
              </w:rPr>
            </w:pPr>
            <w:r>
              <w:rPr>
                <w:rFonts w:ascii="Arial" w:cs="Arial" w:eastAsia="Arial" w:hAnsi="Arial"/>
                <w:sz w:val="19"/>
                <w:szCs w:val="19"/>
                <w:color w:val="auto"/>
              </w:rPr>
              <w:t>Amortized Cost</w:t>
            </w:r>
          </w:p>
        </w:tc>
        <w:tc>
          <w:tcPr>
            <w:tcW w:w="26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9"/>
                <w:szCs w:val="19"/>
                <w:color w:val="auto"/>
              </w:rPr>
              <w:t>Fair Value</w:t>
            </w:r>
          </w:p>
        </w:tc>
        <w:tc>
          <w:tcPr>
            <w:tcW w:w="1780" w:type="dxa"/>
            <w:vAlign w:val="bottom"/>
            <w:gridSpan w:val="3"/>
          </w:tcPr>
          <w:p>
            <w:pPr>
              <w:ind w:left="140"/>
              <w:spacing w:after="0"/>
              <w:rPr>
                <w:sz w:val="20"/>
                <w:szCs w:val="20"/>
                <w:color w:val="auto"/>
              </w:rPr>
            </w:pPr>
            <w:r>
              <w:rPr>
                <w:rFonts w:ascii="Arial" w:cs="Arial" w:eastAsia="Arial" w:hAnsi="Arial"/>
                <w:sz w:val="19"/>
                <w:szCs w:val="19"/>
                <w:color w:val="auto"/>
              </w:rPr>
              <w:t>Amortized Cost</w:t>
            </w:r>
          </w:p>
        </w:tc>
        <w:tc>
          <w:tcPr>
            <w:tcW w:w="26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Arial" w:cs="Arial" w:eastAsia="Arial" w:hAnsi="Arial"/>
                <w:sz w:val="19"/>
                <w:szCs w:val="19"/>
                <w:color w:val="auto"/>
                <w:w w:val="99"/>
              </w:rPr>
              <w:t>Fair Value</w:t>
            </w:r>
          </w:p>
        </w:tc>
        <w:tc>
          <w:tcPr>
            <w:tcW w:w="0" w:type="dxa"/>
            <w:vAlign w:val="bottom"/>
          </w:tcPr>
          <w:p>
            <w:pPr>
              <w:spacing w:after="0"/>
              <w:rPr>
                <w:sz w:val="1"/>
                <w:szCs w:val="1"/>
                <w:color w:val="auto"/>
              </w:rPr>
            </w:pPr>
          </w:p>
        </w:tc>
      </w:tr>
      <w:tr>
        <w:trPr>
          <w:trHeight w:val="174"/>
        </w:trPr>
        <w:tc>
          <w:tcPr>
            <w:tcW w:w="3680" w:type="dxa"/>
            <w:vAlign w:val="bottom"/>
            <w:vMerge w:val="continue"/>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80"/>
              <w:spacing w:after="0" w:line="216" w:lineRule="exact"/>
              <w:rPr>
                <w:sz w:val="20"/>
                <w:szCs w:val="20"/>
                <w:color w:val="auto"/>
              </w:rPr>
            </w:pPr>
            <w:r>
              <w:rPr>
                <w:rFonts w:ascii="Arial" w:cs="Arial" w:eastAsia="Arial" w:hAnsi="Arial"/>
                <w:sz w:val="19"/>
                <w:szCs w:val="19"/>
                <w:color w:val="auto"/>
              </w:rPr>
              <w:t>Certificates of deposit</w:t>
            </w:r>
          </w:p>
        </w:tc>
        <w:tc>
          <w:tcPr>
            <w:tcW w:w="480" w:type="dxa"/>
            <w:vAlign w:val="bottom"/>
          </w:tcPr>
          <w:p>
            <w:pPr>
              <w:jc w:val="right"/>
              <w:ind w:right="225"/>
              <w:spacing w:after="0" w:line="216" w:lineRule="exact"/>
              <w:rPr>
                <w:sz w:val="20"/>
                <w:szCs w:val="20"/>
                <w:color w:val="auto"/>
              </w:rPr>
            </w:pPr>
            <w:r>
              <w:rPr>
                <w:rFonts w:ascii="Arial" w:cs="Arial" w:eastAsia="Arial" w:hAnsi="Arial"/>
                <w:sz w:val="19"/>
                <w:szCs w:val="19"/>
                <w:color w:val="auto"/>
              </w:rPr>
              <w:t>$</w:t>
            </w: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6,007</w:t>
            </w:r>
          </w:p>
        </w:tc>
        <w:tc>
          <w:tcPr>
            <w:tcW w:w="320" w:type="dxa"/>
            <w:vAlign w:val="bottom"/>
          </w:tcPr>
          <w:p>
            <w:pPr>
              <w:spacing w:after="0"/>
              <w:rPr>
                <w:sz w:val="18"/>
                <w:szCs w:val="18"/>
                <w:color w:val="auto"/>
              </w:rPr>
            </w:pPr>
          </w:p>
        </w:tc>
        <w:tc>
          <w:tcPr>
            <w:tcW w:w="26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12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6,007</w:t>
            </w:r>
          </w:p>
        </w:tc>
        <w:tc>
          <w:tcPr>
            <w:tcW w:w="300" w:type="dxa"/>
            <w:vAlign w:val="bottom"/>
          </w:tcPr>
          <w:p>
            <w:pPr>
              <w:spacing w:after="0"/>
              <w:rPr>
                <w:sz w:val="18"/>
                <w:szCs w:val="18"/>
                <w:color w:val="auto"/>
              </w:rPr>
            </w:pPr>
          </w:p>
        </w:tc>
        <w:tc>
          <w:tcPr>
            <w:tcW w:w="46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22,045</w:t>
            </w:r>
          </w:p>
        </w:tc>
        <w:tc>
          <w:tcPr>
            <w:tcW w:w="300" w:type="dxa"/>
            <w:vAlign w:val="bottom"/>
          </w:tcPr>
          <w:p>
            <w:pPr>
              <w:spacing w:after="0"/>
              <w:rPr>
                <w:sz w:val="18"/>
                <w:szCs w:val="18"/>
                <w:color w:val="auto"/>
              </w:rPr>
            </w:pPr>
          </w:p>
        </w:tc>
        <w:tc>
          <w:tcPr>
            <w:tcW w:w="26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1220" w:type="dxa"/>
            <w:vAlign w:val="bottom"/>
          </w:tcPr>
          <w:p>
            <w:pPr>
              <w:jc w:val="right"/>
              <w:ind w:right="5"/>
              <w:spacing w:after="0" w:line="216" w:lineRule="exact"/>
              <w:rPr>
                <w:sz w:val="20"/>
                <w:szCs w:val="20"/>
                <w:color w:val="auto"/>
              </w:rPr>
            </w:pPr>
            <w:r>
              <w:rPr>
                <w:rFonts w:ascii="Arial" w:cs="Arial" w:eastAsia="Arial" w:hAnsi="Arial"/>
                <w:sz w:val="19"/>
                <w:szCs w:val="19"/>
                <w:color w:val="auto"/>
              </w:rPr>
              <w:t>22,045</w:t>
            </w:r>
          </w:p>
        </w:tc>
        <w:tc>
          <w:tcPr>
            <w:tcW w:w="0" w:type="dxa"/>
            <w:vAlign w:val="bottom"/>
          </w:tcPr>
          <w:p>
            <w:pPr>
              <w:spacing w:after="0"/>
              <w:rPr>
                <w:sz w:val="1"/>
                <w:szCs w:val="1"/>
                <w:color w:val="auto"/>
              </w:rPr>
            </w:pPr>
          </w:p>
        </w:tc>
      </w:tr>
      <w:tr>
        <w:trPr>
          <w:trHeight w:val="216"/>
        </w:trPr>
        <w:tc>
          <w:tcPr>
            <w:tcW w:w="3680" w:type="dxa"/>
            <w:vAlign w:val="bottom"/>
          </w:tcPr>
          <w:p>
            <w:pPr>
              <w:ind w:left="280"/>
              <w:spacing w:after="0" w:line="216" w:lineRule="exact"/>
              <w:rPr>
                <w:sz w:val="20"/>
                <w:szCs w:val="20"/>
                <w:color w:val="auto"/>
              </w:rPr>
            </w:pPr>
            <w:r>
              <w:rPr>
                <w:rFonts w:ascii="Arial" w:cs="Arial" w:eastAsia="Arial" w:hAnsi="Arial"/>
                <w:sz w:val="19"/>
                <w:szCs w:val="19"/>
                <w:color w:val="auto"/>
              </w:rPr>
              <w:t>Commercial paper</w:t>
            </w:r>
          </w:p>
        </w:tc>
        <w:tc>
          <w:tcPr>
            <w:tcW w:w="48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9,996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9,996</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5,991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
              <w:spacing w:after="0" w:line="216" w:lineRule="exact"/>
              <w:rPr>
                <w:sz w:val="20"/>
                <w:szCs w:val="20"/>
                <w:color w:val="auto"/>
              </w:rPr>
            </w:pPr>
            <w:r>
              <w:rPr>
                <w:rFonts w:ascii="Arial" w:cs="Arial" w:eastAsia="Arial" w:hAnsi="Arial"/>
                <w:sz w:val="19"/>
                <w:szCs w:val="19"/>
                <w:color w:val="auto"/>
              </w:rPr>
              <w:t>5,991</w:t>
            </w:r>
          </w:p>
        </w:tc>
        <w:tc>
          <w:tcPr>
            <w:tcW w:w="0" w:type="dxa"/>
            <w:vAlign w:val="bottom"/>
          </w:tcPr>
          <w:p>
            <w:pPr>
              <w:spacing w:after="0"/>
              <w:rPr>
                <w:sz w:val="1"/>
                <w:szCs w:val="1"/>
                <w:color w:val="auto"/>
              </w:rPr>
            </w:pPr>
          </w:p>
        </w:tc>
      </w:tr>
      <w:tr>
        <w:trPr>
          <w:trHeight w:val="216"/>
        </w:trPr>
        <w:tc>
          <w:tcPr>
            <w:tcW w:w="3680" w:type="dxa"/>
            <w:vAlign w:val="bottom"/>
          </w:tcPr>
          <w:p>
            <w:pPr>
              <w:ind w:left="280"/>
              <w:spacing w:after="0" w:line="216" w:lineRule="exact"/>
              <w:rPr>
                <w:sz w:val="20"/>
                <w:szCs w:val="20"/>
                <w:color w:val="auto"/>
              </w:rPr>
            </w:pPr>
            <w:r>
              <w:rPr>
                <w:rFonts w:ascii="Arial" w:cs="Arial" w:eastAsia="Arial" w:hAnsi="Arial"/>
                <w:sz w:val="19"/>
                <w:szCs w:val="19"/>
                <w:color w:val="auto"/>
              </w:rPr>
              <w:t>Municipal securities</w:t>
            </w:r>
          </w:p>
        </w:tc>
        <w:tc>
          <w:tcPr>
            <w:tcW w:w="48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431,597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431,673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367,819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
              <w:spacing w:after="0" w:line="216" w:lineRule="exact"/>
              <w:rPr>
                <w:sz w:val="20"/>
                <w:szCs w:val="20"/>
                <w:color w:val="auto"/>
              </w:rPr>
            </w:pPr>
            <w:r>
              <w:rPr>
                <w:rFonts w:ascii="Arial" w:cs="Arial" w:eastAsia="Arial" w:hAnsi="Arial"/>
                <w:sz w:val="19"/>
                <w:szCs w:val="19"/>
                <w:color w:val="auto"/>
              </w:rPr>
              <w:t>367,867</w:t>
            </w:r>
          </w:p>
        </w:tc>
        <w:tc>
          <w:tcPr>
            <w:tcW w:w="0" w:type="dxa"/>
            <w:vAlign w:val="bottom"/>
          </w:tcPr>
          <w:p>
            <w:pPr>
              <w:spacing w:after="0"/>
              <w:rPr>
                <w:sz w:val="1"/>
                <w:szCs w:val="1"/>
                <w:color w:val="auto"/>
              </w:rPr>
            </w:pPr>
          </w:p>
        </w:tc>
      </w:tr>
      <w:tr>
        <w:trPr>
          <w:trHeight w:val="216"/>
        </w:trPr>
        <w:tc>
          <w:tcPr>
            <w:tcW w:w="3680" w:type="dxa"/>
            <w:vAlign w:val="bottom"/>
          </w:tcPr>
          <w:p>
            <w:pPr>
              <w:spacing w:after="0" w:line="216" w:lineRule="exact"/>
              <w:rPr>
                <w:sz w:val="20"/>
                <w:szCs w:val="20"/>
                <w:color w:val="auto"/>
              </w:rPr>
            </w:pPr>
            <w:r>
              <w:rPr>
                <w:rFonts w:ascii="Arial" w:cs="Arial" w:eastAsia="Arial" w:hAnsi="Arial"/>
                <w:sz w:val="19"/>
                <w:szCs w:val="19"/>
                <w:color w:val="auto"/>
              </w:rPr>
              <w:t>Due 1 - 10 years: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80"/>
              <w:spacing w:after="0" w:line="216" w:lineRule="exact"/>
              <w:rPr>
                <w:sz w:val="20"/>
                <w:szCs w:val="20"/>
                <w:color w:val="auto"/>
              </w:rPr>
            </w:pPr>
            <w:r>
              <w:rPr>
                <w:rFonts w:ascii="Arial" w:cs="Arial" w:eastAsia="Arial" w:hAnsi="Arial"/>
                <w:sz w:val="19"/>
                <w:szCs w:val="19"/>
                <w:color w:val="auto"/>
              </w:rPr>
              <w:t>Municipal securities</w:t>
            </w:r>
          </w:p>
        </w:tc>
        <w:tc>
          <w:tcPr>
            <w:tcW w:w="48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45,232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45,256</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80"/>
              <w:spacing w:after="0" w:line="216" w:lineRule="exact"/>
              <w:rPr>
                <w:sz w:val="20"/>
                <w:szCs w:val="20"/>
                <w:color w:val="auto"/>
              </w:rPr>
            </w:pPr>
            <w:r>
              <w:rPr>
                <w:rFonts w:ascii="Arial" w:cs="Arial" w:eastAsia="Arial" w:hAnsi="Arial"/>
                <w:sz w:val="19"/>
                <w:szCs w:val="19"/>
                <w:color w:val="auto"/>
              </w:rPr>
              <w:t>Auction rate securities</w:t>
            </w:r>
          </w:p>
        </w:tc>
        <w:tc>
          <w:tcPr>
            <w:tcW w:w="48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12,773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12,773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11,102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
              <w:spacing w:after="0" w:line="216" w:lineRule="exact"/>
              <w:rPr>
                <w:sz w:val="20"/>
                <w:szCs w:val="20"/>
                <w:color w:val="auto"/>
              </w:rPr>
            </w:pPr>
            <w:r>
              <w:rPr>
                <w:rFonts w:ascii="Arial" w:cs="Arial" w:eastAsia="Arial" w:hAnsi="Arial"/>
                <w:sz w:val="19"/>
                <w:szCs w:val="19"/>
                <w:color w:val="auto"/>
              </w:rPr>
              <w:t>11,102</w:t>
            </w:r>
          </w:p>
        </w:tc>
        <w:tc>
          <w:tcPr>
            <w:tcW w:w="0" w:type="dxa"/>
            <w:vAlign w:val="bottom"/>
          </w:tcPr>
          <w:p>
            <w:pPr>
              <w:spacing w:after="0"/>
              <w:rPr>
                <w:sz w:val="1"/>
                <w:szCs w:val="1"/>
                <w:color w:val="auto"/>
              </w:rPr>
            </w:pPr>
          </w:p>
        </w:tc>
      </w:tr>
      <w:tr>
        <w:trPr>
          <w:trHeight w:val="216"/>
        </w:trPr>
        <w:tc>
          <w:tcPr>
            <w:tcW w:w="368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80" w:type="dxa"/>
            <w:vAlign w:val="bottom"/>
          </w:tcPr>
          <w:p>
            <w:pPr>
              <w:ind w:left="280"/>
              <w:spacing w:after="0"/>
              <w:rPr>
                <w:sz w:val="20"/>
                <w:szCs w:val="20"/>
                <w:color w:val="auto"/>
              </w:rPr>
            </w:pPr>
            <w:r>
              <w:rPr>
                <w:rFonts w:ascii="Arial" w:cs="Arial" w:eastAsia="Arial" w:hAnsi="Arial"/>
                <w:sz w:val="19"/>
                <w:szCs w:val="19"/>
                <w:color w:val="auto"/>
              </w:rPr>
              <w:t>Auction rate securities</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46</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46</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5,082</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5,082</w:t>
            </w:r>
          </w:p>
        </w:tc>
        <w:tc>
          <w:tcPr>
            <w:tcW w:w="0" w:type="dxa"/>
            <w:vAlign w:val="bottom"/>
          </w:tcPr>
          <w:p>
            <w:pPr>
              <w:spacing w:after="0"/>
              <w:rPr>
                <w:sz w:val="1"/>
                <w:szCs w:val="1"/>
                <w:color w:val="auto"/>
              </w:rPr>
            </w:pPr>
          </w:p>
        </w:tc>
      </w:tr>
      <w:tr>
        <w:trPr>
          <w:trHeight w:val="210"/>
        </w:trPr>
        <w:tc>
          <w:tcPr>
            <w:tcW w:w="3680" w:type="dxa"/>
            <w:vAlign w:val="bottom"/>
          </w:tcPr>
          <w:p>
            <w:pPr>
              <w:ind w:left="120"/>
              <w:spacing w:after="0" w:line="210" w:lineRule="exact"/>
              <w:rPr>
                <w:sz w:val="20"/>
                <w:szCs w:val="20"/>
                <w:color w:val="auto"/>
              </w:rPr>
            </w:pPr>
            <w:r>
              <w:rPr>
                <w:rFonts w:ascii="Arial" w:cs="Arial" w:eastAsia="Arial" w:hAnsi="Arial"/>
                <w:sz w:val="19"/>
                <w:szCs w:val="19"/>
                <w:color w:val="auto"/>
              </w:rPr>
              <w:t>Total</w:t>
            </w:r>
          </w:p>
        </w:tc>
        <w:tc>
          <w:tcPr>
            <w:tcW w:w="480" w:type="dxa"/>
            <w:vAlign w:val="bottom"/>
            <w:tcBorders>
              <w:bottom w:val="single" w:sz="8" w:color="auto"/>
            </w:tcBorders>
          </w:tcPr>
          <w:p>
            <w:pPr>
              <w:jc w:val="right"/>
              <w:ind w:right="225"/>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505,651</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505,751</w:t>
            </w:r>
          </w:p>
        </w:tc>
        <w:tc>
          <w:tcPr>
            <w:tcW w:w="300" w:type="dxa"/>
            <w:vAlign w:val="bottom"/>
          </w:tcPr>
          <w:p>
            <w:pPr>
              <w:spacing w:after="0"/>
              <w:rPr>
                <w:sz w:val="18"/>
                <w:szCs w:val="18"/>
                <w:color w:val="auto"/>
              </w:rPr>
            </w:pPr>
          </w:p>
        </w:tc>
        <w:tc>
          <w:tcPr>
            <w:tcW w:w="460" w:type="dxa"/>
            <w:vAlign w:val="bottom"/>
            <w:tcBorders>
              <w:bottom w:val="single" w:sz="8" w:color="auto"/>
            </w:tcBorders>
          </w:tcPr>
          <w:p>
            <w:pPr>
              <w:jc w:val="right"/>
              <w:ind w:right="205"/>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412,039</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w:t>
            </w:r>
          </w:p>
        </w:tc>
        <w:tc>
          <w:tcPr>
            <w:tcW w:w="122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412,087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Accounting Standards Codification (“ASC”) 820 provides a framework for measuring fair value and requires expanded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4" w:lineRule="exact"/>
        <w:rPr>
          <w:sz w:val="20"/>
          <w:szCs w:val="20"/>
          <w:color w:val="auto"/>
        </w:rPr>
      </w:pPr>
    </w:p>
    <w:p>
      <w:pPr>
        <w:ind w:left="620" w:hanging="288"/>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following tables present the Company’s held-to-maturity investments at amortized cost as well as the fair value of the Company’s financial assets and liabilities that are recorded at fair value on a recurring basis, segregated among the appropriate levels within the fair value hierarchy at: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June 30, 2014</w:t>
            </w:r>
          </w:p>
        </w:tc>
        <w:tc>
          <w:tcPr>
            <w:tcW w:w="18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Level 1</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2</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Total</w:t>
            </w:r>
          </w:p>
        </w:tc>
      </w:tr>
      <w:tr>
        <w:trPr>
          <w:trHeight w:val="206"/>
        </w:trPr>
        <w:tc>
          <w:tcPr>
            <w:tcW w:w="338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18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218,121</w:t>
            </w:r>
          </w:p>
        </w:tc>
        <w:tc>
          <w:tcPr>
            <w:tcW w:w="38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861"/>
              <w:spacing w:after="0" w:line="207" w:lineRule="exact"/>
              <w:rPr>
                <w:sz w:val="20"/>
                <w:szCs w:val="20"/>
                <w:color w:val="auto"/>
              </w:rPr>
            </w:pPr>
            <w:r>
              <w:rPr>
                <w:rFonts w:ascii="Arial" w:cs="Arial" w:eastAsia="Arial" w:hAnsi="Arial"/>
                <w:sz w:val="20"/>
                <w:szCs w:val="20"/>
                <w:color w:val="auto"/>
              </w:rPr>
              <w:t>$</w:t>
            </w:r>
          </w:p>
        </w:tc>
        <w:tc>
          <w:tcPr>
            <w:tcW w:w="40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44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61"/>
              <w:spacing w:after="0" w:line="207" w:lineRule="exact"/>
              <w:rPr>
                <w:sz w:val="20"/>
                <w:szCs w:val="20"/>
                <w:color w:val="auto"/>
              </w:rPr>
            </w:pPr>
            <w:r>
              <w:rPr>
                <w:rFonts w:ascii="Arial" w:cs="Arial" w:eastAsia="Arial" w:hAnsi="Arial"/>
                <w:sz w:val="20"/>
                <w:szCs w:val="20"/>
                <w:color w:val="auto"/>
              </w:rPr>
              <w:t>218,121</w:t>
            </w:r>
          </w:p>
        </w:tc>
      </w:tr>
      <w:tr>
        <w:trPr>
          <w:trHeight w:val="230"/>
        </w:trPr>
        <w:tc>
          <w:tcPr>
            <w:tcW w:w="3380" w:type="dxa"/>
            <w:vAlign w:val="bottom"/>
          </w:tcPr>
          <w:p>
            <w:pPr>
              <w:spacing w:after="0"/>
              <w:rPr>
                <w:sz w:val="20"/>
                <w:szCs w:val="20"/>
                <w:color w:val="auto"/>
              </w:rPr>
            </w:pPr>
            <w:r>
              <w:rPr>
                <w:rFonts w:ascii="Arial" w:cs="Arial" w:eastAsia="Arial" w:hAnsi="Arial"/>
                <w:sz w:val="20"/>
                <w:szCs w:val="20"/>
                <w:color w:val="auto"/>
              </w:rPr>
              <w:t>Money market funds</w:t>
            </w:r>
          </w:p>
        </w:tc>
        <w:tc>
          <w:tcPr>
            <w:tcW w:w="184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134,278</w:t>
            </w:r>
          </w:p>
        </w:tc>
        <w:tc>
          <w:tcPr>
            <w:tcW w:w="380" w:type="dxa"/>
            <w:vAlign w:val="bottom"/>
          </w:tcPr>
          <w:p>
            <w:pPr>
              <w:spacing w:after="0"/>
              <w:rPr>
                <w:sz w:val="19"/>
                <w:szCs w:val="19"/>
                <w:color w:val="auto"/>
              </w:rPr>
            </w:pPr>
          </w:p>
        </w:tc>
        <w:tc>
          <w:tcPr>
            <w:tcW w:w="12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40" w:type="dxa"/>
            <w:vAlign w:val="bottom"/>
          </w:tcPr>
          <w:p>
            <w:pPr>
              <w:spacing w:after="0"/>
              <w:rPr>
                <w:sz w:val="19"/>
                <w:szCs w:val="19"/>
                <w:color w:val="auto"/>
              </w:rPr>
            </w:pPr>
          </w:p>
        </w:tc>
        <w:tc>
          <w:tcPr>
            <w:tcW w:w="4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134,278</w:t>
            </w:r>
          </w:p>
        </w:tc>
      </w:tr>
      <w:tr>
        <w:trPr>
          <w:trHeight w:val="250"/>
        </w:trPr>
        <w:tc>
          <w:tcPr>
            <w:tcW w:w="338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1840" w:type="dxa"/>
            <w:vAlign w:val="bottom"/>
          </w:tcPr>
          <w:p>
            <w:pPr>
              <w:spacing w:after="0"/>
              <w:rPr>
                <w:sz w:val="21"/>
                <w:szCs w:val="21"/>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1260" w:type="dxa"/>
            <w:vAlign w:val="bottom"/>
          </w:tcPr>
          <w:p>
            <w:pPr>
              <w:jc w:val="right"/>
              <w:ind w:right="81"/>
              <w:spacing w:after="0"/>
              <w:rPr>
                <w:sz w:val="20"/>
                <w:szCs w:val="20"/>
                <w:color w:val="auto"/>
              </w:rPr>
            </w:pPr>
            <w:r>
              <w:rPr>
                <w:rFonts w:ascii="Arial" w:cs="Arial" w:eastAsia="Arial" w:hAnsi="Arial"/>
                <w:sz w:val="20"/>
                <w:szCs w:val="20"/>
                <w:color w:val="auto"/>
              </w:rPr>
              <w:t>6,007</w:t>
            </w:r>
          </w:p>
        </w:tc>
        <w:tc>
          <w:tcPr>
            <w:tcW w:w="1240" w:type="dxa"/>
            <w:vAlign w:val="bottom"/>
          </w:tcPr>
          <w:p>
            <w:pPr>
              <w:spacing w:after="0"/>
              <w:rPr>
                <w:sz w:val="21"/>
                <w:szCs w:val="21"/>
                <w:color w:val="auto"/>
              </w:rPr>
            </w:pPr>
          </w:p>
        </w:tc>
        <w:tc>
          <w:tcPr>
            <w:tcW w:w="4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6,007</w:t>
            </w:r>
          </w:p>
        </w:tc>
      </w:tr>
    </w:tbl>
    <w:p>
      <w:pPr>
        <w:sectPr>
          <w:pgSz w:w="11900" w:h="16861" w:orient="portrait"/>
          <w:cols w:equalWidth="0" w:num="1">
            <w:col w:w="11420"/>
          </w:cols>
          <w:pgMar w:left="240" w:top="121"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40" w:type="dxa"/>
            <w:vAlign w:val="bottom"/>
          </w:tcPr>
          <w:p>
            <w:pPr>
              <w:spacing w:after="0"/>
              <w:rPr>
                <w:sz w:val="20"/>
                <w:szCs w:val="20"/>
                <w:color w:val="auto"/>
              </w:rPr>
            </w:pPr>
            <w:r>
              <w:rPr>
                <w:rFonts w:ascii="Arial" w:cs="Arial" w:eastAsia="Arial" w:hAnsi="Arial"/>
                <w:sz w:val="20"/>
                <w:szCs w:val="20"/>
                <w:color w:val="auto"/>
              </w:rPr>
              <w:t>Commercial paper</w:t>
            </w:r>
          </w:p>
        </w:tc>
        <w:tc>
          <w:tcPr>
            <w:tcW w:w="280" w:type="dxa"/>
            <w:vAlign w:val="bottom"/>
          </w:tcPr>
          <w:p>
            <w:pPr>
              <w:spacing w:after="0"/>
              <w:rPr>
                <w:sz w:val="20"/>
                <w:szCs w:val="20"/>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9,996</w:t>
            </w:r>
          </w:p>
        </w:tc>
        <w:tc>
          <w:tcPr>
            <w:tcW w:w="360" w:type="dxa"/>
            <w:vAlign w:val="bottom"/>
          </w:tcPr>
          <w:p>
            <w:pPr>
              <w:spacing w:after="0"/>
              <w:rPr>
                <w:sz w:val="20"/>
                <w:szCs w:val="20"/>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0"/>
                <w:szCs w:val="20"/>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9,996</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497,481</w:t>
            </w:r>
          </w:p>
        </w:tc>
        <w:tc>
          <w:tcPr>
            <w:tcW w:w="36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497,481</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28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12,819</w:t>
            </w:r>
          </w:p>
        </w:tc>
        <w:tc>
          <w:tcPr>
            <w:tcW w:w="4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12,819</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20"/>
                <w:szCs w:val="20"/>
                <w:color w:val="auto"/>
              </w:rPr>
              <w:t>Put option related to auction rate securities</w:t>
            </w:r>
          </w:p>
        </w:tc>
        <w:tc>
          <w:tcPr>
            <w:tcW w:w="28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994</w:t>
            </w:r>
          </w:p>
        </w:tc>
        <w:tc>
          <w:tcPr>
            <w:tcW w:w="4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994</w:t>
            </w:r>
          </w:p>
        </w:tc>
        <w:tc>
          <w:tcPr>
            <w:tcW w:w="0" w:type="dxa"/>
            <w:vAlign w:val="bottom"/>
          </w:tcPr>
          <w:p>
            <w:pPr>
              <w:spacing w:after="0"/>
              <w:rPr>
                <w:sz w:val="1"/>
                <w:szCs w:val="1"/>
                <w:color w:val="auto"/>
              </w:rPr>
            </w:pPr>
          </w:p>
        </w:tc>
      </w:tr>
      <w:tr>
        <w:trPr>
          <w:trHeight w:val="246"/>
        </w:trPr>
        <w:tc>
          <w:tcPr>
            <w:tcW w:w="494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38</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23"/>
        </w:trPr>
        <w:tc>
          <w:tcPr>
            <w:tcW w:w="4940" w:type="dxa"/>
            <w:vAlign w:val="bottom"/>
          </w:tcPr>
          <w:p>
            <w:pPr>
              <w:ind w:left="120"/>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352,399</w:t>
            </w:r>
          </w:p>
        </w:tc>
        <w:tc>
          <w:tcPr>
            <w:tcW w:w="3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513,522</w:t>
            </w:r>
          </w:p>
        </w:tc>
        <w:tc>
          <w:tcPr>
            <w:tcW w:w="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13,813</w:t>
            </w:r>
          </w:p>
        </w:tc>
        <w:tc>
          <w:tcPr>
            <w:tcW w:w="4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879,734</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60"/>
              <w:spacing w:after="0"/>
              <w:rPr>
                <w:sz w:val="20"/>
                <w:szCs w:val="20"/>
                <w:color w:val="auto"/>
              </w:rPr>
            </w:pPr>
            <w:r>
              <w:rPr>
                <w:rFonts w:ascii="Arial" w:cs="Arial" w:eastAsia="Arial" w:hAnsi="Arial"/>
                <w:sz w:val="20"/>
                <w:szCs w:val="20"/>
                <w:color w:val="auto"/>
              </w:rPr>
              <w:t>Cash and cash equivalents</w:t>
            </w: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352,399</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20,652</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373,051</w:t>
            </w:r>
          </w:p>
        </w:tc>
        <w:tc>
          <w:tcPr>
            <w:tcW w:w="0" w:type="dxa"/>
            <w:vAlign w:val="bottom"/>
          </w:tcPr>
          <w:p>
            <w:pPr>
              <w:spacing w:after="0"/>
              <w:rPr>
                <w:sz w:val="1"/>
                <w:szCs w:val="1"/>
                <w:color w:val="auto"/>
              </w:rPr>
            </w:pPr>
          </w:p>
        </w:tc>
      </w:tr>
      <w:tr>
        <w:trPr>
          <w:trHeight w:val="230"/>
        </w:trPr>
        <w:tc>
          <w:tcPr>
            <w:tcW w:w="4940" w:type="dxa"/>
            <w:vAlign w:val="bottom"/>
          </w:tcPr>
          <w:p>
            <w:pPr>
              <w:ind w:left="60"/>
              <w:spacing w:after="0"/>
              <w:rPr>
                <w:sz w:val="20"/>
                <w:szCs w:val="20"/>
                <w:color w:val="auto"/>
              </w:rPr>
            </w:pPr>
            <w:r>
              <w:rPr>
                <w:rFonts w:ascii="Arial" w:cs="Arial" w:eastAsia="Arial" w:hAnsi="Arial"/>
                <w:sz w:val="20"/>
                <w:szCs w:val="20"/>
                <w:color w:val="auto"/>
              </w:rPr>
              <w:t>Short-term investments</w:t>
            </w:r>
          </w:p>
        </w:tc>
        <w:tc>
          <w:tcPr>
            <w:tcW w:w="28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447,600</w:t>
            </w:r>
          </w:p>
        </w:tc>
        <w:tc>
          <w:tcPr>
            <w:tcW w:w="36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6,369</w:t>
            </w:r>
          </w:p>
        </w:tc>
        <w:tc>
          <w:tcPr>
            <w:tcW w:w="4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453,969</w:t>
            </w:r>
          </w:p>
        </w:tc>
        <w:tc>
          <w:tcPr>
            <w:tcW w:w="0" w:type="dxa"/>
            <w:vAlign w:val="bottom"/>
          </w:tcPr>
          <w:p>
            <w:pPr>
              <w:spacing w:after="0"/>
              <w:rPr>
                <w:sz w:val="1"/>
                <w:szCs w:val="1"/>
                <w:color w:val="auto"/>
              </w:rPr>
            </w:pPr>
          </w:p>
        </w:tc>
      </w:tr>
      <w:tr>
        <w:trPr>
          <w:trHeight w:val="230"/>
        </w:trPr>
        <w:tc>
          <w:tcPr>
            <w:tcW w:w="494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28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185</w:t>
            </w:r>
          </w:p>
        </w:tc>
        <w:tc>
          <w:tcPr>
            <w:tcW w:w="36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185</w:t>
            </w:r>
          </w:p>
        </w:tc>
        <w:tc>
          <w:tcPr>
            <w:tcW w:w="0" w:type="dxa"/>
            <w:vAlign w:val="bottom"/>
          </w:tcPr>
          <w:p>
            <w:pPr>
              <w:spacing w:after="0"/>
              <w:rPr>
                <w:sz w:val="1"/>
                <w:szCs w:val="1"/>
                <w:color w:val="auto"/>
              </w:rPr>
            </w:pPr>
          </w:p>
        </w:tc>
      </w:tr>
      <w:tr>
        <w:trPr>
          <w:trHeight w:val="230"/>
        </w:trPr>
        <w:tc>
          <w:tcPr>
            <w:tcW w:w="4940" w:type="dxa"/>
            <w:vAlign w:val="bottom"/>
          </w:tcPr>
          <w:p>
            <w:pPr>
              <w:ind w:left="60"/>
              <w:spacing w:after="0"/>
              <w:rPr>
                <w:sz w:val="20"/>
                <w:szCs w:val="20"/>
                <w:color w:val="auto"/>
              </w:rPr>
            </w:pPr>
            <w:r>
              <w:rPr>
                <w:rFonts w:ascii="Arial" w:cs="Arial" w:eastAsia="Arial" w:hAnsi="Arial"/>
                <w:sz w:val="20"/>
                <w:szCs w:val="20"/>
                <w:color w:val="auto"/>
              </w:rPr>
              <w:t>Investments</w:t>
            </w:r>
          </w:p>
        </w:tc>
        <w:tc>
          <w:tcPr>
            <w:tcW w:w="28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45,232</w:t>
            </w:r>
          </w:p>
        </w:tc>
        <w:tc>
          <w:tcPr>
            <w:tcW w:w="36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6,450</w:t>
            </w:r>
          </w:p>
        </w:tc>
        <w:tc>
          <w:tcPr>
            <w:tcW w:w="4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51,682</w:t>
            </w:r>
          </w:p>
        </w:tc>
        <w:tc>
          <w:tcPr>
            <w:tcW w:w="0" w:type="dxa"/>
            <w:vAlign w:val="bottom"/>
          </w:tcPr>
          <w:p>
            <w:pPr>
              <w:spacing w:after="0"/>
              <w:rPr>
                <w:sz w:val="1"/>
                <w:szCs w:val="1"/>
                <w:color w:val="auto"/>
              </w:rPr>
            </w:pPr>
          </w:p>
        </w:tc>
      </w:tr>
      <w:tr>
        <w:trPr>
          <w:trHeight w:val="230"/>
        </w:trPr>
        <w:tc>
          <w:tcPr>
            <w:tcW w:w="4940" w:type="dxa"/>
            <w:vAlign w:val="bottom"/>
          </w:tcPr>
          <w:p>
            <w:pPr>
              <w:ind w:left="60"/>
              <w:spacing w:after="0"/>
              <w:rPr>
                <w:sz w:val="20"/>
                <w:szCs w:val="20"/>
                <w:color w:val="auto"/>
              </w:rPr>
            </w:pPr>
            <w:r>
              <w:rPr>
                <w:rFonts w:ascii="Arial" w:cs="Arial" w:eastAsia="Arial" w:hAnsi="Arial"/>
                <w:sz w:val="20"/>
                <w:szCs w:val="20"/>
                <w:color w:val="auto"/>
              </w:rPr>
              <w:t>Prepaid expenses and other current assets</w:t>
            </w:r>
          </w:p>
        </w:tc>
        <w:tc>
          <w:tcPr>
            <w:tcW w:w="28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515</w:t>
            </w:r>
          </w:p>
        </w:tc>
        <w:tc>
          <w:tcPr>
            <w:tcW w:w="4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515</w:t>
            </w:r>
          </w:p>
        </w:tc>
        <w:tc>
          <w:tcPr>
            <w:tcW w:w="0" w:type="dxa"/>
            <w:vAlign w:val="bottom"/>
          </w:tcPr>
          <w:p>
            <w:pPr>
              <w:spacing w:after="0"/>
              <w:rPr>
                <w:sz w:val="1"/>
                <w:szCs w:val="1"/>
                <w:color w:val="auto"/>
              </w:rPr>
            </w:pPr>
          </w:p>
        </w:tc>
      </w:tr>
      <w:tr>
        <w:trPr>
          <w:trHeight w:val="230"/>
        </w:trPr>
        <w:tc>
          <w:tcPr>
            <w:tcW w:w="4940" w:type="dxa"/>
            <w:vAlign w:val="bottom"/>
          </w:tcPr>
          <w:p>
            <w:pPr>
              <w:ind w:left="60"/>
              <w:spacing w:after="0"/>
              <w:rPr>
                <w:sz w:val="20"/>
                <w:szCs w:val="20"/>
                <w:color w:val="auto"/>
              </w:rPr>
            </w:pPr>
            <w:r>
              <w:rPr>
                <w:rFonts w:ascii="Arial" w:cs="Arial" w:eastAsia="Arial" w:hAnsi="Arial"/>
                <w:sz w:val="20"/>
                <w:szCs w:val="20"/>
                <w:color w:val="auto"/>
              </w:rPr>
              <w:t>Other assets</w:t>
            </w:r>
          </w:p>
        </w:tc>
        <w:tc>
          <w:tcPr>
            <w:tcW w:w="28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479</w:t>
            </w:r>
          </w:p>
        </w:tc>
        <w:tc>
          <w:tcPr>
            <w:tcW w:w="4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479</w:t>
            </w:r>
          </w:p>
        </w:tc>
        <w:tc>
          <w:tcPr>
            <w:tcW w:w="0" w:type="dxa"/>
            <w:vAlign w:val="bottom"/>
          </w:tcPr>
          <w:p>
            <w:pPr>
              <w:spacing w:after="0"/>
              <w:rPr>
                <w:sz w:val="1"/>
                <w:szCs w:val="1"/>
                <w:color w:val="auto"/>
              </w:rPr>
            </w:pPr>
          </w:p>
        </w:tc>
      </w:tr>
      <w:tr>
        <w:trPr>
          <w:trHeight w:val="246"/>
        </w:trPr>
        <w:tc>
          <w:tcPr>
            <w:tcW w:w="494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(147)</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(147)</w:t>
            </w:r>
          </w:p>
        </w:tc>
        <w:tc>
          <w:tcPr>
            <w:tcW w:w="0" w:type="dxa"/>
            <w:vAlign w:val="bottom"/>
          </w:tcPr>
          <w:p>
            <w:pPr>
              <w:spacing w:after="0"/>
              <w:rPr>
                <w:sz w:val="1"/>
                <w:szCs w:val="1"/>
                <w:color w:val="auto"/>
              </w:rPr>
            </w:pPr>
          </w:p>
        </w:tc>
      </w:tr>
      <w:tr>
        <w:trPr>
          <w:trHeight w:val="223"/>
        </w:trPr>
        <w:tc>
          <w:tcPr>
            <w:tcW w:w="4940" w:type="dxa"/>
            <w:vAlign w:val="bottom"/>
          </w:tcPr>
          <w:p>
            <w:pPr>
              <w:ind w:left="120"/>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352,399</w:t>
            </w:r>
          </w:p>
        </w:tc>
        <w:tc>
          <w:tcPr>
            <w:tcW w:w="3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513,522</w:t>
            </w:r>
          </w:p>
        </w:tc>
        <w:tc>
          <w:tcPr>
            <w:tcW w:w="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13,813</w:t>
            </w:r>
          </w:p>
        </w:tc>
        <w:tc>
          <w:tcPr>
            <w:tcW w:w="4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879,734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2013</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Level 1</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Level 2</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3</w:t>
            </w: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94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2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139,300</w:t>
            </w:r>
          </w:p>
        </w:tc>
        <w:tc>
          <w:tcPr>
            <w:tcW w:w="38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36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44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61"/>
              <w:spacing w:after="0" w:line="207" w:lineRule="exact"/>
              <w:rPr>
                <w:sz w:val="20"/>
                <w:szCs w:val="20"/>
                <w:color w:val="auto"/>
              </w:rPr>
            </w:pPr>
            <w:r>
              <w:rPr>
                <w:rFonts w:ascii="Arial" w:cs="Arial" w:eastAsia="Arial" w:hAnsi="Arial"/>
                <w:sz w:val="20"/>
                <w:szCs w:val="20"/>
                <w:color w:val="auto"/>
              </w:rPr>
              <w:t>139,300</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20"/>
                <w:szCs w:val="20"/>
                <w:color w:val="auto"/>
              </w:rPr>
              <w:t>Money market funds</w:t>
            </w:r>
          </w:p>
        </w:tc>
        <w:tc>
          <w:tcPr>
            <w:tcW w:w="28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60,102</w:t>
            </w:r>
          </w:p>
        </w:tc>
        <w:tc>
          <w:tcPr>
            <w:tcW w:w="3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60,102</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28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22,045</w:t>
            </w:r>
          </w:p>
        </w:tc>
        <w:tc>
          <w:tcPr>
            <w:tcW w:w="36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22,045</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20"/>
                <w:szCs w:val="20"/>
                <w:color w:val="auto"/>
              </w:rPr>
              <w:t>Commercial paper</w:t>
            </w:r>
          </w:p>
        </w:tc>
        <w:tc>
          <w:tcPr>
            <w:tcW w:w="28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5,991</w:t>
            </w:r>
          </w:p>
        </w:tc>
        <w:tc>
          <w:tcPr>
            <w:tcW w:w="36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5,991</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379,766</w:t>
            </w:r>
          </w:p>
        </w:tc>
        <w:tc>
          <w:tcPr>
            <w:tcW w:w="36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379,766</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280" w:type="dxa"/>
            <w:vAlign w:val="bottom"/>
          </w:tcPr>
          <w:p>
            <w:pPr>
              <w:spacing w:after="0"/>
              <w:rPr>
                <w:sz w:val="19"/>
                <w:szCs w:val="19"/>
                <w:color w:val="auto"/>
              </w:rPr>
            </w:pPr>
          </w:p>
        </w:tc>
        <w:tc>
          <w:tcPr>
            <w:tcW w:w="12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color w:val="auto"/>
              </w:rPr>
              <w:t>16,184</w:t>
            </w:r>
          </w:p>
        </w:tc>
        <w:tc>
          <w:tcPr>
            <w:tcW w:w="4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16,184</w:t>
            </w:r>
          </w:p>
        </w:tc>
        <w:tc>
          <w:tcPr>
            <w:tcW w:w="0" w:type="dxa"/>
            <w:vAlign w:val="bottom"/>
          </w:tcPr>
          <w:p>
            <w:pPr>
              <w:spacing w:after="0"/>
              <w:rPr>
                <w:sz w:val="1"/>
                <w:szCs w:val="1"/>
                <w:color w:val="auto"/>
              </w:rPr>
            </w:pPr>
          </w:p>
        </w:tc>
      </w:tr>
      <w:tr>
        <w:trPr>
          <w:trHeight w:val="246"/>
        </w:trPr>
        <w:tc>
          <w:tcPr>
            <w:tcW w:w="4940" w:type="dxa"/>
            <w:vAlign w:val="bottom"/>
          </w:tcPr>
          <w:p>
            <w:pPr>
              <w:spacing w:after="0"/>
              <w:rPr>
                <w:sz w:val="20"/>
                <w:szCs w:val="20"/>
                <w:color w:val="auto"/>
              </w:rPr>
            </w:pPr>
            <w:r>
              <w:rPr>
                <w:rFonts w:ascii="Arial" w:cs="Arial" w:eastAsia="Arial" w:hAnsi="Arial"/>
                <w:sz w:val="20"/>
                <w:szCs w:val="20"/>
                <w:color w:val="auto"/>
              </w:rPr>
              <w:t>Put option related to auction rate securities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1,092</w:t>
            </w: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1,092</w:t>
            </w:r>
          </w:p>
        </w:tc>
        <w:tc>
          <w:tcPr>
            <w:tcW w:w="0" w:type="dxa"/>
            <w:vAlign w:val="bottom"/>
          </w:tcPr>
          <w:p>
            <w:pPr>
              <w:spacing w:after="0"/>
              <w:rPr>
                <w:sz w:val="1"/>
                <w:szCs w:val="1"/>
                <w:color w:val="auto"/>
              </w:rPr>
            </w:pPr>
          </w:p>
        </w:tc>
      </w:tr>
      <w:tr>
        <w:trPr>
          <w:trHeight w:val="223"/>
        </w:trPr>
        <w:tc>
          <w:tcPr>
            <w:tcW w:w="4940" w:type="dxa"/>
            <w:vAlign w:val="bottom"/>
          </w:tcPr>
          <w:p>
            <w:pPr>
              <w:ind w:left="120"/>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199,402</w:t>
            </w:r>
          </w:p>
        </w:tc>
        <w:tc>
          <w:tcPr>
            <w:tcW w:w="3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407,802</w:t>
            </w:r>
          </w:p>
        </w:tc>
        <w:tc>
          <w:tcPr>
            <w:tcW w:w="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17,276</w:t>
            </w:r>
          </w:p>
        </w:tc>
        <w:tc>
          <w:tcPr>
            <w:tcW w:w="4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624,480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Amounts included in: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Cash and cash equivalents</w:t>
      </w:r>
    </w:p>
    <w:p>
      <w:pPr>
        <w:ind w:left="60"/>
        <w:spacing w:after="0"/>
        <w:rPr>
          <w:sz w:val="20"/>
          <w:szCs w:val="20"/>
          <w:color w:val="auto"/>
        </w:rPr>
      </w:pPr>
      <w:r>
        <w:rPr>
          <w:rFonts w:ascii="Arial" w:cs="Arial" w:eastAsia="Arial" w:hAnsi="Arial"/>
          <w:sz w:val="20"/>
          <w:szCs w:val="20"/>
          <w:color w:val="auto"/>
        </w:rPr>
        <w:t>Short-term investments</w:t>
      </w:r>
    </w:p>
    <w:p>
      <w:pPr>
        <w:ind w:left="60"/>
        <w:spacing w:after="0"/>
        <w:rPr>
          <w:sz w:val="20"/>
          <w:szCs w:val="20"/>
          <w:color w:val="auto"/>
        </w:rPr>
      </w:pPr>
      <w:r>
        <w:rPr>
          <w:rFonts w:ascii="Arial" w:cs="Arial" w:eastAsia="Arial" w:hAnsi="Arial"/>
          <w:sz w:val="20"/>
          <w:szCs w:val="20"/>
          <w:color w:val="auto"/>
        </w:rPr>
        <w:t>Investments</w:t>
      </w:r>
    </w:p>
    <w:p>
      <w:pPr>
        <w:ind w:left="60" w:right="880"/>
        <w:spacing w:after="0" w:line="244" w:lineRule="auto"/>
        <w:rPr>
          <w:sz w:val="20"/>
          <w:szCs w:val="20"/>
          <w:color w:val="auto"/>
        </w:rPr>
      </w:pPr>
      <w:r>
        <w:rPr>
          <w:rFonts w:ascii="Arial" w:cs="Arial" w:eastAsia="Arial" w:hAnsi="Arial"/>
          <w:sz w:val="20"/>
          <w:szCs w:val="20"/>
          <w:color w:val="auto"/>
        </w:rPr>
        <w:t>Prepaid expenses and other current assets Other assets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81"/>
              <w:spacing w:after="0"/>
              <w:rPr>
                <w:sz w:val="20"/>
                <w:szCs w:val="20"/>
                <w:color w:val="auto"/>
              </w:rPr>
            </w:pPr>
            <w:r>
              <w:rPr>
                <w:rFonts w:ascii="Arial" w:cs="Arial" w:eastAsia="Arial" w:hAnsi="Arial"/>
                <w:sz w:val="20"/>
                <w:szCs w:val="20"/>
                <w:color w:val="auto"/>
              </w:rPr>
              <w:t>199,402</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81"/>
              <w:spacing w:after="0"/>
              <w:rPr>
                <w:sz w:val="20"/>
                <w:szCs w:val="20"/>
                <w:color w:val="auto"/>
              </w:rPr>
            </w:pPr>
            <w:r>
              <w:rPr>
                <w:rFonts w:ascii="Arial" w:cs="Arial" w:eastAsia="Arial" w:hAnsi="Arial"/>
                <w:sz w:val="20"/>
                <w:szCs w:val="20"/>
                <w:color w:val="auto"/>
              </w:rPr>
              <w:t>11,947</w:t>
            </w:r>
          </w:p>
        </w:tc>
        <w:tc>
          <w:tcPr>
            <w:tcW w:w="6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211,349</w:t>
            </w:r>
          </w:p>
        </w:tc>
      </w:tr>
      <w:tr>
        <w:trPr>
          <w:trHeight w:val="230"/>
        </w:trPr>
        <w:tc>
          <w:tcPr>
            <w:tcW w:w="44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19"/>
                <w:szCs w:val="19"/>
                <w:color w:val="auto"/>
              </w:rPr>
            </w:pPr>
          </w:p>
        </w:tc>
        <w:tc>
          <w:tcPr>
            <w:tcW w:w="1100" w:type="dxa"/>
            <w:vAlign w:val="bottom"/>
          </w:tcPr>
          <w:p>
            <w:pPr>
              <w:jc w:val="right"/>
              <w:ind w:right="81"/>
              <w:spacing w:after="0"/>
              <w:rPr>
                <w:sz w:val="20"/>
                <w:szCs w:val="20"/>
                <w:color w:val="auto"/>
              </w:rPr>
            </w:pPr>
            <w:r>
              <w:rPr>
                <w:rFonts w:ascii="Arial" w:cs="Arial" w:eastAsia="Arial" w:hAnsi="Arial"/>
                <w:sz w:val="20"/>
                <w:szCs w:val="20"/>
                <w:color w:val="auto"/>
              </w:rPr>
              <w:t>395,855</w:t>
            </w:r>
          </w:p>
        </w:tc>
        <w:tc>
          <w:tcPr>
            <w:tcW w:w="6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20"/>
                <w:szCs w:val="20"/>
                <w:color w:val="auto"/>
              </w:rPr>
              <w:t>6,392</w:t>
            </w:r>
          </w:p>
        </w:tc>
        <w:tc>
          <w:tcPr>
            <w:tcW w:w="56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402,247</w:t>
            </w:r>
          </w:p>
        </w:tc>
      </w:tr>
      <w:tr>
        <w:trPr>
          <w:trHeight w:val="230"/>
        </w:trPr>
        <w:tc>
          <w:tcPr>
            <w:tcW w:w="44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19"/>
                <w:szCs w:val="19"/>
                <w:color w:val="auto"/>
              </w:rPr>
            </w:pPr>
          </w:p>
        </w:tc>
        <w:tc>
          <w:tcPr>
            <w:tcW w:w="11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20"/>
                <w:szCs w:val="20"/>
                <w:color w:val="auto"/>
              </w:rPr>
              <w:t>9,792</w:t>
            </w:r>
          </w:p>
        </w:tc>
        <w:tc>
          <w:tcPr>
            <w:tcW w:w="56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9,792</w:t>
            </w:r>
          </w:p>
        </w:tc>
      </w:tr>
      <w:tr>
        <w:trPr>
          <w:trHeight w:val="230"/>
        </w:trPr>
        <w:tc>
          <w:tcPr>
            <w:tcW w:w="44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19"/>
                <w:szCs w:val="19"/>
                <w:color w:val="auto"/>
              </w:rPr>
            </w:pPr>
          </w:p>
        </w:tc>
        <w:tc>
          <w:tcPr>
            <w:tcW w:w="11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20"/>
                <w:szCs w:val="20"/>
                <w:color w:val="auto"/>
              </w:rPr>
              <w:t>486</w:t>
            </w:r>
          </w:p>
        </w:tc>
        <w:tc>
          <w:tcPr>
            <w:tcW w:w="56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486</w:t>
            </w:r>
          </w:p>
        </w:tc>
      </w:tr>
      <w:tr>
        <w:trPr>
          <w:trHeight w:val="246"/>
        </w:trPr>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606</w:t>
            </w: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606</w:t>
            </w:r>
          </w:p>
        </w:tc>
      </w:tr>
      <w:tr>
        <w:trPr>
          <w:trHeight w:val="223"/>
        </w:trPr>
        <w:tc>
          <w:tcPr>
            <w:tcW w:w="44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199,402</w:t>
            </w:r>
          </w:p>
        </w:tc>
        <w:tc>
          <w:tcPr>
            <w:tcW w:w="54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407,802</w:t>
            </w:r>
          </w:p>
        </w:tc>
        <w:tc>
          <w:tcPr>
            <w:tcW w:w="600" w:type="dxa"/>
            <w:vAlign w:val="bottom"/>
            <w:tcBorders>
              <w:bottom w:val="single" w:sz="8" w:color="auto"/>
            </w:tcBorders>
          </w:tcPr>
          <w:p>
            <w:pPr>
              <w:jc w:val="right"/>
              <w:ind w:right="22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17,276</w:t>
            </w:r>
          </w:p>
        </w:tc>
        <w:tc>
          <w:tcPr>
            <w:tcW w:w="56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624,480</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220" w:space="720"/>
            <w:col w:w="6480"/>
          </w:cols>
          <w:pgMar w:left="240" w:top="121" w:right="239" w:bottom="0" w:gutter="0" w:footer="0" w:header="0"/>
          <w:type w:val="continuous"/>
        </w:sectPr>
      </w:pPr>
    </w:p>
    <w:p>
      <w:pPr>
        <w:spacing w:after="0" w:line="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majority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certificates of deposit, commercial paper and municipal securities, is based on other observable inputs, specifically a market approach which utilizes valuation models, pricing systems, mathematical tools and other relevant information for the same or similar securities. The Company’s valuation of its Level 2 foreign exchange contracts is based on quoted market prices of the same or similar instruments, adjusted for counterparty risk. There were no transfers between Level 1 and Level 2 measurements during the six-months ended June 30, 2014 or the year ended December 31, 2013, and there were no changes in the Company’s valuation techniques.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six-months ended June 30, 2014.</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presents quantitative information related to the significant unobservable inputs utilized in the Company’s Level 3 recurring fair value measurements as of June 30,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vMerge w:val="restart"/>
          </w:tcPr>
          <w:p>
            <w:pPr>
              <w:spacing w:after="0"/>
              <w:rPr>
                <w:sz w:val="20"/>
                <w:szCs w:val="20"/>
                <w:color w:val="auto"/>
              </w:rPr>
            </w:pPr>
            <w:r>
              <w:rPr>
                <w:rFonts w:ascii="Arial" w:cs="Arial" w:eastAsia="Arial" w:hAnsi="Arial"/>
                <w:sz w:val="19"/>
                <w:szCs w:val="19"/>
                <w:color w:val="auto"/>
              </w:rPr>
              <w:t>Auction Rate Securities:</w:t>
            </w:r>
          </w:p>
        </w:tc>
        <w:tc>
          <w:tcPr>
            <w:tcW w:w="2820" w:type="dxa"/>
            <w:vAlign w:val="bottom"/>
            <w:gridSpan w:val="2"/>
          </w:tcPr>
          <w:p>
            <w:pPr>
              <w:ind w:left="480"/>
              <w:spacing w:after="0"/>
              <w:rPr>
                <w:sz w:val="20"/>
                <w:szCs w:val="20"/>
                <w:color w:val="auto"/>
              </w:rPr>
            </w:pPr>
            <w:r>
              <w:rPr>
                <w:rFonts w:ascii="Arial" w:cs="Arial" w:eastAsia="Arial" w:hAnsi="Arial"/>
                <w:sz w:val="19"/>
                <w:szCs w:val="19"/>
                <w:color w:val="auto"/>
              </w:rPr>
              <w:t>Valuation Technique</w:t>
            </w:r>
          </w:p>
        </w:tc>
        <w:tc>
          <w:tcPr>
            <w:tcW w:w="2780" w:type="dxa"/>
            <w:vAlign w:val="bottom"/>
            <w:gridSpan w:val="2"/>
          </w:tcPr>
          <w:p>
            <w:pPr>
              <w:ind w:left="500"/>
              <w:spacing w:after="0"/>
              <w:rPr>
                <w:sz w:val="20"/>
                <w:szCs w:val="20"/>
                <w:color w:val="auto"/>
              </w:rPr>
            </w:pPr>
            <w:r>
              <w:rPr>
                <w:rFonts w:ascii="Arial" w:cs="Arial" w:eastAsia="Arial" w:hAnsi="Arial"/>
                <w:sz w:val="19"/>
                <w:szCs w:val="19"/>
                <w:color w:val="auto"/>
              </w:rPr>
              <w:t>Unobservable Input</w:t>
            </w:r>
          </w:p>
        </w:tc>
        <w:tc>
          <w:tcPr>
            <w:tcW w:w="2500" w:type="dxa"/>
            <w:vAlign w:val="bottom"/>
          </w:tcPr>
          <w:p>
            <w:pPr>
              <w:ind w:left="220"/>
              <w:spacing w:after="0"/>
              <w:rPr>
                <w:sz w:val="20"/>
                <w:szCs w:val="20"/>
                <w:color w:val="auto"/>
              </w:rPr>
            </w:pPr>
            <w:r>
              <w:rPr>
                <w:rFonts w:ascii="Arial" w:cs="Arial" w:eastAsia="Arial" w:hAnsi="Arial"/>
                <w:sz w:val="19"/>
                <w:szCs w:val="19"/>
                <w:color w:val="auto"/>
                <w:w w:val="97"/>
              </w:rPr>
              <w:t>Range (Weighted-Average)</w:t>
            </w:r>
          </w:p>
        </w:tc>
        <w:tc>
          <w:tcPr>
            <w:tcW w:w="0" w:type="dxa"/>
            <w:vAlign w:val="bottom"/>
          </w:tcPr>
          <w:p>
            <w:pPr>
              <w:spacing w:after="0"/>
              <w:rPr>
                <w:sz w:val="1"/>
                <w:szCs w:val="1"/>
                <w:color w:val="auto"/>
              </w:rPr>
            </w:pPr>
          </w:p>
        </w:tc>
      </w:tr>
      <w:tr>
        <w:trPr>
          <w:trHeight w:val="174"/>
        </w:trPr>
        <w:tc>
          <w:tcPr>
            <w:tcW w:w="3220" w:type="dxa"/>
            <w:vAlign w:val="bottom"/>
            <w:vMerge w:val="continue"/>
          </w:tcPr>
          <w:p>
            <w:pPr>
              <w:spacing w:after="0"/>
              <w:rPr>
                <w:sz w:val="15"/>
                <w:szCs w:val="15"/>
                <w:color w:val="auto"/>
              </w:rPr>
            </w:pPr>
          </w:p>
        </w:tc>
        <w:tc>
          <w:tcPr>
            <w:tcW w:w="25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line="216" w:lineRule="exact"/>
              <w:rPr>
                <w:sz w:val="20"/>
                <w:szCs w:val="20"/>
                <w:color w:val="auto"/>
              </w:rPr>
            </w:pPr>
            <w:r>
              <w:rPr>
                <w:rFonts w:ascii="Arial" w:cs="Arial" w:eastAsia="Arial" w:hAnsi="Arial"/>
                <w:sz w:val="19"/>
                <w:szCs w:val="19"/>
                <w:color w:val="auto"/>
              </w:rPr>
              <w:t>Trading</w:t>
            </w:r>
          </w:p>
        </w:tc>
        <w:tc>
          <w:tcPr>
            <w:tcW w:w="2820" w:type="dxa"/>
            <w:vAlign w:val="bottom"/>
            <w:gridSpan w:val="2"/>
          </w:tcPr>
          <w:p>
            <w:pPr>
              <w:ind w:left="20"/>
              <w:spacing w:after="0" w:line="216" w:lineRule="exact"/>
              <w:rPr>
                <w:sz w:val="20"/>
                <w:szCs w:val="20"/>
                <w:color w:val="auto"/>
              </w:rPr>
            </w:pPr>
            <w:r>
              <w:rPr>
                <w:rFonts w:ascii="Arial" w:cs="Arial" w:eastAsia="Arial" w:hAnsi="Arial"/>
                <w:sz w:val="19"/>
                <w:szCs w:val="19"/>
                <w:color w:val="auto"/>
              </w:rPr>
              <w:t>Discounted cash flow</w:t>
            </w:r>
          </w:p>
        </w:tc>
        <w:tc>
          <w:tcPr>
            <w:tcW w:w="2780" w:type="dxa"/>
            <w:vAlign w:val="bottom"/>
            <w:gridSpan w:val="2"/>
          </w:tcPr>
          <w:p>
            <w:pPr>
              <w:spacing w:after="0" w:line="216" w:lineRule="exact"/>
              <w:rPr>
                <w:sz w:val="20"/>
                <w:szCs w:val="20"/>
                <w:color w:val="auto"/>
              </w:rPr>
            </w:pPr>
            <w:r>
              <w:rPr>
                <w:rFonts w:ascii="Arial" w:cs="Arial" w:eastAsia="Arial" w:hAnsi="Arial"/>
                <w:sz w:val="19"/>
                <w:szCs w:val="19"/>
                <w:color w:val="auto"/>
              </w:rPr>
              <w:t>Maximum rate probability</w:t>
            </w:r>
          </w:p>
        </w:tc>
        <w:tc>
          <w:tcPr>
            <w:tcW w:w="2500" w:type="dxa"/>
            <w:vAlign w:val="bottom"/>
          </w:tcPr>
          <w:p>
            <w:pPr>
              <w:spacing w:after="0" w:line="216" w:lineRule="exact"/>
              <w:rPr>
                <w:sz w:val="20"/>
                <w:szCs w:val="20"/>
                <w:color w:val="auto"/>
              </w:rPr>
            </w:pPr>
            <w:r>
              <w:rPr>
                <w:rFonts w:ascii="Arial" w:cs="Arial" w:eastAsia="Arial" w:hAnsi="Arial"/>
                <w:sz w:val="19"/>
                <w:szCs w:val="19"/>
                <w:color w:val="auto"/>
              </w:rPr>
              <w:t>0.66%-2.60% (1.77%)</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2"/>
          </w:tcPr>
          <w:p>
            <w:pPr>
              <w:spacing w:after="0" w:line="216" w:lineRule="exact"/>
              <w:rPr>
                <w:sz w:val="20"/>
                <w:szCs w:val="20"/>
                <w:color w:val="auto"/>
              </w:rPr>
            </w:pPr>
            <w:r>
              <w:rPr>
                <w:rFonts w:ascii="Arial" w:cs="Arial" w:eastAsia="Arial" w:hAnsi="Arial"/>
                <w:sz w:val="19"/>
                <w:szCs w:val="19"/>
                <w:color w:val="auto"/>
              </w:rPr>
              <w:t>Principal returned probability</w:t>
            </w:r>
          </w:p>
        </w:tc>
        <w:tc>
          <w:tcPr>
            <w:tcW w:w="2500" w:type="dxa"/>
            <w:vAlign w:val="bottom"/>
          </w:tcPr>
          <w:p>
            <w:pPr>
              <w:spacing w:after="0" w:line="216" w:lineRule="exact"/>
              <w:rPr>
                <w:sz w:val="20"/>
                <w:szCs w:val="20"/>
                <w:color w:val="auto"/>
              </w:rPr>
            </w:pPr>
            <w:r>
              <w:rPr>
                <w:rFonts w:ascii="Arial" w:cs="Arial" w:eastAsia="Arial" w:hAnsi="Arial"/>
                <w:sz w:val="19"/>
                <w:szCs w:val="19"/>
                <w:color w:val="auto"/>
              </w:rPr>
              <w:t>85.40%-94.51% (86.66%)</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2"/>
          </w:tcPr>
          <w:p>
            <w:pPr>
              <w:spacing w:after="0" w:line="216" w:lineRule="exact"/>
              <w:rPr>
                <w:sz w:val="20"/>
                <w:szCs w:val="20"/>
                <w:color w:val="auto"/>
              </w:rPr>
            </w:pPr>
            <w:r>
              <w:rPr>
                <w:rFonts w:ascii="Arial" w:cs="Arial" w:eastAsia="Arial" w:hAnsi="Arial"/>
                <w:sz w:val="19"/>
                <w:szCs w:val="19"/>
                <w:color w:val="auto"/>
              </w:rPr>
              <w:t>Default probability</w:t>
            </w:r>
          </w:p>
        </w:tc>
        <w:tc>
          <w:tcPr>
            <w:tcW w:w="2500" w:type="dxa"/>
            <w:vAlign w:val="bottom"/>
          </w:tcPr>
          <w:p>
            <w:pPr>
              <w:spacing w:after="0" w:line="216" w:lineRule="exact"/>
              <w:rPr>
                <w:sz w:val="20"/>
                <w:szCs w:val="20"/>
                <w:color w:val="auto"/>
              </w:rPr>
            </w:pPr>
            <w:r>
              <w:rPr>
                <w:rFonts w:ascii="Arial" w:cs="Arial" w:eastAsia="Arial" w:hAnsi="Arial"/>
                <w:sz w:val="19"/>
                <w:szCs w:val="19"/>
                <w:color w:val="auto"/>
              </w:rPr>
              <w:t>4.37%-12.28% (11.57%)</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2"/>
          </w:tcPr>
          <w:p>
            <w:pPr>
              <w:spacing w:after="0" w:line="216" w:lineRule="exact"/>
              <w:rPr>
                <w:sz w:val="20"/>
                <w:szCs w:val="20"/>
                <w:color w:val="auto"/>
              </w:rPr>
            </w:pPr>
            <w:r>
              <w:rPr>
                <w:rFonts w:ascii="Arial" w:cs="Arial" w:eastAsia="Arial" w:hAnsi="Arial"/>
                <w:sz w:val="19"/>
                <w:szCs w:val="19"/>
                <w:color w:val="auto"/>
              </w:rPr>
              <w:t>Liquidity risk</w:t>
            </w:r>
          </w:p>
        </w:tc>
        <w:tc>
          <w:tcPr>
            <w:tcW w:w="2500" w:type="dxa"/>
            <w:vAlign w:val="bottom"/>
          </w:tcPr>
          <w:p>
            <w:pPr>
              <w:spacing w:after="0" w:line="216" w:lineRule="exact"/>
              <w:rPr>
                <w:sz w:val="20"/>
                <w:szCs w:val="20"/>
                <w:color w:val="auto"/>
              </w:rPr>
            </w:pPr>
            <w:r>
              <w:rPr>
                <w:rFonts w:ascii="Arial" w:cs="Arial" w:eastAsia="Arial" w:hAnsi="Arial"/>
                <w:sz w:val="19"/>
                <w:szCs w:val="19"/>
                <w:color w:val="auto"/>
              </w:rPr>
              <w:t>3.00%-3.00% (3.00%)</w:t>
            </w:r>
          </w:p>
        </w:tc>
        <w:tc>
          <w:tcPr>
            <w:tcW w:w="0" w:type="dxa"/>
            <w:vAlign w:val="bottom"/>
          </w:tcPr>
          <w:p>
            <w:pPr>
              <w:spacing w:after="0"/>
              <w:rPr>
                <w:sz w:val="1"/>
                <w:szCs w:val="1"/>
                <w:color w:val="auto"/>
              </w:rPr>
            </w:pPr>
          </w:p>
        </w:tc>
      </w:tr>
      <w:tr>
        <w:trPr>
          <w:trHeight w:val="240"/>
        </w:trPr>
        <w:tc>
          <w:tcPr>
            <w:tcW w:w="3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9"/>
                <w:szCs w:val="19"/>
                <w:color w:val="auto"/>
              </w:rPr>
              <w:t>Recovery rate</w:t>
            </w:r>
          </w:p>
        </w:tc>
        <w:tc>
          <w:tcPr>
            <w:tcW w:w="2500" w:type="dxa"/>
            <w:vAlign w:val="bottom"/>
          </w:tcPr>
          <w:p>
            <w:pPr>
              <w:spacing w:after="0"/>
              <w:rPr>
                <w:sz w:val="20"/>
                <w:szCs w:val="20"/>
                <w:color w:val="auto"/>
              </w:rPr>
            </w:pPr>
            <w:r>
              <w:rPr>
                <w:rFonts w:ascii="Arial" w:cs="Arial" w:eastAsia="Arial" w:hAnsi="Arial"/>
                <w:sz w:val="19"/>
                <w:szCs w:val="19"/>
                <w:color w:val="auto"/>
              </w:rPr>
              <w:t>60-60 (60)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type w:val="continuous"/>
        </w:sectPr>
      </w:pPr>
    </w:p>
    <w:bookmarkStart w:id="8" w:name="page9"/>
    <w:bookmarkEnd w:id="8"/>
    <w:p>
      <w:pPr>
        <w:spacing w:after="0"/>
        <w:tabs>
          <w:tab w:leader="none" w:pos="3220" w:val="left"/>
          <w:tab w:leader="none" w:pos="6020" w:val="left"/>
          <w:tab w:leader="none" w:pos="8800" w:val="left"/>
        </w:tabs>
        <w:rPr>
          <w:sz w:val="20"/>
          <w:szCs w:val="20"/>
          <w:color w:val="auto"/>
        </w:rPr>
      </w:pPr>
      <w:r>
        <w:rPr>
          <w:rFonts w:ascii="Arial" w:cs="Arial" w:eastAsia="Arial" w:hAnsi="Arial"/>
          <w:sz w:val="19"/>
          <w:szCs w:val="19"/>
          <w:color w:val="auto"/>
        </w:rPr>
        <w:t>Put Options</w:t>
      </w:r>
      <w:r>
        <w:rPr>
          <w:sz w:val="20"/>
          <w:szCs w:val="20"/>
          <w:color w:val="auto"/>
        </w:rPr>
        <w:tab/>
      </w:r>
      <w:r>
        <w:rPr>
          <w:rFonts w:ascii="Arial" w:cs="Arial" w:eastAsia="Arial" w:hAnsi="Arial"/>
          <w:sz w:val="19"/>
          <w:szCs w:val="19"/>
          <w:color w:val="auto"/>
        </w:rPr>
        <w:t>Discounted cash flow</w:t>
      </w:r>
      <w:r>
        <w:rPr>
          <w:sz w:val="20"/>
          <w:szCs w:val="20"/>
          <w:color w:val="auto"/>
        </w:rPr>
        <w:tab/>
      </w:r>
      <w:r>
        <w:rPr>
          <w:rFonts w:ascii="Arial" w:cs="Arial" w:eastAsia="Arial" w:hAnsi="Arial"/>
          <w:sz w:val="19"/>
          <w:szCs w:val="19"/>
          <w:color w:val="auto"/>
        </w:rPr>
        <w:t>Counterparty risk</w:t>
      </w:r>
      <w:r>
        <w:rPr>
          <w:sz w:val="20"/>
          <w:szCs w:val="20"/>
          <w:color w:val="auto"/>
        </w:rPr>
        <w:tab/>
      </w:r>
      <w:r>
        <w:rPr>
          <w:rFonts w:ascii="Arial" w:cs="Arial" w:eastAsia="Arial" w:hAnsi="Arial"/>
          <w:sz w:val="17"/>
          <w:szCs w:val="17"/>
          <w:color w:val="auto"/>
        </w:rPr>
        <w:t>0.33%-0.70% (0.59%)</w:t>
      </w:r>
    </w:p>
    <w:p>
      <w:pPr>
        <w:spacing w:after="0" w:line="2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At June 30, 2014, the Company held auction rate securities with a face value of $13.8 million (amortized cost basis of $12.8 million). A Level 3 valuation was performed on the Company’s auction rate securities as of June 30, 2014 resulting in a fair value of $12.8 million for the Company’s trading auction rate securities (after a $1.0 million impairment), which are included in short-term and long-term investments.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 aggregate par value;</w:t>
      </w:r>
    </w:p>
    <w:p>
      <w:pPr>
        <w:spacing w:after="0" w:line="1" w:lineRule="exact"/>
        <w:rPr>
          <w:sz w:val="20"/>
          <w:szCs w:val="20"/>
          <w:color w:val="auto"/>
        </w:rPr>
      </w:pPr>
    </w:p>
    <w:p>
      <w:pPr>
        <w:jc w:val="both"/>
        <w:ind w:firstLine="8"/>
        <w:spacing w:after="0" w:line="269" w:lineRule="auto"/>
        <w:tabs>
          <w:tab w:leader="none" w:pos="307"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or after October 1, 2013, up to an additional $1.0 million aggregate par value; and (iii) 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should the auction process fail, the terms outlined in the prospectus of the respective 2011 ARS Securities. Under the 2011 ARS Agreement, the Company has the obligation, should it receive written notification from the put issuer, to sell the 2011 ARS Securities at par plus all accrued but unpaid interest. During the six-months ended June 30, 2014, $3.4 million of 2011 ARS Securities were redeemed at par through the exercise of a portion of the 2011 Put Option ($2.3 million, $1.3 million and $3.7 million of par value 2011 ARS Securities were redeemed at par during the years ended December 31, 2013, 2012 and 2011, respectively). Subsequent to June 30, 2014, $8.6 million of 2011 ARS Securities were redeemed at par through the exercise of a portion of the 2011 Put Option. The 2011 Put Option does not meet the definition of derivative instruments under ASC 815. Therefore, the Company elected the fair value option under ASC 825-10 in accounting for the 2011 Put Option. As of June 30, 2014, the Company recorded $1.0 million as the fair market value of the 2011 Put Option, included in prepaid expenses and other current assets, as well as in other assets, in the condensed consolidated balance sheet.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The net effect of (i) the revaluation of the 2011 Put Option as of June 30, 2014; (ii) the redemption at par of certain 2011 ARS Securities; and (iii) the revaluation of the Company’s trading auction rate securities as of June 30, 2014 resulted in a loss of $0.012 million and $0.013 million, which is included in other income (expense) for the three- and six-months ended June 30, 2014, respectively. The net effect of</w:t>
      </w:r>
    </w:p>
    <w:p>
      <w:pPr>
        <w:spacing w:after="0" w:line="1" w:lineRule="exact"/>
        <w:rPr>
          <w:sz w:val="20"/>
          <w:szCs w:val="20"/>
          <w:color w:val="auto"/>
        </w:rPr>
      </w:pPr>
    </w:p>
    <w:p>
      <w:pPr>
        <w:jc w:val="both"/>
        <w:ind w:firstLine="8"/>
        <w:spacing w:after="0" w:line="241" w:lineRule="auto"/>
        <w:tabs>
          <w:tab w:leader="none" w:pos="266"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revaluation of the 2011 Put Option as of June 30, 2013; (ii) the revaluation of the Company’s trading auction rate securities as of June 30, 2013; and (iii) a recognized gain resulting from the redemption of previously other-than-temporary impaired securities; resulted in a gain of $0.1 million and $2.6 million, which is included in other (expense) income for the three- and six-months ended June 30, 2013, respectively.</w:t>
      </w:r>
    </w:p>
    <w:p>
      <w:pPr>
        <w:spacing w:after="0" w:line="20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following table provides a summary reconciliation of the Company’s financial assets that are recorded at fair value on a recurring basis using significant unobservable inputs (Level 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3"/>
          </w:tcPr>
          <w:p>
            <w:pPr>
              <w:jc w:val="center"/>
              <w:ind w:left="301"/>
              <w:spacing w:after="0"/>
              <w:rPr>
                <w:sz w:val="20"/>
                <w:szCs w:val="20"/>
                <w:color w:val="auto"/>
              </w:rPr>
            </w:pPr>
            <w:r>
              <w:rPr>
                <w:rFonts w:ascii="Arial" w:cs="Arial" w:eastAsia="Arial" w:hAnsi="Arial"/>
                <w:sz w:val="20"/>
                <w:szCs w:val="20"/>
                <w:color w:val="auto"/>
                <w:w w:val="89"/>
              </w:rPr>
              <w:t>Three-Months Ended</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3"/>
          </w:tcPr>
          <w:p>
            <w:pPr>
              <w:jc w:val="center"/>
              <w:ind w:left="261"/>
              <w:spacing w:after="0"/>
              <w:rPr>
                <w:sz w:val="20"/>
                <w:szCs w:val="20"/>
                <w:color w:val="auto"/>
              </w:rPr>
            </w:pPr>
            <w:r>
              <w:rPr>
                <w:rFonts w:ascii="Arial" w:cs="Arial" w:eastAsia="Arial" w:hAnsi="Arial"/>
                <w:sz w:val="20"/>
                <w:szCs w:val="20"/>
                <w:color w:val="auto"/>
                <w:w w:val="89"/>
              </w:rPr>
              <w:t>Three-Months Ended</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20"/>
                <w:szCs w:val="20"/>
                <w:color w:val="auto"/>
                <w:w w:val="88"/>
              </w:rPr>
              <w:t>June 30, 2014</w:t>
            </w:r>
          </w:p>
        </w:tc>
        <w:tc>
          <w:tcPr>
            <w:tcW w:w="6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center"/>
              <w:ind w:left="261"/>
              <w:spacing w:after="0"/>
              <w:rPr>
                <w:sz w:val="20"/>
                <w:szCs w:val="20"/>
                <w:color w:val="auto"/>
              </w:rPr>
            </w:pPr>
            <w:r>
              <w:rPr>
                <w:rFonts w:ascii="Arial" w:cs="Arial" w:eastAsia="Arial" w:hAnsi="Arial"/>
                <w:sz w:val="20"/>
                <w:szCs w:val="20"/>
                <w:color w:val="auto"/>
                <w:w w:val="88"/>
              </w:rPr>
              <w:t>June 30, 2013</w:t>
            </w: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520"/>
              <w:spacing w:after="0" w:line="207" w:lineRule="exact"/>
              <w:rPr>
                <w:sz w:val="20"/>
                <w:szCs w:val="20"/>
                <w:color w:val="auto"/>
              </w:rPr>
            </w:pPr>
            <w:r>
              <w:rPr>
                <w:rFonts w:ascii="Arial" w:cs="Arial" w:eastAsia="Arial" w:hAnsi="Arial"/>
                <w:sz w:val="20"/>
                <w:szCs w:val="20"/>
                <w:color w:val="auto"/>
                <w:w w:val="95"/>
              </w:rPr>
              <w:t>Auction</w:t>
            </w: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520"/>
              <w:spacing w:after="0" w:line="207" w:lineRule="exact"/>
              <w:rPr>
                <w:sz w:val="20"/>
                <w:szCs w:val="20"/>
                <w:color w:val="auto"/>
              </w:rPr>
            </w:pPr>
            <w:r>
              <w:rPr>
                <w:rFonts w:ascii="Arial" w:cs="Arial" w:eastAsia="Arial" w:hAnsi="Arial"/>
                <w:sz w:val="20"/>
                <w:szCs w:val="20"/>
                <w:color w:val="auto"/>
                <w:w w:val="95"/>
              </w:rPr>
              <w:t>Auction</w:t>
            </w: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20"/>
                <w:szCs w:val="20"/>
                <w:color w:val="auto"/>
                <w:w w:val="85"/>
              </w:rPr>
              <w:t>Rate</w:t>
            </w: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5"/>
              </w:rPr>
              <w:t>Rate</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vMerge w:val="restart"/>
          </w:tcPr>
          <w:p>
            <w:pPr>
              <w:spacing w:after="0"/>
              <w:rPr>
                <w:sz w:val="20"/>
                <w:szCs w:val="20"/>
                <w:color w:val="auto"/>
              </w:rPr>
            </w:pPr>
            <w:r>
              <w:rPr>
                <w:rFonts w:ascii="Arial" w:cs="Arial" w:eastAsia="Arial" w:hAnsi="Arial"/>
                <w:sz w:val="20"/>
                <w:szCs w:val="20"/>
                <w:color w:val="auto"/>
              </w:rPr>
              <w:t>Opening Balance</w:t>
            </w:r>
          </w:p>
        </w:tc>
        <w:tc>
          <w:tcPr>
            <w:tcW w:w="220" w:type="dxa"/>
            <w:vAlign w:val="bottom"/>
          </w:tcPr>
          <w:p>
            <w:pPr>
              <w:spacing w:after="0"/>
              <w:rPr>
                <w:sz w:val="21"/>
                <w:szCs w:val="21"/>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20"/>
                <w:szCs w:val="20"/>
                <w:color w:val="auto"/>
                <w:w w:val="88"/>
              </w:rPr>
              <w:t>Securities</w:t>
            </w:r>
          </w:p>
        </w:tc>
        <w:tc>
          <w:tcPr>
            <w:tcW w:w="1660" w:type="dxa"/>
            <w:vAlign w:val="bottom"/>
            <w:gridSpan w:val="3"/>
          </w:tcPr>
          <w:p>
            <w:pPr>
              <w:ind w:left="220"/>
              <w:spacing w:after="0"/>
              <w:rPr>
                <w:sz w:val="20"/>
                <w:szCs w:val="20"/>
                <w:color w:val="auto"/>
              </w:rPr>
            </w:pPr>
            <w:r>
              <w:rPr>
                <w:rFonts w:ascii="Arial" w:cs="Arial" w:eastAsia="Arial" w:hAnsi="Arial"/>
                <w:sz w:val="20"/>
                <w:szCs w:val="20"/>
                <w:color w:val="auto"/>
              </w:rPr>
              <w:t>Put Options</w:t>
            </w:r>
          </w:p>
        </w:tc>
        <w:tc>
          <w:tcPr>
            <w:tcW w:w="240" w:type="dxa"/>
            <w:vAlign w:val="bottom"/>
          </w:tcPr>
          <w:p>
            <w:pPr>
              <w:spacing w:after="0"/>
              <w:rPr>
                <w:sz w:val="21"/>
                <w:szCs w:val="21"/>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20"/>
                <w:szCs w:val="20"/>
                <w:color w:val="auto"/>
                <w:w w:val="88"/>
              </w:rPr>
              <w:t>Securities</w:t>
            </w:r>
          </w:p>
        </w:tc>
        <w:tc>
          <w:tcPr>
            <w:tcW w:w="1360" w:type="dxa"/>
            <w:vAlign w:val="bottom"/>
            <w:gridSpan w:val="2"/>
          </w:tcPr>
          <w:p>
            <w:pPr>
              <w:jc w:val="right"/>
              <w:ind w:right="121"/>
              <w:spacing w:after="0"/>
              <w:rPr>
                <w:sz w:val="20"/>
                <w:szCs w:val="20"/>
                <w:color w:val="auto"/>
              </w:rPr>
            </w:pPr>
            <w:r>
              <w:rPr>
                <w:rFonts w:ascii="Arial" w:cs="Arial" w:eastAsia="Arial" w:hAnsi="Arial"/>
                <w:sz w:val="20"/>
                <w:szCs w:val="20"/>
                <w:color w:val="auto"/>
              </w:rPr>
              <w:t>Put Options</w:t>
            </w:r>
          </w:p>
        </w:tc>
        <w:tc>
          <w:tcPr>
            <w:tcW w:w="0" w:type="dxa"/>
            <w:vAlign w:val="bottom"/>
          </w:tcPr>
          <w:p>
            <w:pPr>
              <w:spacing w:after="0"/>
              <w:rPr>
                <w:sz w:val="1"/>
                <w:szCs w:val="1"/>
                <w:color w:val="auto"/>
              </w:rPr>
            </w:pPr>
          </w:p>
        </w:tc>
      </w:tr>
      <w:tr>
        <w:trPr>
          <w:trHeight w:val="206"/>
        </w:trPr>
        <w:tc>
          <w:tcPr>
            <w:tcW w:w="5000" w:type="dxa"/>
            <w:vAlign w:val="bottom"/>
            <w:vMerge w:val="continue"/>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14,526</w:t>
            </w:r>
          </w:p>
        </w:tc>
        <w:tc>
          <w:tcPr>
            <w:tcW w:w="300" w:type="dxa"/>
            <w:vAlign w:val="bottom"/>
          </w:tcPr>
          <w:p>
            <w:pPr>
              <w:spacing w:after="0"/>
              <w:rPr>
                <w:sz w:val="17"/>
                <w:szCs w:val="17"/>
                <w:color w:val="auto"/>
              </w:rPr>
            </w:pPr>
          </w:p>
        </w:tc>
        <w:tc>
          <w:tcPr>
            <w:tcW w:w="760" w:type="dxa"/>
            <w:vAlign w:val="bottom"/>
            <w:tcBorders>
              <w:top w:val="single" w:sz="8" w:color="auto"/>
            </w:tcBorders>
          </w:tcPr>
          <w:p>
            <w:pPr>
              <w:jc w:val="right"/>
              <w:ind w:right="501"/>
              <w:spacing w:after="0" w:line="207" w:lineRule="exact"/>
              <w:rPr>
                <w:sz w:val="20"/>
                <w:szCs w:val="20"/>
                <w:color w:val="auto"/>
              </w:rPr>
            </w:pPr>
            <w:r>
              <w:rPr>
                <w:rFonts w:ascii="Arial" w:cs="Arial" w:eastAsia="Arial" w:hAnsi="Arial"/>
                <w:sz w:val="20"/>
                <w:szCs w:val="20"/>
                <w:color w:val="auto"/>
              </w:rPr>
              <w:t>$</w:t>
            </w:r>
          </w:p>
        </w:tc>
        <w:tc>
          <w:tcPr>
            <w:tcW w:w="6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w w:val="99"/>
              </w:rPr>
              <w:t>1,024</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17,370</w:t>
            </w:r>
          </w:p>
        </w:tc>
        <w:tc>
          <w:tcPr>
            <w:tcW w:w="280" w:type="dxa"/>
            <w:vAlign w:val="bottom"/>
          </w:tcPr>
          <w:p>
            <w:pPr>
              <w:spacing w:after="0"/>
              <w:rPr>
                <w:sz w:val="17"/>
                <w:szCs w:val="17"/>
                <w:color w:val="auto"/>
              </w:rPr>
            </w:pPr>
          </w:p>
        </w:tc>
        <w:tc>
          <w:tcPr>
            <w:tcW w:w="760" w:type="dxa"/>
            <w:vAlign w:val="bottom"/>
            <w:tcBorders>
              <w:top w:val="single" w:sz="8" w:color="auto"/>
            </w:tcBorders>
          </w:tcPr>
          <w:p>
            <w:pPr>
              <w:jc w:val="right"/>
              <w:ind w:right="501"/>
              <w:spacing w:after="0" w:line="207" w:lineRule="exact"/>
              <w:rPr>
                <w:sz w:val="20"/>
                <w:szCs w:val="20"/>
                <w:color w:val="auto"/>
              </w:rPr>
            </w:pPr>
            <w:r>
              <w:rPr>
                <w:rFonts w:ascii="Arial" w:cs="Arial" w:eastAsia="Arial" w:hAnsi="Arial"/>
                <w:sz w:val="20"/>
                <w:szCs w:val="20"/>
                <w:color w:val="auto"/>
              </w:rPr>
              <w:t>$</w:t>
            </w:r>
          </w:p>
        </w:tc>
        <w:tc>
          <w:tcPr>
            <w:tcW w:w="6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w w:val="91"/>
              </w:rPr>
              <w:t>2,011</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Transfers into Level 3</w:t>
            </w: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Transfers out of Level 3</w:t>
            </w: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Total gains (losses) for the period: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20"/>
                <w:szCs w:val="20"/>
                <w:color w:val="auto"/>
              </w:rPr>
              <w:t>Included in earnings</w:t>
            </w: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17</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392</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(325)</w:t>
            </w: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20"/>
                <w:szCs w:val="20"/>
                <w:color w:val="auto"/>
              </w:rPr>
              <w:t>Included in other comprehensive income</w:t>
            </w: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5000" w:type="dxa"/>
            <w:vAlign w:val="bottom"/>
          </w:tcPr>
          <w:p>
            <w:pPr>
              <w:ind w:left="180"/>
              <w:spacing w:after="0"/>
              <w:rPr>
                <w:sz w:val="20"/>
                <w:szCs w:val="20"/>
                <w:color w:val="auto"/>
              </w:rPr>
            </w:pPr>
            <w:r>
              <w:rPr>
                <w:rFonts w:ascii="Arial" w:cs="Arial" w:eastAsia="Arial" w:hAnsi="Arial"/>
                <w:sz w:val="20"/>
                <w:szCs w:val="20"/>
                <w:color w:val="auto"/>
              </w:rPr>
              <w:t>Settlements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(1,724)</w:t>
            </w:r>
          </w:p>
        </w:tc>
        <w:tc>
          <w:tcPr>
            <w:tcW w:w="3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000" w:type="dxa"/>
            <w:vAlign w:val="bottom"/>
          </w:tcPr>
          <w:p>
            <w:pPr>
              <w:spacing w:after="0" w:line="223" w:lineRule="exact"/>
              <w:rPr>
                <w:sz w:val="20"/>
                <w:szCs w:val="20"/>
                <w:color w:val="auto"/>
              </w:rPr>
            </w:pPr>
            <w:r>
              <w:rPr>
                <w:rFonts w:ascii="Arial" w:cs="Arial" w:eastAsia="Arial" w:hAnsi="Arial"/>
                <w:sz w:val="20"/>
                <w:szCs w:val="20"/>
                <w:color w:val="auto"/>
              </w:rPr>
              <w:t>Closing Balance</w:t>
            </w: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12,819</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994</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17,762</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w w:val="91"/>
              </w:rPr>
              <w:t>1,686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3"/>
          </w:tcPr>
          <w:p>
            <w:pPr>
              <w:jc w:val="center"/>
              <w:ind w:left="301"/>
              <w:spacing w:after="0"/>
              <w:rPr>
                <w:sz w:val="20"/>
                <w:szCs w:val="20"/>
                <w:color w:val="auto"/>
              </w:rPr>
            </w:pPr>
            <w:r>
              <w:rPr>
                <w:rFonts w:ascii="Arial" w:cs="Arial" w:eastAsia="Arial" w:hAnsi="Arial"/>
                <w:sz w:val="20"/>
                <w:szCs w:val="20"/>
                <w:color w:val="auto"/>
                <w:w w:val="90"/>
              </w:rPr>
              <w:t>Six-Months Ended</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3"/>
          </w:tcPr>
          <w:p>
            <w:pPr>
              <w:jc w:val="center"/>
              <w:ind w:left="261"/>
              <w:spacing w:after="0"/>
              <w:rPr>
                <w:sz w:val="20"/>
                <w:szCs w:val="20"/>
                <w:color w:val="auto"/>
              </w:rPr>
            </w:pPr>
            <w:r>
              <w:rPr>
                <w:rFonts w:ascii="Arial" w:cs="Arial" w:eastAsia="Arial" w:hAnsi="Arial"/>
                <w:sz w:val="20"/>
                <w:szCs w:val="20"/>
                <w:color w:val="auto"/>
                <w:w w:val="90"/>
              </w:rPr>
              <w:t>Six-Months Ended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20"/>
                <w:szCs w:val="20"/>
                <w:color w:val="auto"/>
                <w:w w:val="88"/>
              </w:rPr>
              <w:t>June 30, 2014</w:t>
            </w:r>
          </w:p>
        </w:tc>
        <w:tc>
          <w:tcPr>
            <w:tcW w:w="6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center"/>
              <w:ind w:left="261"/>
              <w:spacing w:after="0"/>
              <w:rPr>
                <w:sz w:val="20"/>
                <w:szCs w:val="20"/>
                <w:color w:val="auto"/>
              </w:rPr>
            </w:pPr>
            <w:r>
              <w:rPr>
                <w:rFonts w:ascii="Arial" w:cs="Arial" w:eastAsia="Arial" w:hAnsi="Arial"/>
                <w:sz w:val="20"/>
                <w:szCs w:val="20"/>
                <w:color w:val="auto"/>
                <w:w w:val="88"/>
              </w:rPr>
              <w:t>June 30, 2013</w:t>
            </w: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520"/>
              <w:spacing w:after="0" w:line="207" w:lineRule="exact"/>
              <w:rPr>
                <w:sz w:val="20"/>
                <w:szCs w:val="20"/>
                <w:color w:val="auto"/>
              </w:rPr>
            </w:pPr>
            <w:r>
              <w:rPr>
                <w:rFonts w:ascii="Arial" w:cs="Arial" w:eastAsia="Arial" w:hAnsi="Arial"/>
                <w:sz w:val="20"/>
                <w:szCs w:val="20"/>
                <w:color w:val="auto"/>
                <w:w w:val="95"/>
              </w:rPr>
              <w:t>Auction</w:t>
            </w: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520"/>
              <w:spacing w:after="0" w:line="207" w:lineRule="exact"/>
              <w:rPr>
                <w:sz w:val="20"/>
                <w:szCs w:val="20"/>
                <w:color w:val="auto"/>
              </w:rPr>
            </w:pPr>
            <w:r>
              <w:rPr>
                <w:rFonts w:ascii="Arial" w:cs="Arial" w:eastAsia="Arial" w:hAnsi="Arial"/>
                <w:sz w:val="20"/>
                <w:szCs w:val="20"/>
                <w:color w:val="auto"/>
                <w:w w:val="95"/>
              </w:rPr>
              <w:t>Auction</w:t>
            </w: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20"/>
                <w:szCs w:val="20"/>
                <w:color w:val="auto"/>
                <w:w w:val="85"/>
              </w:rPr>
              <w:t>Rate</w:t>
            </w: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5"/>
              </w:rPr>
              <w:t>Rate</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vMerge w:val="restart"/>
          </w:tcPr>
          <w:p>
            <w:pPr>
              <w:spacing w:after="0"/>
              <w:rPr>
                <w:sz w:val="20"/>
                <w:szCs w:val="20"/>
                <w:color w:val="auto"/>
              </w:rPr>
            </w:pPr>
            <w:r>
              <w:rPr>
                <w:rFonts w:ascii="Arial" w:cs="Arial" w:eastAsia="Arial" w:hAnsi="Arial"/>
                <w:sz w:val="20"/>
                <w:szCs w:val="20"/>
                <w:color w:val="auto"/>
              </w:rPr>
              <w:t>Opening Balance</w:t>
            </w:r>
          </w:p>
        </w:tc>
        <w:tc>
          <w:tcPr>
            <w:tcW w:w="220" w:type="dxa"/>
            <w:vAlign w:val="bottom"/>
          </w:tcPr>
          <w:p>
            <w:pPr>
              <w:spacing w:after="0"/>
              <w:rPr>
                <w:sz w:val="21"/>
                <w:szCs w:val="21"/>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20"/>
                <w:szCs w:val="20"/>
                <w:color w:val="auto"/>
                <w:w w:val="88"/>
              </w:rPr>
              <w:t>Securities</w:t>
            </w:r>
          </w:p>
        </w:tc>
        <w:tc>
          <w:tcPr>
            <w:tcW w:w="1660" w:type="dxa"/>
            <w:vAlign w:val="bottom"/>
            <w:gridSpan w:val="3"/>
          </w:tcPr>
          <w:p>
            <w:pPr>
              <w:ind w:left="220"/>
              <w:spacing w:after="0"/>
              <w:rPr>
                <w:sz w:val="20"/>
                <w:szCs w:val="20"/>
                <w:color w:val="auto"/>
              </w:rPr>
            </w:pPr>
            <w:r>
              <w:rPr>
                <w:rFonts w:ascii="Arial" w:cs="Arial" w:eastAsia="Arial" w:hAnsi="Arial"/>
                <w:sz w:val="20"/>
                <w:szCs w:val="20"/>
                <w:color w:val="auto"/>
              </w:rPr>
              <w:t>Put Options</w:t>
            </w:r>
          </w:p>
        </w:tc>
        <w:tc>
          <w:tcPr>
            <w:tcW w:w="240" w:type="dxa"/>
            <w:vAlign w:val="bottom"/>
          </w:tcPr>
          <w:p>
            <w:pPr>
              <w:spacing w:after="0"/>
              <w:rPr>
                <w:sz w:val="21"/>
                <w:szCs w:val="21"/>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20"/>
                <w:szCs w:val="20"/>
                <w:color w:val="auto"/>
                <w:w w:val="88"/>
              </w:rPr>
              <w:t>Securities</w:t>
            </w:r>
          </w:p>
        </w:tc>
        <w:tc>
          <w:tcPr>
            <w:tcW w:w="1360" w:type="dxa"/>
            <w:vAlign w:val="bottom"/>
            <w:gridSpan w:val="2"/>
          </w:tcPr>
          <w:p>
            <w:pPr>
              <w:jc w:val="right"/>
              <w:ind w:right="121"/>
              <w:spacing w:after="0"/>
              <w:rPr>
                <w:sz w:val="20"/>
                <w:szCs w:val="20"/>
                <w:color w:val="auto"/>
              </w:rPr>
            </w:pPr>
            <w:r>
              <w:rPr>
                <w:rFonts w:ascii="Arial" w:cs="Arial" w:eastAsia="Arial" w:hAnsi="Arial"/>
                <w:sz w:val="20"/>
                <w:szCs w:val="20"/>
                <w:color w:val="auto"/>
              </w:rPr>
              <w:t>Put Options</w:t>
            </w:r>
          </w:p>
        </w:tc>
        <w:tc>
          <w:tcPr>
            <w:tcW w:w="0" w:type="dxa"/>
            <w:vAlign w:val="bottom"/>
          </w:tcPr>
          <w:p>
            <w:pPr>
              <w:spacing w:after="0"/>
              <w:rPr>
                <w:sz w:val="1"/>
                <w:szCs w:val="1"/>
                <w:color w:val="auto"/>
              </w:rPr>
            </w:pPr>
          </w:p>
        </w:tc>
      </w:tr>
      <w:tr>
        <w:trPr>
          <w:trHeight w:val="206"/>
        </w:trPr>
        <w:tc>
          <w:tcPr>
            <w:tcW w:w="5000" w:type="dxa"/>
            <w:vAlign w:val="bottom"/>
            <w:vMerge w:val="continue"/>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16,184</w:t>
            </w:r>
          </w:p>
        </w:tc>
        <w:tc>
          <w:tcPr>
            <w:tcW w:w="300" w:type="dxa"/>
            <w:vAlign w:val="bottom"/>
          </w:tcPr>
          <w:p>
            <w:pPr>
              <w:spacing w:after="0"/>
              <w:rPr>
                <w:sz w:val="17"/>
                <w:szCs w:val="17"/>
                <w:color w:val="auto"/>
              </w:rPr>
            </w:pPr>
          </w:p>
        </w:tc>
        <w:tc>
          <w:tcPr>
            <w:tcW w:w="760" w:type="dxa"/>
            <w:vAlign w:val="bottom"/>
            <w:tcBorders>
              <w:top w:val="single" w:sz="8" w:color="auto"/>
            </w:tcBorders>
          </w:tcPr>
          <w:p>
            <w:pPr>
              <w:jc w:val="right"/>
              <w:ind w:right="501"/>
              <w:spacing w:after="0" w:line="207" w:lineRule="exact"/>
              <w:rPr>
                <w:sz w:val="20"/>
                <w:szCs w:val="20"/>
                <w:color w:val="auto"/>
              </w:rPr>
            </w:pPr>
            <w:r>
              <w:rPr>
                <w:rFonts w:ascii="Arial" w:cs="Arial" w:eastAsia="Arial" w:hAnsi="Arial"/>
                <w:sz w:val="20"/>
                <w:szCs w:val="20"/>
                <w:color w:val="auto"/>
              </w:rPr>
              <w:t>$</w:t>
            </w:r>
          </w:p>
        </w:tc>
        <w:tc>
          <w:tcPr>
            <w:tcW w:w="6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w w:val="99"/>
              </w:rPr>
              <w:t>1,092</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23,156</w:t>
            </w:r>
          </w:p>
        </w:tc>
        <w:tc>
          <w:tcPr>
            <w:tcW w:w="280" w:type="dxa"/>
            <w:vAlign w:val="bottom"/>
          </w:tcPr>
          <w:p>
            <w:pPr>
              <w:spacing w:after="0"/>
              <w:rPr>
                <w:sz w:val="17"/>
                <w:szCs w:val="17"/>
                <w:color w:val="auto"/>
              </w:rPr>
            </w:pPr>
          </w:p>
        </w:tc>
        <w:tc>
          <w:tcPr>
            <w:tcW w:w="760" w:type="dxa"/>
            <w:vAlign w:val="bottom"/>
            <w:tcBorders>
              <w:top w:val="single" w:sz="8" w:color="auto"/>
            </w:tcBorders>
          </w:tcPr>
          <w:p>
            <w:pPr>
              <w:jc w:val="right"/>
              <w:ind w:right="501"/>
              <w:spacing w:after="0" w:line="207" w:lineRule="exact"/>
              <w:rPr>
                <w:sz w:val="20"/>
                <w:szCs w:val="20"/>
                <w:color w:val="auto"/>
              </w:rPr>
            </w:pPr>
            <w:r>
              <w:rPr>
                <w:rFonts w:ascii="Arial" w:cs="Arial" w:eastAsia="Arial" w:hAnsi="Arial"/>
                <w:sz w:val="20"/>
                <w:szCs w:val="20"/>
                <w:color w:val="auto"/>
              </w:rPr>
              <w:t>$</w:t>
            </w:r>
          </w:p>
        </w:tc>
        <w:tc>
          <w:tcPr>
            <w:tcW w:w="6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w w:val="91"/>
              </w:rPr>
              <w:t>1,929</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Transfers into Level 3</w:t>
            </w: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Transfers out of Level 3</w:t>
            </w: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Total gains (losses) for the period: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20"/>
                <w:szCs w:val="20"/>
                <w:color w:val="auto"/>
              </w:rPr>
              <w:t>Included in earnings</w:t>
            </w: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84</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2,881</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(243)</w:t>
            </w: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20"/>
                <w:szCs w:val="20"/>
                <w:color w:val="auto"/>
              </w:rPr>
              <w:t>Included in other comprehensive income</w:t>
            </w: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(2,483)</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5000" w:type="dxa"/>
            <w:vAlign w:val="bottom"/>
          </w:tcPr>
          <w:p>
            <w:pPr>
              <w:ind w:left="180"/>
              <w:spacing w:after="0"/>
              <w:rPr>
                <w:sz w:val="20"/>
                <w:szCs w:val="20"/>
                <w:color w:val="auto"/>
              </w:rPr>
            </w:pPr>
            <w:r>
              <w:rPr>
                <w:rFonts w:ascii="Arial" w:cs="Arial" w:eastAsia="Arial" w:hAnsi="Arial"/>
                <w:sz w:val="20"/>
                <w:szCs w:val="20"/>
                <w:color w:val="auto"/>
              </w:rPr>
              <w:t>Settlements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(3,449)</w:t>
            </w:r>
          </w:p>
        </w:tc>
        <w:tc>
          <w:tcPr>
            <w:tcW w:w="3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(5,792)</w:t>
            </w:r>
          </w:p>
        </w:tc>
        <w:tc>
          <w:tcPr>
            <w:tcW w:w="28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000" w:type="dxa"/>
            <w:vAlign w:val="bottom"/>
          </w:tcPr>
          <w:p>
            <w:pPr>
              <w:spacing w:after="0" w:line="223" w:lineRule="exact"/>
              <w:rPr>
                <w:sz w:val="20"/>
                <w:szCs w:val="20"/>
                <w:color w:val="auto"/>
              </w:rPr>
            </w:pPr>
            <w:r>
              <w:rPr>
                <w:rFonts w:ascii="Arial" w:cs="Arial" w:eastAsia="Arial" w:hAnsi="Arial"/>
                <w:sz w:val="20"/>
                <w:szCs w:val="20"/>
                <w:color w:val="auto"/>
              </w:rPr>
              <w:t>Closing Balance</w:t>
            </w: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12,819</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994</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17,762</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w w:val="91"/>
              </w:rPr>
              <w:t>1,686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17" w:gutter="0" w:footer="0" w:header="0"/>
        </w:sectPr>
      </w:pPr>
    </w:p>
    <w:bookmarkStart w:id="9" w:name="page10"/>
    <w:bookmarkEnd w:id="9"/>
    <w:p>
      <w:pPr>
        <w:ind w:left="640" w:hanging="632"/>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3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is exposed to foreign currency exchange rate risks related primarily to its foreign business operations. During the three-and six-months ended June 30, 2014,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the Company as of June 30, 2014 have terms of one month or less. The Company does not enter into forward currency exchange contracts for speculation or trading purposes.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income (expense), net, in the condensed consolidated statements of income, and are largely offset by the changes in the fair value of the underlying economically hedged item.</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condensed consolidated balance sheets consist of the following at: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gridSpan w:val="2"/>
            <w:vMerge w:val="restart"/>
          </w:tcPr>
          <w:p>
            <w:pPr>
              <w:ind w:left="1280"/>
              <w:spacing w:after="0"/>
              <w:rPr>
                <w:sz w:val="20"/>
                <w:szCs w:val="20"/>
                <w:color w:val="auto"/>
              </w:rPr>
            </w:pPr>
            <w:r>
              <w:rPr>
                <w:rFonts w:ascii="Arial" w:cs="Arial" w:eastAsia="Arial" w:hAnsi="Arial"/>
                <w:sz w:val="20"/>
                <w:szCs w:val="20"/>
                <w:color w:val="auto"/>
              </w:rPr>
              <w:t>Derivatives not designated as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180" w:type="dxa"/>
            <w:vAlign w:val="bottom"/>
            <w:tcBorders>
              <w:bottom w:val="single" w:sz="8" w:color="auto"/>
            </w:tcBorders>
            <w:gridSpan w:val="3"/>
          </w:tcPr>
          <w:p>
            <w:pPr>
              <w:ind w:left="580"/>
              <w:spacing w:after="0"/>
              <w:rPr>
                <w:sz w:val="20"/>
                <w:szCs w:val="20"/>
                <w:color w:val="auto"/>
              </w:rPr>
            </w:pPr>
            <w:r>
              <w:rPr>
                <w:rFonts w:ascii="Arial" w:cs="Arial" w:eastAsia="Arial" w:hAnsi="Arial"/>
                <w:sz w:val="20"/>
                <w:szCs w:val="20"/>
                <w:color w:val="auto"/>
              </w:rPr>
              <w:t>June 30,2014</w:t>
            </w:r>
          </w:p>
        </w:tc>
        <w:tc>
          <w:tcPr>
            <w:tcW w:w="0" w:type="dxa"/>
            <w:vAlign w:val="bottom"/>
          </w:tcPr>
          <w:p>
            <w:pPr>
              <w:spacing w:after="0"/>
              <w:rPr>
                <w:sz w:val="1"/>
                <w:szCs w:val="1"/>
                <w:color w:val="auto"/>
              </w:rPr>
            </w:pPr>
          </w:p>
        </w:tc>
      </w:tr>
      <w:tr>
        <w:trPr>
          <w:trHeight w:val="193"/>
        </w:trPr>
        <w:tc>
          <w:tcPr>
            <w:tcW w:w="5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1480"/>
              <w:spacing w:after="0"/>
              <w:rPr>
                <w:sz w:val="20"/>
                <w:szCs w:val="20"/>
                <w:color w:val="auto"/>
              </w:rPr>
            </w:pPr>
            <w:r>
              <w:rPr>
                <w:rFonts w:ascii="Arial" w:cs="Arial" w:eastAsia="Arial" w:hAnsi="Arial"/>
                <w:sz w:val="20"/>
                <w:szCs w:val="20"/>
                <w:color w:val="auto"/>
              </w:rPr>
              <w:t>hedging instruments under</w:t>
            </w:r>
          </w:p>
        </w:tc>
        <w:tc>
          <w:tcPr>
            <w:tcW w:w="26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20"/>
                <w:szCs w:val="20"/>
                <w:color w:val="auto"/>
              </w:rPr>
              <w:t>Notional</w:t>
            </w:r>
          </w:p>
        </w:tc>
        <w:tc>
          <w:tcPr>
            <w:tcW w:w="32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20"/>
                <w:szCs w:val="20"/>
                <w:color w:val="auto"/>
              </w:rPr>
              <w:t>Fair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860" w:type="dxa"/>
            <w:vAlign w:val="bottom"/>
            <w:tcBorders>
              <w:bottom w:val="single" w:sz="8" w:color="auto"/>
            </w:tcBorders>
          </w:tcPr>
          <w:p>
            <w:pPr>
              <w:ind w:left="1760"/>
              <w:spacing w:after="0"/>
              <w:rPr>
                <w:sz w:val="20"/>
                <w:szCs w:val="20"/>
                <w:color w:val="auto"/>
              </w:rPr>
            </w:pPr>
            <w:r>
              <w:rPr>
                <w:rFonts w:ascii="Arial" w:cs="Arial" w:eastAsia="Arial" w:hAnsi="Arial"/>
                <w:sz w:val="20"/>
                <w:szCs w:val="20"/>
                <w:color w:val="auto"/>
              </w:rPr>
              <w:t>FASB ASC 815-20</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1"/>
                <w:szCs w:val="21"/>
                <w:color w:val="auto"/>
              </w:rPr>
            </w:pPr>
          </w:p>
        </w:tc>
        <w:tc>
          <w:tcPr>
            <w:tcW w:w="2860" w:type="dxa"/>
            <w:vAlign w:val="bottom"/>
            <w:tcBorders>
              <w:bottom w:val="single" w:sz="8" w:color="auto"/>
            </w:tcBorders>
          </w:tcPr>
          <w:p>
            <w:pPr>
              <w:ind w:left="480"/>
              <w:spacing w:after="0"/>
              <w:rPr>
                <w:sz w:val="20"/>
                <w:szCs w:val="20"/>
                <w:color w:val="auto"/>
              </w:rPr>
            </w:pPr>
            <w:r>
              <w:rPr>
                <w:rFonts w:ascii="Arial" w:cs="Arial" w:eastAsia="Arial" w:hAnsi="Arial"/>
                <w:sz w:val="20"/>
                <w:szCs w:val="20"/>
                <w:color w:val="auto"/>
              </w:rPr>
              <w:t>Balance Sheet Location</w:t>
            </w:r>
          </w:p>
        </w:tc>
        <w:tc>
          <w:tcPr>
            <w:tcW w:w="0" w:type="dxa"/>
            <w:vAlign w:val="bottom"/>
          </w:tcPr>
          <w:p>
            <w:pPr>
              <w:spacing w:after="0"/>
              <w:rPr>
                <w:sz w:val="1"/>
                <w:szCs w:val="1"/>
                <w:color w:val="auto"/>
              </w:rPr>
            </w:pPr>
          </w:p>
        </w:tc>
      </w:tr>
      <w:tr>
        <w:trPr>
          <w:trHeight w:val="328"/>
        </w:trPr>
        <w:tc>
          <w:tcPr>
            <w:tcW w:w="5160" w:type="dxa"/>
            <w:vAlign w:val="bottom"/>
            <w:gridSpan w:val="2"/>
          </w:tcPr>
          <w:p>
            <w:pPr>
              <w:spacing w:after="0"/>
              <w:rPr>
                <w:sz w:val="20"/>
                <w:szCs w:val="20"/>
                <w:color w:val="auto"/>
              </w:rPr>
            </w:pPr>
            <w:r>
              <w:rPr>
                <w:rFonts w:ascii="Arial" w:cs="Arial" w:eastAsia="Arial" w:hAnsi="Arial"/>
                <w:sz w:val="20"/>
                <w:szCs w:val="20"/>
                <w:color w:val="auto"/>
              </w:rPr>
              <w:t>Assets: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80"/>
              <w:spacing w:after="0"/>
              <w:rPr>
                <w:sz w:val="20"/>
                <w:szCs w:val="20"/>
                <w:color w:val="auto"/>
              </w:rPr>
            </w:pPr>
            <w:r>
              <w:rPr>
                <w:rFonts w:ascii="Arial" w:cs="Arial" w:eastAsia="Arial" w:hAnsi="Arial"/>
                <w:sz w:val="20"/>
                <w:szCs w:val="20"/>
                <w:color w:val="auto"/>
              </w:rPr>
              <w:t>Foreign currency exchange contracts: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720"/>
              <w:spacing w:after="0"/>
              <w:rPr>
                <w:sz w:val="20"/>
                <w:szCs w:val="20"/>
                <w:color w:val="auto"/>
              </w:rPr>
            </w:pPr>
            <w:r>
              <w:rPr>
                <w:rFonts w:ascii="Arial" w:cs="Arial" w:eastAsia="Arial" w:hAnsi="Arial"/>
                <w:sz w:val="20"/>
                <w:szCs w:val="20"/>
                <w:color w:val="auto"/>
              </w:rPr>
              <w:t>Receive EUR/pay USD</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18,109</w:t>
            </w:r>
          </w:p>
        </w:tc>
        <w:tc>
          <w:tcPr>
            <w:tcW w:w="28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108</w:t>
            </w:r>
          </w:p>
        </w:tc>
        <w:tc>
          <w:tcPr>
            <w:tcW w:w="28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720"/>
              <w:spacing w:after="0"/>
              <w:rPr>
                <w:sz w:val="20"/>
                <w:szCs w:val="20"/>
                <w:color w:val="auto"/>
              </w:rPr>
            </w:pPr>
            <w:r>
              <w:rPr>
                <w:rFonts w:ascii="Arial" w:cs="Arial" w:eastAsia="Arial" w:hAnsi="Arial"/>
                <w:sz w:val="20"/>
                <w:szCs w:val="20"/>
                <w:color w:val="auto"/>
              </w:rPr>
              <w:t>Receive CAD/pay USD</w:t>
            </w:r>
          </w:p>
        </w:tc>
        <w:tc>
          <w:tcPr>
            <w:tcW w:w="2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24,219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45</w:t>
            </w:r>
          </w:p>
        </w:tc>
        <w:tc>
          <w:tcPr>
            <w:tcW w:w="28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720"/>
              <w:spacing w:after="0"/>
              <w:rPr>
                <w:sz w:val="20"/>
                <w:szCs w:val="20"/>
                <w:color w:val="auto"/>
              </w:rPr>
            </w:pPr>
            <w:r>
              <w:rPr>
                <w:rFonts w:ascii="Arial" w:cs="Arial" w:eastAsia="Arial" w:hAnsi="Arial"/>
                <w:sz w:val="20"/>
                <w:szCs w:val="20"/>
                <w:color w:val="auto"/>
              </w:rPr>
              <w:t>Receive USD/pay ZAR</w:t>
            </w:r>
          </w:p>
        </w:tc>
        <w:tc>
          <w:tcPr>
            <w:tcW w:w="2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19,102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31</w:t>
            </w:r>
          </w:p>
        </w:tc>
        <w:tc>
          <w:tcPr>
            <w:tcW w:w="28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0" w:type="dxa"/>
            <w:vAlign w:val="bottom"/>
          </w:tcPr>
          <w:p>
            <w:pPr>
              <w:spacing w:after="0"/>
              <w:rPr>
                <w:sz w:val="1"/>
                <w:szCs w:val="1"/>
                <w:color w:val="auto"/>
              </w:rPr>
            </w:pPr>
          </w:p>
        </w:tc>
      </w:tr>
      <w:tr>
        <w:trPr>
          <w:trHeight w:val="250"/>
        </w:trPr>
        <w:tc>
          <w:tcPr>
            <w:tcW w:w="5160" w:type="dxa"/>
            <w:vAlign w:val="bottom"/>
            <w:gridSpan w:val="2"/>
          </w:tcPr>
          <w:p>
            <w:pPr>
              <w:ind w:left="720"/>
              <w:spacing w:after="0"/>
              <w:rPr>
                <w:sz w:val="20"/>
                <w:szCs w:val="20"/>
                <w:color w:val="auto"/>
              </w:rPr>
            </w:pPr>
            <w:r>
              <w:rPr>
                <w:rFonts w:ascii="Arial" w:cs="Arial" w:eastAsia="Arial" w:hAnsi="Arial"/>
                <w:sz w:val="20"/>
                <w:szCs w:val="20"/>
                <w:color w:val="auto"/>
              </w:rPr>
              <w:t>Receive USD/pay CLP</w:t>
            </w:r>
          </w:p>
        </w:tc>
        <w:tc>
          <w:tcPr>
            <w:tcW w:w="26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5,533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0" w:type="dxa"/>
            <w:vAlign w:val="bottom"/>
          </w:tcPr>
          <w:p>
            <w:pPr>
              <w:spacing w:after="0"/>
              <w:rPr>
                <w:sz w:val="1"/>
                <w:szCs w:val="1"/>
                <w:color w:val="auto"/>
              </w:rPr>
            </w:pPr>
          </w:p>
        </w:tc>
      </w:tr>
      <w:tr>
        <w:trPr>
          <w:trHeight w:val="438"/>
        </w:trPr>
        <w:tc>
          <w:tcPr>
            <w:tcW w:w="516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80"/>
              <w:spacing w:after="0"/>
              <w:rPr>
                <w:sz w:val="20"/>
                <w:szCs w:val="20"/>
                <w:color w:val="auto"/>
              </w:rPr>
            </w:pPr>
            <w:r>
              <w:rPr>
                <w:rFonts w:ascii="Arial" w:cs="Arial" w:eastAsia="Arial" w:hAnsi="Arial"/>
                <w:sz w:val="20"/>
                <w:szCs w:val="20"/>
                <w:color w:val="auto"/>
              </w:rPr>
              <w:t>Foreign currency exchange contracts: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720"/>
              <w:spacing w:after="0"/>
              <w:rPr>
                <w:sz w:val="20"/>
                <w:szCs w:val="20"/>
                <w:color w:val="auto"/>
              </w:rPr>
            </w:pPr>
            <w:r>
              <w:rPr>
                <w:rFonts w:ascii="Arial" w:cs="Arial" w:eastAsia="Arial" w:hAnsi="Arial"/>
                <w:sz w:val="20"/>
                <w:szCs w:val="20"/>
                <w:color w:val="auto"/>
              </w:rPr>
              <w:t>Receive USD/pay AUD</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8,919</w:t>
            </w:r>
          </w:p>
        </w:tc>
        <w:tc>
          <w:tcPr>
            <w:tcW w:w="28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(18)</w:t>
            </w:r>
          </w:p>
        </w:tc>
        <w:tc>
          <w:tcPr>
            <w:tcW w:w="28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r>
        <w:trPr>
          <w:trHeight w:val="230"/>
        </w:trPr>
        <w:tc>
          <w:tcPr>
            <w:tcW w:w="5160" w:type="dxa"/>
            <w:vAlign w:val="bottom"/>
            <w:gridSpan w:val="2"/>
          </w:tcPr>
          <w:p>
            <w:pPr>
              <w:ind w:left="720"/>
              <w:spacing w:after="0"/>
              <w:rPr>
                <w:sz w:val="20"/>
                <w:szCs w:val="20"/>
                <w:color w:val="auto"/>
              </w:rPr>
            </w:pPr>
            <w:r>
              <w:rPr>
                <w:rFonts w:ascii="Arial" w:cs="Arial" w:eastAsia="Arial" w:hAnsi="Arial"/>
                <w:sz w:val="20"/>
                <w:szCs w:val="20"/>
                <w:color w:val="auto"/>
              </w:rPr>
              <w:t>Receive USD/pay JPY</w:t>
            </w:r>
          </w:p>
        </w:tc>
        <w:tc>
          <w:tcPr>
            <w:tcW w:w="2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18,635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(90)</w:t>
            </w:r>
          </w:p>
        </w:tc>
        <w:tc>
          <w:tcPr>
            <w:tcW w:w="28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r>
        <w:trPr>
          <w:trHeight w:val="230"/>
        </w:trPr>
        <w:tc>
          <w:tcPr>
            <w:tcW w:w="5160" w:type="dxa"/>
            <w:vAlign w:val="bottom"/>
            <w:gridSpan w:val="2"/>
          </w:tcPr>
          <w:p>
            <w:pPr>
              <w:ind w:left="720"/>
              <w:spacing w:after="0"/>
              <w:rPr>
                <w:sz w:val="20"/>
                <w:szCs w:val="20"/>
                <w:color w:val="auto"/>
              </w:rPr>
            </w:pPr>
            <w:r>
              <w:rPr>
                <w:rFonts w:ascii="Arial" w:cs="Arial" w:eastAsia="Arial" w:hAnsi="Arial"/>
                <w:sz w:val="20"/>
                <w:szCs w:val="20"/>
                <w:color w:val="auto"/>
              </w:rPr>
              <w:t>Receive USD/pay MXN</w:t>
            </w:r>
          </w:p>
        </w:tc>
        <w:tc>
          <w:tcPr>
            <w:tcW w:w="2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7,878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(30)</w:t>
            </w:r>
          </w:p>
        </w:tc>
        <w:tc>
          <w:tcPr>
            <w:tcW w:w="28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r>
        <w:trPr>
          <w:trHeight w:val="250"/>
        </w:trPr>
        <w:tc>
          <w:tcPr>
            <w:tcW w:w="5160" w:type="dxa"/>
            <w:vAlign w:val="bottom"/>
            <w:gridSpan w:val="2"/>
          </w:tcPr>
          <w:p>
            <w:pPr>
              <w:ind w:left="720"/>
              <w:spacing w:after="0"/>
              <w:rPr>
                <w:sz w:val="20"/>
                <w:szCs w:val="20"/>
                <w:color w:val="auto"/>
              </w:rPr>
            </w:pPr>
            <w:r>
              <w:rPr>
                <w:rFonts w:ascii="Arial" w:cs="Arial" w:eastAsia="Arial" w:hAnsi="Arial"/>
                <w:sz w:val="20"/>
                <w:szCs w:val="20"/>
                <w:color w:val="auto"/>
              </w:rPr>
              <w:t>Receive USD/pay COP</w:t>
            </w:r>
          </w:p>
        </w:tc>
        <w:tc>
          <w:tcPr>
            <w:tcW w:w="26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1,932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w:t>
            </w:r>
          </w:p>
        </w:tc>
        <w:tc>
          <w:tcPr>
            <w:tcW w:w="28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had no foreign currency exchange contracts outstanding at December 31, 2013.</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losses on derivative instruments in the condensed consolidated statements of income were as follows:</w:t>
      </w:r>
    </w:p>
    <w:p>
      <w:pPr>
        <w:spacing w:after="0" w:line="216" w:lineRule="exact"/>
        <w:rPr>
          <w:sz w:val="20"/>
          <w:szCs w:val="20"/>
          <w:color w:val="auto"/>
        </w:rPr>
      </w:pPr>
    </w:p>
    <w:p>
      <w:pPr>
        <w:jc w:val="center"/>
        <w:ind w:left="8220"/>
        <w:spacing w:after="0"/>
        <w:rPr>
          <w:sz w:val="20"/>
          <w:szCs w:val="20"/>
          <w:color w:val="auto"/>
        </w:rPr>
      </w:pPr>
      <w:r>
        <w:rPr>
          <w:rFonts w:ascii="Arial" w:cs="Arial" w:eastAsia="Arial" w:hAnsi="Arial"/>
          <w:sz w:val="20"/>
          <w:szCs w:val="20"/>
          <w:color w:val="auto"/>
        </w:rPr>
        <w:t>Amount of loss</w:t>
      </w:r>
    </w:p>
    <w:p>
      <w:pPr>
        <w:spacing w:after="0" w:line="15" w:lineRule="exact"/>
        <w:rPr>
          <w:sz w:val="20"/>
          <w:szCs w:val="20"/>
          <w:color w:val="auto"/>
        </w:rPr>
      </w:pPr>
    </w:p>
    <w:p>
      <w:pPr>
        <w:jc w:val="center"/>
        <w:ind w:left="8220"/>
        <w:spacing w:after="0"/>
        <w:rPr>
          <w:sz w:val="20"/>
          <w:szCs w:val="20"/>
          <w:color w:val="auto"/>
        </w:rPr>
      </w:pPr>
      <w:r>
        <w:rPr>
          <w:rFonts w:ascii="Arial" w:cs="Arial" w:eastAsia="Arial" w:hAnsi="Arial"/>
          <w:sz w:val="20"/>
          <w:szCs w:val="20"/>
          <w:color w:val="auto"/>
        </w:rPr>
        <w:t>recognized in income on</w:t>
      </w:r>
    </w:p>
    <w:p>
      <w:pPr>
        <w:jc w:val="center"/>
        <w:ind w:left="8220"/>
        <w:spacing w:after="0"/>
        <w:rPr>
          <w:sz w:val="20"/>
          <w:szCs w:val="20"/>
          <w:color w:val="auto"/>
        </w:rPr>
      </w:pPr>
      <w:r>
        <w:rPr>
          <w:rFonts w:ascii="Arial" w:cs="Arial" w:eastAsia="Arial" w:hAnsi="Arial"/>
          <w:sz w:val="20"/>
          <w:szCs w:val="20"/>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0</wp:posOffset>
            </wp:positionV>
            <wp:extent cx="1903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9000"/>
        <w:spacing w:after="0"/>
        <w:rPr>
          <w:sz w:val="20"/>
          <w:szCs w:val="20"/>
          <w:color w:val="auto"/>
        </w:rPr>
      </w:pPr>
      <w:r>
        <w:rPr>
          <w:rFonts w:ascii="Arial" w:cs="Arial" w:eastAsia="Arial" w:hAnsi="Arial"/>
          <w:sz w:val="20"/>
          <w:szCs w:val="20"/>
          <w:color w:val="auto"/>
        </w:rPr>
        <w:t>Three-months ended</w:t>
      </w:r>
    </w:p>
    <w:tbl>
      <w:tblPr>
        <w:tblLayout w:type="fixed"/>
        <w:tblInd w:w="0" w:type="dxa"/>
        <w:tblCellMar>
          <w:top w:w="0" w:type="dxa"/>
          <w:left w:w="0" w:type="dxa"/>
          <w:bottom w:w="0" w:type="dxa"/>
          <w:right w:w="0" w:type="dxa"/>
        </w:tblCellMar>
      </w:tblPr>
      <w:tr>
        <w:trPr>
          <w:trHeight w:val="202"/>
        </w:trPr>
        <w:tc>
          <w:tcPr>
            <w:tcW w:w="4200" w:type="dxa"/>
            <w:vAlign w:val="bottom"/>
            <w:gridSpan w:val="2"/>
          </w:tcPr>
          <w:p>
            <w:pPr>
              <w:ind w:left="820"/>
              <w:spacing w:after="0" w:line="202" w:lineRule="exact"/>
              <w:rPr>
                <w:sz w:val="20"/>
                <w:szCs w:val="20"/>
                <w:color w:val="auto"/>
              </w:rPr>
            </w:pPr>
            <w:r>
              <w:rPr>
                <w:rFonts w:ascii="Arial" w:cs="Arial" w:eastAsia="Arial" w:hAnsi="Arial"/>
                <w:sz w:val="20"/>
                <w:szCs w:val="20"/>
                <w:color w:val="auto"/>
              </w:rPr>
              <w:t>Derivatives not designated as</w:t>
            </w:r>
          </w:p>
        </w:tc>
        <w:tc>
          <w:tcPr>
            <w:tcW w:w="4120" w:type="dxa"/>
            <w:vAlign w:val="bottom"/>
            <w:gridSpan w:val="2"/>
          </w:tcPr>
          <w:p>
            <w:pPr>
              <w:jc w:val="center"/>
              <w:ind w:right="280"/>
              <w:spacing w:after="0" w:line="202" w:lineRule="exact"/>
              <w:rPr>
                <w:sz w:val="20"/>
                <w:szCs w:val="20"/>
                <w:color w:val="auto"/>
              </w:rPr>
            </w:pPr>
            <w:r>
              <w:rPr>
                <w:rFonts w:ascii="Arial" w:cs="Arial" w:eastAsia="Arial" w:hAnsi="Arial"/>
                <w:sz w:val="20"/>
                <w:szCs w:val="20"/>
                <w:color w:val="auto"/>
                <w:w w:val="92"/>
              </w:rPr>
              <w:t>Location of loss</w:t>
            </w: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0"/>
        </w:trPr>
        <w:tc>
          <w:tcPr>
            <w:tcW w:w="4200" w:type="dxa"/>
            <w:vAlign w:val="bottom"/>
            <w:gridSpan w:val="2"/>
          </w:tcPr>
          <w:p>
            <w:pPr>
              <w:jc w:val="center"/>
              <w:ind w:right="60"/>
              <w:spacing w:after="0"/>
              <w:rPr>
                <w:sz w:val="20"/>
                <w:szCs w:val="20"/>
                <w:color w:val="auto"/>
              </w:rPr>
            </w:pPr>
            <w:r>
              <w:rPr>
                <w:rFonts w:ascii="Arial" w:cs="Arial" w:eastAsia="Arial" w:hAnsi="Arial"/>
                <w:sz w:val="20"/>
                <w:szCs w:val="20"/>
                <w:color w:val="auto"/>
                <w:w w:val="88"/>
              </w:rPr>
              <w:t>hedging instruments under</w:t>
            </w:r>
          </w:p>
        </w:tc>
        <w:tc>
          <w:tcPr>
            <w:tcW w:w="412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recognized in income on</w:t>
            </w:r>
          </w:p>
        </w:tc>
        <w:tc>
          <w:tcPr>
            <w:tcW w:w="260" w:type="dxa"/>
            <w:vAlign w:val="bottom"/>
          </w:tcPr>
          <w:p>
            <w:pPr>
              <w:spacing w:after="0"/>
              <w:rPr>
                <w:sz w:val="19"/>
                <w:szCs w:val="19"/>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20"/>
                <w:szCs w:val="20"/>
                <w:color w:val="auto"/>
                <w:w w:val="85"/>
              </w:rPr>
              <w:t>June 30,</w:t>
            </w:r>
          </w:p>
        </w:tc>
        <w:tc>
          <w:tcPr>
            <w:tcW w:w="280" w:type="dxa"/>
            <w:vAlign w:val="bottom"/>
          </w:tcPr>
          <w:p>
            <w:pPr>
              <w:spacing w:after="0"/>
              <w:rPr>
                <w:sz w:val="19"/>
                <w:szCs w:val="19"/>
                <w:color w:val="auto"/>
              </w:rPr>
            </w:pPr>
          </w:p>
        </w:tc>
        <w:tc>
          <w:tcPr>
            <w:tcW w:w="1080" w:type="dxa"/>
            <w:vAlign w:val="bottom"/>
          </w:tcPr>
          <w:p>
            <w:pPr>
              <w:jc w:val="center"/>
              <w:ind w:right="201"/>
              <w:spacing w:after="0"/>
              <w:rPr>
                <w:sz w:val="20"/>
                <w:szCs w:val="20"/>
                <w:color w:val="auto"/>
              </w:rPr>
            </w:pPr>
            <w:r>
              <w:rPr>
                <w:rFonts w:ascii="Arial" w:cs="Arial" w:eastAsia="Arial" w:hAnsi="Arial"/>
                <w:sz w:val="20"/>
                <w:szCs w:val="20"/>
                <w:color w:val="auto"/>
                <w:w w:val="85"/>
              </w:rPr>
              <w:t>June 30,</w:t>
            </w:r>
          </w:p>
        </w:tc>
      </w:tr>
      <w:tr>
        <w:trPr>
          <w:trHeight w:val="246"/>
        </w:trPr>
        <w:tc>
          <w:tcPr>
            <w:tcW w:w="396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2"/>
              </w:rPr>
              <w:t>FASB ASC 815-20</w:t>
            </w:r>
          </w:p>
        </w:tc>
        <w:tc>
          <w:tcPr>
            <w:tcW w:w="240" w:type="dxa"/>
            <w:vAlign w:val="bottom"/>
          </w:tcPr>
          <w:p>
            <w:pPr>
              <w:spacing w:after="0"/>
              <w:rPr>
                <w:sz w:val="21"/>
                <w:szCs w:val="21"/>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derivatives</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2014</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2013</w:t>
            </w:r>
          </w:p>
        </w:tc>
      </w:tr>
      <w:tr>
        <w:trPr>
          <w:trHeight w:val="331"/>
        </w:trPr>
        <w:tc>
          <w:tcPr>
            <w:tcW w:w="420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120" w:type="dxa"/>
            <w:vAlign w:val="bottom"/>
            <w:gridSpan w:val="2"/>
          </w:tcPr>
          <w:p>
            <w:pPr>
              <w:spacing w:after="0"/>
              <w:rPr>
                <w:sz w:val="20"/>
                <w:szCs w:val="20"/>
                <w:color w:val="auto"/>
              </w:rPr>
            </w:pPr>
            <w:r>
              <w:rPr>
                <w:rFonts w:ascii="Arial" w:cs="Arial" w:eastAsia="Arial" w:hAnsi="Arial"/>
                <w:sz w:val="20"/>
                <w:szCs w:val="20"/>
                <w:color w:val="auto"/>
              </w:rPr>
              <w:t>Interest and other income (expense), net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406</w:t>
            </w:r>
          </w:p>
        </w:tc>
        <w:tc>
          <w:tcPr>
            <w:tcW w:w="2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r>
      <w:tr>
        <w:trPr>
          <w:trHeight w:val="20"/>
        </w:trPr>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ind w:left="8220"/>
        <w:spacing w:after="0"/>
        <w:rPr>
          <w:sz w:val="20"/>
          <w:szCs w:val="20"/>
          <w:color w:val="auto"/>
        </w:rPr>
      </w:pPr>
      <w:r>
        <w:rPr>
          <w:rFonts w:ascii="Arial" w:cs="Arial" w:eastAsia="Arial" w:hAnsi="Arial"/>
          <w:sz w:val="20"/>
          <w:szCs w:val="20"/>
          <w:color w:val="auto"/>
        </w:rPr>
        <w:t>Amount of loss</w:t>
      </w:r>
    </w:p>
    <w:p>
      <w:pPr>
        <w:spacing w:after="0" w:line="15" w:lineRule="exact"/>
        <w:rPr>
          <w:sz w:val="20"/>
          <w:szCs w:val="20"/>
          <w:color w:val="auto"/>
        </w:rPr>
      </w:pPr>
    </w:p>
    <w:p>
      <w:pPr>
        <w:jc w:val="center"/>
        <w:ind w:left="8220"/>
        <w:spacing w:after="0"/>
        <w:rPr>
          <w:sz w:val="20"/>
          <w:szCs w:val="20"/>
          <w:color w:val="auto"/>
        </w:rPr>
      </w:pPr>
      <w:r>
        <w:rPr>
          <w:rFonts w:ascii="Arial" w:cs="Arial" w:eastAsia="Arial" w:hAnsi="Arial"/>
          <w:sz w:val="20"/>
          <w:szCs w:val="20"/>
          <w:color w:val="auto"/>
        </w:rPr>
        <w:t>recognized in income on</w:t>
      </w:r>
    </w:p>
    <w:p>
      <w:pPr>
        <w:jc w:val="center"/>
        <w:ind w:left="8220"/>
        <w:spacing w:after="0"/>
        <w:rPr>
          <w:sz w:val="20"/>
          <w:szCs w:val="20"/>
          <w:color w:val="auto"/>
        </w:rPr>
      </w:pPr>
      <w:r>
        <w:rPr>
          <w:rFonts w:ascii="Arial" w:cs="Arial" w:eastAsia="Arial" w:hAnsi="Arial"/>
          <w:sz w:val="20"/>
          <w:szCs w:val="20"/>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0</wp:posOffset>
            </wp:positionV>
            <wp:extent cx="1903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9100"/>
        <w:spacing w:after="0"/>
        <w:rPr>
          <w:sz w:val="20"/>
          <w:szCs w:val="20"/>
          <w:color w:val="auto"/>
        </w:rPr>
      </w:pPr>
      <w:r>
        <w:rPr>
          <w:rFonts w:ascii="Arial" w:cs="Arial" w:eastAsia="Arial" w:hAnsi="Arial"/>
          <w:sz w:val="20"/>
          <w:szCs w:val="20"/>
          <w:color w:val="auto"/>
        </w:rPr>
        <w:t>Six-months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5715</wp:posOffset>
            </wp:positionV>
            <wp:extent cx="1903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10" w:name="page11"/>
    <w:bookmarkEnd w:id="10"/>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00" w:type="dxa"/>
            <w:vAlign w:val="bottom"/>
            <w:gridSpan w:val="2"/>
          </w:tcPr>
          <w:p>
            <w:pPr>
              <w:ind w:left="820"/>
              <w:spacing w:after="0"/>
              <w:rPr>
                <w:sz w:val="20"/>
                <w:szCs w:val="20"/>
                <w:color w:val="auto"/>
              </w:rPr>
            </w:pPr>
            <w:r>
              <w:rPr>
                <w:rFonts w:ascii="Arial" w:cs="Arial" w:eastAsia="Arial" w:hAnsi="Arial"/>
                <w:sz w:val="20"/>
                <w:szCs w:val="20"/>
                <w:color w:val="auto"/>
              </w:rPr>
              <w:t>Derivatives not designated as</w:t>
            </w:r>
          </w:p>
        </w:tc>
        <w:tc>
          <w:tcPr>
            <w:tcW w:w="412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Location of loss</w:t>
            </w:r>
          </w:p>
        </w:tc>
        <w:tc>
          <w:tcPr>
            <w:tcW w:w="260" w:type="dxa"/>
            <w:vAlign w:val="bottom"/>
          </w:tcPr>
          <w:p>
            <w:pPr>
              <w:spacing w:after="0"/>
              <w:rPr>
                <w:sz w:val="20"/>
                <w:szCs w:val="20"/>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20"/>
                <w:szCs w:val="20"/>
                <w:color w:val="auto"/>
                <w:w w:val="85"/>
              </w:rPr>
              <w:t>June 30,</w:t>
            </w:r>
          </w:p>
        </w:tc>
        <w:tc>
          <w:tcPr>
            <w:tcW w:w="280" w:type="dxa"/>
            <w:vAlign w:val="bottom"/>
          </w:tcPr>
          <w:p>
            <w:pPr>
              <w:spacing w:after="0"/>
              <w:rPr>
                <w:sz w:val="20"/>
                <w:szCs w:val="20"/>
                <w:color w:val="auto"/>
              </w:rPr>
            </w:pPr>
          </w:p>
        </w:tc>
        <w:tc>
          <w:tcPr>
            <w:tcW w:w="1080" w:type="dxa"/>
            <w:vAlign w:val="bottom"/>
          </w:tcPr>
          <w:p>
            <w:pPr>
              <w:jc w:val="center"/>
              <w:ind w:right="201"/>
              <w:spacing w:after="0"/>
              <w:rPr>
                <w:sz w:val="20"/>
                <w:szCs w:val="20"/>
                <w:color w:val="auto"/>
              </w:rPr>
            </w:pPr>
            <w:r>
              <w:rPr>
                <w:rFonts w:ascii="Arial" w:cs="Arial" w:eastAsia="Arial" w:hAnsi="Arial"/>
                <w:sz w:val="20"/>
                <w:szCs w:val="20"/>
                <w:color w:val="auto"/>
                <w:w w:val="85"/>
              </w:rPr>
              <w:t>June 30,</w:t>
            </w:r>
          </w:p>
        </w:tc>
      </w:tr>
      <w:tr>
        <w:trPr>
          <w:trHeight w:val="230"/>
        </w:trPr>
        <w:tc>
          <w:tcPr>
            <w:tcW w:w="4200" w:type="dxa"/>
            <w:vAlign w:val="bottom"/>
            <w:gridSpan w:val="2"/>
          </w:tcPr>
          <w:p>
            <w:pPr>
              <w:jc w:val="center"/>
              <w:ind w:right="60"/>
              <w:spacing w:after="0"/>
              <w:rPr>
                <w:sz w:val="20"/>
                <w:szCs w:val="20"/>
                <w:color w:val="auto"/>
              </w:rPr>
            </w:pPr>
            <w:r>
              <w:rPr>
                <w:rFonts w:ascii="Arial" w:cs="Arial" w:eastAsia="Arial" w:hAnsi="Arial"/>
                <w:sz w:val="20"/>
                <w:szCs w:val="20"/>
                <w:color w:val="auto"/>
                <w:w w:val="88"/>
              </w:rPr>
              <w:t>hedging instruments under</w:t>
            </w:r>
          </w:p>
        </w:tc>
        <w:tc>
          <w:tcPr>
            <w:tcW w:w="412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recognized in income on</w:t>
            </w:r>
          </w:p>
        </w:tc>
        <w:tc>
          <w:tcPr>
            <w:tcW w:w="260" w:type="dxa"/>
            <w:vAlign w:val="bottom"/>
          </w:tcPr>
          <w:p>
            <w:pPr>
              <w:spacing w:after="0"/>
              <w:rPr>
                <w:sz w:val="19"/>
                <w:szCs w:val="19"/>
                <w:color w:val="auto"/>
              </w:rPr>
            </w:pPr>
          </w:p>
        </w:tc>
        <w:tc>
          <w:tcPr>
            <w:tcW w:w="1100" w:type="dxa"/>
            <w:vAlign w:val="bottom"/>
          </w:tcPr>
          <w:p>
            <w:pPr>
              <w:jc w:val="right"/>
              <w:ind w:right="381"/>
              <w:spacing w:after="0"/>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81"/>
              <w:spacing w:after="0"/>
              <w:rPr>
                <w:sz w:val="20"/>
                <w:szCs w:val="20"/>
                <w:color w:val="auto"/>
              </w:rPr>
            </w:pPr>
            <w:r>
              <w:rPr>
                <w:rFonts w:ascii="Arial" w:cs="Arial" w:eastAsia="Arial" w:hAnsi="Arial"/>
                <w:sz w:val="20"/>
                <w:szCs w:val="20"/>
                <w:color w:val="auto"/>
              </w:rPr>
              <w:t>2013</w:t>
            </w:r>
          </w:p>
        </w:tc>
      </w:tr>
      <w:tr>
        <w:trPr>
          <w:trHeight w:val="246"/>
        </w:trPr>
        <w:tc>
          <w:tcPr>
            <w:tcW w:w="396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2"/>
              </w:rPr>
              <w:t>FASB ASC 815-20</w:t>
            </w:r>
          </w:p>
        </w:tc>
        <w:tc>
          <w:tcPr>
            <w:tcW w:w="240" w:type="dxa"/>
            <w:vAlign w:val="bottom"/>
          </w:tcPr>
          <w:p>
            <w:pPr>
              <w:spacing w:after="0"/>
              <w:rPr>
                <w:sz w:val="21"/>
                <w:szCs w:val="21"/>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derivatives</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r>
      <w:tr>
        <w:trPr>
          <w:trHeight w:val="331"/>
        </w:trPr>
        <w:tc>
          <w:tcPr>
            <w:tcW w:w="420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120" w:type="dxa"/>
            <w:vAlign w:val="bottom"/>
            <w:gridSpan w:val="2"/>
          </w:tcPr>
          <w:p>
            <w:pPr>
              <w:spacing w:after="0"/>
              <w:rPr>
                <w:sz w:val="20"/>
                <w:szCs w:val="20"/>
                <w:color w:val="auto"/>
              </w:rPr>
            </w:pPr>
            <w:r>
              <w:rPr>
                <w:rFonts w:ascii="Arial" w:cs="Arial" w:eastAsia="Arial" w:hAnsi="Arial"/>
                <w:sz w:val="20"/>
                <w:szCs w:val="20"/>
                <w:color w:val="auto"/>
              </w:rPr>
              <w:t>Interest and other income (expense), net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765</w:t>
            </w:r>
          </w:p>
        </w:tc>
        <w:tc>
          <w:tcPr>
            <w:tcW w:w="2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r>
      <w:tr>
        <w:trPr>
          <w:trHeight w:val="20"/>
        </w:trPr>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20"/>
                <w:szCs w:val="20"/>
                <w:color w:val="auto"/>
              </w:rPr>
              <w:t>June 30,</w:t>
            </w:r>
          </w:p>
        </w:tc>
        <w:tc>
          <w:tcPr>
            <w:tcW w:w="1380" w:type="dxa"/>
            <w:vAlign w:val="bottom"/>
            <w:gridSpan w:val="2"/>
          </w:tcPr>
          <w:p>
            <w:pPr>
              <w:jc w:val="right"/>
              <w:ind w:right="41"/>
              <w:spacing w:after="0"/>
              <w:rPr>
                <w:sz w:val="20"/>
                <w:szCs w:val="20"/>
                <w:color w:val="auto"/>
              </w:rPr>
            </w:pPr>
            <w:r>
              <w:rPr>
                <w:rFonts w:ascii="Arial" w:cs="Arial" w:eastAsia="Arial" w:hAnsi="Arial"/>
                <w:sz w:val="20"/>
                <w:szCs w:val="20"/>
                <w:color w:val="auto"/>
                <w:w w:val="97"/>
              </w:rPr>
              <w:t>December 31,</w:t>
            </w:r>
          </w:p>
        </w:tc>
        <w:tc>
          <w:tcPr>
            <w:tcW w:w="0" w:type="dxa"/>
            <w:vAlign w:val="bottom"/>
          </w:tcPr>
          <w:p>
            <w:pPr>
              <w:spacing w:after="0"/>
              <w:rPr>
                <w:sz w:val="1"/>
                <w:szCs w:val="1"/>
                <w:color w:val="auto"/>
              </w:rPr>
            </w:pPr>
          </w:p>
        </w:tc>
      </w:tr>
      <w:tr>
        <w:trPr>
          <w:trHeight w:val="246"/>
        </w:trPr>
        <w:tc>
          <w:tcPr>
            <w:tcW w:w="7140" w:type="dxa"/>
            <w:vAlign w:val="bottom"/>
            <w:vMerge w:val="restart"/>
          </w:tcPr>
          <w:p>
            <w:pPr>
              <w:spacing w:after="0"/>
              <w:rPr>
                <w:sz w:val="20"/>
                <w:szCs w:val="20"/>
                <w:color w:val="auto"/>
              </w:rPr>
            </w:pPr>
            <w:r>
              <w:rPr>
                <w:rFonts w:ascii="Arial" w:cs="Arial" w:eastAsia="Arial" w:hAnsi="Arial"/>
                <w:sz w:val="20"/>
                <w:szCs w:val="20"/>
                <w:color w:val="auto"/>
              </w:rPr>
              <w:t>Raw materials</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06"/>
        </w:trPr>
        <w:tc>
          <w:tcPr>
            <w:tcW w:w="7140" w:type="dxa"/>
            <w:vAlign w:val="bottom"/>
            <w:vMerge w:val="continue"/>
          </w:tcPr>
          <w:p>
            <w:pPr>
              <w:spacing w:after="0"/>
              <w:rPr>
                <w:sz w:val="17"/>
                <w:szCs w:val="17"/>
                <w:color w:val="auto"/>
              </w:rPr>
            </w:pPr>
          </w:p>
        </w:tc>
        <w:tc>
          <w:tcPr>
            <w:tcW w:w="28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line="207" w:lineRule="exact"/>
              <w:rPr>
                <w:sz w:val="20"/>
                <w:szCs w:val="20"/>
                <w:color w:val="auto"/>
              </w:rPr>
            </w:pPr>
            <w:r>
              <w:rPr>
                <w:rFonts w:ascii="Arial" w:cs="Arial" w:eastAsia="Arial" w:hAnsi="Arial"/>
                <w:sz w:val="20"/>
                <w:szCs w:val="20"/>
                <w:color w:val="auto"/>
              </w:rPr>
              <w:t>74,810</w:t>
            </w:r>
          </w:p>
        </w:tc>
        <w:tc>
          <w:tcPr>
            <w:tcW w:w="28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line="207" w:lineRule="exact"/>
              <w:rPr>
                <w:sz w:val="20"/>
                <w:szCs w:val="20"/>
                <w:color w:val="auto"/>
              </w:rPr>
            </w:pPr>
            <w:r>
              <w:rPr>
                <w:rFonts w:ascii="Arial" w:cs="Arial" w:eastAsia="Arial" w:hAnsi="Arial"/>
                <w:sz w:val="20"/>
                <w:szCs w:val="20"/>
                <w:color w:val="auto"/>
              </w:rPr>
              <w:t>68,088</w:t>
            </w:r>
          </w:p>
        </w:tc>
        <w:tc>
          <w:tcPr>
            <w:tcW w:w="0" w:type="dxa"/>
            <w:vAlign w:val="bottom"/>
          </w:tcPr>
          <w:p>
            <w:pPr>
              <w:spacing w:after="0"/>
              <w:rPr>
                <w:sz w:val="1"/>
                <w:szCs w:val="1"/>
                <w:color w:val="auto"/>
              </w:rPr>
            </w:pPr>
          </w:p>
        </w:tc>
      </w:tr>
      <w:tr>
        <w:trPr>
          <w:trHeight w:val="246"/>
        </w:trPr>
        <w:tc>
          <w:tcPr>
            <w:tcW w:w="7140" w:type="dxa"/>
            <w:vAlign w:val="bottom"/>
          </w:tcPr>
          <w:p>
            <w:pPr>
              <w:spacing w:after="0"/>
              <w:rPr>
                <w:sz w:val="20"/>
                <w:szCs w:val="20"/>
                <w:color w:val="auto"/>
              </w:rPr>
            </w:pPr>
            <w:r>
              <w:rPr>
                <w:rFonts w:ascii="Arial" w:cs="Arial" w:eastAsia="Arial" w:hAnsi="Arial"/>
                <w:sz w:val="20"/>
                <w:szCs w:val="20"/>
                <w:color w:val="auto"/>
              </w:rPr>
              <w:t>Finished goods</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133,098</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153,361</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207,908</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221,449</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20"/>
                <w:szCs w:val="20"/>
                <w:color w:val="auto"/>
              </w:rPr>
              <w:t>June 30,</w:t>
            </w:r>
          </w:p>
        </w:tc>
        <w:tc>
          <w:tcPr>
            <w:tcW w:w="1360" w:type="dxa"/>
            <w:vAlign w:val="bottom"/>
            <w:gridSpan w:val="2"/>
          </w:tcPr>
          <w:p>
            <w:pPr>
              <w:ind w:left="120"/>
              <w:spacing w:after="0"/>
              <w:rPr>
                <w:sz w:val="20"/>
                <w:szCs w:val="20"/>
                <w:color w:val="auto"/>
              </w:rPr>
            </w:pPr>
            <w:r>
              <w:rPr>
                <w:rFonts w:ascii="Arial" w:cs="Arial" w:eastAsia="Arial" w:hAnsi="Arial"/>
                <w:sz w:val="20"/>
                <w:szCs w:val="20"/>
                <w:color w:val="auto"/>
                <w:w w:val="97"/>
              </w:rPr>
              <w:t>December 31,</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80" w:type="dxa"/>
            <w:vAlign w:val="bottom"/>
            <w:vMerge w:val="restart"/>
          </w:tcPr>
          <w:p>
            <w:pPr>
              <w:ind w:left="660"/>
              <w:spacing w:after="0"/>
              <w:rPr>
                <w:sz w:val="20"/>
                <w:szCs w:val="20"/>
                <w:color w:val="auto"/>
              </w:rPr>
            </w:pPr>
            <w:r>
              <w:rPr>
                <w:rFonts w:ascii="Arial" w:cs="Arial" w:eastAsia="Arial" w:hAnsi="Arial"/>
                <w:sz w:val="20"/>
                <w:szCs w:val="20"/>
                <w:color w:val="auto"/>
              </w:rPr>
              <w:t>Land</w:t>
            </w:r>
          </w:p>
        </w:tc>
        <w:tc>
          <w:tcPr>
            <w:tcW w:w="27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2013</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8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28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line="207" w:lineRule="exact"/>
              <w:rPr>
                <w:sz w:val="20"/>
                <w:szCs w:val="20"/>
                <w:color w:val="auto"/>
              </w:rPr>
            </w:pPr>
            <w:r>
              <w:rPr>
                <w:rFonts w:ascii="Arial" w:cs="Arial" w:eastAsia="Arial" w:hAnsi="Arial"/>
                <w:sz w:val="20"/>
                <w:szCs w:val="20"/>
                <w:color w:val="auto"/>
              </w:rPr>
              <w:t>5,382</w:t>
            </w:r>
          </w:p>
        </w:tc>
        <w:tc>
          <w:tcPr>
            <w:tcW w:w="280" w:type="dxa"/>
            <w:vAlign w:val="bottom"/>
          </w:tcPr>
          <w:p>
            <w:pPr>
              <w:spacing w:after="0"/>
              <w:rPr>
                <w:sz w:val="17"/>
                <w:szCs w:val="17"/>
                <w:color w:val="auto"/>
              </w:rPr>
            </w:pPr>
          </w:p>
        </w:tc>
        <w:tc>
          <w:tcPr>
            <w:tcW w:w="340" w:type="dxa"/>
            <w:vAlign w:val="bottom"/>
          </w:tcPr>
          <w:p>
            <w:pPr>
              <w:ind w:left="100"/>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line="207" w:lineRule="exact"/>
              <w:rPr>
                <w:sz w:val="20"/>
                <w:szCs w:val="20"/>
                <w:color w:val="auto"/>
              </w:rPr>
            </w:pPr>
            <w:r>
              <w:rPr>
                <w:rFonts w:ascii="Arial" w:cs="Arial" w:eastAsia="Arial" w:hAnsi="Arial"/>
                <w:sz w:val="20"/>
                <w:szCs w:val="20"/>
                <w:color w:val="auto"/>
              </w:rPr>
              <w:t>5,382</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20"/>
                <w:szCs w:val="20"/>
                <w:color w:val="auto"/>
              </w:rPr>
              <w:t>Leasehold improvements</w:t>
            </w: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2,860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2,222</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20"/>
                <w:szCs w:val="20"/>
                <w:color w:val="auto"/>
              </w:rPr>
              <w:t>Furniture and fixtures</w:t>
            </w: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3,446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3,474</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20"/>
                <w:szCs w:val="20"/>
                <w:color w:val="auto"/>
              </w:rPr>
              <w:t>Office and computer equipment</w:t>
            </w: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14,845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14,135</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20"/>
                <w:szCs w:val="20"/>
                <w:color w:val="auto"/>
              </w:rPr>
              <w:t>Computer software</w:t>
            </w: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638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791</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20"/>
                <w:szCs w:val="20"/>
                <w:color w:val="auto"/>
              </w:rPr>
              <w:t>Equipment</w:t>
            </w: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70,960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62,552</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660"/>
              <w:spacing w:after="0"/>
              <w:rPr>
                <w:sz w:val="20"/>
                <w:szCs w:val="20"/>
                <w:color w:val="auto"/>
              </w:rPr>
            </w:pPr>
            <w:r>
              <w:rPr>
                <w:rFonts w:ascii="Arial" w:cs="Arial" w:eastAsia="Arial" w:hAnsi="Arial"/>
                <w:sz w:val="20"/>
                <w:szCs w:val="20"/>
                <w:color w:val="auto"/>
              </w:rPr>
              <w:t>Buildings</w:t>
            </w: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37,959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33,468</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80" w:type="dxa"/>
            <w:vAlign w:val="bottom"/>
          </w:tcPr>
          <w:p>
            <w:pPr>
              <w:ind w:left="660"/>
              <w:spacing w:after="0"/>
              <w:rPr>
                <w:sz w:val="20"/>
                <w:szCs w:val="20"/>
                <w:color w:val="auto"/>
              </w:rPr>
            </w:pPr>
            <w:r>
              <w:rPr>
                <w:rFonts w:ascii="Arial" w:cs="Arial" w:eastAsia="Arial" w:hAnsi="Arial"/>
                <w:sz w:val="20"/>
                <w:szCs w:val="20"/>
                <w:color w:val="auto"/>
              </w:rPr>
              <w:t>Vehicles</w:t>
            </w:r>
          </w:p>
        </w:tc>
        <w:tc>
          <w:tcPr>
            <w:tcW w:w="27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30,717</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30,442</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
              <w:spacing w:after="0" w:line="207" w:lineRule="exact"/>
              <w:rPr>
                <w:sz w:val="20"/>
                <w:szCs w:val="20"/>
                <w:color w:val="auto"/>
              </w:rPr>
            </w:pPr>
            <w:r>
              <w:rPr>
                <w:rFonts w:ascii="Arial" w:cs="Arial" w:eastAsia="Arial" w:hAnsi="Arial"/>
                <w:sz w:val="20"/>
                <w:szCs w:val="20"/>
                <w:color w:val="auto"/>
              </w:rPr>
              <w:t>166,807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
              <w:spacing w:after="0" w:line="207" w:lineRule="exact"/>
              <w:rPr>
                <w:sz w:val="20"/>
                <w:szCs w:val="20"/>
                <w:color w:val="auto"/>
              </w:rPr>
            </w:pPr>
            <w:r>
              <w:rPr>
                <w:rFonts w:ascii="Arial" w:cs="Arial" w:eastAsia="Arial" w:hAnsi="Arial"/>
                <w:sz w:val="20"/>
                <w:szCs w:val="20"/>
                <w:color w:val="auto"/>
              </w:rPr>
              <w:t>152,466</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080" w:type="dxa"/>
            <w:vAlign w:val="bottom"/>
          </w:tcPr>
          <w:p>
            <w:pPr>
              <w:ind w:left="660"/>
              <w:spacing w:after="0"/>
              <w:rPr>
                <w:sz w:val="20"/>
                <w:szCs w:val="20"/>
                <w:color w:val="auto"/>
              </w:rPr>
            </w:pPr>
            <w:r>
              <w:rPr>
                <w:rFonts w:ascii="Arial" w:cs="Arial" w:eastAsia="Arial" w:hAnsi="Arial"/>
                <w:sz w:val="20"/>
                <w:szCs w:val="20"/>
                <w:color w:val="auto"/>
              </w:rPr>
              <w:t>Less: accumulated depreciation and amortization</w:t>
            </w:r>
          </w:p>
        </w:tc>
        <w:tc>
          <w:tcPr>
            <w:tcW w:w="27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(75,589)</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(64,323)</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91,218</w:t>
            </w:r>
          </w:p>
        </w:tc>
        <w:tc>
          <w:tcPr>
            <w:tcW w:w="280" w:type="dxa"/>
            <w:vAlign w:val="bottom"/>
          </w:tcPr>
          <w:p>
            <w:pPr>
              <w:spacing w:after="0"/>
              <w:rPr>
                <w:sz w:val="19"/>
                <w:szCs w:val="19"/>
                <w:color w:val="auto"/>
              </w:rPr>
            </w:pPr>
          </w:p>
        </w:tc>
        <w:tc>
          <w:tcPr>
            <w:tcW w:w="34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88,143</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720" w:type="dxa"/>
            <w:vAlign w:val="bottom"/>
            <w:vMerge w:val="restart"/>
          </w:tcPr>
          <w:p>
            <w:pPr>
              <w:jc w:val="right"/>
              <w:ind w:right="1910"/>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8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INTANGIBLES,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Intangibles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Arial" w:cs="Arial" w:eastAsia="Arial" w:hAnsi="Arial"/>
                <w:sz w:val="20"/>
                <w:szCs w:val="20"/>
                <w:color w:val="auto"/>
              </w:rPr>
              <w:t>June 30,</w:t>
            </w:r>
          </w:p>
        </w:tc>
        <w:tc>
          <w:tcPr>
            <w:tcW w:w="1440" w:type="dxa"/>
            <w:vAlign w:val="bottom"/>
            <w:gridSpan w:val="2"/>
          </w:tcPr>
          <w:p>
            <w:pPr>
              <w:jc w:val="right"/>
              <w:ind w:right="101"/>
              <w:spacing w:after="0"/>
              <w:rPr>
                <w:sz w:val="20"/>
                <w:szCs w:val="20"/>
                <w:color w:val="auto"/>
              </w:rPr>
            </w:pPr>
            <w:r>
              <w:rPr>
                <w:rFonts w:ascii="Arial" w:cs="Arial" w:eastAsia="Arial" w:hAnsi="Arial"/>
                <w:sz w:val="20"/>
                <w:szCs w:val="20"/>
                <w:color w:val="auto"/>
                <w:w w:val="97"/>
              </w:rPr>
              <w:t>December 31,</w:t>
            </w:r>
          </w:p>
        </w:tc>
        <w:tc>
          <w:tcPr>
            <w:tcW w:w="0" w:type="dxa"/>
            <w:vAlign w:val="bottom"/>
          </w:tcPr>
          <w:p>
            <w:pPr>
              <w:spacing w:after="0"/>
              <w:rPr>
                <w:sz w:val="1"/>
                <w:szCs w:val="1"/>
                <w:color w:val="auto"/>
              </w:rPr>
            </w:pPr>
          </w:p>
        </w:tc>
      </w:tr>
      <w:tr>
        <w:trPr>
          <w:trHeight w:val="246"/>
        </w:trPr>
        <w:tc>
          <w:tcPr>
            <w:tcW w:w="7140" w:type="dxa"/>
            <w:vAlign w:val="bottom"/>
            <w:vMerge w:val="restart"/>
          </w:tcPr>
          <w:p>
            <w:pPr>
              <w:spacing w:after="0"/>
              <w:rPr>
                <w:sz w:val="20"/>
                <w:szCs w:val="20"/>
                <w:color w:val="auto"/>
              </w:rPr>
            </w:pPr>
            <w:r>
              <w:rPr>
                <w:rFonts w:ascii="Arial" w:cs="Arial" w:eastAsia="Arial" w:hAnsi="Arial"/>
                <w:sz w:val="20"/>
                <w:szCs w:val="20"/>
                <w:color w:val="auto"/>
              </w:rPr>
              <w:t>Amortizing intangibles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2014</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06"/>
        </w:trPr>
        <w:tc>
          <w:tcPr>
            <w:tcW w:w="7140" w:type="dxa"/>
            <w:vAlign w:val="bottom"/>
            <w:vMerge w:val="continue"/>
          </w:tcPr>
          <w:p>
            <w:pPr>
              <w:spacing w:after="0"/>
              <w:rPr>
                <w:sz w:val="17"/>
                <w:szCs w:val="17"/>
                <w:color w:val="auto"/>
              </w:rPr>
            </w:pPr>
          </w:p>
        </w:tc>
        <w:tc>
          <w:tcPr>
            <w:tcW w:w="24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1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1,150</w:t>
            </w:r>
          </w:p>
        </w:tc>
        <w:tc>
          <w:tcPr>
            <w:tcW w:w="200" w:type="dxa"/>
            <w:vAlign w:val="bottom"/>
          </w:tcPr>
          <w:p>
            <w:pPr>
              <w:spacing w:after="0"/>
              <w:rPr>
                <w:sz w:val="17"/>
                <w:szCs w:val="17"/>
                <w:color w:val="auto"/>
              </w:rPr>
            </w:pPr>
          </w:p>
        </w:tc>
        <w:tc>
          <w:tcPr>
            <w:tcW w:w="34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1,076</w:t>
            </w:r>
          </w:p>
        </w:tc>
        <w:tc>
          <w:tcPr>
            <w:tcW w:w="0" w:type="dxa"/>
            <w:vAlign w:val="bottom"/>
          </w:tcPr>
          <w:p>
            <w:pPr>
              <w:spacing w:after="0"/>
              <w:rPr>
                <w:sz w:val="1"/>
                <w:szCs w:val="1"/>
                <w:color w:val="auto"/>
              </w:rPr>
            </w:pPr>
          </w:p>
        </w:tc>
      </w:tr>
      <w:tr>
        <w:trPr>
          <w:trHeight w:val="246"/>
        </w:trPr>
        <w:tc>
          <w:tcPr>
            <w:tcW w:w="7140" w:type="dxa"/>
            <w:vAlign w:val="bottom"/>
          </w:tcPr>
          <w:p>
            <w:pPr>
              <w:spacing w:after="0"/>
              <w:rPr>
                <w:sz w:val="20"/>
                <w:szCs w:val="20"/>
                <w:color w:val="auto"/>
              </w:rPr>
            </w:pPr>
            <w:r>
              <w:rPr>
                <w:rFonts w:ascii="Arial" w:cs="Arial" w:eastAsia="Arial" w:hAnsi="Arial"/>
                <w:sz w:val="20"/>
                <w:szCs w:val="20"/>
                <w:color w:val="auto"/>
              </w:rPr>
              <w:t>Accumulated amortization</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(772)</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(590)</w:t>
            </w:r>
          </w:p>
        </w:tc>
        <w:tc>
          <w:tcPr>
            <w:tcW w:w="0" w:type="dxa"/>
            <w:vAlign w:val="bottom"/>
          </w:tcPr>
          <w:p>
            <w:pPr>
              <w:spacing w:after="0"/>
              <w:rPr>
                <w:sz w:val="1"/>
                <w:szCs w:val="1"/>
                <w:color w:val="auto"/>
              </w:rPr>
            </w:pPr>
          </w:p>
        </w:tc>
      </w:tr>
      <w:tr>
        <w:trPr>
          <w:trHeight w:val="206"/>
        </w:trPr>
        <w:tc>
          <w:tcPr>
            <w:tcW w:w="7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378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486</w:t>
            </w:r>
          </w:p>
        </w:tc>
        <w:tc>
          <w:tcPr>
            <w:tcW w:w="0" w:type="dxa"/>
            <w:vAlign w:val="bottom"/>
          </w:tcPr>
          <w:p>
            <w:pPr>
              <w:spacing w:after="0"/>
              <w:rPr>
                <w:sz w:val="1"/>
                <w:szCs w:val="1"/>
                <w:color w:val="auto"/>
              </w:rPr>
            </w:pPr>
          </w:p>
        </w:tc>
      </w:tr>
      <w:tr>
        <w:trPr>
          <w:trHeight w:val="246"/>
        </w:trPr>
        <w:tc>
          <w:tcPr>
            <w:tcW w:w="7140" w:type="dxa"/>
            <w:vAlign w:val="bottom"/>
          </w:tcPr>
          <w:p>
            <w:pPr>
              <w:spacing w:after="0"/>
              <w:rPr>
                <w:sz w:val="20"/>
                <w:szCs w:val="20"/>
                <w:color w:val="auto"/>
              </w:rPr>
            </w:pPr>
            <w:r>
              <w:rPr>
                <w:rFonts w:ascii="Arial" w:cs="Arial" w:eastAsia="Arial" w:hAnsi="Arial"/>
                <w:sz w:val="20"/>
                <w:szCs w:val="20"/>
                <w:color w:val="auto"/>
              </w:rPr>
              <w:t>Non-amortizing intangibles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65,973</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65,288</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2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66,351</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65,774</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9"/>
          <w:szCs w:val="19"/>
          <w:color w:val="auto"/>
        </w:rPr>
        <w:t>All amortizing intangibles have been assigned an estimated useful life and such intangibles are amortized on a straight-line basis over the number of years that approximate their respective useful lives ranging from one to 25 years (weighted-average life of 12 years). Amortization expense was $0.1 million and $0.01 million for the three-months ended June 30, 2014 and 2013, respectively. Amortization expense was $0.25 million and $0.02 million for the six-months ended June 30, 2014 and 2013, respectively.</w:t>
      </w:r>
    </w:p>
    <w:p>
      <w:pPr>
        <w:spacing w:after="0" w:line="190"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18"/>
          <w:szCs w:val="18"/>
          <w:color w:val="auto"/>
        </w:rPr>
        <w:t>Amounts received pursuant to new and/or amended distribution agreements entered into with certain distributors, relating to the costs associated with terminating agreements with the Company’s prior distributors, have been accounted for as deferred revenue in the accompanying condensed consolidated balance sheets and are recognized as revenue ratably over the anticipated life of the respective distribution agreement, generally 20 years. Revenue recognized was $1.9 million and $2.0 million for the three-months ended June 30, 2014 and 2013, respectively. Revenue recognized was $3.9 million and $4.4 million for the six-months ended June 30, 2014 and 2013, respectively.</w:t>
      </w:r>
    </w:p>
    <w:p>
      <w:pPr>
        <w:spacing w:after="0" w:line="179" w:lineRule="exact"/>
        <w:rPr>
          <w:sz w:val="20"/>
          <w:szCs w:val="20"/>
          <w:color w:val="auto"/>
        </w:rPr>
      </w:pPr>
    </w:p>
    <w:p>
      <w:pPr>
        <w:jc w:val="both"/>
        <w:ind w:right="60" w:firstLine="648"/>
        <w:spacing w:after="0" w:line="316" w:lineRule="auto"/>
        <w:rPr>
          <w:sz w:val="20"/>
          <w:szCs w:val="20"/>
          <w:color w:val="auto"/>
        </w:rPr>
      </w:pPr>
      <w:r>
        <w:rPr>
          <w:rFonts w:ascii="Arial" w:cs="Arial" w:eastAsia="Arial" w:hAnsi="Arial"/>
          <w:sz w:val="18"/>
          <w:szCs w:val="18"/>
          <w:color w:val="auto"/>
        </w:rPr>
        <w:t>The Company incurred termination costs to certain of its prior distributors amounting to $0.5 million and $2.0 million in aggregate for the three-months ended June 30, 2014 and 2013, respectively. The Company incurred termination costs to certain of its prior distributors</w:t>
      </w:r>
    </w:p>
    <w:p>
      <w:pPr>
        <w:sectPr>
          <w:pgSz w:w="11900" w:h="16912" w:orient="portrait"/>
          <w:cols w:equalWidth="0" w:num="1">
            <w:col w:w="11460"/>
          </w:cols>
          <w:pgMar w:left="240" w:top="122" w:right="199" w:bottom="0" w:gutter="0" w:footer="0" w:header="0"/>
        </w:sectPr>
      </w:pPr>
    </w:p>
    <w:bookmarkStart w:id="11" w:name="page12"/>
    <w:bookmarkEnd w:id="11"/>
    <w:p>
      <w:pPr>
        <w:spacing w:after="0" w:line="317" w:lineRule="auto"/>
        <w:rPr>
          <w:sz w:val="20"/>
          <w:szCs w:val="20"/>
          <w:color w:val="auto"/>
        </w:rPr>
      </w:pPr>
      <w:r>
        <w:rPr>
          <w:rFonts w:ascii="Arial" w:cs="Arial" w:eastAsia="Arial" w:hAnsi="Arial"/>
          <w:sz w:val="18"/>
          <w:szCs w:val="18"/>
          <w:color w:val="auto"/>
        </w:rPr>
        <w:t>amounting to $0.5 million and $10.3 million in aggregate for the six-months ended June 30, 2014 and 2013, respectively. Such termination costs have been expensed in full and are included in operating expenses for the three- and six-months ended June 30, 2014 and 2013.</w:t>
      </w:r>
    </w:p>
    <w:p>
      <w:pPr>
        <w:spacing w:after="0" w:line="143"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had purchase commitments aggregating approximately $32.8 million at June 30, 2014, which represented commitments made by the Company and its subsidiaries to various suppliers of raw materials for the production of its products. These obligations vary in terms, but are generally satisfied within one year.</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contractual obligations aggregating approximately $70.6 million at June 30, 2014, which related primarily to sponsorships and other marketing activities.</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had operating lease commitments aggregating approximately $13.1 million at June 30, 2014, which related primarily to warehouse and office space.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Value Added Tax (“VAT”) </w:t>
      </w:r>
      <w:r>
        <w:rPr>
          <w:rFonts w:ascii="Arial" w:cs="Arial" w:eastAsia="Arial" w:hAnsi="Arial"/>
          <w:sz w:val="18"/>
          <w:szCs w:val="18"/>
          <w:color w:val="auto"/>
        </w:rPr>
        <w:t>– The Company sought guidance from Her Majesty’s Revenue &amp; Customs (“HMRC”), the VAT taxing</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in the United Kingdom, to determine if the Company should have charged VAT in the United Kingdom on a portion of the Company’s sales beginning May 26, 2010. The Company received guidance from HMRC that confirmed the Company’s position of charging VAT beginning October 3, 2013, pursuant to a new agreement effective on this date. As a result, no VAT pass-through tax for the period beginning on May 26, 2010 through October 3, 2013 is due to HMRC. Furthermore, no tax penalties will be assessed by HMRC relating to this matter.</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229" w:lineRule="exact"/>
        <w:rPr>
          <w:sz w:val="20"/>
          <w:szCs w:val="20"/>
          <w:color w:val="auto"/>
        </w:rPr>
      </w:pPr>
    </w:p>
    <w:p>
      <w:pPr>
        <w:jc w:val="both"/>
        <w:ind w:firstLine="702"/>
        <w:spacing w:after="0" w:line="256" w:lineRule="auto"/>
        <w:rPr>
          <w:sz w:val="20"/>
          <w:szCs w:val="20"/>
          <w:color w:val="auto"/>
        </w:rPr>
      </w:pPr>
      <w:r>
        <w:rPr>
          <w:rFonts w:ascii="Arial" w:cs="Arial" w:eastAsia="Arial" w:hAnsi="Arial"/>
          <w:sz w:val="19"/>
          <w:szCs w:val="19"/>
          <w:color w:val="auto"/>
        </w:rPr>
        <w:t xml:space="preserve">On October 17, 2012, Wendy Crossland and Richard Fournier filed a lawsuit in the Superior Court of the State of California, County of Riverside, styled </w:t>
      </w:r>
      <w:r>
        <w:rPr>
          <w:rFonts w:ascii="Arial" w:cs="Arial" w:eastAsia="Arial" w:hAnsi="Arial"/>
          <w:sz w:val="19"/>
          <w:szCs w:val="19"/>
          <w:i w:val="1"/>
          <w:iCs w:val="1"/>
          <w:color w:val="auto"/>
        </w:rPr>
        <w:t>Wendy Crossland and Richard Fournier v. Monster Beverage Corporation</w:t>
      </w:r>
      <w:r>
        <w:rPr>
          <w:rFonts w:ascii="Arial" w:cs="Arial" w:eastAsia="Arial" w:hAnsi="Arial"/>
          <w:sz w:val="19"/>
          <w:szCs w:val="19"/>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filed a demurrer and a motion to strike the plaintiffs’ complaint on November 19, 2012, and the plaintiffs filed a first amended complaint on December 19, 2012. The Company filed its answer to the first amended complaint on June 7, 2013. The parties attended a court ordered mediation on January 23, 2014. Discovery has commenced but no trial date has been set.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also been named as a defendant in other complaints containing similar allegations to those presented in the Fournier lawsuit, each of which the Company believes is also without merit and would not have a material adverse effect on the Company’s financial position or results of operations in the event any damages were awarded.</w:t>
      </w:r>
    </w:p>
    <w:p>
      <w:pPr>
        <w:spacing w:after="0" w:line="20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 On September 11, 2008, a federal securities class action complaint styled</w:t>
      </w:r>
      <w:r>
        <w:rPr>
          <w:rFonts w:ascii="Arial" w:cs="Arial" w:eastAsia="Arial" w:hAnsi="Arial"/>
          <w:sz w:val="18"/>
          <w:szCs w:val="18"/>
          <w:i w:val="1"/>
          <w:iCs w:val="1"/>
          <w:color w:val="auto"/>
        </w:rPr>
        <w:t xml:space="preserve"> Cunha v. Hansen Natural Corp., et al. </w:t>
      </w:r>
      <w:r>
        <w:rPr>
          <w:rFonts w:ascii="Arial" w:cs="Arial" w:eastAsia="Arial" w:hAnsi="Arial"/>
          <w:sz w:val="18"/>
          <w:szCs w:val="18"/>
          <w:color w:val="auto"/>
        </w:rPr>
        <w:t xml:space="preserve">was filed in the United States District Court for the Central District of California (the “District Court”). On September 17, 2008, a second federal securities class action complaint styled </w:t>
      </w:r>
      <w:r>
        <w:rPr>
          <w:rFonts w:ascii="Arial" w:cs="Arial" w:eastAsia="Arial" w:hAnsi="Arial"/>
          <w:sz w:val="18"/>
          <w:szCs w:val="18"/>
          <w:i w:val="1"/>
          <w:iCs w:val="1"/>
          <w:color w:val="auto"/>
        </w:rPr>
        <w:t>Brown v. Hansen Natural Corp., et al.</w:t>
      </w:r>
      <w:r>
        <w:rPr>
          <w:rFonts w:ascii="Arial" w:cs="Arial" w:eastAsia="Arial" w:hAnsi="Arial"/>
          <w:sz w:val="18"/>
          <w:szCs w:val="18"/>
          <w:color w:val="auto"/>
        </w:rPr>
        <w:t xml:space="preserve"> was also filed in the District Court. After the District Court consolidated the two actions and appointed the Structural Ironworkers Local Union #1 Pension Fund as lead plaintiff, a Consolidated Complaint for Violations of Federal Securities Laws was filed on August 28, 2009 (the “Consolidated Class Action Complaint”).</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District Court dismissed the Consolidated Class Action Complaint, with leave to amend, on July 12, 2010. Plaintiff thereafter filed a Consolidated Amended Class Action Complaint for Violations of Federal Securities Laws on August 27, 2010 (the “Amended Class Action Complaint”). While similar in many respects to the Consolidated Class Action Complaint, the Amended Class Action Complaint dropped certain of the allegations set forth in the Consolidated Class Action Complaint and made certain new allegations, including that the Company engaged in “channel stuffing” during the Class Period that rendered false or misleading the Company’s reported sales results and certain other statements made by the defendants. In addition, it no longer named Thomas J. Kelly as a defendant.</w:t>
      </w:r>
    </w:p>
    <w:p>
      <w:pPr>
        <w:sectPr>
          <w:pgSz w:w="11900" w:h="16838" w:orient="portrait"/>
          <w:cols w:equalWidth="0" w:num="1">
            <w:col w:w="11420"/>
          </w:cols>
          <w:pgMar w:left="240" w:top="121" w:right="239" w:bottom="82"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82" w:gutter="0" w:footer="0" w:header="0"/>
          <w:type w:val="continuous"/>
        </w:sectPr>
      </w:pPr>
    </w:p>
    <w:bookmarkStart w:id="12" w:name="page13"/>
    <w:bookmarkEnd w:id="12"/>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September 4, 2012, the District Court dismissed certain of the claims in the Amended Class Action Complaint, including plaintiff’s allegations relating to promotional expenses, but denied defendants’ motion to dismiss with regard to the majority of plaintiff’s claims, including plaintiff’s channel stuffing allegations. Plaintiff filed a motion seeking class certification on December 6, 2012, which the court denied, without prejudice, on January 17, 2014.</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Following a mediation conducted by an independent mediator, the Company entered into a Stipulation of Settlement on April 16, 2014 that, if approved by the District Court, will resolve the litigation and result in the action being dismissed with prejudice. Preliminary approval hearings with respect to the proposed settlement were held on June 19, 2014 and July 21, 2014, and the District Court entered an Order granting preliminary approval of the settlement on July 29, 2014.</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Under the terms of the proposed settlement, the Company has agreed that certain of its insurance carriers will pay $16.25 million into an escrow account for distribution to a proposed settlement class, certified by the District Court for settlement purposes only and consisting of all persons who purchased or otherwise acquired the Company’s stock during the Class Period. Excluded from the proposed settlement class are the Company’s officers and directors, members of their immediate families and their legal representatives, heirs, successors or assigns and any entity in which defendants have or had a controlling interest, as well as any putative member of the settlement class who submits a valid and timely request for exclusion in the manner ultimately approved by the District Court. Under the proposed settlement, defendants and various of their related persons and entities will receive a full release of all claims that were or could have been brought in the action as well as all claims that arise out of, are based upon or relate to the allegations, transactions, facts, representations, omissions or other matters involved in the complaints filed in the action or any statement communicated to the public during the Class Period, and the purchase, acquisition or sale of the Company’s stock during the Class Period.</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proposed settlement contains no admission of any liability or wrongdoing on the part of the defendants, each of whom continues to deny all of the allegations against them and believes that the claims are without merit. Because the full amount of the proposed settlement will be paid by the Company’s insurance carriers, the settlement will not have an effect on the Company’s results of operations.</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State Attorney General Inquiry </w:t>
      </w:r>
      <w:r>
        <w:rPr>
          <w:rFonts w:ascii="Arial" w:cs="Arial" w:eastAsia="Arial" w:hAnsi="Arial"/>
          <w:sz w:val="20"/>
          <w:szCs w:val="20"/>
          <w:color w:val="auto"/>
        </w:rPr>
        <w:t>– In July 2012, the Company received a subpoena from a state attorney general in connection with an</w:t>
      </w:r>
      <w:r>
        <w:rPr>
          <w:rFonts w:ascii="Arial" w:cs="Arial" w:eastAsia="Arial" w:hAnsi="Arial"/>
          <w:sz w:val="20"/>
          <w:szCs w:val="20"/>
          <w:i w:val="1"/>
          <w:iCs w:val="1"/>
          <w:color w:val="auto"/>
        </w:rPr>
        <w:t xml:space="preserve"> </w:t>
      </w:r>
      <w:r>
        <w:rPr>
          <w:rFonts w:ascii="Arial" w:cs="Arial" w:eastAsia="Arial" w:hAnsi="Arial"/>
          <w:sz w:val="20"/>
          <w:szCs w:val="20"/>
          <w:color w:val="auto"/>
        </w:rPr>
        <w:t>investigation concerning the Company’s advertising, marketing, promotion, ingredients, usage and sale of its Monster Energy® brand of energy drinks.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San Francisco City Attorney Litigation</w:t>
      </w:r>
      <w:r>
        <w:rPr>
          <w:rFonts w:ascii="Arial" w:cs="Arial" w:eastAsia="Arial" w:hAnsi="Arial"/>
          <w:sz w:val="18"/>
          <w:szCs w:val="18"/>
          <w:color w:val="auto"/>
        </w:rPr>
        <w:t>. On October 31, 2012, the Company received a written request for information from the City</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 for the City and County of San Francisco concerning the Company’s advertising and marketing of its Monster Energy® brand of 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spacing w:after="0" w:line="3" w:lineRule="exact"/>
        <w:rPr>
          <w:sz w:val="20"/>
          <w:szCs w:val="20"/>
          <w:color w:val="auto"/>
        </w:rPr>
      </w:pPr>
    </w:p>
    <w:p>
      <w:pPr>
        <w:ind w:firstLine="8"/>
        <w:spacing w:after="0" w:line="269" w:lineRule="auto"/>
        <w:tabs>
          <w:tab w:leader="none" w:pos="244"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“Reformulate its products to lower the caffeine content to safe levels”; (ii) “Provide adequate warning labels”; (iii) “Cease promoting over-consumption in marketing”; (iv) “Cease use of alcohol and drug references in marketing”; and (v) “Cease targeting minors.”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firstLine="656"/>
        <w:spacing w:after="0" w:line="255" w:lineRule="auto"/>
        <w:tabs>
          <w:tab w:leader="none" w:pos="1470" w:val="left"/>
        </w:tabs>
        <w:numPr>
          <w:ilvl w:val="0"/>
          <w:numId w:val="17"/>
        </w:numPr>
        <w:rPr>
          <w:rFonts w:ascii="Arial" w:cs="Arial" w:eastAsia="Arial" w:hAnsi="Arial"/>
          <w:sz w:val="19"/>
          <w:szCs w:val="19"/>
          <w:color w:val="auto"/>
        </w:rPr>
      </w:pPr>
      <w:r>
        <w:rPr>
          <w:rFonts w:ascii="Arial" w:cs="Arial" w:eastAsia="Arial" w:hAnsi="Arial"/>
          <w:sz w:val="19"/>
          <w:szCs w:val="19"/>
          <w:i w:val="1"/>
          <w:iCs w:val="1"/>
          <w:color w:val="auto"/>
        </w:rPr>
        <w:t xml:space="preserve">The Company Action </w:t>
      </w:r>
      <w:r>
        <w:rPr>
          <w:rFonts w:ascii="Arial" w:cs="Arial" w:eastAsia="Arial" w:hAnsi="Arial"/>
          <w:sz w:val="19"/>
          <w:szCs w:val="19"/>
          <w:color w:val="auto"/>
        </w:rPr>
        <w:t>- On April 29, 2013, the Company and its wholly owned subsidiary, Monster Energy Company, filed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complaint for declaratory and injunctive relief against the San Francisco City Attorney (the “Company Action”) in United States District Court for the Central District of California (the “Central District Court”), styled </w:t>
      </w:r>
      <w:r>
        <w:rPr>
          <w:rFonts w:ascii="Arial" w:cs="Arial" w:eastAsia="Arial" w:hAnsi="Arial"/>
          <w:sz w:val="19"/>
          <w:szCs w:val="19"/>
          <w:i w:val="1"/>
          <w:iCs w:val="1"/>
          <w:color w:val="auto"/>
        </w:rPr>
        <w:t>Monster Beverage Corp., et al. v. Dennis Herrera.</w:t>
      </w:r>
      <w:r>
        <w:rPr>
          <w:rFonts w:ascii="Arial" w:cs="Arial" w:eastAsia="Arial" w:hAnsi="Arial"/>
          <w:sz w:val="19"/>
          <w:szCs w:val="19"/>
          <w:color w:val="auto"/>
        </w:rPr>
        <w:t xml:space="preserve"> The Company seeks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 Action, arguing in part that the complaint should be dismissed in light of the San Francisco Action (described below) filed on May 6, 2013. On August 22, 2013, the Central District Court granted in part and denied in part the City Attorney’s motion. On October 17, 2013 (after the San Francisco Action, described below, was remanded to San Francisco Superior Court), the City Attorney filed a renewed motion to dismiss the Company Action and on December 16, 2013, the Central District Court granted the City Attorney’s renewed motion, dismissing the Company Action. The Company filed a Notice of Appeal to the Ninth Circuit on December 18, 2013.</w:t>
      </w:r>
    </w:p>
    <w:p>
      <w:pPr>
        <w:spacing w:after="0" w:line="198" w:lineRule="exact"/>
        <w:rPr>
          <w:rFonts w:ascii="Arial" w:cs="Arial" w:eastAsia="Arial" w:hAnsi="Arial"/>
          <w:sz w:val="19"/>
          <w:szCs w:val="19"/>
          <w:color w:val="auto"/>
        </w:rPr>
      </w:pPr>
    </w:p>
    <w:p>
      <w:pPr>
        <w:jc w:val="both"/>
        <w:ind w:firstLine="656"/>
        <w:spacing w:after="0" w:line="282" w:lineRule="auto"/>
        <w:tabs>
          <w:tab w:leader="none" w:pos="1376"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San Francisco Action - </w:t>
      </w:r>
      <w:r>
        <w:rPr>
          <w:rFonts w:ascii="Arial" w:cs="Arial" w:eastAsia="Arial" w:hAnsi="Arial"/>
          <w:sz w:val="18"/>
          <w:szCs w:val="18"/>
          <w:color w:val="auto"/>
        </w:rPr>
        <w:t>On May 6, 2013, the San Francisco City Attorney filed a complaint for declaratory and injunctive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relief, civil penalties and restitution for alleged violation of California’s Unfair Competition Law, Business &amp; Professions Code sections 17200, et seq., styled </w:t>
      </w:r>
      <w:r>
        <w:rPr>
          <w:rFonts w:ascii="Arial" w:cs="Arial" w:eastAsia="Arial" w:hAnsi="Arial"/>
          <w:sz w:val="18"/>
          <w:szCs w:val="18"/>
          <w:i w:val="1"/>
          <w:iCs w:val="1"/>
          <w:color w:val="auto"/>
        </w:rPr>
        <w:t>People Of The State Of California ex rel. Dennis Herrera, San Francisco City Attorney v. Monster Beverage Corporation</w:t>
      </w:r>
      <w:r>
        <w:rPr>
          <w:rFonts w:ascii="Arial" w:cs="Arial" w:eastAsia="Arial" w:hAnsi="Arial"/>
          <w:sz w:val="18"/>
          <w:szCs w:val="18"/>
          <w:color w:val="auto"/>
        </w:rPr>
        <w:t>, in San Francisco Superior Court (the “San Francisco Action”). The City Attorney alleges that the Company (1) mislabeled its products as a dietary</w:t>
      </w:r>
    </w:p>
    <w:p>
      <w:pPr>
        <w:sectPr>
          <w:pgSz w:w="11900" w:h="16838" w:orient="portrait"/>
          <w:cols w:equalWidth="0" w:num="1">
            <w:col w:w="11420"/>
          </w:cols>
          <w:pgMar w:left="240" w:top="366" w:right="239" w:bottom="0" w:gutter="0" w:footer="0" w:header="0"/>
        </w:sectPr>
      </w:pPr>
    </w:p>
    <w:bookmarkStart w:id="13" w:name="page14"/>
    <w:bookmarkEnd w:id="13"/>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supplement, in violation of California’s Sherman Food, Drug and Cosmetic Law, California Health &amp; Safety Code sections 109875 et. seq.;</w:t>
      </w:r>
    </w:p>
    <w:p>
      <w:pPr>
        <w:spacing w:after="0" w:line="40" w:lineRule="exact"/>
        <w:rPr>
          <w:sz w:val="20"/>
          <w:szCs w:val="20"/>
          <w:color w:val="auto"/>
        </w:rPr>
      </w:pPr>
    </w:p>
    <w:p>
      <w:pPr>
        <w:jc w:val="both"/>
        <w:ind w:firstLine="8"/>
        <w:spacing w:after="0" w:line="269" w:lineRule="auto"/>
        <w:tabs>
          <w:tab w:leader="none" w:pos="3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selling an “adulterated”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seeks a declaration that the Company has engaged in unfair and unlawful business acts and practices in violation of the Unfair Competition Law; an injunction from performing or proposing to perform any acts in violation of the Unfair Competition Law; restitution; and civil penalties. On June 3, 2013, the Company removed the San Francisco Action to the United States District Court for the Northern District of California (the “Northern District Court”). On July 3, 2013, the City Attorney filed a motion to remand the San Francisco Action back to state court. On September 18, 2013, the Northern District Court granted the City Attorney’s motion to remand the San Francisco Action back to state court.</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January 15, 2014, the Company filed a demurrer to and motion to strike allegations in the complaint in the San Francisco Action. On March 5, 2014, the Court overruled the demurrer, granted the motion to strike as to one theory for relief pleaded by the City Attorney, and lifted the stay on discovery.</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March 20, 2014, the City Attorney filed an amended complaint, adding allegations supporting the theory for relief as to which the Court had granted the motion to strike. On April 18, 2014, the Company filed a renewed motion to strike, challenging the theory for relief previously rejected by the Court, as well as a motion asking the Court to bifurcate and/or stay claims relating to the safety of Monster Energy® drinks, pending resolution of the ongoing FDA investigation of the safety and labeling of food products to which caffeine is added. On May 22, 2014, the Court denied the Company’s motion to strike and motion to bifurcate and/or stay claims relating to safety. A case management conference is scheduled for August 27, 2014. Discovery is ongoing.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June 16, 2014, the Company filed a petition for writ of mandate with the Court of Appeal, asking for a writ directing the trial court to vacate its order denying the Company’s motion to bifurcate and/or stay the San Francisco Action, and instead to stay proceedings pending FDA’s investigation. On June 19, 2014, the Court of Appeal denied the petition. On June 25, 2014, the Company filed a petition for review with the California Supreme Court. On July 23, 2014, the Supreme Court denied the petition.</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June 30, 2014 and December 31, 2013, the Company’s consolidated balance sheets include accrued loss contingencies of approximately $26.2 million and $17.0 million, respectively, and receivables for insurance reimbursements of approximately $21.25 million and $16.25 million, respectively. 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CONDENSED CONSOLIDATED FINANCIAL STATEMENTS</w:t>
      </w:r>
    </w:p>
    <w:p>
      <w:pPr>
        <w:sectPr>
          <w:pgSz w:w="11900" w:h="16897" w:orient="portrait"/>
          <w:cols w:equalWidth="0" w:num="1">
            <w:col w:w="11420"/>
          </w:cols>
          <w:pgMar w:left="240" w:top="122" w:right="239" w:bottom="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accumulated other comprehensive loss by component, after tax, for the six-months ended June 30, 2014 are as follows: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center"/>
              <w:ind w:right="121"/>
              <w:spacing w:after="0"/>
              <w:rPr>
                <w:sz w:val="20"/>
                <w:szCs w:val="20"/>
                <w:color w:val="auto"/>
              </w:rPr>
            </w:pPr>
            <w:r>
              <w:rPr>
                <w:rFonts w:ascii="Arial" w:cs="Arial" w:eastAsia="Arial" w:hAnsi="Arial"/>
                <w:sz w:val="20"/>
                <w:szCs w:val="20"/>
                <w:color w:val="auto"/>
                <w:w w:val="91"/>
              </w:rPr>
              <w:t>Currency</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center"/>
              <w:ind w:right="121"/>
              <w:spacing w:after="0"/>
              <w:rPr>
                <w:sz w:val="20"/>
                <w:szCs w:val="20"/>
                <w:color w:val="auto"/>
              </w:rPr>
            </w:pPr>
            <w:r>
              <w:rPr>
                <w:rFonts w:ascii="Arial" w:cs="Arial" w:eastAsia="Arial" w:hAnsi="Arial"/>
                <w:sz w:val="20"/>
                <w:szCs w:val="20"/>
                <w:color w:val="auto"/>
                <w:w w:val="90"/>
              </w:rPr>
              <w:t>Translation</w:t>
            </w:r>
          </w:p>
        </w:tc>
        <w:tc>
          <w:tcPr>
            <w:tcW w:w="0" w:type="dxa"/>
            <w:vAlign w:val="bottom"/>
          </w:tcPr>
          <w:p>
            <w:pPr>
              <w:spacing w:after="0"/>
              <w:rPr>
                <w:sz w:val="1"/>
                <w:szCs w:val="1"/>
                <w:color w:val="auto"/>
              </w:rPr>
            </w:pPr>
          </w:p>
        </w:tc>
      </w:tr>
      <w:tr>
        <w:trPr>
          <w:trHeight w:val="246"/>
        </w:trPr>
        <w:tc>
          <w:tcPr>
            <w:tcW w:w="440" w:type="dxa"/>
            <w:vAlign w:val="bottom"/>
          </w:tcPr>
          <w:p>
            <w:pPr>
              <w:spacing w:after="0"/>
              <w:rPr>
                <w:sz w:val="21"/>
                <w:szCs w:val="21"/>
                <w:color w:val="auto"/>
              </w:rPr>
            </w:pPr>
          </w:p>
        </w:tc>
        <w:tc>
          <w:tcPr>
            <w:tcW w:w="7400" w:type="dxa"/>
            <w:vAlign w:val="bottom"/>
            <w:vMerge w:val="restart"/>
          </w:tcPr>
          <w:p>
            <w:pPr>
              <w:ind w:left="840"/>
              <w:spacing w:after="0"/>
              <w:rPr>
                <w:sz w:val="20"/>
                <w:szCs w:val="20"/>
                <w:color w:val="auto"/>
              </w:rPr>
            </w:pPr>
            <w:r>
              <w:rPr>
                <w:rFonts w:ascii="Arial" w:cs="Arial" w:eastAsia="Arial" w:hAnsi="Arial"/>
                <w:sz w:val="20"/>
                <w:szCs w:val="20"/>
                <w:color w:val="auto"/>
              </w:rPr>
              <w:t>Balance at December 31, 2013</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87"/>
              </w:rPr>
              <w:t>(Losses) Gains</w:t>
            </w: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7400" w:type="dxa"/>
            <w:vAlign w:val="bottom"/>
            <w:vMerge w:val="continue"/>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80" w:type="dxa"/>
            <w:vAlign w:val="bottom"/>
          </w:tcPr>
          <w:p>
            <w:pPr>
              <w:jc w:val="right"/>
              <w:spacing w:after="0" w:line="207" w:lineRule="exact"/>
              <w:rPr>
                <w:sz w:val="20"/>
                <w:szCs w:val="20"/>
                <w:color w:val="auto"/>
              </w:rPr>
            </w:pPr>
            <w:r>
              <w:rPr>
                <w:rFonts w:ascii="Arial" w:cs="Arial" w:eastAsia="Arial" w:hAnsi="Arial"/>
                <w:sz w:val="20"/>
                <w:szCs w:val="20"/>
                <w:color w:val="auto"/>
              </w:rPr>
              <w:t>(1,233)</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400" w:type="dxa"/>
            <w:vAlign w:val="bottom"/>
          </w:tcPr>
          <w:p>
            <w:pPr>
              <w:ind w:left="1020"/>
              <w:spacing w:after="0"/>
              <w:rPr>
                <w:sz w:val="20"/>
                <w:szCs w:val="20"/>
                <w:color w:val="auto"/>
              </w:rPr>
            </w:pPr>
            <w:r>
              <w:rPr>
                <w:rFonts w:ascii="Arial" w:cs="Arial" w:eastAsia="Arial" w:hAnsi="Arial"/>
                <w:sz w:val="20"/>
                <w:szCs w:val="20"/>
                <w:color w:val="auto"/>
              </w:rPr>
              <w:t>Other comprehensive income before reclassifications</w:t>
            </w:r>
          </w:p>
        </w:tc>
        <w:tc>
          <w:tcPr>
            <w:tcW w:w="220" w:type="dxa"/>
            <w:vAlign w:val="bottom"/>
          </w:tcPr>
          <w:p>
            <w:pPr>
              <w:spacing w:after="0"/>
              <w:rPr>
                <w:sz w:val="19"/>
                <w:szCs w:val="19"/>
                <w:color w:val="auto"/>
              </w:rPr>
            </w:pPr>
          </w:p>
        </w:tc>
        <w:tc>
          <w:tcPr>
            <w:tcW w:w="1480" w:type="dxa"/>
            <w:vAlign w:val="bottom"/>
          </w:tcPr>
          <w:p>
            <w:pPr>
              <w:jc w:val="right"/>
              <w:ind w:right="21"/>
              <w:spacing w:after="0"/>
              <w:rPr>
                <w:sz w:val="20"/>
                <w:szCs w:val="20"/>
                <w:color w:val="auto"/>
              </w:rPr>
            </w:pPr>
            <w:r>
              <w:rPr>
                <w:rFonts w:ascii="Arial" w:cs="Arial" w:eastAsia="Arial" w:hAnsi="Arial"/>
                <w:sz w:val="20"/>
                <w:szCs w:val="20"/>
                <w:color w:val="auto"/>
              </w:rPr>
              <w:t>612</w:t>
            </w:r>
          </w:p>
        </w:tc>
        <w:tc>
          <w:tcPr>
            <w:tcW w:w="0" w:type="dxa"/>
            <w:vAlign w:val="bottom"/>
          </w:tcPr>
          <w:p>
            <w:pPr>
              <w:spacing w:after="0"/>
              <w:rPr>
                <w:sz w:val="1"/>
                <w:szCs w:val="1"/>
                <w:color w:val="auto"/>
              </w:rPr>
            </w:pPr>
          </w:p>
        </w:tc>
      </w:tr>
      <w:tr>
        <w:trPr>
          <w:trHeight w:val="246"/>
        </w:trPr>
        <w:tc>
          <w:tcPr>
            <w:tcW w:w="440" w:type="dxa"/>
            <w:vAlign w:val="bottom"/>
          </w:tcPr>
          <w:p>
            <w:pPr>
              <w:spacing w:after="0"/>
              <w:rPr>
                <w:sz w:val="21"/>
                <w:szCs w:val="21"/>
                <w:color w:val="auto"/>
              </w:rPr>
            </w:pPr>
          </w:p>
        </w:tc>
        <w:tc>
          <w:tcPr>
            <w:tcW w:w="7400" w:type="dxa"/>
            <w:vAlign w:val="bottom"/>
          </w:tcPr>
          <w:p>
            <w:pPr>
              <w:ind w:left="1020"/>
              <w:spacing w:after="0"/>
              <w:rPr>
                <w:sz w:val="20"/>
                <w:szCs w:val="20"/>
                <w:color w:val="auto"/>
              </w:rPr>
            </w:pPr>
            <w:r>
              <w:rPr>
                <w:rFonts w:ascii="Arial" w:cs="Arial" w:eastAsia="Arial" w:hAnsi="Arial"/>
                <w:sz w:val="20"/>
                <w:szCs w:val="20"/>
                <w:color w:val="auto"/>
              </w:rPr>
              <w:t>Amounts reclassified from accumulated other comprehensive loss</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7400" w:type="dxa"/>
            <w:vAlign w:val="bottom"/>
          </w:tcPr>
          <w:p>
            <w:pPr>
              <w:ind w:left="1020"/>
              <w:spacing w:after="0"/>
              <w:rPr>
                <w:sz w:val="20"/>
                <w:szCs w:val="20"/>
                <w:color w:val="auto"/>
              </w:rPr>
            </w:pPr>
            <w:r>
              <w:rPr>
                <w:rFonts w:ascii="Arial" w:cs="Arial" w:eastAsia="Arial" w:hAnsi="Arial"/>
                <w:sz w:val="20"/>
                <w:szCs w:val="20"/>
                <w:color w:val="auto"/>
              </w:rPr>
              <w:t>Net current-period other comprehensive income</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612</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400" w:type="dxa"/>
            <w:vAlign w:val="bottom"/>
          </w:tcPr>
          <w:p>
            <w:pPr>
              <w:ind w:left="840"/>
              <w:spacing w:after="0" w:line="223" w:lineRule="exact"/>
              <w:rPr>
                <w:sz w:val="20"/>
                <w:szCs w:val="20"/>
                <w:color w:val="auto"/>
              </w:rPr>
            </w:pPr>
            <w:r>
              <w:rPr>
                <w:rFonts w:ascii="Arial" w:cs="Arial" w:eastAsia="Arial" w:hAnsi="Arial"/>
                <w:sz w:val="20"/>
                <w:szCs w:val="20"/>
                <w:color w:val="auto"/>
              </w:rPr>
              <w:t>Balance at June 30, 2014</w:t>
            </w: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(621)</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81"/>
              <w:spacing w:after="0"/>
              <w:rPr>
                <w:sz w:val="20"/>
                <w:szCs w:val="20"/>
                <w:color w:val="auto"/>
              </w:rPr>
            </w:pPr>
            <w:r>
              <w:rPr>
                <w:rFonts w:ascii="Arial" w:cs="Arial" w:eastAsia="Arial" w:hAnsi="Arial"/>
                <w:sz w:val="20"/>
                <w:szCs w:val="20"/>
                <w:color w:val="auto"/>
                <w:w w:val="86"/>
              </w:rPr>
              <w:t>12.</w:t>
            </w:r>
          </w:p>
        </w:tc>
        <w:tc>
          <w:tcPr>
            <w:tcW w:w="7400" w:type="dxa"/>
            <w:vAlign w:val="bottom"/>
            <w:vMerge w:val="restart"/>
          </w:tcPr>
          <w:p>
            <w:pPr>
              <w:ind w:left="180"/>
              <w:spacing w:after="0"/>
              <w:rPr>
                <w:sz w:val="20"/>
                <w:szCs w:val="20"/>
                <w:color w:val="auto"/>
              </w:rPr>
            </w:pPr>
            <w:r>
              <w:rPr>
                <w:rFonts w:ascii="Arial" w:cs="Arial" w:eastAsia="Arial" w:hAnsi="Arial"/>
                <w:sz w:val="20"/>
                <w:szCs w:val="20"/>
                <w:color w:val="auto"/>
              </w:rPr>
              <w:t>TREASURY STOCK PURCHASE</w:t>
            </w: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40" w:type="dxa"/>
            <w:vAlign w:val="bottom"/>
            <w:vMerge w:val="continue"/>
          </w:tcPr>
          <w:p>
            <w:pPr>
              <w:spacing w:after="0"/>
              <w:rPr>
                <w:sz w:val="24"/>
                <w:szCs w:val="24"/>
                <w:color w:val="auto"/>
              </w:rPr>
            </w:pPr>
          </w:p>
        </w:tc>
        <w:tc>
          <w:tcPr>
            <w:tcW w:w="7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April 7, 2013, the Company’s Board of Directors authorized a new share repurchase program for the repurchase of up to $200.0 million of the Company’s outstanding common stock (the “April 2013 Repurchase Plan”). During the six-months ended June 30, 2014, no shares of common stock were purchased under the April 2013 Repurchase Plan. During the year ended December 31, 2013, the Company purchased 0.951 million shares of common stock at an average purchase price of $56.98 per share for a total amount of $54.2 million (excluding broker commissions) under the April 2013 Repurchase Plan.</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the three- and six-months ended June 30, 2014, 586 shares and 867 shares were purchased from employees in lieu of cash payments for options exercised or withholding taxes due for a total amount of $0.04 million and $0.06 million, respectively. While such purchases are considered common stock repurchases, they are not counted as purchases against the Company’s authorized share repurchase programs, including the April 2013 Repurchase Plan.</w:t>
      </w:r>
    </w:p>
    <w:p>
      <w:pPr>
        <w:spacing w:after="0" w:line="205"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June 30, 2014: the Monster Beverage Corporation 2011 Omnibus Incentive Plan (the “2011 Omnibus Incentive Plan”) and the 2009 Monster Beverage Corporation Stock Incentive Plan for Non-Employee Directors (the “2009 Directors Plan”).</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recorded $8.1 million and $7.4 million of compensation expense relating to outstanding options, restricted stock awards, stock appreciation rights and restricted stock units during the three-months ended June 30, 2014 and 2013, respectively. The Company recorded $15.1 million and $14.4 million of compensation expense relating to outstanding options, restricted stock awards, stock appreciation rights and restricted stock units during the six-months ended June 30, 2014 and 2013, respectively.</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excess tax benefit realized for tax deductions from non-qualified stock option exercises, disqualifying dispositions of incentive stock options, vesting of restricted stock units and restricted stock awards for the three-months ended June 30, 2014 and 2013 was $0.7 million and $28.7 million, respectively. The excess tax benefit realized for tax deductions from non-qualified stock option exercises, disqualifying dispositions of incentive stock options, vesting of restricted stock units and restricted stock awards for the six-months ended June 30, 2014 and 2013 was $3.3 million and $28.9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June 30, 2014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246"/>
        </w:trPr>
        <w:tc>
          <w:tcPr>
            <w:tcW w:w="4460" w:type="dxa"/>
            <w:vAlign w:val="bottom"/>
          </w:tcPr>
          <w:p>
            <w:pPr>
              <w:spacing w:after="0"/>
              <w:rPr>
                <w:sz w:val="21"/>
                <w:szCs w:val="21"/>
                <w:color w:val="auto"/>
              </w:rPr>
            </w:pPr>
          </w:p>
        </w:tc>
        <w:tc>
          <w:tcPr>
            <w:tcW w:w="3300" w:type="dxa"/>
            <w:vAlign w:val="bottom"/>
            <w:gridSpan w:val="5"/>
          </w:tcPr>
          <w:p>
            <w:pPr>
              <w:ind w:left="300"/>
              <w:spacing w:after="0"/>
              <w:rPr>
                <w:sz w:val="20"/>
                <w:szCs w:val="20"/>
                <w:color w:val="auto"/>
              </w:rPr>
            </w:pPr>
            <w:r>
              <w:rPr>
                <w:rFonts w:ascii="Arial" w:cs="Arial" w:eastAsia="Arial" w:hAnsi="Arial"/>
                <w:sz w:val="20"/>
                <w:szCs w:val="20"/>
                <w:color w:val="auto"/>
              </w:rPr>
              <w:t>Three-Months Ended June 30,</w:t>
            </w:r>
          </w:p>
        </w:tc>
        <w:tc>
          <w:tcPr>
            <w:tcW w:w="3020" w:type="dxa"/>
            <w:vAlign w:val="bottom"/>
            <w:gridSpan w:val="3"/>
          </w:tcPr>
          <w:p>
            <w:pPr>
              <w:jc w:val="right"/>
              <w:ind w:right="321"/>
              <w:spacing w:after="0"/>
              <w:rPr>
                <w:sz w:val="20"/>
                <w:szCs w:val="20"/>
                <w:color w:val="auto"/>
              </w:rPr>
            </w:pPr>
            <w:r>
              <w:rPr>
                <w:rFonts w:ascii="Arial" w:cs="Arial" w:eastAsia="Arial" w:hAnsi="Arial"/>
                <w:sz w:val="20"/>
                <w:szCs w:val="20"/>
                <w:color w:val="auto"/>
              </w:rPr>
              <w:t>Six-Months Ended June 30,</w:t>
            </w:r>
          </w:p>
        </w:tc>
        <w:tc>
          <w:tcPr>
            <w:tcW w:w="0" w:type="dxa"/>
            <w:vAlign w:val="bottom"/>
          </w:tcPr>
          <w:p>
            <w:pPr>
              <w:spacing w:after="0"/>
              <w:rPr>
                <w:sz w:val="1"/>
                <w:szCs w:val="1"/>
                <w:color w:val="auto"/>
              </w:rPr>
            </w:pPr>
          </w:p>
        </w:tc>
      </w:tr>
      <w:tr>
        <w:trPr>
          <w:trHeight w:val="223"/>
        </w:trPr>
        <w:tc>
          <w:tcPr>
            <w:tcW w:w="446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8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2014</w:t>
            </w:r>
          </w:p>
        </w:tc>
        <w:tc>
          <w:tcPr>
            <w:tcW w:w="4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2013</w:t>
            </w:r>
          </w:p>
        </w:tc>
        <w:tc>
          <w:tcPr>
            <w:tcW w:w="2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28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44"/>
        </w:trPr>
        <w:tc>
          <w:tcPr>
            <w:tcW w:w="4460" w:type="dxa"/>
            <w:vAlign w:val="bottom"/>
            <w:vMerge w:val="continue"/>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w w:val="89"/>
              </w:rPr>
              <w:t>0.0 %</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0.0 %</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0.0 %</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0.0 %</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15" w:name="page16"/>
    <w:bookmarkEnd w:id="15"/>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3420" w:type="dxa"/>
            <w:vAlign w:val="bottom"/>
          </w:tcPr>
          <w:p>
            <w:pPr>
              <w:spacing w:after="0"/>
              <w:rPr>
                <w:sz w:val="20"/>
                <w:szCs w:val="20"/>
                <w:color w:val="auto"/>
              </w:rPr>
            </w:pPr>
            <w:r>
              <w:rPr>
                <w:rFonts w:ascii="Arial" w:cs="Arial" w:eastAsia="Arial" w:hAnsi="Arial"/>
                <w:sz w:val="20"/>
                <w:szCs w:val="20"/>
                <w:color w:val="auto"/>
              </w:rPr>
              <w:t>Expected volatility</w:t>
            </w:r>
          </w:p>
        </w:tc>
        <w:tc>
          <w:tcPr>
            <w:tcW w:w="2860" w:type="dxa"/>
            <w:vAlign w:val="bottom"/>
          </w:tcPr>
          <w:p>
            <w:pPr>
              <w:jc w:val="right"/>
              <w:ind w:right="361"/>
              <w:spacing w:after="0"/>
              <w:rPr>
                <w:sz w:val="20"/>
                <w:szCs w:val="20"/>
                <w:color w:val="auto"/>
              </w:rPr>
            </w:pPr>
            <w:r>
              <w:rPr>
                <w:rFonts w:ascii="Arial" w:cs="Arial" w:eastAsia="Arial" w:hAnsi="Arial"/>
                <w:sz w:val="20"/>
                <w:szCs w:val="20"/>
                <w:color w:val="auto"/>
              </w:rPr>
              <w:t>37.4 %</w:t>
            </w:r>
          </w:p>
        </w:tc>
        <w:tc>
          <w:tcPr>
            <w:tcW w:w="1640" w:type="dxa"/>
            <w:vAlign w:val="bottom"/>
          </w:tcPr>
          <w:p>
            <w:pPr>
              <w:jc w:val="right"/>
              <w:ind w:right="381"/>
              <w:spacing w:after="0"/>
              <w:rPr>
                <w:sz w:val="20"/>
                <w:szCs w:val="20"/>
                <w:color w:val="auto"/>
              </w:rPr>
            </w:pPr>
            <w:r>
              <w:rPr>
                <w:rFonts w:ascii="Arial" w:cs="Arial" w:eastAsia="Arial" w:hAnsi="Arial"/>
                <w:sz w:val="20"/>
                <w:szCs w:val="20"/>
                <w:color w:val="auto"/>
              </w:rPr>
              <w:t>48.1 %</w:t>
            </w:r>
          </w:p>
        </w:tc>
        <w:tc>
          <w:tcPr>
            <w:tcW w:w="1640" w:type="dxa"/>
            <w:vAlign w:val="bottom"/>
          </w:tcPr>
          <w:p>
            <w:pPr>
              <w:jc w:val="right"/>
              <w:ind w:right="361"/>
              <w:spacing w:after="0"/>
              <w:rPr>
                <w:sz w:val="20"/>
                <w:szCs w:val="20"/>
                <w:color w:val="auto"/>
              </w:rPr>
            </w:pPr>
            <w:r>
              <w:rPr>
                <w:rFonts w:ascii="Arial" w:cs="Arial" w:eastAsia="Arial" w:hAnsi="Arial"/>
                <w:sz w:val="20"/>
                <w:szCs w:val="20"/>
                <w:color w:val="auto"/>
              </w:rPr>
              <w:t>42.4 %</w:t>
            </w:r>
          </w:p>
        </w:tc>
        <w:tc>
          <w:tcPr>
            <w:tcW w:w="1180" w:type="dxa"/>
            <w:vAlign w:val="bottom"/>
          </w:tcPr>
          <w:p>
            <w:pPr>
              <w:jc w:val="right"/>
              <w:spacing w:after="0"/>
              <w:rPr>
                <w:sz w:val="20"/>
                <w:szCs w:val="20"/>
                <w:color w:val="auto"/>
              </w:rPr>
            </w:pPr>
            <w:r>
              <w:rPr>
                <w:rFonts w:ascii="Arial" w:cs="Arial" w:eastAsia="Arial" w:hAnsi="Arial"/>
                <w:sz w:val="20"/>
                <w:szCs w:val="20"/>
                <w:color w:val="auto"/>
              </w:rPr>
              <w:t>47.9 %</w:t>
            </w:r>
          </w:p>
        </w:tc>
      </w:tr>
      <w:tr>
        <w:trPr>
          <w:trHeight w:val="230"/>
        </w:trPr>
        <w:tc>
          <w:tcPr>
            <w:tcW w:w="3420" w:type="dxa"/>
            <w:vAlign w:val="bottom"/>
          </w:tcPr>
          <w:p>
            <w:pPr>
              <w:spacing w:after="0"/>
              <w:rPr>
                <w:sz w:val="20"/>
                <w:szCs w:val="20"/>
                <w:color w:val="auto"/>
              </w:rPr>
            </w:pPr>
            <w:r>
              <w:rPr>
                <w:rFonts w:ascii="Arial" w:cs="Arial" w:eastAsia="Arial" w:hAnsi="Arial"/>
                <w:sz w:val="20"/>
                <w:szCs w:val="20"/>
                <w:color w:val="auto"/>
              </w:rPr>
              <w:t>Risk-free interest rate</w:t>
            </w:r>
          </w:p>
        </w:tc>
        <w:tc>
          <w:tcPr>
            <w:tcW w:w="2860" w:type="dxa"/>
            <w:vAlign w:val="bottom"/>
          </w:tcPr>
          <w:p>
            <w:pPr>
              <w:jc w:val="right"/>
              <w:ind w:right="361"/>
              <w:spacing w:after="0"/>
              <w:rPr>
                <w:sz w:val="20"/>
                <w:szCs w:val="20"/>
                <w:color w:val="auto"/>
              </w:rPr>
            </w:pPr>
            <w:r>
              <w:rPr>
                <w:rFonts w:ascii="Arial" w:cs="Arial" w:eastAsia="Arial" w:hAnsi="Arial"/>
                <w:sz w:val="20"/>
                <w:szCs w:val="20"/>
                <w:color w:val="auto"/>
              </w:rPr>
              <w:t>1.6 %</w:t>
            </w:r>
          </w:p>
        </w:tc>
        <w:tc>
          <w:tcPr>
            <w:tcW w:w="1640" w:type="dxa"/>
            <w:vAlign w:val="bottom"/>
          </w:tcPr>
          <w:p>
            <w:pPr>
              <w:jc w:val="right"/>
              <w:ind w:right="381"/>
              <w:spacing w:after="0"/>
              <w:rPr>
                <w:sz w:val="20"/>
                <w:szCs w:val="20"/>
                <w:color w:val="auto"/>
              </w:rPr>
            </w:pPr>
            <w:r>
              <w:rPr>
                <w:rFonts w:ascii="Arial" w:cs="Arial" w:eastAsia="Arial" w:hAnsi="Arial"/>
                <w:sz w:val="20"/>
                <w:szCs w:val="20"/>
                <w:color w:val="auto"/>
              </w:rPr>
              <w:t>1.0 %</w:t>
            </w:r>
          </w:p>
        </w:tc>
        <w:tc>
          <w:tcPr>
            <w:tcW w:w="1640" w:type="dxa"/>
            <w:vAlign w:val="bottom"/>
          </w:tcPr>
          <w:p>
            <w:pPr>
              <w:jc w:val="right"/>
              <w:ind w:right="361"/>
              <w:spacing w:after="0"/>
              <w:rPr>
                <w:sz w:val="20"/>
                <w:szCs w:val="20"/>
                <w:color w:val="auto"/>
              </w:rPr>
            </w:pPr>
            <w:r>
              <w:rPr>
                <w:rFonts w:ascii="Arial" w:cs="Arial" w:eastAsia="Arial" w:hAnsi="Arial"/>
                <w:sz w:val="20"/>
                <w:szCs w:val="20"/>
                <w:color w:val="auto"/>
              </w:rPr>
              <w:t>1.6 %</w:t>
            </w:r>
          </w:p>
        </w:tc>
        <w:tc>
          <w:tcPr>
            <w:tcW w:w="1180" w:type="dxa"/>
            <w:vAlign w:val="bottom"/>
          </w:tcPr>
          <w:p>
            <w:pPr>
              <w:jc w:val="right"/>
              <w:spacing w:after="0"/>
              <w:rPr>
                <w:sz w:val="20"/>
                <w:szCs w:val="20"/>
                <w:color w:val="auto"/>
              </w:rPr>
            </w:pPr>
            <w:r>
              <w:rPr>
                <w:rFonts w:ascii="Arial" w:cs="Arial" w:eastAsia="Arial" w:hAnsi="Arial"/>
                <w:sz w:val="20"/>
                <w:szCs w:val="20"/>
                <w:color w:val="auto"/>
              </w:rPr>
              <w:t>0.9 %</w:t>
            </w:r>
          </w:p>
        </w:tc>
      </w:tr>
      <w:tr>
        <w:trPr>
          <w:trHeight w:val="250"/>
        </w:trPr>
        <w:tc>
          <w:tcPr>
            <w:tcW w:w="3420" w:type="dxa"/>
            <w:vAlign w:val="bottom"/>
          </w:tcPr>
          <w:p>
            <w:pPr>
              <w:spacing w:after="0"/>
              <w:rPr>
                <w:sz w:val="20"/>
                <w:szCs w:val="20"/>
                <w:color w:val="auto"/>
              </w:rPr>
            </w:pPr>
            <w:r>
              <w:rPr>
                <w:rFonts w:ascii="Arial" w:cs="Arial" w:eastAsia="Arial" w:hAnsi="Arial"/>
                <w:sz w:val="20"/>
                <w:szCs w:val="20"/>
                <w:color w:val="auto"/>
              </w:rPr>
              <w:t>Expected term</w:t>
            </w:r>
          </w:p>
        </w:tc>
        <w:tc>
          <w:tcPr>
            <w:tcW w:w="2860" w:type="dxa"/>
            <w:vAlign w:val="bottom"/>
          </w:tcPr>
          <w:p>
            <w:pPr>
              <w:jc w:val="right"/>
              <w:ind w:right="361"/>
              <w:spacing w:after="0"/>
              <w:rPr>
                <w:sz w:val="20"/>
                <w:szCs w:val="20"/>
                <w:color w:val="auto"/>
              </w:rPr>
            </w:pPr>
            <w:r>
              <w:rPr>
                <w:rFonts w:ascii="Arial" w:cs="Arial" w:eastAsia="Arial" w:hAnsi="Arial"/>
                <w:sz w:val="20"/>
                <w:szCs w:val="20"/>
                <w:color w:val="auto"/>
              </w:rPr>
              <w:t>5.6 years</w:t>
            </w:r>
          </w:p>
        </w:tc>
        <w:tc>
          <w:tcPr>
            <w:tcW w:w="1640" w:type="dxa"/>
            <w:vAlign w:val="bottom"/>
          </w:tcPr>
          <w:p>
            <w:pPr>
              <w:jc w:val="right"/>
              <w:ind w:right="381"/>
              <w:spacing w:after="0"/>
              <w:rPr>
                <w:sz w:val="20"/>
                <w:szCs w:val="20"/>
                <w:color w:val="auto"/>
              </w:rPr>
            </w:pPr>
            <w:r>
              <w:rPr>
                <w:rFonts w:ascii="Arial" w:cs="Arial" w:eastAsia="Arial" w:hAnsi="Arial"/>
                <w:sz w:val="20"/>
                <w:szCs w:val="20"/>
                <w:color w:val="auto"/>
              </w:rPr>
              <w:t>6.1 years</w:t>
            </w:r>
          </w:p>
        </w:tc>
        <w:tc>
          <w:tcPr>
            <w:tcW w:w="1640" w:type="dxa"/>
            <w:vAlign w:val="bottom"/>
          </w:tcPr>
          <w:p>
            <w:pPr>
              <w:jc w:val="right"/>
              <w:ind w:right="361"/>
              <w:spacing w:after="0"/>
              <w:rPr>
                <w:sz w:val="20"/>
                <w:szCs w:val="20"/>
                <w:color w:val="auto"/>
              </w:rPr>
            </w:pPr>
            <w:r>
              <w:rPr>
                <w:rFonts w:ascii="Arial" w:cs="Arial" w:eastAsia="Arial" w:hAnsi="Arial"/>
                <w:sz w:val="20"/>
                <w:szCs w:val="20"/>
                <w:color w:val="auto"/>
              </w:rPr>
              <w:t>5.9 years</w:t>
            </w:r>
          </w:p>
        </w:tc>
        <w:tc>
          <w:tcPr>
            <w:tcW w:w="1180" w:type="dxa"/>
            <w:vAlign w:val="bottom"/>
          </w:tcPr>
          <w:p>
            <w:pPr>
              <w:jc w:val="right"/>
              <w:spacing w:after="0"/>
              <w:rPr>
                <w:sz w:val="20"/>
                <w:szCs w:val="20"/>
                <w:color w:val="auto"/>
              </w:rPr>
            </w:pPr>
            <w:r>
              <w:rPr>
                <w:rFonts w:ascii="Arial" w:cs="Arial" w:eastAsia="Arial" w:hAnsi="Arial"/>
                <w:sz w:val="20"/>
                <w:szCs w:val="20"/>
                <w:color w:val="auto"/>
              </w:rPr>
              <w:t>5.7 years</w:t>
            </w:r>
          </w:p>
        </w:tc>
      </w:tr>
    </w:tbl>
    <w:p>
      <w:pPr>
        <w:spacing w:after="0" w:line="20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Weighted-</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20"/>
                <w:szCs w:val="20"/>
                <w:color w:val="auto"/>
                <w:w w:val="89"/>
              </w:rPr>
              <w:t>Weighted-</w:t>
            </w: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Average</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5"/>
              </w:rPr>
              <w:t>Average</w:t>
            </w: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Remaining</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8"/>
              </w:rPr>
              <w:t>Exercise</w:t>
            </w:r>
          </w:p>
        </w:tc>
        <w:tc>
          <w:tcPr>
            <w:tcW w:w="166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Contractual</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8"/>
              </w:rPr>
              <w:t>Shares (In</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7"/>
              </w:rPr>
              <w:t>Price Per</w:t>
            </w: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Term (In</w:t>
            </w:r>
          </w:p>
        </w:tc>
        <w:tc>
          <w:tcPr>
            <w:tcW w:w="200" w:type="dxa"/>
            <w:vAlign w:val="bottom"/>
          </w:tcPr>
          <w:p>
            <w:pPr>
              <w:spacing w:after="0"/>
              <w:rPr>
                <w:sz w:val="19"/>
                <w:szCs w:val="19"/>
                <w:color w:val="auto"/>
              </w:rPr>
            </w:pPr>
          </w:p>
        </w:tc>
        <w:tc>
          <w:tcPr>
            <w:tcW w:w="1380" w:type="dxa"/>
            <w:vAlign w:val="bottom"/>
          </w:tcPr>
          <w:p>
            <w:pPr>
              <w:jc w:val="right"/>
              <w:ind w:right="281"/>
              <w:spacing w:after="0"/>
              <w:rPr>
                <w:sz w:val="20"/>
                <w:szCs w:val="20"/>
                <w:color w:val="auto"/>
              </w:rPr>
            </w:pPr>
            <w:r>
              <w:rPr>
                <w:rFonts w:ascii="Arial" w:cs="Arial" w:eastAsia="Arial" w:hAnsi="Arial"/>
                <w:sz w:val="20"/>
                <w:szCs w:val="20"/>
                <w:color w:val="auto"/>
              </w:rPr>
              <w:t>Aggregate</w:t>
            </w:r>
          </w:p>
        </w:tc>
      </w:tr>
      <w:tr>
        <w:trPr>
          <w:trHeight w:val="246"/>
        </w:trPr>
        <w:tc>
          <w:tcPr>
            <w:tcW w:w="20" w:type="dxa"/>
            <w:vAlign w:val="bottom"/>
          </w:tcPr>
          <w:p>
            <w:pPr>
              <w:spacing w:after="0"/>
              <w:rPr>
                <w:sz w:val="21"/>
                <w:szCs w:val="21"/>
                <w:color w:val="auto"/>
              </w:rPr>
            </w:pPr>
          </w:p>
        </w:tc>
        <w:tc>
          <w:tcPr>
            <w:tcW w:w="4740" w:type="dxa"/>
            <w:vAlign w:val="bottom"/>
            <w:gridSpan w:val="2"/>
          </w:tcPr>
          <w:p>
            <w:pPr>
              <w:ind w:left="2060"/>
              <w:spacing w:after="0"/>
              <w:rPr>
                <w:sz w:val="20"/>
                <w:szCs w:val="20"/>
                <w:color w:val="auto"/>
              </w:rPr>
            </w:pPr>
            <w:r>
              <w:rPr>
                <w:rFonts w:ascii="Arial" w:cs="Arial" w:eastAsia="Arial" w:hAnsi="Arial"/>
                <w:sz w:val="20"/>
                <w:szCs w:val="20"/>
                <w:color w:val="auto"/>
              </w:rPr>
              <w:t>Options</w:t>
            </w:r>
          </w:p>
        </w:tc>
        <w:tc>
          <w:tcPr>
            <w:tcW w:w="1380" w:type="dxa"/>
            <w:vAlign w:val="bottom"/>
          </w:tcPr>
          <w:p>
            <w:pPr>
              <w:jc w:val="center"/>
              <w:spacing w:after="0"/>
              <w:rPr>
                <w:sz w:val="20"/>
                <w:szCs w:val="20"/>
                <w:color w:val="auto"/>
              </w:rPr>
            </w:pPr>
            <w:r>
              <w:rPr>
                <w:rFonts w:ascii="Arial" w:cs="Arial" w:eastAsia="Arial" w:hAnsi="Arial"/>
                <w:sz w:val="20"/>
                <w:szCs w:val="20"/>
                <w:color w:val="auto"/>
                <w:w w:val="86"/>
              </w:rPr>
              <w:t>thousands)</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2"/>
              </w:rPr>
              <w:t>Share</w:t>
            </w:r>
          </w:p>
        </w:tc>
        <w:tc>
          <w:tcPr>
            <w:tcW w:w="166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years)</w:t>
            </w:r>
          </w:p>
        </w:tc>
        <w:tc>
          <w:tcPr>
            <w:tcW w:w="200" w:type="dxa"/>
            <w:vAlign w:val="bottom"/>
          </w:tcPr>
          <w:p>
            <w:pPr>
              <w:spacing w:after="0"/>
              <w:rPr>
                <w:sz w:val="21"/>
                <w:szCs w:val="21"/>
                <w:color w:val="auto"/>
              </w:rPr>
            </w:pPr>
          </w:p>
        </w:tc>
        <w:tc>
          <w:tcPr>
            <w:tcW w:w="1380" w:type="dxa"/>
            <w:vAlign w:val="bottom"/>
          </w:tcPr>
          <w:p>
            <w:pPr>
              <w:jc w:val="right"/>
              <w:ind w:right="121"/>
              <w:spacing w:after="0"/>
              <w:rPr>
                <w:sz w:val="20"/>
                <w:szCs w:val="20"/>
                <w:color w:val="auto"/>
              </w:rPr>
            </w:pPr>
            <w:r>
              <w:rPr>
                <w:rFonts w:ascii="Arial" w:cs="Arial" w:eastAsia="Arial" w:hAnsi="Arial"/>
                <w:sz w:val="20"/>
                <w:szCs w:val="20"/>
                <w:color w:val="auto"/>
                <w:w w:val="90"/>
              </w:rPr>
              <w:t>Intrinsic Value</w:t>
            </w:r>
          </w:p>
        </w:tc>
      </w:tr>
      <w:tr>
        <w:trPr>
          <w:trHeight w:val="206"/>
        </w:trPr>
        <w:tc>
          <w:tcPr>
            <w:tcW w:w="20" w:type="dxa"/>
            <w:vAlign w:val="bottom"/>
          </w:tcPr>
          <w:p>
            <w:pPr>
              <w:spacing w:after="0"/>
              <w:rPr>
                <w:sz w:val="17"/>
                <w:szCs w:val="17"/>
                <w:color w:val="auto"/>
              </w:rPr>
            </w:pPr>
          </w:p>
        </w:tc>
        <w:tc>
          <w:tcPr>
            <w:tcW w:w="44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Outstanding at January 1, 2014</w:t>
            </w:r>
          </w:p>
        </w:tc>
        <w:tc>
          <w:tcPr>
            <w:tcW w:w="340" w:type="dxa"/>
            <w:vAlign w:val="bottom"/>
          </w:tcPr>
          <w:p>
            <w:pPr>
              <w:spacing w:after="0"/>
              <w:rPr>
                <w:sz w:val="17"/>
                <w:szCs w:val="17"/>
                <w:color w:val="auto"/>
              </w:rPr>
            </w:pPr>
          </w:p>
        </w:tc>
        <w:tc>
          <w:tcPr>
            <w:tcW w:w="13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12,973</w:t>
            </w:r>
          </w:p>
        </w:tc>
        <w:tc>
          <w:tcPr>
            <w:tcW w:w="30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15.70</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3.7</w:t>
            </w:r>
          </w:p>
        </w:tc>
        <w:tc>
          <w:tcPr>
            <w:tcW w:w="30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675,595</w:t>
            </w:r>
          </w:p>
        </w:tc>
      </w:tr>
      <w:tr>
        <w:trPr>
          <w:trHeight w:val="230"/>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20"/>
                <w:szCs w:val="20"/>
                <w:color w:val="auto"/>
              </w:rPr>
              <w:t>Granted 01/01/14 - 03/31/14</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689</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70.06</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20"/>
                <w:szCs w:val="20"/>
                <w:color w:val="auto"/>
              </w:rPr>
              <w:t>Granted 04/01/14 - 06/30/14</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99</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69.16</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20"/>
                <w:szCs w:val="20"/>
                <w:color w:val="auto"/>
              </w:rPr>
              <w:t>Exercised</w:t>
            </w:r>
          </w:p>
        </w:tc>
        <w:tc>
          <w:tcPr>
            <w:tcW w:w="1380" w:type="dxa"/>
            <w:vAlign w:val="bottom"/>
          </w:tcPr>
          <w:p>
            <w:pPr>
              <w:jc w:val="right"/>
              <w:spacing w:after="0"/>
              <w:rPr>
                <w:sz w:val="20"/>
                <w:szCs w:val="20"/>
                <w:color w:val="auto"/>
              </w:rPr>
            </w:pPr>
            <w:r>
              <w:rPr>
                <w:rFonts w:ascii="Arial" w:cs="Arial" w:eastAsia="Arial" w:hAnsi="Arial"/>
                <w:sz w:val="20"/>
                <w:szCs w:val="20"/>
                <w:color w:val="auto"/>
              </w:rPr>
              <w:t>(317)</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24.30</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4740" w:type="dxa"/>
            <w:vAlign w:val="bottom"/>
            <w:gridSpan w:val="2"/>
          </w:tcPr>
          <w:p>
            <w:pPr>
              <w:ind w:left="340"/>
              <w:spacing w:after="0"/>
              <w:rPr>
                <w:sz w:val="20"/>
                <w:szCs w:val="20"/>
                <w:color w:val="auto"/>
              </w:rPr>
            </w:pPr>
            <w:r>
              <w:rPr>
                <w:rFonts w:ascii="Arial" w:cs="Arial" w:eastAsia="Arial" w:hAnsi="Arial"/>
                <w:sz w:val="20"/>
                <w:szCs w:val="20"/>
                <w:color w:val="auto"/>
              </w:rPr>
              <w:t>Cancelled or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45.18</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06"/>
        </w:trPr>
        <w:tc>
          <w:tcPr>
            <w:tcW w:w="4760" w:type="dxa"/>
            <w:vAlign w:val="bottom"/>
            <w:gridSpan w:val="3"/>
          </w:tcPr>
          <w:p>
            <w:pPr>
              <w:spacing w:after="0" w:line="207" w:lineRule="exact"/>
              <w:rPr>
                <w:sz w:val="20"/>
                <w:szCs w:val="20"/>
                <w:color w:val="auto"/>
              </w:rPr>
            </w:pPr>
            <w:r>
              <w:rPr>
                <w:rFonts w:ascii="Arial" w:cs="Arial" w:eastAsia="Arial" w:hAnsi="Arial"/>
                <w:sz w:val="20"/>
                <w:szCs w:val="20"/>
                <w:color w:val="auto"/>
              </w:rPr>
              <w:t>Outstanding at June 30, 2014</w:t>
            </w:r>
          </w:p>
        </w:tc>
        <w:tc>
          <w:tcPr>
            <w:tcW w:w="1380" w:type="dxa"/>
            <w:vAlign w:val="bottom"/>
          </w:tcPr>
          <w:p>
            <w:pPr>
              <w:jc w:val="right"/>
              <w:ind w:right="1"/>
              <w:spacing w:after="0" w:line="207" w:lineRule="exact"/>
              <w:rPr>
                <w:sz w:val="20"/>
                <w:szCs w:val="20"/>
                <w:color w:val="auto"/>
              </w:rPr>
            </w:pPr>
            <w:r>
              <w:rPr>
                <w:rFonts w:ascii="Arial" w:cs="Arial" w:eastAsia="Arial" w:hAnsi="Arial"/>
                <w:sz w:val="20"/>
                <w:szCs w:val="20"/>
                <w:color w:val="auto"/>
              </w:rPr>
              <w:t>13,382</w:t>
            </w:r>
          </w:p>
        </w:tc>
        <w:tc>
          <w:tcPr>
            <w:tcW w:w="540" w:type="dxa"/>
            <w:vAlign w:val="bottom"/>
            <w:gridSpan w:val="2"/>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line="207" w:lineRule="exact"/>
              <w:rPr>
                <w:sz w:val="20"/>
                <w:szCs w:val="20"/>
                <w:color w:val="auto"/>
              </w:rPr>
            </w:pPr>
            <w:r>
              <w:rPr>
                <w:rFonts w:ascii="Arial" w:cs="Arial" w:eastAsia="Arial" w:hAnsi="Arial"/>
                <w:sz w:val="20"/>
                <w:szCs w:val="20"/>
                <w:color w:val="auto"/>
              </w:rPr>
              <w:t>18.55</w:t>
            </w:r>
          </w:p>
        </w:tc>
        <w:tc>
          <w:tcPr>
            <w:tcW w:w="280" w:type="dxa"/>
            <w:vAlign w:val="bottom"/>
          </w:tcPr>
          <w:p>
            <w:pPr>
              <w:spacing w:after="0"/>
              <w:rPr>
                <w:sz w:val="17"/>
                <w:szCs w:val="17"/>
                <w:color w:val="auto"/>
              </w:rPr>
            </w:pPr>
          </w:p>
        </w:tc>
        <w:tc>
          <w:tcPr>
            <w:tcW w:w="1360" w:type="dxa"/>
            <w:vAlign w:val="bottom"/>
          </w:tcPr>
          <w:p>
            <w:pPr>
              <w:jc w:val="right"/>
              <w:ind w:right="1"/>
              <w:spacing w:after="0" w:line="207" w:lineRule="exact"/>
              <w:rPr>
                <w:sz w:val="20"/>
                <w:szCs w:val="20"/>
                <w:color w:val="auto"/>
              </w:rPr>
            </w:pPr>
            <w:r>
              <w:rPr>
                <w:rFonts w:ascii="Arial" w:cs="Arial" w:eastAsia="Arial" w:hAnsi="Arial"/>
                <w:sz w:val="20"/>
                <w:szCs w:val="20"/>
                <w:color w:val="auto"/>
              </w:rPr>
              <w:t>3.6</w:t>
            </w:r>
          </w:p>
        </w:tc>
        <w:tc>
          <w:tcPr>
            <w:tcW w:w="300" w:type="dxa"/>
            <w:vAlign w:val="bottom"/>
          </w:tcPr>
          <w:p>
            <w:pPr>
              <w:spacing w:after="0"/>
              <w:rPr>
                <w:sz w:val="17"/>
                <w:szCs w:val="17"/>
                <w:color w:val="auto"/>
              </w:rPr>
            </w:pPr>
          </w:p>
        </w:tc>
        <w:tc>
          <w:tcPr>
            <w:tcW w:w="2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702,248</w:t>
            </w:r>
          </w:p>
        </w:tc>
      </w:tr>
      <w:tr>
        <w:trPr>
          <w:trHeight w:val="230"/>
        </w:trPr>
        <w:tc>
          <w:tcPr>
            <w:tcW w:w="4760" w:type="dxa"/>
            <w:vAlign w:val="bottom"/>
            <w:gridSpan w:val="3"/>
          </w:tcPr>
          <w:p>
            <w:pPr>
              <w:spacing w:after="0"/>
              <w:rPr>
                <w:sz w:val="20"/>
                <w:szCs w:val="20"/>
                <w:color w:val="auto"/>
              </w:rPr>
            </w:pPr>
            <w:r>
              <w:rPr>
                <w:rFonts w:ascii="Arial" w:cs="Arial" w:eastAsia="Arial" w:hAnsi="Arial"/>
                <w:sz w:val="20"/>
                <w:szCs w:val="20"/>
                <w:color w:val="auto"/>
              </w:rPr>
              <w:t>Vested and expected to vest in the future at June 30,</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420" w:type="dxa"/>
            <w:vAlign w:val="bottom"/>
            <w:gridSpan w:val="2"/>
          </w:tcPr>
          <w:p>
            <w:pPr>
              <w:ind w:left="380"/>
              <w:spacing w:after="0"/>
              <w:rPr>
                <w:sz w:val="20"/>
                <w:szCs w:val="20"/>
                <w:color w:val="auto"/>
              </w:rPr>
            </w:pPr>
            <w:r>
              <w:rPr>
                <w:rFonts w:ascii="Arial" w:cs="Arial" w:eastAsia="Arial" w:hAnsi="Arial"/>
                <w:sz w:val="20"/>
                <w:szCs w:val="20"/>
                <w:color w:val="auto"/>
              </w:rPr>
              <w:t>2014</w:t>
            </w:r>
          </w:p>
        </w:tc>
        <w:tc>
          <w:tcPr>
            <w:tcW w:w="3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12,918</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17.22</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3.4</w:t>
            </w:r>
          </w:p>
        </w:tc>
        <w:tc>
          <w:tcPr>
            <w:tcW w:w="3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695,088</w:t>
            </w:r>
          </w:p>
        </w:tc>
      </w:tr>
      <w:tr>
        <w:trPr>
          <w:trHeight w:val="250"/>
        </w:trPr>
        <w:tc>
          <w:tcPr>
            <w:tcW w:w="4760" w:type="dxa"/>
            <w:vAlign w:val="bottom"/>
            <w:gridSpan w:val="3"/>
          </w:tcPr>
          <w:p>
            <w:pPr>
              <w:spacing w:after="0"/>
              <w:rPr>
                <w:sz w:val="20"/>
                <w:szCs w:val="20"/>
                <w:color w:val="auto"/>
              </w:rPr>
            </w:pPr>
            <w:r>
              <w:rPr>
                <w:rFonts w:ascii="Arial" w:cs="Arial" w:eastAsia="Arial" w:hAnsi="Arial"/>
                <w:sz w:val="20"/>
                <w:szCs w:val="20"/>
                <w:color w:val="auto"/>
              </w:rPr>
              <w:t>Exercisable at June 30, 2014</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10,531</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10.15</w:t>
            </w:r>
          </w:p>
        </w:tc>
        <w:tc>
          <w:tcPr>
            <w:tcW w:w="28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2.3</w:t>
            </w: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641,150</w:t>
            </w:r>
          </w:p>
        </w:tc>
      </w:tr>
    </w:tbl>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weighted-average grant-date fair value of options granted during the three-months ended June 30, 2014 and 2013 was $25.71 per share and $25.16 per share, respectively. The weighted-average grant-date fair value of options granted during the six-months ended June 30, 2014 and 2013 was $29.35 per share and $22.44 per share, respectively. The total intrinsic value of options exercised during the three-months ended June 30, 2014 and 2013 was $3.7 million and $81.0 million, respectively. The total intrinsic value of options exercised during the six-months ended June 30, 2014 and 2013 was $15.1 million and $84.2 million, respectively.</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Cash received from option exercises under all plans for the three-months ended June 30, 2014 and 2013 was approximately $2.0 million and $13.9 million, respectively. Cash received from option exercises under all plans for the six-months ended June 30, 2014 and 2013 was approximately $7.7 million and $16.3 million, respectively.</w:t>
      </w:r>
    </w:p>
    <w:p>
      <w:pPr>
        <w:spacing w:after="0" w:line="20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At June 30, 2014, there was $52.4 million of total unrecognized compensation expense related to non-vested options granted to employees under the Company’s share-based payment plans. That cost is expected to be recognized over a weighted-average period of 2.7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Awards and Restricted Stock Units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81" w:gutter="0" w:footer="0" w:header="0"/>
        </w:sectPr>
      </w:pPr>
    </w:p>
    <w:bookmarkStart w:id="16" w:name="page17"/>
    <w:bookmarkEnd w:id="16"/>
    <w:p>
      <w:pPr>
        <w:jc w:val="both"/>
        <w:ind w:firstLine="648"/>
        <w:spacing w:after="0" w:line="262" w:lineRule="auto"/>
        <w:rPr>
          <w:sz w:val="20"/>
          <w:szCs w:val="20"/>
          <w:color w:val="auto"/>
        </w:rPr>
      </w:pPr>
      <w:r>
        <w:rPr>
          <w:rFonts w:ascii="Arial" w:cs="Arial" w:eastAsia="Arial" w:hAnsi="Arial"/>
          <w:sz w:val="20"/>
          <w:szCs w:val="20"/>
          <w:color w:val="auto"/>
        </w:rPr>
        <w:t>The following table summarizes the Company’s activities with respect to non-vested restricted stock awards and non-vested restricted stock units as follows: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161"/>
              <w:spacing w:after="0"/>
              <w:rPr>
                <w:sz w:val="20"/>
                <w:szCs w:val="20"/>
                <w:color w:val="auto"/>
              </w:rPr>
            </w:pPr>
            <w:r>
              <w:rPr>
                <w:rFonts w:ascii="Arial" w:cs="Arial" w:eastAsia="Arial" w:hAnsi="Arial"/>
                <w:sz w:val="20"/>
                <w:szCs w:val="20"/>
                <w:color w:val="auto"/>
                <w:w w:val="87"/>
              </w:rPr>
              <w:t>Weighted</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19"/>
                <w:szCs w:val="19"/>
                <w:color w:val="auto"/>
              </w:rPr>
            </w:pPr>
          </w:p>
        </w:tc>
        <w:tc>
          <w:tcPr>
            <w:tcW w:w="1520" w:type="dxa"/>
            <w:vAlign w:val="bottom"/>
          </w:tcPr>
          <w:p>
            <w:pPr>
              <w:jc w:val="right"/>
              <w:ind w:right="261"/>
              <w:spacing w:after="0"/>
              <w:rPr>
                <w:sz w:val="20"/>
                <w:szCs w:val="20"/>
                <w:color w:val="auto"/>
              </w:rPr>
            </w:pPr>
            <w:r>
              <w:rPr>
                <w:rFonts w:ascii="Arial" w:cs="Arial" w:eastAsia="Arial" w:hAnsi="Arial"/>
                <w:sz w:val="20"/>
                <w:szCs w:val="20"/>
                <w:color w:val="auto"/>
              </w:rPr>
              <w:t>Number of</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161"/>
              <w:spacing w:after="0"/>
              <w:rPr>
                <w:sz w:val="20"/>
                <w:szCs w:val="20"/>
                <w:color w:val="auto"/>
              </w:rPr>
            </w:pPr>
            <w:r>
              <w:rPr>
                <w:rFonts w:ascii="Arial" w:cs="Arial" w:eastAsia="Arial" w:hAnsi="Arial"/>
                <w:sz w:val="20"/>
                <w:szCs w:val="20"/>
                <w:color w:val="auto"/>
                <w:w w:val="88"/>
              </w:rPr>
              <w:t>Average</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19"/>
                <w:szCs w:val="19"/>
                <w:color w:val="auto"/>
              </w:rPr>
            </w:pPr>
          </w:p>
        </w:tc>
        <w:tc>
          <w:tcPr>
            <w:tcW w:w="1520" w:type="dxa"/>
            <w:vAlign w:val="bottom"/>
          </w:tcPr>
          <w:p>
            <w:pPr>
              <w:ind w:left="340"/>
              <w:spacing w:after="0"/>
              <w:rPr>
                <w:sz w:val="20"/>
                <w:szCs w:val="20"/>
                <w:color w:val="auto"/>
              </w:rPr>
            </w:pPr>
            <w:r>
              <w:rPr>
                <w:rFonts w:ascii="Arial" w:cs="Arial" w:eastAsia="Arial" w:hAnsi="Arial"/>
                <w:sz w:val="20"/>
                <w:szCs w:val="20"/>
                <w:color w:val="auto"/>
              </w:rPr>
              <w:t>Shares (in</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161"/>
              <w:spacing w:after="0"/>
              <w:rPr>
                <w:sz w:val="20"/>
                <w:szCs w:val="20"/>
                <w:color w:val="auto"/>
              </w:rPr>
            </w:pPr>
            <w:r>
              <w:rPr>
                <w:rFonts w:ascii="Arial" w:cs="Arial" w:eastAsia="Arial" w:hAnsi="Arial"/>
                <w:sz w:val="20"/>
                <w:szCs w:val="20"/>
                <w:color w:val="auto"/>
                <w:w w:val="90"/>
              </w:rPr>
              <w:t>Grant-Date</w:t>
            </w:r>
          </w:p>
        </w:tc>
        <w:tc>
          <w:tcPr>
            <w:tcW w:w="0" w:type="dxa"/>
            <w:vAlign w:val="bottom"/>
          </w:tcPr>
          <w:p>
            <w:pPr>
              <w:spacing w:after="0"/>
              <w:rPr>
                <w:sz w:val="1"/>
                <w:szCs w:val="1"/>
                <w:color w:val="auto"/>
              </w:rPr>
            </w:pPr>
          </w:p>
        </w:tc>
      </w:tr>
      <w:tr>
        <w:trPr>
          <w:trHeight w:val="246"/>
        </w:trPr>
        <w:tc>
          <w:tcPr>
            <w:tcW w:w="5480" w:type="dxa"/>
            <w:vAlign w:val="bottom"/>
            <w:vMerge w:val="restart"/>
          </w:tcPr>
          <w:p>
            <w:pPr>
              <w:spacing w:after="0"/>
              <w:rPr>
                <w:sz w:val="20"/>
                <w:szCs w:val="20"/>
                <w:color w:val="auto"/>
              </w:rPr>
            </w:pPr>
            <w:r>
              <w:rPr>
                <w:rFonts w:ascii="Arial" w:cs="Arial" w:eastAsia="Arial" w:hAnsi="Arial"/>
                <w:sz w:val="20"/>
                <w:szCs w:val="20"/>
                <w:color w:val="auto"/>
              </w:rPr>
              <w:t>Non-vested at January 1, 2014</w:t>
            </w:r>
          </w:p>
        </w:tc>
        <w:tc>
          <w:tcPr>
            <w:tcW w:w="152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thousands)</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89"/>
              </w:rPr>
              <w:t>Fair Value</w:t>
            </w:r>
          </w:p>
        </w:tc>
        <w:tc>
          <w:tcPr>
            <w:tcW w:w="0" w:type="dxa"/>
            <w:vAlign w:val="bottom"/>
          </w:tcPr>
          <w:p>
            <w:pPr>
              <w:spacing w:after="0"/>
              <w:rPr>
                <w:sz w:val="1"/>
                <w:szCs w:val="1"/>
                <w:color w:val="auto"/>
              </w:rPr>
            </w:pPr>
          </w:p>
        </w:tc>
      </w:tr>
      <w:tr>
        <w:trPr>
          <w:trHeight w:val="244"/>
        </w:trPr>
        <w:tc>
          <w:tcPr>
            <w:tcW w:w="5480" w:type="dxa"/>
            <w:vAlign w:val="bottom"/>
            <w:vMerge w:val="continue"/>
          </w:tcPr>
          <w:p>
            <w:pPr>
              <w:spacing w:after="0"/>
              <w:rPr>
                <w:sz w:val="21"/>
                <w:szCs w:val="21"/>
                <w:color w:val="auto"/>
              </w:rPr>
            </w:pP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391</w:t>
            </w:r>
          </w:p>
        </w:tc>
        <w:tc>
          <w:tcPr>
            <w:tcW w:w="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49.27</w:t>
            </w:r>
          </w:p>
        </w:tc>
        <w:tc>
          <w:tcPr>
            <w:tcW w:w="0" w:type="dxa"/>
            <w:vAlign w:val="bottom"/>
          </w:tcPr>
          <w:p>
            <w:pPr>
              <w:spacing w:after="0"/>
              <w:rPr>
                <w:sz w:val="1"/>
                <w:szCs w:val="1"/>
                <w:color w:val="auto"/>
              </w:rPr>
            </w:pPr>
          </w:p>
        </w:tc>
      </w:tr>
      <w:tr>
        <w:trPr>
          <w:trHeight w:val="253"/>
        </w:trPr>
        <w:tc>
          <w:tcPr>
            <w:tcW w:w="5480" w:type="dxa"/>
            <w:vAlign w:val="bottom"/>
          </w:tcPr>
          <w:p>
            <w:pPr>
              <w:ind w:left="360"/>
              <w:spacing w:after="0"/>
              <w:rPr>
                <w:sz w:val="20"/>
                <w:szCs w:val="20"/>
                <w:color w:val="auto"/>
              </w:rPr>
            </w:pPr>
            <w:r>
              <w:rPr>
                <w:rFonts w:ascii="Arial" w:cs="Arial" w:eastAsia="Arial" w:hAnsi="Arial"/>
                <w:sz w:val="20"/>
                <w:szCs w:val="20"/>
                <w:color w:val="auto"/>
              </w:rPr>
              <w:t>Granted 01/01/14 - 03/31/14</w:t>
            </w: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480" w:type="dxa"/>
            <w:vAlign w:val="bottom"/>
          </w:tcPr>
          <w:p>
            <w:pPr>
              <w:ind w:left="360"/>
              <w:spacing w:after="0"/>
              <w:rPr>
                <w:sz w:val="20"/>
                <w:szCs w:val="20"/>
                <w:color w:val="auto"/>
              </w:rPr>
            </w:pPr>
            <w:r>
              <w:rPr>
                <w:rFonts w:ascii="Arial" w:cs="Arial" w:eastAsia="Arial" w:hAnsi="Arial"/>
                <w:sz w:val="20"/>
                <w:szCs w:val="20"/>
                <w:color w:val="auto"/>
              </w:rPr>
              <w:t>Granted 04/01/14 - 06/30/14</w:t>
            </w: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10</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69.00</w:t>
            </w:r>
          </w:p>
        </w:tc>
        <w:tc>
          <w:tcPr>
            <w:tcW w:w="0" w:type="dxa"/>
            <w:vAlign w:val="bottom"/>
          </w:tcPr>
          <w:p>
            <w:pPr>
              <w:spacing w:after="0"/>
              <w:rPr>
                <w:sz w:val="1"/>
                <w:szCs w:val="1"/>
                <w:color w:val="auto"/>
              </w:rPr>
            </w:pPr>
          </w:p>
        </w:tc>
      </w:tr>
      <w:tr>
        <w:trPr>
          <w:trHeight w:val="270"/>
        </w:trPr>
        <w:tc>
          <w:tcPr>
            <w:tcW w:w="5480" w:type="dxa"/>
            <w:vAlign w:val="bottom"/>
          </w:tcPr>
          <w:p>
            <w:pPr>
              <w:ind w:left="360"/>
              <w:spacing w:after="0"/>
              <w:rPr>
                <w:sz w:val="20"/>
                <w:szCs w:val="20"/>
                <w:color w:val="auto"/>
              </w:rPr>
            </w:pPr>
            <w:r>
              <w:rPr>
                <w:rFonts w:ascii="Arial" w:cs="Arial" w:eastAsia="Arial" w:hAnsi="Arial"/>
                <w:sz w:val="20"/>
                <w:szCs w:val="20"/>
                <w:color w:val="auto"/>
              </w:rPr>
              <w:t>Vested</w:t>
            </w:r>
          </w:p>
        </w:tc>
        <w:tc>
          <w:tcPr>
            <w:tcW w:w="1520" w:type="dxa"/>
            <w:vAlign w:val="bottom"/>
          </w:tcPr>
          <w:p>
            <w:pPr>
              <w:jc w:val="right"/>
              <w:spacing w:after="0"/>
              <w:rPr>
                <w:sz w:val="20"/>
                <w:szCs w:val="20"/>
                <w:color w:val="auto"/>
              </w:rPr>
            </w:pPr>
            <w:r>
              <w:rPr>
                <w:rFonts w:ascii="Arial" w:cs="Arial" w:eastAsia="Arial" w:hAnsi="Arial"/>
                <w:sz w:val="20"/>
                <w:szCs w:val="20"/>
                <w:color w:val="auto"/>
              </w:rPr>
              <w:t>(39)</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53.98</w:t>
            </w:r>
          </w:p>
        </w:tc>
        <w:tc>
          <w:tcPr>
            <w:tcW w:w="0" w:type="dxa"/>
            <w:vAlign w:val="bottom"/>
          </w:tcPr>
          <w:p>
            <w:pPr>
              <w:spacing w:after="0"/>
              <w:rPr>
                <w:sz w:val="1"/>
                <w:szCs w:val="1"/>
                <w:color w:val="auto"/>
              </w:rPr>
            </w:pPr>
          </w:p>
        </w:tc>
      </w:tr>
      <w:tr>
        <w:trPr>
          <w:trHeight w:val="266"/>
        </w:trPr>
        <w:tc>
          <w:tcPr>
            <w:tcW w:w="5480" w:type="dxa"/>
            <w:vAlign w:val="bottom"/>
          </w:tcPr>
          <w:p>
            <w:pPr>
              <w:ind w:left="360"/>
              <w:spacing w:after="0"/>
              <w:rPr>
                <w:sz w:val="20"/>
                <w:szCs w:val="20"/>
                <w:color w:val="auto"/>
              </w:rPr>
            </w:pPr>
            <w:r>
              <w:rPr>
                <w:rFonts w:ascii="Arial" w:cs="Arial" w:eastAsia="Arial" w:hAnsi="Arial"/>
                <w:sz w:val="20"/>
                <w:szCs w:val="20"/>
                <w:color w:val="auto"/>
              </w:rPr>
              <w:t>Forfeited/cancelled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53.34</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Arial" w:cs="Arial" w:eastAsia="Arial" w:hAnsi="Arial"/>
                <w:sz w:val="20"/>
                <w:szCs w:val="20"/>
                <w:color w:val="auto"/>
              </w:rPr>
              <w:t>Non-vested at June 30, 2014</w:t>
            </w:r>
          </w:p>
        </w:tc>
        <w:tc>
          <w:tcPr>
            <w:tcW w:w="15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354</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49.23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weighted-average grant-date fair value of restricted stock units and restricted stock awards granted during the three-months ended June 30, 2014 and 2013 was $69.00 and $54.64 per share, respectively. The weighted-average grant-date fair value of restricted stock units and restricted stock awards granted during the six-months ended June 30, 2014 and 2013 was $69.00 and $53.25 per share, respectively. As of June 30, 2014, 0.3 million of restricted stock units and restricted stock awards are expected to vest over their respective terms.</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At June 30, 2014, total unrecognized compensation expense relating to non-vested restricted stock awards and non-vested restricted stock units was $8.8 million, which is expected to be recognized over a weighted-average period of 1.4 years.</w:t>
      </w:r>
    </w:p>
    <w:p>
      <w:pPr>
        <w:spacing w:after="0" w:line="190"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six-months ended June 30, 2014:</w:t>
      </w:r>
    </w:p>
    <w:p>
      <w:pPr>
        <w:spacing w:after="0" w:line="189"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jc w:val="right"/>
              <w:ind w:right="304"/>
              <w:spacing w:after="0"/>
              <w:rPr>
                <w:sz w:val="20"/>
                <w:szCs w:val="20"/>
                <w:color w:val="auto"/>
              </w:rPr>
            </w:pPr>
            <w:r>
              <w:rPr>
                <w:rFonts w:ascii="Arial" w:cs="Arial" w:eastAsia="Arial" w:hAnsi="Arial"/>
                <w:sz w:val="18"/>
                <w:szCs w:val="18"/>
                <w:b w:val="1"/>
                <w:bCs w:val="1"/>
                <w:color w:val="auto"/>
                <w:w w:val="92"/>
              </w:rPr>
              <w:t>Gross Unrecognized Tax</w:t>
            </w:r>
          </w:p>
        </w:tc>
        <w:tc>
          <w:tcPr>
            <w:tcW w:w="0" w:type="dxa"/>
            <w:vAlign w:val="bottom"/>
          </w:tcPr>
          <w:p>
            <w:pPr>
              <w:spacing w:after="0"/>
              <w:rPr>
                <w:sz w:val="1"/>
                <w:szCs w:val="1"/>
                <w:color w:val="auto"/>
              </w:rPr>
            </w:pPr>
          </w:p>
        </w:tc>
      </w:tr>
      <w:tr>
        <w:trPr>
          <w:trHeight w:val="234"/>
        </w:trPr>
        <w:tc>
          <w:tcPr>
            <w:tcW w:w="5600" w:type="dxa"/>
            <w:vAlign w:val="bottom"/>
            <w:vMerge w:val="restart"/>
          </w:tcPr>
          <w:p>
            <w:pPr>
              <w:spacing w:after="0"/>
              <w:rPr>
                <w:sz w:val="20"/>
                <w:szCs w:val="20"/>
                <w:color w:val="auto"/>
              </w:rPr>
            </w:pPr>
            <w:r>
              <w:rPr>
                <w:rFonts w:ascii="Arial" w:cs="Arial" w:eastAsia="Arial" w:hAnsi="Arial"/>
                <w:sz w:val="20"/>
                <w:szCs w:val="20"/>
                <w:color w:val="auto"/>
              </w:rPr>
              <w:t>Balance at December 31, 2013</w:t>
            </w:r>
          </w:p>
        </w:tc>
        <w:tc>
          <w:tcPr>
            <w:tcW w:w="2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924"/>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206"/>
        </w:trPr>
        <w:tc>
          <w:tcPr>
            <w:tcW w:w="5600" w:type="dxa"/>
            <w:vAlign w:val="bottom"/>
            <w:vMerge w:val="continue"/>
          </w:tcPr>
          <w:p>
            <w:pPr>
              <w:spacing w:after="0"/>
              <w:rPr>
                <w:sz w:val="17"/>
                <w:szCs w:val="17"/>
                <w:color w:val="auto"/>
              </w:rPr>
            </w:pPr>
          </w:p>
        </w:tc>
        <w:tc>
          <w:tcPr>
            <w:tcW w:w="28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380" w:type="dxa"/>
            <w:vAlign w:val="bottom"/>
          </w:tcPr>
          <w:p>
            <w:pPr>
              <w:jc w:val="right"/>
              <w:ind w:right="24"/>
              <w:spacing w:after="0" w:line="207" w:lineRule="exact"/>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20"/>
                <w:szCs w:val="20"/>
                <w:color w:val="auto"/>
              </w:rPr>
              <w:t>Additions for tax positions related to the current year</w:t>
            </w:r>
          </w:p>
        </w:tc>
        <w:tc>
          <w:tcPr>
            <w:tcW w:w="280" w:type="dxa"/>
            <w:vAlign w:val="bottom"/>
          </w:tcPr>
          <w:p>
            <w:pPr>
              <w:spacing w:after="0"/>
              <w:rPr>
                <w:sz w:val="19"/>
                <w:szCs w:val="19"/>
                <w:color w:val="auto"/>
              </w:rPr>
            </w:pPr>
          </w:p>
        </w:tc>
        <w:tc>
          <w:tcPr>
            <w:tcW w:w="2380" w:type="dxa"/>
            <w:vAlign w:val="bottom"/>
          </w:tcPr>
          <w:p>
            <w:pPr>
              <w:jc w:val="right"/>
              <w:ind w:right="2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280" w:type="dxa"/>
            <w:vAlign w:val="bottom"/>
          </w:tcPr>
          <w:p>
            <w:pPr>
              <w:spacing w:after="0"/>
              <w:rPr>
                <w:sz w:val="19"/>
                <w:szCs w:val="19"/>
                <w:color w:val="auto"/>
              </w:rPr>
            </w:pPr>
          </w:p>
        </w:tc>
        <w:tc>
          <w:tcPr>
            <w:tcW w:w="2380" w:type="dxa"/>
            <w:vAlign w:val="bottom"/>
          </w:tcPr>
          <w:p>
            <w:pPr>
              <w:jc w:val="right"/>
              <w:ind w:right="2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5600" w:type="dxa"/>
            <w:vAlign w:val="bottom"/>
          </w:tcPr>
          <w:p>
            <w:pPr>
              <w:spacing w:after="0"/>
              <w:rPr>
                <w:sz w:val="20"/>
                <w:szCs w:val="20"/>
                <w:color w:val="auto"/>
              </w:rPr>
            </w:pPr>
            <w:r>
              <w:rPr>
                <w:rFonts w:ascii="Arial" w:cs="Arial" w:eastAsia="Arial" w:hAnsi="Arial"/>
                <w:sz w:val="20"/>
                <w:szCs w:val="20"/>
                <w:color w:val="auto"/>
              </w:rPr>
              <w:t>Decreases related to settlement with taxing authority</w:t>
            </w:r>
          </w:p>
        </w:tc>
        <w:tc>
          <w:tcPr>
            <w:tcW w:w="28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600" w:type="dxa"/>
            <w:vAlign w:val="bottom"/>
          </w:tcPr>
          <w:p>
            <w:pPr>
              <w:spacing w:after="0" w:line="223" w:lineRule="exact"/>
              <w:rPr>
                <w:sz w:val="20"/>
                <w:szCs w:val="20"/>
                <w:color w:val="auto"/>
              </w:rPr>
            </w:pPr>
            <w:r>
              <w:rPr>
                <w:rFonts w:ascii="Arial" w:cs="Arial" w:eastAsia="Arial" w:hAnsi="Arial"/>
                <w:sz w:val="20"/>
                <w:szCs w:val="20"/>
                <w:color w:val="auto"/>
              </w:rPr>
              <w:t>Balance at June 30, 2014</w:t>
            </w:r>
          </w:p>
        </w:tc>
        <w:tc>
          <w:tcPr>
            <w:tcW w:w="2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2380" w:type="dxa"/>
            <w:vAlign w:val="bottom"/>
            <w:tcBorders>
              <w:bottom w:val="single" w:sz="8" w:color="auto"/>
            </w:tcBorders>
          </w:tcPr>
          <w:p>
            <w:pPr>
              <w:jc w:val="right"/>
              <w:ind w:right="24"/>
              <w:spacing w:after="0" w:line="223" w:lineRule="exact"/>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June 30, 2014, the Company had accrued approximately $0.4 million in interest and penalties related to unrecognized tax benefits. If the Company were to prevail on all uncertain tax positions, the resultant impact on the Company’s effective tax rate would not be significant. It is expected that the amount of unrecognized tax benefits will not change within the next 12 months.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March 8, 2013, the Internal Revenue Service (“IRS”) began its examination of the Company’s U.S. federal income tax returns for the years ended December 31, 2010 and 2011. The Company is also in various stages of examination with certain states. The 2012 U.S. federal income tax return is subject to IRS examination. State income tax returns are subject to examination for the 2009 through 2012 tax years.</w:t>
      </w:r>
    </w:p>
    <w:p>
      <w:pPr>
        <w:spacing w:after="0" w:line="132"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1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3300" w:type="dxa"/>
            <w:vAlign w:val="bottom"/>
            <w:gridSpan w:val="5"/>
          </w:tcPr>
          <w:p>
            <w:pPr>
              <w:jc w:val="center"/>
              <w:ind w:right="280"/>
              <w:spacing w:after="0"/>
              <w:rPr>
                <w:sz w:val="20"/>
                <w:szCs w:val="20"/>
                <w:color w:val="auto"/>
              </w:rPr>
            </w:pPr>
            <w:r>
              <w:rPr>
                <w:rFonts w:ascii="Arial" w:cs="Arial" w:eastAsia="Arial" w:hAnsi="Arial"/>
                <w:sz w:val="20"/>
                <w:szCs w:val="20"/>
                <w:color w:val="auto"/>
                <w:w w:val="90"/>
              </w:rPr>
              <w:t>Three-Months Ended</w:t>
            </w:r>
          </w:p>
        </w:tc>
        <w:tc>
          <w:tcPr>
            <w:tcW w:w="3000" w:type="dxa"/>
            <w:vAlign w:val="bottom"/>
            <w:gridSpan w:val="4"/>
          </w:tcPr>
          <w:p>
            <w:pPr>
              <w:jc w:val="center"/>
              <w:spacing w:after="0"/>
              <w:rPr>
                <w:sz w:val="20"/>
                <w:szCs w:val="20"/>
                <w:color w:val="auto"/>
              </w:rPr>
            </w:pPr>
            <w:r>
              <w:rPr>
                <w:rFonts w:ascii="Arial" w:cs="Arial" w:eastAsia="Arial" w:hAnsi="Arial"/>
                <w:sz w:val="20"/>
                <w:szCs w:val="20"/>
                <w:color w:val="auto"/>
                <w:w w:val="91"/>
              </w:rPr>
              <w:t>Six-Months Ended</w:t>
            </w:r>
          </w:p>
        </w:tc>
        <w:tc>
          <w:tcPr>
            <w:tcW w:w="0" w:type="dxa"/>
            <w:vAlign w:val="bottom"/>
          </w:tcPr>
          <w:p>
            <w:pPr>
              <w:spacing w:after="0"/>
              <w:rPr>
                <w:sz w:val="1"/>
                <w:szCs w:val="1"/>
                <w:color w:val="auto"/>
              </w:rPr>
            </w:pPr>
          </w:p>
        </w:tc>
      </w:tr>
      <w:tr>
        <w:trPr>
          <w:trHeight w:val="246"/>
        </w:trPr>
        <w:tc>
          <w:tcPr>
            <w:tcW w:w="3620" w:type="dxa"/>
            <w:vAlign w:val="bottom"/>
          </w:tcPr>
          <w:p>
            <w:pPr>
              <w:spacing w:after="0"/>
              <w:rPr>
                <w:sz w:val="21"/>
                <w:szCs w:val="21"/>
                <w:color w:val="auto"/>
              </w:rPr>
            </w:pPr>
          </w:p>
        </w:tc>
        <w:tc>
          <w:tcPr>
            <w:tcW w:w="1980" w:type="dxa"/>
            <w:vAlign w:val="bottom"/>
            <w:tcBorders>
              <w:bottom w:val="single" w:sz="8" w:color="auto"/>
            </w:tcBorders>
            <w:gridSpan w:val="3"/>
          </w:tcPr>
          <w:p>
            <w:pPr>
              <w:jc w:val="center"/>
              <w:ind w:left="941"/>
              <w:spacing w:after="0"/>
              <w:rPr>
                <w:sz w:val="20"/>
                <w:szCs w:val="20"/>
                <w:color w:val="auto"/>
              </w:rPr>
            </w:pPr>
            <w:r>
              <w:rPr>
                <w:rFonts w:ascii="Arial" w:cs="Arial" w:eastAsia="Arial" w:hAnsi="Arial"/>
                <w:sz w:val="20"/>
                <w:szCs w:val="20"/>
                <w:color w:val="auto"/>
                <w:w w:val="85"/>
              </w:rPr>
              <w:t>June 30,</w:t>
            </w:r>
          </w:p>
        </w:tc>
        <w:tc>
          <w:tcPr>
            <w:tcW w:w="10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980" w:type="dxa"/>
            <w:vAlign w:val="bottom"/>
            <w:tcBorders>
              <w:bottom w:val="single" w:sz="8" w:color="auto"/>
            </w:tcBorders>
            <w:gridSpan w:val="3"/>
          </w:tcPr>
          <w:p>
            <w:pPr>
              <w:jc w:val="center"/>
              <w:ind w:left="941"/>
              <w:spacing w:after="0"/>
              <w:rPr>
                <w:sz w:val="20"/>
                <w:szCs w:val="20"/>
                <w:color w:val="auto"/>
              </w:rPr>
            </w:pPr>
            <w:r>
              <w:rPr>
                <w:rFonts w:ascii="Arial" w:cs="Arial" w:eastAsia="Arial" w:hAnsi="Arial"/>
                <w:sz w:val="20"/>
                <w:szCs w:val="20"/>
                <w:color w:val="auto"/>
                <w:w w:val="85"/>
              </w:rPr>
              <w:t>June 30,</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20" w:type="dxa"/>
            <w:vAlign w:val="bottom"/>
            <w:vMerge w:val="restart"/>
          </w:tcPr>
          <w:p>
            <w:pPr>
              <w:spacing w:after="0"/>
              <w:rPr>
                <w:sz w:val="20"/>
                <w:szCs w:val="20"/>
                <w:color w:val="auto"/>
              </w:rPr>
            </w:pPr>
            <w:r>
              <w:rPr>
                <w:rFonts w:ascii="Arial" w:cs="Arial" w:eastAsia="Arial" w:hAnsi="Arial"/>
                <w:sz w:val="20"/>
                <w:szCs w:val="20"/>
                <w:color w:val="auto"/>
              </w:rPr>
              <w:t>Weighted-average shares outstanding:</w:t>
            </w:r>
          </w:p>
        </w:tc>
        <w:tc>
          <w:tcPr>
            <w:tcW w:w="136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2013</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193"/>
        </w:trPr>
        <w:tc>
          <w:tcPr>
            <w:tcW w:w="362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20"/>
                <w:szCs w:val="20"/>
                <w:color w:val="auto"/>
              </w:rPr>
              <w:t>Basic</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167,098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166,447</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167,006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165,988</w:t>
            </w:r>
          </w:p>
        </w:tc>
        <w:tc>
          <w:tcPr>
            <w:tcW w:w="0" w:type="dxa"/>
            <w:vAlign w:val="bottom"/>
          </w:tcPr>
          <w:p>
            <w:pPr>
              <w:spacing w:after="0"/>
              <w:rPr>
                <w:sz w:val="1"/>
                <w:szCs w:val="1"/>
                <w:color w:val="auto"/>
              </w:rPr>
            </w:pPr>
          </w:p>
        </w:tc>
      </w:tr>
      <w:tr>
        <w:trPr>
          <w:trHeight w:val="246"/>
        </w:trPr>
        <w:tc>
          <w:tcPr>
            <w:tcW w:w="3620" w:type="dxa"/>
            <w:vAlign w:val="bottom"/>
          </w:tcPr>
          <w:p>
            <w:pPr>
              <w:ind w:left="180"/>
              <w:spacing w:after="0"/>
              <w:rPr>
                <w:sz w:val="20"/>
                <w:szCs w:val="20"/>
                <w:color w:val="auto"/>
              </w:rPr>
            </w:pPr>
            <w:r>
              <w:rPr>
                <w:rFonts w:ascii="Arial" w:cs="Arial" w:eastAsia="Arial" w:hAnsi="Arial"/>
                <w:sz w:val="20"/>
                <w:szCs w:val="20"/>
                <w:color w:val="auto"/>
              </w:rPr>
              <w:t>Dilutive securities</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6,866</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6,903</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6,863</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7,004</w:t>
            </w:r>
          </w:p>
        </w:tc>
        <w:tc>
          <w:tcPr>
            <w:tcW w:w="0" w:type="dxa"/>
            <w:vAlign w:val="bottom"/>
          </w:tcPr>
          <w:p>
            <w:pPr>
              <w:spacing w:after="0"/>
              <w:rPr>
                <w:sz w:val="1"/>
                <w:szCs w:val="1"/>
                <w:color w:val="auto"/>
              </w:rPr>
            </w:pPr>
          </w:p>
        </w:tc>
      </w:tr>
      <w:tr>
        <w:trPr>
          <w:trHeight w:val="223"/>
        </w:trPr>
        <w:tc>
          <w:tcPr>
            <w:tcW w:w="3620" w:type="dxa"/>
            <w:vAlign w:val="bottom"/>
          </w:tcPr>
          <w:p>
            <w:pPr>
              <w:ind w:left="180"/>
              <w:spacing w:after="0" w:line="223" w:lineRule="exact"/>
              <w:rPr>
                <w:sz w:val="20"/>
                <w:szCs w:val="20"/>
                <w:color w:val="auto"/>
              </w:rPr>
            </w:pPr>
            <w:r>
              <w:rPr>
                <w:rFonts w:ascii="Arial" w:cs="Arial" w:eastAsia="Arial" w:hAnsi="Arial"/>
                <w:sz w:val="20"/>
                <w:szCs w:val="20"/>
                <w:color w:val="auto"/>
              </w:rPr>
              <w:t>Diluted</w:t>
            </w:r>
          </w:p>
        </w:tc>
        <w:tc>
          <w:tcPr>
            <w:tcW w:w="1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173,964</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173,350</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173,869</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172,992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2" w:right="239" w:bottom="103" w:gutter="0" w:footer="0" w:header="0"/>
        </w:sectPr>
      </w:pPr>
    </w:p>
    <w:bookmarkStart w:id="17" w:name="page18"/>
    <w:bookmarkEnd w:id="17"/>
    <w:p>
      <w:pPr>
        <w:jc w:val="both"/>
        <w:ind w:firstLine="648"/>
        <w:spacing w:after="0" w:line="247" w:lineRule="auto"/>
        <w:rPr>
          <w:sz w:val="20"/>
          <w:szCs w:val="20"/>
          <w:color w:val="auto"/>
        </w:rPr>
      </w:pPr>
      <w:r>
        <w:rPr>
          <w:rFonts w:ascii="Arial" w:cs="Arial" w:eastAsia="Arial" w:hAnsi="Arial"/>
          <w:sz w:val="20"/>
          <w:szCs w:val="20"/>
          <w:color w:val="auto"/>
        </w:rPr>
        <w:t>For the three-months ended June 30, 2014 and 2013, options and awards outstanding totaling 1.2 million shares and 1.3 million shares, respectively, were excluded from the calculations as their effect would have been antidilutive. For the six-months ended June 30, 2014 and 2013, options and awards outstanding totaling 0.9 million shares and 1.1 million shares, respectively, were excluded from the calculations as their effect would have been antidilutive.</w:t>
      </w:r>
    </w:p>
    <w:p>
      <w:pPr>
        <w:spacing w:after="0" w:line="202"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two operating and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have been allocated to “Corporate &amp; Unallocated.”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net revenues derived from the DSD and Warehouse segments and other financial information related thereto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7"/>
          </w:tcPr>
          <w:p>
            <w:pPr>
              <w:ind w:left="40"/>
              <w:spacing w:after="0"/>
              <w:rPr>
                <w:sz w:val="20"/>
                <w:szCs w:val="20"/>
                <w:color w:val="auto"/>
              </w:rPr>
            </w:pPr>
            <w:r>
              <w:rPr>
                <w:rFonts w:ascii="Arial" w:cs="Arial" w:eastAsia="Arial" w:hAnsi="Arial"/>
                <w:sz w:val="20"/>
                <w:szCs w:val="20"/>
                <w:color w:val="auto"/>
              </w:rPr>
              <w:t>Three-Months Ended June 30, 2014</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4"/>
          </w:tcPr>
          <w:p>
            <w:pPr>
              <w:jc w:val="center"/>
              <w:ind w:right="440"/>
              <w:spacing w:after="0" w:line="207" w:lineRule="exact"/>
              <w:rPr>
                <w:sz w:val="20"/>
                <w:szCs w:val="20"/>
                <w:color w:val="auto"/>
              </w:rPr>
            </w:pPr>
            <w:r>
              <w:rPr>
                <w:rFonts w:ascii="Arial" w:cs="Arial" w:eastAsia="Arial" w:hAnsi="Arial"/>
                <w:sz w:val="20"/>
                <w:szCs w:val="20"/>
                <w:color w:val="auto"/>
                <w:w w:val="89"/>
              </w:rPr>
              <w:t>Corporate and</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4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00" w:type="dxa"/>
            <w:vAlign w:val="bottom"/>
          </w:tcPr>
          <w:p>
            <w:pPr>
              <w:spacing w:after="0"/>
              <w:rPr>
                <w:sz w:val="21"/>
                <w:szCs w:val="21"/>
                <w:color w:val="auto"/>
              </w:rPr>
            </w:pPr>
          </w:p>
        </w:tc>
        <w:tc>
          <w:tcPr>
            <w:tcW w:w="1440" w:type="dxa"/>
            <w:vAlign w:val="bottom"/>
            <w:gridSpan w:val="2"/>
          </w:tcPr>
          <w:p>
            <w:pPr>
              <w:ind w:left="200"/>
              <w:spacing w:after="0"/>
              <w:rPr>
                <w:sz w:val="20"/>
                <w:szCs w:val="20"/>
                <w:color w:val="auto"/>
              </w:rPr>
            </w:pPr>
            <w:r>
              <w:rPr>
                <w:rFonts w:ascii="Arial" w:cs="Arial" w:eastAsia="Arial" w:hAnsi="Arial"/>
                <w:sz w:val="20"/>
                <w:szCs w:val="20"/>
                <w:color w:val="auto"/>
              </w:rPr>
              <w:t>DSD</w:t>
            </w:r>
          </w:p>
        </w:tc>
        <w:tc>
          <w:tcPr>
            <w:tcW w:w="240" w:type="dxa"/>
            <w:vAlign w:val="bottom"/>
          </w:tcPr>
          <w:p>
            <w:pPr>
              <w:spacing w:after="0"/>
              <w:rPr>
                <w:sz w:val="21"/>
                <w:szCs w:val="21"/>
                <w:color w:val="auto"/>
              </w:rPr>
            </w:pPr>
          </w:p>
        </w:tc>
        <w:tc>
          <w:tcPr>
            <w:tcW w:w="1580" w:type="dxa"/>
            <w:vAlign w:val="bottom"/>
            <w:gridSpan w:val="2"/>
          </w:tcPr>
          <w:p>
            <w:pPr>
              <w:ind w:left="120"/>
              <w:spacing w:after="0"/>
              <w:rPr>
                <w:sz w:val="20"/>
                <w:szCs w:val="20"/>
                <w:color w:val="auto"/>
              </w:rPr>
            </w:pPr>
            <w:r>
              <w:rPr>
                <w:rFonts w:ascii="Arial" w:cs="Arial" w:eastAsia="Arial" w:hAnsi="Arial"/>
                <w:sz w:val="20"/>
                <w:szCs w:val="20"/>
                <w:color w:val="auto"/>
              </w:rPr>
              <w:t>Warehouse</w:t>
            </w:r>
          </w:p>
        </w:tc>
        <w:tc>
          <w:tcPr>
            <w:tcW w:w="220" w:type="dxa"/>
            <w:vAlign w:val="bottom"/>
          </w:tcPr>
          <w:p>
            <w:pPr>
              <w:spacing w:after="0"/>
              <w:rPr>
                <w:sz w:val="21"/>
                <w:szCs w:val="21"/>
                <w:color w:val="auto"/>
              </w:rPr>
            </w:pPr>
          </w:p>
        </w:tc>
        <w:tc>
          <w:tcPr>
            <w:tcW w:w="1620" w:type="dxa"/>
            <w:vAlign w:val="bottom"/>
            <w:gridSpan w:val="4"/>
          </w:tcPr>
          <w:p>
            <w:pPr>
              <w:jc w:val="center"/>
              <w:ind w:right="420"/>
              <w:spacing w:after="0"/>
              <w:rPr>
                <w:sz w:val="20"/>
                <w:szCs w:val="20"/>
                <w:color w:val="auto"/>
              </w:rPr>
            </w:pPr>
            <w:r>
              <w:rPr>
                <w:rFonts w:ascii="Arial" w:cs="Arial" w:eastAsia="Arial" w:hAnsi="Arial"/>
                <w:sz w:val="20"/>
                <w:szCs w:val="20"/>
                <w:color w:val="auto"/>
                <w:w w:val="90"/>
              </w:rPr>
              <w:t>Unallocated</w:t>
            </w:r>
          </w:p>
        </w:tc>
        <w:tc>
          <w:tcPr>
            <w:tcW w:w="380" w:type="dxa"/>
            <w:vAlign w:val="bottom"/>
          </w:tcPr>
          <w:p>
            <w:pPr>
              <w:spacing w:after="0"/>
              <w:rPr>
                <w:sz w:val="21"/>
                <w:szCs w:val="21"/>
                <w:color w:val="auto"/>
              </w:rPr>
            </w:pPr>
          </w:p>
        </w:tc>
        <w:tc>
          <w:tcPr>
            <w:tcW w:w="1200" w:type="dxa"/>
            <w:vAlign w:val="bottom"/>
          </w:tcPr>
          <w:p>
            <w:pPr>
              <w:jc w:val="right"/>
              <w:ind w:right="50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240" w:type="dxa"/>
            <w:vAlign w:val="bottom"/>
            <w:vMerge w:val="continue"/>
          </w:tcPr>
          <w:p>
            <w:pPr>
              <w:spacing w:after="0"/>
              <w:rPr>
                <w:sz w:val="17"/>
                <w:szCs w:val="17"/>
                <w:color w:val="auto"/>
              </w:rPr>
            </w:pPr>
          </w:p>
        </w:tc>
        <w:tc>
          <w:tcPr>
            <w:tcW w:w="400" w:type="dxa"/>
            <w:vAlign w:val="bottom"/>
            <w:tcBorders>
              <w:top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660,105</w:t>
            </w:r>
          </w:p>
        </w:tc>
        <w:tc>
          <w:tcPr>
            <w:tcW w:w="24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27,095</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687,200</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Contribution margin*</w:t>
            </w: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256,147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1,320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257,467</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(41,654)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(41,654)</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Operating income</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215,813</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Other income (expense)</w:t>
            </w: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272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178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215,991</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(5,018)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(82)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(1,444)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(6,544)</w:t>
            </w:r>
          </w:p>
        </w:tc>
        <w:tc>
          <w:tcPr>
            <w:tcW w:w="0" w:type="dxa"/>
            <w:vAlign w:val="bottom"/>
          </w:tcPr>
          <w:p>
            <w:pPr>
              <w:spacing w:after="0"/>
              <w:rPr>
                <w:sz w:val="1"/>
                <w:szCs w:val="1"/>
                <w:color w:val="auto"/>
              </w:rPr>
            </w:pPr>
          </w:p>
        </w:tc>
      </w:tr>
      <w:tr>
        <w:trPr>
          <w:trHeight w:val="469"/>
        </w:trPr>
        <w:tc>
          <w:tcPr>
            <w:tcW w:w="4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7"/>
          </w:tcPr>
          <w:p>
            <w:pPr>
              <w:ind w:left="40"/>
              <w:spacing w:after="0"/>
              <w:rPr>
                <w:sz w:val="20"/>
                <w:szCs w:val="20"/>
                <w:color w:val="auto"/>
              </w:rPr>
            </w:pPr>
            <w:r>
              <w:rPr>
                <w:rFonts w:ascii="Arial" w:cs="Arial" w:eastAsia="Arial" w:hAnsi="Arial"/>
                <w:sz w:val="20"/>
                <w:szCs w:val="20"/>
                <w:color w:val="auto"/>
              </w:rPr>
              <w:t>Three-Months Ended June 30, 2013</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4"/>
          </w:tcPr>
          <w:p>
            <w:pPr>
              <w:jc w:val="center"/>
              <w:ind w:right="460"/>
              <w:spacing w:after="0" w:line="207" w:lineRule="exact"/>
              <w:rPr>
                <w:sz w:val="20"/>
                <w:szCs w:val="20"/>
                <w:color w:val="auto"/>
              </w:rPr>
            </w:pPr>
            <w:r>
              <w:rPr>
                <w:rFonts w:ascii="Arial" w:cs="Arial" w:eastAsia="Arial" w:hAnsi="Arial"/>
                <w:sz w:val="20"/>
                <w:szCs w:val="20"/>
                <w:color w:val="auto"/>
                <w:w w:val="87"/>
              </w:rPr>
              <w:t>Corporate and</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4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00" w:type="dxa"/>
            <w:vAlign w:val="bottom"/>
          </w:tcPr>
          <w:p>
            <w:pPr>
              <w:spacing w:after="0"/>
              <w:rPr>
                <w:sz w:val="21"/>
                <w:szCs w:val="21"/>
                <w:color w:val="auto"/>
              </w:rPr>
            </w:pPr>
          </w:p>
        </w:tc>
        <w:tc>
          <w:tcPr>
            <w:tcW w:w="1440" w:type="dxa"/>
            <w:vAlign w:val="bottom"/>
            <w:gridSpan w:val="2"/>
          </w:tcPr>
          <w:p>
            <w:pPr>
              <w:ind w:left="200"/>
              <w:spacing w:after="0"/>
              <w:rPr>
                <w:sz w:val="20"/>
                <w:szCs w:val="20"/>
                <w:color w:val="auto"/>
              </w:rPr>
            </w:pPr>
            <w:r>
              <w:rPr>
                <w:rFonts w:ascii="Arial" w:cs="Arial" w:eastAsia="Arial" w:hAnsi="Arial"/>
                <w:sz w:val="20"/>
                <w:szCs w:val="20"/>
                <w:color w:val="auto"/>
              </w:rPr>
              <w:t>DSD</w:t>
            </w:r>
          </w:p>
        </w:tc>
        <w:tc>
          <w:tcPr>
            <w:tcW w:w="240" w:type="dxa"/>
            <w:vAlign w:val="bottom"/>
          </w:tcPr>
          <w:p>
            <w:pPr>
              <w:spacing w:after="0"/>
              <w:rPr>
                <w:sz w:val="21"/>
                <w:szCs w:val="21"/>
                <w:color w:val="auto"/>
              </w:rPr>
            </w:pPr>
          </w:p>
        </w:tc>
        <w:tc>
          <w:tcPr>
            <w:tcW w:w="1580" w:type="dxa"/>
            <w:vAlign w:val="bottom"/>
            <w:gridSpan w:val="2"/>
          </w:tcPr>
          <w:p>
            <w:pPr>
              <w:ind w:left="120"/>
              <w:spacing w:after="0"/>
              <w:rPr>
                <w:sz w:val="20"/>
                <w:szCs w:val="20"/>
                <w:color w:val="auto"/>
              </w:rPr>
            </w:pPr>
            <w:r>
              <w:rPr>
                <w:rFonts w:ascii="Arial" w:cs="Arial" w:eastAsia="Arial" w:hAnsi="Arial"/>
                <w:sz w:val="20"/>
                <w:szCs w:val="20"/>
                <w:color w:val="auto"/>
              </w:rPr>
              <w:t>Warehouse</w:t>
            </w:r>
          </w:p>
        </w:tc>
        <w:tc>
          <w:tcPr>
            <w:tcW w:w="220" w:type="dxa"/>
            <w:vAlign w:val="bottom"/>
          </w:tcPr>
          <w:p>
            <w:pPr>
              <w:spacing w:after="0"/>
              <w:rPr>
                <w:sz w:val="21"/>
                <w:szCs w:val="21"/>
                <w:color w:val="auto"/>
              </w:rPr>
            </w:pPr>
          </w:p>
        </w:tc>
        <w:tc>
          <w:tcPr>
            <w:tcW w:w="1620" w:type="dxa"/>
            <w:vAlign w:val="bottom"/>
            <w:gridSpan w:val="4"/>
          </w:tcPr>
          <w:p>
            <w:pPr>
              <w:jc w:val="center"/>
              <w:ind w:right="460"/>
              <w:spacing w:after="0"/>
              <w:rPr>
                <w:sz w:val="20"/>
                <w:szCs w:val="20"/>
                <w:color w:val="auto"/>
              </w:rPr>
            </w:pPr>
            <w:r>
              <w:rPr>
                <w:rFonts w:ascii="Arial" w:cs="Arial" w:eastAsia="Arial" w:hAnsi="Arial"/>
                <w:sz w:val="20"/>
                <w:szCs w:val="20"/>
                <w:color w:val="auto"/>
                <w:w w:val="90"/>
              </w:rPr>
              <w:t>Unallocated</w:t>
            </w:r>
          </w:p>
        </w:tc>
        <w:tc>
          <w:tcPr>
            <w:tcW w:w="380" w:type="dxa"/>
            <w:vAlign w:val="bottom"/>
          </w:tcPr>
          <w:p>
            <w:pPr>
              <w:spacing w:after="0"/>
              <w:rPr>
                <w:sz w:val="21"/>
                <w:szCs w:val="21"/>
                <w:color w:val="auto"/>
              </w:rPr>
            </w:pPr>
          </w:p>
        </w:tc>
        <w:tc>
          <w:tcPr>
            <w:tcW w:w="1200" w:type="dxa"/>
            <w:vAlign w:val="bottom"/>
          </w:tcPr>
          <w:p>
            <w:pPr>
              <w:jc w:val="right"/>
              <w:ind w:right="50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240" w:type="dxa"/>
            <w:vAlign w:val="bottom"/>
            <w:vMerge w:val="continue"/>
          </w:tcPr>
          <w:p>
            <w:pPr>
              <w:spacing w:after="0"/>
              <w:rPr>
                <w:sz w:val="17"/>
                <w:szCs w:val="17"/>
                <w:color w:val="auto"/>
              </w:rPr>
            </w:pPr>
          </w:p>
        </w:tc>
        <w:tc>
          <w:tcPr>
            <w:tcW w:w="400" w:type="dxa"/>
            <w:vAlign w:val="bottom"/>
            <w:tcBorders>
              <w:top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600,992</w:t>
            </w:r>
          </w:p>
        </w:tc>
        <w:tc>
          <w:tcPr>
            <w:tcW w:w="24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29,942</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630,934</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Contribution margin*</w:t>
            </w: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215,018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1,130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216,148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(36,721)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(36,721)</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Operating income</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179,427</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Other income (expense)</w:t>
            </w: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99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(3,501)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(3,402)</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176,025</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(4,598)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(64)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(615)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(5,277)</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*Contribution margin is defined as gross profit less certain operating expenses deemed by management to be directly attributable to the respective reportable segment. Contribution margin is used by management as a key indicator of reportable segment profitability.</w:t>
      </w:r>
    </w:p>
    <w:p>
      <w:pPr>
        <w:spacing w:after="0" w:line="17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Revenue is derived from sales to external customers. Operating expenses that pertain to each segment are allocated to the appropriate segment.</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Corporate and unallocated expenses were $41.7 million for the three-months ended June 30, 2014 and included $21.6 million of payroll costs, of which $8.1 million was attributable to stock-based compensation expense (see Note 13, “Stock-Based Compensation”), $15.3 million of professional service expenses, including accounting and legal costs and $4.8 million of other operating expenses. Corporate and unallocated expenses were $36.7 million for the three-months ended June 30, 2013 and included $21.4 million of payroll costs, of which $7.4 million was attributable to stock-based compensation expense (see Note 13, “Stock-Based Compensation”), $9.3 million of professional service expenses, including accounting and legal costs and $6.0 million of other operating expenses.</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Refreshments USA Inc. (“CCR”), a customer of the DSD segment, accounted for approximately 28% and 29% of the Company’s net sales for the three-months ended June 30, 2014 and 2013, respectively.</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Net sales to customers outside the United States amounted to $148.4 million and $127.6 million for the three-months ended June 30, 2014 and 2013,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ectPr>
          <w:pgSz w:w="11900" w:h="16838" w:orient="portrait"/>
          <w:cols w:equalWidth="0" w:num="1">
            <w:col w:w="11420"/>
          </w:cols>
          <w:pgMar w:left="240" w:top="122" w:right="239" w:bottom="0" w:gutter="0" w:footer="0" w:header="0"/>
        </w:sectPr>
      </w:pPr>
    </w:p>
    <w:bookmarkStart w:id="18" w:name="page19"/>
    <w:bookmarkEnd w:id="18"/>
    <w:p>
      <w:pPr>
        <w:spacing w:after="0" w:line="128" w:lineRule="exact"/>
        <w:rPr>
          <w:sz w:val="20"/>
          <w:szCs w:val="20"/>
          <w:color w:val="auto"/>
        </w:rPr>
      </w:pPr>
    </w:p>
    <w:p>
      <w:pPr>
        <w:ind w:right="4940"/>
        <w:spacing w:after="0" w:line="295"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net revenues derived from the DSD and Warehouse segments and other financial information related thereto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7"/>
          </w:tcPr>
          <w:p>
            <w:pPr>
              <w:ind w:left="100"/>
              <w:spacing w:after="0"/>
              <w:rPr>
                <w:sz w:val="20"/>
                <w:szCs w:val="20"/>
                <w:color w:val="auto"/>
              </w:rPr>
            </w:pPr>
            <w:r>
              <w:rPr>
                <w:rFonts w:ascii="Arial" w:cs="Arial" w:eastAsia="Arial" w:hAnsi="Arial"/>
                <w:sz w:val="20"/>
                <w:szCs w:val="20"/>
                <w:color w:val="auto"/>
              </w:rPr>
              <w:t>Six-Months Ended June 30, 2014</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4"/>
          </w:tcPr>
          <w:p>
            <w:pPr>
              <w:jc w:val="center"/>
              <w:ind w:right="440"/>
              <w:spacing w:after="0" w:line="207" w:lineRule="exact"/>
              <w:rPr>
                <w:sz w:val="20"/>
                <w:szCs w:val="20"/>
                <w:color w:val="auto"/>
              </w:rPr>
            </w:pPr>
            <w:r>
              <w:rPr>
                <w:rFonts w:ascii="Arial" w:cs="Arial" w:eastAsia="Arial" w:hAnsi="Arial"/>
                <w:sz w:val="20"/>
                <w:szCs w:val="20"/>
                <w:color w:val="auto"/>
                <w:w w:val="89"/>
              </w:rPr>
              <w:t>Corporate and</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4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00" w:type="dxa"/>
            <w:vAlign w:val="bottom"/>
          </w:tcPr>
          <w:p>
            <w:pPr>
              <w:spacing w:after="0"/>
              <w:rPr>
                <w:sz w:val="21"/>
                <w:szCs w:val="21"/>
                <w:color w:val="auto"/>
              </w:rPr>
            </w:pPr>
          </w:p>
        </w:tc>
        <w:tc>
          <w:tcPr>
            <w:tcW w:w="1440" w:type="dxa"/>
            <w:vAlign w:val="bottom"/>
            <w:gridSpan w:val="2"/>
          </w:tcPr>
          <w:p>
            <w:pPr>
              <w:ind w:left="200"/>
              <w:spacing w:after="0"/>
              <w:rPr>
                <w:sz w:val="20"/>
                <w:szCs w:val="20"/>
                <w:color w:val="auto"/>
              </w:rPr>
            </w:pPr>
            <w:r>
              <w:rPr>
                <w:rFonts w:ascii="Arial" w:cs="Arial" w:eastAsia="Arial" w:hAnsi="Arial"/>
                <w:sz w:val="20"/>
                <w:szCs w:val="20"/>
                <w:color w:val="auto"/>
              </w:rPr>
              <w:t>DSD</w:t>
            </w:r>
          </w:p>
        </w:tc>
        <w:tc>
          <w:tcPr>
            <w:tcW w:w="280" w:type="dxa"/>
            <w:vAlign w:val="bottom"/>
          </w:tcPr>
          <w:p>
            <w:pPr>
              <w:spacing w:after="0"/>
              <w:rPr>
                <w:sz w:val="21"/>
                <w:szCs w:val="21"/>
                <w:color w:val="auto"/>
              </w:rPr>
            </w:pPr>
          </w:p>
        </w:tc>
        <w:tc>
          <w:tcPr>
            <w:tcW w:w="1540" w:type="dxa"/>
            <w:vAlign w:val="bottom"/>
            <w:gridSpan w:val="2"/>
          </w:tcPr>
          <w:p>
            <w:pPr>
              <w:ind w:left="80"/>
              <w:spacing w:after="0"/>
              <w:rPr>
                <w:sz w:val="20"/>
                <w:szCs w:val="20"/>
                <w:color w:val="auto"/>
              </w:rPr>
            </w:pPr>
            <w:r>
              <w:rPr>
                <w:rFonts w:ascii="Arial" w:cs="Arial" w:eastAsia="Arial" w:hAnsi="Arial"/>
                <w:sz w:val="20"/>
                <w:szCs w:val="20"/>
                <w:color w:val="auto"/>
              </w:rPr>
              <w:t>Warehouse</w:t>
            </w:r>
          </w:p>
        </w:tc>
        <w:tc>
          <w:tcPr>
            <w:tcW w:w="220" w:type="dxa"/>
            <w:vAlign w:val="bottom"/>
          </w:tcPr>
          <w:p>
            <w:pPr>
              <w:spacing w:after="0"/>
              <w:rPr>
                <w:sz w:val="21"/>
                <w:szCs w:val="21"/>
                <w:color w:val="auto"/>
              </w:rPr>
            </w:pPr>
          </w:p>
        </w:tc>
        <w:tc>
          <w:tcPr>
            <w:tcW w:w="1620" w:type="dxa"/>
            <w:vAlign w:val="bottom"/>
            <w:gridSpan w:val="4"/>
          </w:tcPr>
          <w:p>
            <w:pPr>
              <w:jc w:val="center"/>
              <w:ind w:right="420"/>
              <w:spacing w:after="0"/>
              <w:rPr>
                <w:sz w:val="20"/>
                <w:szCs w:val="20"/>
                <w:color w:val="auto"/>
              </w:rPr>
            </w:pPr>
            <w:r>
              <w:rPr>
                <w:rFonts w:ascii="Arial" w:cs="Arial" w:eastAsia="Arial" w:hAnsi="Arial"/>
                <w:sz w:val="20"/>
                <w:szCs w:val="20"/>
                <w:color w:val="auto"/>
                <w:w w:val="90"/>
              </w:rPr>
              <w:t>Unallocated</w:t>
            </w:r>
          </w:p>
        </w:tc>
        <w:tc>
          <w:tcPr>
            <w:tcW w:w="380" w:type="dxa"/>
            <w:vAlign w:val="bottom"/>
          </w:tcPr>
          <w:p>
            <w:pPr>
              <w:spacing w:after="0"/>
              <w:rPr>
                <w:sz w:val="21"/>
                <w:szCs w:val="21"/>
                <w:color w:val="auto"/>
              </w:rPr>
            </w:pPr>
          </w:p>
        </w:tc>
        <w:tc>
          <w:tcPr>
            <w:tcW w:w="1200" w:type="dxa"/>
            <w:vAlign w:val="bottom"/>
          </w:tcPr>
          <w:p>
            <w:pPr>
              <w:jc w:val="right"/>
              <w:ind w:right="50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240" w:type="dxa"/>
            <w:vAlign w:val="bottom"/>
            <w:vMerge w:val="continue"/>
          </w:tcPr>
          <w:p>
            <w:pPr>
              <w:spacing w:after="0"/>
              <w:rPr>
                <w:sz w:val="17"/>
                <w:szCs w:val="17"/>
                <w:color w:val="auto"/>
              </w:rPr>
            </w:pPr>
          </w:p>
        </w:tc>
        <w:tc>
          <w:tcPr>
            <w:tcW w:w="400" w:type="dxa"/>
            <w:vAlign w:val="bottom"/>
            <w:tcBorders>
              <w:top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1,174,460</w:t>
            </w:r>
          </w:p>
        </w:tc>
        <w:tc>
          <w:tcPr>
            <w:tcW w:w="240" w:type="dxa"/>
            <w:vAlign w:val="bottom"/>
          </w:tcPr>
          <w:p>
            <w:pPr>
              <w:spacing w:after="0"/>
              <w:rPr>
                <w:sz w:val="17"/>
                <w:szCs w:val="17"/>
                <w:color w:val="auto"/>
              </w:rPr>
            </w:pPr>
          </w:p>
        </w:tc>
        <w:tc>
          <w:tcPr>
            <w:tcW w:w="2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3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48,869</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1,223,329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Contribution margin*</w:t>
            </w: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442,615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1,616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444,231</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(79,554)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(79,554)</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Operating income</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364,677</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Other income (expense)</w:t>
            </w: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298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332</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365,009</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(9,962)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(2,870)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(12,995)</w:t>
            </w:r>
          </w:p>
        </w:tc>
        <w:tc>
          <w:tcPr>
            <w:tcW w:w="0" w:type="dxa"/>
            <w:vAlign w:val="bottom"/>
          </w:tcPr>
          <w:p>
            <w:pPr>
              <w:spacing w:after="0"/>
              <w:rPr>
                <w:sz w:val="1"/>
                <w:szCs w:val="1"/>
                <w:color w:val="auto"/>
              </w:rPr>
            </w:pPr>
          </w:p>
        </w:tc>
      </w:tr>
      <w:tr>
        <w:trPr>
          <w:trHeight w:val="469"/>
        </w:trPr>
        <w:tc>
          <w:tcPr>
            <w:tcW w:w="4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ind w:left="100"/>
              <w:spacing w:after="0"/>
              <w:rPr>
                <w:sz w:val="20"/>
                <w:szCs w:val="20"/>
                <w:color w:val="auto"/>
              </w:rPr>
            </w:pPr>
            <w:r>
              <w:rPr>
                <w:rFonts w:ascii="Arial" w:cs="Arial" w:eastAsia="Arial" w:hAnsi="Arial"/>
                <w:sz w:val="20"/>
                <w:szCs w:val="20"/>
                <w:color w:val="auto"/>
              </w:rPr>
              <w:t>Six-Months Ended June 30, 2013</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4"/>
          </w:tcPr>
          <w:p>
            <w:pPr>
              <w:jc w:val="center"/>
              <w:ind w:right="460"/>
              <w:spacing w:after="0" w:line="207" w:lineRule="exact"/>
              <w:rPr>
                <w:sz w:val="20"/>
                <w:szCs w:val="20"/>
                <w:color w:val="auto"/>
              </w:rPr>
            </w:pPr>
            <w:r>
              <w:rPr>
                <w:rFonts w:ascii="Arial" w:cs="Arial" w:eastAsia="Arial" w:hAnsi="Arial"/>
                <w:sz w:val="20"/>
                <w:szCs w:val="20"/>
                <w:color w:val="auto"/>
                <w:w w:val="87"/>
              </w:rPr>
              <w:t>Corporate and</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4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00" w:type="dxa"/>
            <w:vAlign w:val="bottom"/>
          </w:tcPr>
          <w:p>
            <w:pPr>
              <w:spacing w:after="0"/>
              <w:rPr>
                <w:sz w:val="21"/>
                <w:szCs w:val="21"/>
                <w:color w:val="auto"/>
              </w:rPr>
            </w:pPr>
          </w:p>
        </w:tc>
        <w:tc>
          <w:tcPr>
            <w:tcW w:w="1440" w:type="dxa"/>
            <w:vAlign w:val="bottom"/>
            <w:gridSpan w:val="2"/>
          </w:tcPr>
          <w:p>
            <w:pPr>
              <w:ind w:left="200"/>
              <w:spacing w:after="0"/>
              <w:rPr>
                <w:sz w:val="20"/>
                <w:szCs w:val="20"/>
                <w:color w:val="auto"/>
              </w:rPr>
            </w:pPr>
            <w:r>
              <w:rPr>
                <w:rFonts w:ascii="Arial" w:cs="Arial" w:eastAsia="Arial" w:hAnsi="Arial"/>
                <w:sz w:val="20"/>
                <w:szCs w:val="20"/>
                <w:color w:val="auto"/>
              </w:rPr>
              <w:t>DSD</w:t>
            </w:r>
          </w:p>
        </w:tc>
        <w:tc>
          <w:tcPr>
            <w:tcW w:w="280" w:type="dxa"/>
            <w:vAlign w:val="bottom"/>
          </w:tcPr>
          <w:p>
            <w:pPr>
              <w:spacing w:after="0"/>
              <w:rPr>
                <w:sz w:val="21"/>
                <w:szCs w:val="21"/>
                <w:color w:val="auto"/>
              </w:rPr>
            </w:pPr>
          </w:p>
        </w:tc>
        <w:tc>
          <w:tcPr>
            <w:tcW w:w="1540" w:type="dxa"/>
            <w:vAlign w:val="bottom"/>
            <w:gridSpan w:val="2"/>
          </w:tcPr>
          <w:p>
            <w:pPr>
              <w:ind w:left="80"/>
              <w:spacing w:after="0"/>
              <w:rPr>
                <w:sz w:val="20"/>
                <w:szCs w:val="20"/>
                <w:color w:val="auto"/>
              </w:rPr>
            </w:pPr>
            <w:r>
              <w:rPr>
                <w:rFonts w:ascii="Arial" w:cs="Arial" w:eastAsia="Arial" w:hAnsi="Arial"/>
                <w:sz w:val="20"/>
                <w:szCs w:val="20"/>
                <w:color w:val="auto"/>
              </w:rPr>
              <w:t>Warehouse</w:t>
            </w:r>
          </w:p>
        </w:tc>
        <w:tc>
          <w:tcPr>
            <w:tcW w:w="220" w:type="dxa"/>
            <w:vAlign w:val="bottom"/>
          </w:tcPr>
          <w:p>
            <w:pPr>
              <w:spacing w:after="0"/>
              <w:rPr>
                <w:sz w:val="21"/>
                <w:szCs w:val="21"/>
                <w:color w:val="auto"/>
              </w:rPr>
            </w:pPr>
          </w:p>
        </w:tc>
        <w:tc>
          <w:tcPr>
            <w:tcW w:w="1620" w:type="dxa"/>
            <w:vAlign w:val="bottom"/>
            <w:gridSpan w:val="4"/>
          </w:tcPr>
          <w:p>
            <w:pPr>
              <w:jc w:val="center"/>
              <w:ind w:right="460"/>
              <w:spacing w:after="0"/>
              <w:rPr>
                <w:sz w:val="20"/>
                <w:szCs w:val="20"/>
                <w:color w:val="auto"/>
              </w:rPr>
            </w:pPr>
            <w:r>
              <w:rPr>
                <w:rFonts w:ascii="Arial" w:cs="Arial" w:eastAsia="Arial" w:hAnsi="Arial"/>
                <w:sz w:val="20"/>
                <w:szCs w:val="20"/>
                <w:color w:val="auto"/>
                <w:w w:val="90"/>
              </w:rPr>
              <w:t>Unallocated</w:t>
            </w:r>
          </w:p>
        </w:tc>
        <w:tc>
          <w:tcPr>
            <w:tcW w:w="380" w:type="dxa"/>
            <w:vAlign w:val="bottom"/>
          </w:tcPr>
          <w:p>
            <w:pPr>
              <w:spacing w:after="0"/>
              <w:rPr>
                <w:sz w:val="21"/>
                <w:szCs w:val="21"/>
                <w:color w:val="auto"/>
              </w:rPr>
            </w:pPr>
          </w:p>
        </w:tc>
        <w:tc>
          <w:tcPr>
            <w:tcW w:w="1200" w:type="dxa"/>
            <w:vAlign w:val="bottom"/>
          </w:tcPr>
          <w:p>
            <w:pPr>
              <w:jc w:val="right"/>
              <w:ind w:right="50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240" w:type="dxa"/>
            <w:vAlign w:val="bottom"/>
            <w:vMerge w:val="continue"/>
          </w:tcPr>
          <w:p>
            <w:pPr>
              <w:spacing w:after="0"/>
              <w:rPr>
                <w:sz w:val="17"/>
                <w:szCs w:val="17"/>
                <w:color w:val="auto"/>
              </w:rPr>
            </w:pPr>
          </w:p>
        </w:tc>
        <w:tc>
          <w:tcPr>
            <w:tcW w:w="400" w:type="dxa"/>
            <w:vAlign w:val="bottom"/>
            <w:tcBorders>
              <w:top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1,061,168</w:t>
            </w:r>
          </w:p>
        </w:tc>
        <w:tc>
          <w:tcPr>
            <w:tcW w:w="240" w:type="dxa"/>
            <w:vAlign w:val="bottom"/>
          </w:tcPr>
          <w:p>
            <w:pPr>
              <w:spacing w:after="0"/>
              <w:rPr>
                <w:sz w:val="17"/>
                <w:szCs w:val="17"/>
                <w:color w:val="auto"/>
              </w:rPr>
            </w:pPr>
          </w:p>
        </w:tc>
        <w:tc>
          <w:tcPr>
            <w:tcW w:w="2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3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53,990</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1,115,158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Contribution margin*</w:t>
            </w: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353,991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1,511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355,502</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(68,770)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(68,770)</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Operating income</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286,732</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Other income (expense)</w:t>
            </w: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288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(5,591)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(5,303)</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281,429</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(9,019)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(1,195)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(10,337)</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*Contribution margin is defined as gross profit less certain operating expenses deemed by management to be directly attributable to the respective reportable segment. Contribution margin is used by management as a key indicator of reportable segment profitability.</w:t>
      </w:r>
    </w:p>
    <w:p>
      <w:pPr>
        <w:spacing w:after="0" w:line="17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Revenue is derived from sales to external customers. Operating expenses that pertain to each segment are allocated to the appropriate segment.</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were $79.6 million for the six-months ended June 30, 2014 and included $42.6 million of payroll costs, of which $15.1 million was attributable to stock-based compensation expense (see Note 13, “Stock-Based Compensation”), $25.4 million of professional service expenses, including accounting and legal costs and $11.6 million of other operating expenses. Corporate and unallocated expenses were $68.8 million for the six-months ended June 30, 2013 and included $40.8 million of payroll costs, of which $14.4 million was attributable to stock-based compensation expense (see Note 13, “Stock-Based Compensation”), $16.9 million of professional service expenses, including accounting and legal costs and $11.1 million of other operating expenses.</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Refreshments USA Inc. (“CCR”), a customer of the DSD segment, accounted for approximately 29% and 30% of the Company’s net sales for the six-months ended June 30, 2014 and 2013, respectively.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to customers outside the United States amounted to $264.1 million and $233.9 million for the six-months ended June 30, 2014 and 2013,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net sales by product line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80" w:type="dxa"/>
            <w:vAlign w:val="bottom"/>
            <w:gridSpan w:val="5"/>
          </w:tcPr>
          <w:p>
            <w:pPr>
              <w:ind w:left="320"/>
              <w:spacing w:after="0"/>
              <w:rPr>
                <w:sz w:val="20"/>
                <w:szCs w:val="20"/>
                <w:color w:val="auto"/>
              </w:rPr>
            </w:pPr>
            <w:r>
              <w:rPr>
                <w:rFonts w:ascii="Arial" w:cs="Arial" w:eastAsia="Arial" w:hAnsi="Arial"/>
                <w:sz w:val="20"/>
                <w:szCs w:val="20"/>
                <w:color w:val="auto"/>
              </w:rPr>
              <w:t>Three-Months Ended</w:t>
            </w:r>
          </w:p>
        </w:tc>
        <w:tc>
          <w:tcPr>
            <w:tcW w:w="320" w:type="dxa"/>
            <w:vAlign w:val="bottom"/>
          </w:tcPr>
          <w:p>
            <w:pPr>
              <w:spacing w:after="0"/>
              <w:rPr>
                <w:sz w:val="19"/>
                <w:szCs w:val="19"/>
                <w:color w:val="auto"/>
              </w:rPr>
            </w:pPr>
          </w:p>
        </w:tc>
        <w:tc>
          <w:tcPr>
            <w:tcW w:w="2680" w:type="dxa"/>
            <w:vAlign w:val="bottom"/>
            <w:gridSpan w:val="4"/>
          </w:tcPr>
          <w:p>
            <w:pPr>
              <w:jc w:val="right"/>
              <w:ind w:right="661"/>
              <w:spacing w:after="0"/>
              <w:rPr>
                <w:sz w:val="20"/>
                <w:szCs w:val="20"/>
                <w:color w:val="auto"/>
              </w:rPr>
            </w:pPr>
            <w:r>
              <w:rPr>
                <w:rFonts w:ascii="Arial" w:cs="Arial" w:eastAsia="Arial" w:hAnsi="Arial"/>
                <w:sz w:val="20"/>
                <w:szCs w:val="20"/>
                <w:color w:val="auto"/>
              </w:rPr>
              <w:t>Six-Months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980" w:type="dxa"/>
            <w:vAlign w:val="bottom"/>
            <w:gridSpan w:val="3"/>
            <w:vMerge w:val="restart"/>
          </w:tcPr>
          <w:p>
            <w:pPr>
              <w:ind w:left="20"/>
              <w:spacing w:after="0"/>
              <w:rPr>
                <w:sz w:val="20"/>
                <w:szCs w:val="20"/>
                <w:color w:val="auto"/>
              </w:rPr>
            </w:pPr>
            <w:r>
              <w:rPr>
                <w:rFonts w:ascii="Arial" w:cs="Arial" w:eastAsia="Arial" w:hAnsi="Arial"/>
                <w:sz w:val="20"/>
                <w:szCs w:val="20"/>
                <w:color w:val="auto"/>
              </w:rPr>
              <w:t>Product Line</w:t>
            </w: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color w:val="auto"/>
              </w:rPr>
              <w:t>June 30,</w:t>
            </w:r>
          </w:p>
        </w:tc>
        <w:tc>
          <w:tcPr>
            <w:tcW w:w="10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color w:val="auto"/>
              </w:rPr>
              <w:t>June 30,</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401"/>
              <w:spacing w:after="0" w:line="223" w:lineRule="exact"/>
              <w:rPr>
                <w:sz w:val="20"/>
                <w:szCs w:val="20"/>
                <w:color w:val="auto"/>
              </w:rPr>
            </w:pPr>
            <w:r>
              <w:rPr>
                <w:rFonts w:ascii="Arial" w:cs="Arial" w:eastAsia="Arial" w:hAnsi="Arial"/>
                <w:sz w:val="20"/>
                <w:szCs w:val="20"/>
                <w:color w:val="auto"/>
              </w:rPr>
              <w:t>2013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401"/>
              <w:spacing w:after="0" w:line="223"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color w:val="auto"/>
              </w:rPr>
              <w:t>Energy drinks</w:t>
            </w:r>
          </w:p>
        </w:tc>
        <w:tc>
          <w:tcPr>
            <w:tcW w:w="300" w:type="dxa"/>
            <w:vAlign w:val="bottom"/>
          </w:tcPr>
          <w:p>
            <w:pPr>
              <w:spacing w:after="0"/>
              <w:rPr>
                <w:sz w:val="21"/>
                <w:szCs w:val="21"/>
                <w:color w:val="auto"/>
              </w:rPr>
            </w:pPr>
          </w:p>
        </w:tc>
        <w:tc>
          <w:tcPr>
            <w:tcW w:w="34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640,231</w:t>
            </w:r>
          </w:p>
        </w:tc>
        <w:tc>
          <w:tcPr>
            <w:tcW w:w="300" w:type="dxa"/>
            <w:vAlign w:val="bottom"/>
          </w:tcPr>
          <w:p>
            <w:pPr>
              <w:spacing w:after="0"/>
              <w:rPr>
                <w:sz w:val="21"/>
                <w:szCs w:val="21"/>
                <w:color w:val="auto"/>
              </w:rPr>
            </w:pPr>
          </w:p>
        </w:tc>
        <w:tc>
          <w:tcPr>
            <w:tcW w:w="34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582,899</w:t>
            </w:r>
          </w:p>
        </w:tc>
        <w:tc>
          <w:tcPr>
            <w:tcW w:w="280" w:type="dxa"/>
            <w:vAlign w:val="bottom"/>
          </w:tcPr>
          <w:p>
            <w:pPr>
              <w:spacing w:after="0"/>
              <w:rPr>
                <w:sz w:val="21"/>
                <w:szCs w:val="21"/>
                <w:color w:val="auto"/>
              </w:rPr>
            </w:pPr>
          </w:p>
        </w:tc>
        <w:tc>
          <w:tcPr>
            <w:tcW w:w="3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1,139,244</w:t>
            </w:r>
          </w:p>
        </w:tc>
        <w:tc>
          <w:tcPr>
            <w:tcW w:w="280" w:type="dxa"/>
            <w:vAlign w:val="bottom"/>
          </w:tcPr>
          <w:p>
            <w:pPr>
              <w:spacing w:after="0"/>
              <w:rPr>
                <w:sz w:val="21"/>
                <w:szCs w:val="21"/>
                <w:color w:val="auto"/>
              </w:rPr>
            </w:pPr>
          </w:p>
        </w:tc>
        <w:tc>
          <w:tcPr>
            <w:tcW w:w="34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1,028,925</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980" w:type="dxa"/>
            <w:vAlign w:val="bottom"/>
            <w:gridSpan w:val="3"/>
          </w:tcPr>
          <w:p>
            <w:pPr>
              <w:ind w:left="20"/>
              <w:spacing w:after="0"/>
              <w:rPr>
                <w:sz w:val="20"/>
                <w:szCs w:val="20"/>
                <w:color w:val="auto"/>
              </w:rPr>
            </w:pPr>
            <w:r>
              <w:rPr>
                <w:rFonts w:ascii="Arial" w:cs="Arial" w:eastAsia="Arial" w:hAnsi="Arial"/>
                <w:sz w:val="20"/>
                <w:szCs w:val="20"/>
                <w:color w:val="auto"/>
              </w:rPr>
              <w:t>Non-carbonated (primarily juice based beverages and</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tcPr>
          <w:p>
            <w:pPr>
              <w:ind w:left="200"/>
              <w:spacing w:after="0"/>
              <w:rPr>
                <w:sz w:val="20"/>
                <w:szCs w:val="20"/>
                <w:color w:val="auto"/>
              </w:rPr>
            </w:pPr>
            <w:r>
              <w:rPr>
                <w:rFonts w:ascii="Arial" w:cs="Arial" w:eastAsia="Arial" w:hAnsi="Arial"/>
                <w:sz w:val="20"/>
                <w:szCs w:val="20"/>
                <w:color w:val="auto"/>
              </w:rPr>
              <w:t>Peace Tea® iced teas)</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34,625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36,166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61,071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64,138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tcPr>
          <w:p>
            <w:pPr>
              <w:ind w:left="20"/>
              <w:spacing w:after="0"/>
              <w:rPr>
                <w:sz w:val="20"/>
                <w:szCs w:val="20"/>
                <w:color w:val="auto"/>
              </w:rPr>
            </w:pPr>
            <w:r>
              <w:rPr>
                <w:rFonts w:ascii="Arial" w:cs="Arial" w:eastAsia="Arial" w:hAnsi="Arial"/>
                <w:sz w:val="20"/>
                <w:szCs w:val="20"/>
                <w:color w:val="auto"/>
              </w:rPr>
              <w:t>Carbonated (primarily soda beverages)</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8,526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8,264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15,542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14,665</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20"/>
                <w:szCs w:val="20"/>
                <w:color w:val="auto"/>
                <w:w w:val="99"/>
              </w:rPr>
              <w:t>Other</w:t>
            </w:r>
          </w:p>
        </w:tc>
        <w:tc>
          <w:tcPr>
            <w:tcW w:w="4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3,817</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3,605</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7,472</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687,199</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630,934</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1,223,329</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1,115,158</w:t>
            </w:r>
          </w:p>
        </w:tc>
        <w:tc>
          <w:tcPr>
            <w:tcW w:w="0" w:type="dxa"/>
            <w:vAlign w:val="bottom"/>
          </w:tcPr>
          <w:p>
            <w:pPr>
              <w:spacing w:after="0"/>
              <w:rPr>
                <w:sz w:val="1"/>
                <w:szCs w:val="1"/>
                <w:color w:val="auto"/>
              </w:rPr>
            </w:pPr>
          </w:p>
        </w:tc>
      </w:tr>
      <w:tr>
        <w:trPr>
          <w:trHeight w:val="20"/>
        </w:trPr>
        <w:tc>
          <w:tcPr>
            <w:tcW w:w="560" w:type="dxa"/>
            <w:vAlign w:val="bottom"/>
            <w:gridSpan w:val="2"/>
            <w:vMerge w:val="restart"/>
          </w:tcPr>
          <w:p>
            <w:pPr>
              <w:jc w:val="right"/>
              <w:ind w:right="201"/>
              <w:spacing w:after="0"/>
              <w:rPr>
                <w:sz w:val="20"/>
                <w:szCs w:val="20"/>
                <w:color w:val="auto"/>
              </w:rPr>
            </w:pPr>
            <w:r>
              <w:rPr>
                <w:rFonts w:ascii="Arial" w:cs="Arial" w:eastAsia="Arial" w:hAnsi="Arial"/>
                <w:sz w:val="20"/>
                <w:szCs w:val="20"/>
                <w:color w:val="auto"/>
                <w:w w:val="86"/>
              </w:rPr>
              <w:t>17.</w:t>
            </w:r>
          </w:p>
        </w:tc>
        <w:tc>
          <w:tcPr>
            <w:tcW w:w="4440" w:type="dxa"/>
            <w:vAlign w:val="bottom"/>
            <w:gridSpan w:val="2"/>
            <w:vMerge w:val="restart"/>
          </w:tcPr>
          <w:p>
            <w:pPr>
              <w:ind w:left="80"/>
              <w:spacing w:after="0"/>
              <w:rPr>
                <w:sz w:val="20"/>
                <w:szCs w:val="20"/>
                <w:color w:val="auto"/>
              </w:rPr>
            </w:pPr>
            <w:r>
              <w:rPr>
                <w:rFonts w:ascii="Arial" w:cs="Arial" w:eastAsia="Arial" w:hAnsi="Arial"/>
                <w:sz w:val="20"/>
                <w:szCs w:val="20"/>
                <w:color w:val="auto"/>
              </w:rPr>
              <w:t>RELATED PARTY TRANSACTIONS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60" w:type="dxa"/>
            <w:vAlign w:val="bottom"/>
            <w:gridSpan w:val="2"/>
            <w:vMerge w:val="continue"/>
          </w:tcPr>
          <w:p>
            <w:pPr>
              <w:spacing w:after="0"/>
              <w:rPr>
                <w:sz w:val="24"/>
                <w:szCs w:val="24"/>
                <w:color w:val="auto"/>
              </w:rPr>
            </w:pPr>
          </w:p>
        </w:tc>
        <w:tc>
          <w:tcPr>
            <w:tcW w:w="44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w:t>
      </w:r>
    </w:p>
    <w:p>
      <w:pPr>
        <w:sectPr>
          <w:pgSz w:w="11900" w:h="16966" w:orient="portrait"/>
          <w:cols w:equalWidth="0" w:num="1">
            <w:col w:w="11420"/>
          </w:cols>
          <w:pgMar w:left="240" w:top="116" w:right="239" w:bottom="0" w:gutter="0" w:footer="0" w:header="0"/>
        </w:sectPr>
      </w:pPr>
    </w:p>
    <w:bookmarkStart w:id="19" w:name="page20"/>
    <w:bookmarkEnd w:id="19"/>
    <w:p>
      <w:pPr>
        <w:spacing w:after="0" w:line="4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June 30, 2014 and 2013 were $0.2 million and $0.2 million, respectively. Expenses incurred with such company in connection with promotional materials purchased during the six-months ended June 30, 2014 and 2013 were $0.3 million and $0.4 million, respectively.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Monster Beverage Corporation was incorporated in Delaware on April 25, 1990. Our principal place of business is located at 1 Monster Way, Corona, California 92879 and our telephone number is (951) 739-6200. When this report uses the words “the Company”, “Hansen Natural Corporation” (the Company’s former name), “we”, “us”, and “our”, these words refer to Monster Beverage Corporation and its subsidiaries, unless the context otherwise requires. We are a holding company and conduct no operating business except through our consolidated subsidiaries.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 names: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60" w:type="dxa"/>
            <w:vAlign w:val="bottom"/>
          </w:tcPr>
          <w:p>
            <w:pPr>
              <w:ind w:left="300"/>
              <w:spacing w:after="0"/>
              <w:rPr>
                <w:sz w:val="20"/>
                <w:szCs w:val="20"/>
                <w:color w:val="auto"/>
              </w:rPr>
            </w:pPr>
            <w:r>
              <w:rPr>
                <w:rFonts w:ascii="Arial" w:cs="Arial" w:eastAsia="Arial" w:hAnsi="Arial"/>
                <w:sz w:val="20"/>
                <w:szCs w:val="20"/>
                <w:color w:val="auto"/>
              </w:rPr>
              <w:t>Monster Energy®</w:t>
            </w: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580" w:type="dxa"/>
            <w:vAlign w:val="bottom"/>
          </w:tcPr>
          <w:p>
            <w:pPr>
              <w:ind w:left="160"/>
              <w:spacing w:after="0"/>
              <w:rPr>
                <w:sz w:val="20"/>
                <w:szCs w:val="20"/>
                <w:color w:val="auto"/>
              </w:rPr>
            </w:pPr>
            <w:r>
              <w:rPr>
                <w:rFonts w:ascii="Arial" w:cs="Arial" w:eastAsia="Arial" w:hAnsi="Arial"/>
                <w:sz w:val="20"/>
                <w:szCs w:val="20"/>
                <w:color w:val="auto"/>
              </w:rPr>
              <w:t>Hansen’s®</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60" w:type="dxa"/>
            <w:vAlign w:val="bottom"/>
          </w:tcPr>
          <w:p>
            <w:pPr>
              <w:ind w:left="300"/>
              <w:spacing w:after="0"/>
              <w:rPr>
                <w:sz w:val="20"/>
                <w:szCs w:val="20"/>
                <w:color w:val="auto"/>
              </w:rPr>
            </w:pPr>
            <w:r>
              <w:rPr>
                <w:rFonts w:ascii="Arial" w:cs="Arial" w:eastAsia="Arial" w:hAnsi="Arial"/>
                <w:sz w:val="20"/>
                <w:szCs w:val="20"/>
                <w:color w:val="auto"/>
              </w:rPr>
              <w:t>Monster Rehab®</w:t>
            </w: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580" w:type="dxa"/>
            <w:vAlign w:val="bottom"/>
          </w:tcPr>
          <w:p>
            <w:pPr>
              <w:ind w:left="160"/>
              <w:spacing w:after="0"/>
              <w:rPr>
                <w:sz w:val="20"/>
                <w:szCs w:val="20"/>
                <w:color w:val="auto"/>
              </w:rPr>
            </w:pPr>
            <w:r>
              <w:rPr>
                <w:rFonts w:ascii="Arial" w:cs="Arial" w:eastAsia="Arial" w:hAnsi="Arial"/>
                <w:sz w:val="20"/>
                <w:szCs w:val="20"/>
                <w:color w:val="auto"/>
                <w:w w:val="87"/>
              </w:rPr>
              <w:t>Hansen’s Natural Cane Soda®</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60" w:type="dxa"/>
            <w:vAlign w:val="bottom"/>
          </w:tcPr>
          <w:p>
            <w:pPr>
              <w:ind w:left="300"/>
              <w:spacing w:after="0"/>
              <w:rPr>
                <w:sz w:val="20"/>
                <w:szCs w:val="20"/>
                <w:color w:val="auto"/>
              </w:rPr>
            </w:pPr>
            <w:r>
              <w:rPr>
                <w:rFonts w:ascii="Arial" w:cs="Arial" w:eastAsia="Arial" w:hAnsi="Arial"/>
                <w:sz w:val="20"/>
                <w:szCs w:val="20"/>
                <w:color w:val="auto"/>
              </w:rPr>
              <w:t>Monster Energy Extra Strength Nitrous Technology®</w:t>
            </w: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580" w:type="dxa"/>
            <w:vAlign w:val="bottom"/>
          </w:tcPr>
          <w:p>
            <w:pPr>
              <w:ind w:left="160"/>
              <w:spacing w:after="0"/>
              <w:rPr>
                <w:sz w:val="20"/>
                <w:szCs w:val="20"/>
                <w:color w:val="auto"/>
              </w:rPr>
            </w:pPr>
            <w:r>
              <w:rPr>
                <w:rFonts w:ascii="Arial" w:cs="Arial" w:eastAsia="Arial" w:hAnsi="Arial"/>
                <w:sz w:val="20"/>
                <w:szCs w:val="20"/>
                <w:color w:val="auto"/>
              </w:rPr>
              <w:t>Junior Juice®</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60" w:type="dxa"/>
            <w:vAlign w:val="bottom"/>
          </w:tcPr>
          <w:p>
            <w:pPr>
              <w:ind w:left="300"/>
              <w:spacing w:after="0"/>
              <w:rPr>
                <w:sz w:val="20"/>
                <w:szCs w:val="20"/>
                <w:color w:val="auto"/>
              </w:rPr>
            </w:pPr>
            <w:r>
              <w:rPr>
                <w:rFonts w:ascii="Arial" w:cs="Arial" w:eastAsia="Arial" w:hAnsi="Arial"/>
                <w:sz w:val="20"/>
                <w:szCs w:val="20"/>
                <w:color w:val="auto"/>
              </w:rPr>
              <w:t>Java Monster®</w:t>
            </w: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580" w:type="dxa"/>
            <w:vAlign w:val="bottom"/>
          </w:tcPr>
          <w:p>
            <w:pPr>
              <w:ind w:left="160"/>
              <w:spacing w:after="0"/>
              <w:rPr>
                <w:sz w:val="20"/>
                <w:szCs w:val="20"/>
                <w:color w:val="auto"/>
              </w:rPr>
            </w:pPr>
            <w:r>
              <w:rPr>
                <w:rFonts w:ascii="Arial" w:cs="Arial" w:eastAsia="Arial" w:hAnsi="Arial"/>
                <w:sz w:val="20"/>
                <w:szCs w:val="20"/>
                <w:color w:val="auto"/>
              </w:rPr>
              <w:t>Blue Sky®</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60" w:type="dxa"/>
            <w:vAlign w:val="bottom"/>
          </w:tcPr>
          <w:p>
            <w:pPr>
              <w:ind w:left="300"/>
              <w:spacing w:after="0"/>
              <w:rPr>
                <w:sz w:val="20"/>
                <w:szCs w:val="20"/>
                <w:color w:val="auto"/>
              </w:rPr>
            </w:pPr>
            <w:r>
              <w:rPr>
                <w:rFonts w:ascii="Arial" w:cs="Arial" w:eastAsia="Arial" w:hAnsi="Arial"/>
                <w:sz w:val="20"/>
                <w:szCs w:val="20"/>
                <w:color w:val="auto"/>
              </w:rPr>
              <w:t>X-Presso Monster®</w:t>
            </w: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580" w:type="dxa"/>
            <w:vAlign w:val="bottom"/>
          </w:tcPr>
          <w:p>
            <w:pPr>
              <w:ind w:left="160"/>
              <w:spacing w:after="0"/>
              <w:rPr>
                <w:sz w:val="20"/>
                <w:szCs w:val="20"/>
                <w:color w:val="auto"/>
              </w:rPr>
            </w:pPr>
            <w:r>
              <w:rPr>
                <w:rFonts w:ascii="Arial" w:cs="Arial" w:eastAsia="Arial" w:hAnsi="Arial"/>
                <w:sz w:val="20"/>
                <w:szCs w:val="20"/>
                <w:color w:val="auto"/>
              </w:rPr>
              <w:t>Hubert’s®</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60" w:type="dxa"/>
            <w:vAlign w:val="bottom"/>
          </w:tcPr>
          <w:p>
            <w:pPr>
              <w:ind w:left="300"/>
              <w:spacing w:after="0"/>
              <w:rPr>
                <w:sz w:val="20"/>
                <w:szCs w:val="20"/>
                <w:color w:val="auto"/>
              </w:rPr>
            </w:pPr>
            <w:r>
              <w:rPr>
                <w:rFonts w:ascii="Arial" w:cs="Arial" w:eastAsia="Arial" w:hAnsi="Arial"/>
                <w:sz w:val="20"/>
                <w:szCs w:val="20"/>
                <w:color w:val="auto"/>
              </w:rPr>
              <w:t>Muscle Monster®</w:t>
            </w: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580" w:type="dxa"/>
            <w:vAlign w:val="bottom"/>
          </w:tcPr>
          <w:p>
            <w:pPr>
              <w:ind w:left="160"/>
              <w:spacing w:after="0"/>
              <w:rPr>
                <w:sz w:val="20"/>
                <w:szCs w:val="20"/>
                <w:color w:val="auto"/>
              </w:rPr>
            </w:pPr>
            <w:r>
              <w:rPr>
                <w:rFonts w:ascii="Arial" w:cs="Arial" w:eastAsia="Arial" w:hAnsi="Arial"/>
                <w:sz w:val="20"/>
                <w:szCs w:val="20"/>
                <w:color w:val="auto"/>
              </w:rPr>
              <w:t>Worx Energy®</w:t>
            </w:r>
          </w:p>
        </w:tc>
      </w:tr>
      <w:tr>
        <w:trPr>
          <w:trHeight w:val="25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60" w:type="dxa"/>
            <w:vAlign w:val="bottom"/>
          </w:tcPr>
          <w:p>
            <w:pPr>
              <w:ind w:left="300"/>
              <w:spacing w:after="0"/>
              <w:rPr>
                <w:sz w:val="20"/>
                <w:szCs w:val="20"/>
                <w:color w:val="auto"/>
              </w:rPr>
            </w:pPr>
            <w:r>
              <w:rPr>
                <w:rFonts w:ascii="Arial" w:cs="Arial" w:eastAsia="Arial" w:hAnsi="Arial"/>
                <w:sz w:val="20"/>
                <w:szCs w:val="20"/>
                <w:color w:val="auto"/>
              </w:rPr>
              <w:t>Punch Monster™</w:t>
            </w: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580" w:type="dxa"/>
            <w:vAlign w:val="bottom"/>
          </w:tcPr>
          <w:p>
            <w:pPr>
              <w:ind w:left="160"/>
              <w:spacing w:after="0"/>
              <w:rPr>
                <w:sz w:val="20"/>
                <w:szCs w:val="20"/>
                <w:color w:val="auto"/>
              </w:rPr>
            </w:pPr>
            <w:r>
              <w:rPr>
                <w:rFonts w:ascii="Arial" w:cs="Arial" w:eastAsia="Arial" w:hAnsi="Arial"/>
                <w:sz w:val="20"/>
                <w:szCs w:val="20"/>
                <w:color w:val="auto"/>
              </w:rPr>
              <w:t>Peace Tea®</w:t>
            </w:r>
          </w:p>
        </w:tc>
      </w:tr>
    </w:tbl>
    <w:p>
      <w:pPr>
        <w:spacing w:after="0" w:line="20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Our Monster Energy® drinks, which represented 93.1% and 92.2% of our net sales for the three-months ended June 30, 2014 and 2013, respectively, include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Monster Energy®</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rPr>
              <w:t>Java Monster® Kona Blend</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Lo-Carb Monster Energy®</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rPr>
              <w:t>Java Monster® Loca Moca®</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Monster Assault®</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rPr>
              <w:t>Java Monster® Mean Bean®</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Monster Khaos®</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rPr>
              <w:t>Java Monster® Vanilla Light</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Monster M-80® (named Ripper® in certain countries)</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rPr>
              <w:t>Java Monster® Irish Blend®</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Monster Energy® Absolutely Zero</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rPr>
              <w:t>Java Monster® Toffee</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Monster Energy® Import</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rPr>
              <w:t>Java Monster® Kona Cappuccino™</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Monster Energy® Import Light</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w w:val="98"/>
              </w:rPr>
              <w:t>Monster Energy Extra Strength Nitrous</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Punch Monster™ Baller’s Blend (formerly Dub Edition)</w:t>
            </w:r>
          </w:p>
        </w:tc>
        <w:tc>
          <w:tcPr>
            <w:tcW w:w="1160" w:type="dxa"/>
            <w:vAlign w:val="bottom"/>
          </w:tcPr>
          <w:p>
            <w:pPr>
              <w:spacing w:after="0"/>
              <w:rPr>
                <w:sz w:val="19"/>
                <w:szCs w:val="19"/>
                <w:color w:val="auto"/>
              </w:rPr>
            </w:pPr>
          </w:p>
        </w:tc>
        <w:tc>
          <w:tcPr>
            <w:tcW w:w="3720" w:type="dxa"/>
            <w:vAlign w:val="bottom"/>
          </w:tcPr>
          <w:p>
            <w:pPr>
              <w:ind w:left="300"/>
              <w:spacing w:after="0"/>
              <w:rPr>
                <w:sz w:val="20"/>
                <w:szCs w:val="20"/>
                <w:color w:val="auto"/>
              </w:rPr>
            </w:pPr>
            <w:r>
              <w:rPr>
                <w:rFonts w:ascii="Arial" w:cs="Arial" w:eastAsia="Arial" w:hAnsi="Arial"/>
                <w:sz w:val="20"/>
                <w:szCs w:val="20"/>
                <w:color w:val="auto"/>
              </w:rPr>
              <w:t>Technology® Super Dry™</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Punch Monster™ Mad Dog (formerly Dub Edition)</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w w:val="98"/>
              </w:rPr>
              <w:t>Monster Energy Extra Strength Nitrous</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Monster Rehab® Tea + Lemonade + Energy</w:t>
            </w:r>
          </w:p>
        </w:tc>
        <w:tc>
          <w:tcPr>
            <w:tcW w:w="1160" w:type="dxa"/>
            <w:vAlign w:val="bottom"/>
          </w:tcPr>
          <w:p>
            <w:pPr>
              <w:spacing w:after="0"/>
              <w:rPr>
                <w:sz w:val="19"/>
                <w:szCs w:val="19"/>
                <w:color w:val="auto"/>
              </w:rPr>
            </w:pPr>
          </w:p>
        </w:tc>
        <w:tc>
          <w:tcPr>
            <w:tcW w:w="3720" w:type="dxa"/>
            <w:vAlign w:val="bottom"/>
          </w:tcPr>
          <w:p>
            <w:pPr>
              <w:ind w:left="300"/>
              <w:spacing w:after="0"/>
              <w:rPr>
                <w:sz w:val="20"/>
                <w:szCs w:val="20"/>
                <w:color w:val="auto"/>
              </w:rPr>
            </w:pPr>
            <w:r>
              <w:rPr>
                <w:rFonts w:ascii="Arial" w:cs="Arial" w:eastAsia="Arial" w:hAnsi="Arial"/>
                <w:sz w:val="20"/>
                <w:szCs w:val="20"/>
                <w:color w:val="auto"/>
              </w:rPr>
              <w:t>Technology® Anti-Gravity®</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Monster Rehab® Rojo Tea + Energy</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w w:val="98"/>
              </w:rPr>
              <w:t>Monster Energy Extra Strength Nitrous</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Monster Rehab® Green Tea + Energy</w:t>
            </w:r>
          </w:p>
        </w:tc>
        <w:tc>
          <w:tcPr>
            <w:tcW w:w="1160" w:type="dxa"/>
            <w:vAlign w:val="bottom"/>
          </w:tcPr>
          <w:p>
            <w:pPr>
              <w:spacing w:after="0"/>
              <w:rPr>
                <w:sz w:val="19"/>
                <w:szCs w:val="19"/>
                <w:color w:val="auto"/>
              </w:rPr>
            </w:pPr>
          </w:p>
        </w:tc>
        <w:tc>
          <w:tcPr>
            <w:tcW w:w="3720" w:type="dxa"/>
            <w:vAlign w:val="bottom"/>
          </w:tcPr>
          <w:p>
            <w:pPr>
              <w:ind w:left="300"/>
              <w:spacing w:after="0"/>
              <w:rPr>
                <w:sz w:val="20"/>
                <w:szCs w:val="20"/>
                <w:color w:val="auto"/>
              </w:rPr>
            </w:pPr>
            <w:r>
              <w:rPr>
                <w:rFonts w:ascii="Arial" w:cs="Arial" w:eastAsia="Arial" w:hAnsi="Arial"/>
                <w:sz w:val="20"/>
                <w:szCs w:val="20"/>
                <w:color w:val="auto"/>
              </w:rPr>
              <w:t>Technology® Black Ice™</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Monster Rehab® Protean + Energy</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rPr>
              <w:t>X-Presso Monster® Hammer</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Monster Rehab® Tea + Orangeade + Energy</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rPr>
              <w:t>X-Presso Monster® Midnite</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Monster Rehab® Tea + Pink Lemonade + Energy</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rPr>
              <w:t>Monster Cuba-Lima®</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Muscle Monster® Vanilla</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rPr>
              <w:t>Monster Energy® Zero Ultra</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Muscle Monster® Chocolate</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rPr>
              <w:t>Monster Energy® Ultra Blue™</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Muscle Monster® Coffee</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rPr>
              <w:t>Monster Energy® Ultra Red™</w:t>
            </w:r>
          </w:p>
        </w:tc>
      </w:tr>
      <w:tr>
        <w:trPr>
          <w:trHeight w:val="230"/>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Muscle Monster® Strawberry</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w w:val="90"/>
              </w:rPr>
              <w:t>M3® Monster Energy® Super Concentrate</w:t>
            </w:r>
          </w:p>
        </w:tc>
      </w:tr>
      <w:tr>
        <w:trPr>
          <w:trHeight w:val="246"/>
        </w:trPr>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5580" w:type="dxa"/>
            <w:vAlign w:val="bottom"/>
          </w:tcPr>
          <w:p>
            <w:pPr>
              <w:ind w:left="300"/>
              <w:spacing w:after="0"/>
              <w:rPr>
                <w:sz w:val="20"/>
                <w:szCs w:val="20"/>
                <w:color w:val="auto"/>
              </w:rPr>
            </w:pPr>
            <w:r>
              <w:rPr>
                <w:rFonts w:ascii="Arial" w:cs="Arial" w:eastAsia="Arial" w:hAnsi="Arial"/>
                <w:sz w:val="20"/>
                <w:szCs w:val="20"/>
                <w:color w:val="auto"/>
              </w:rPr>
              <w:t>Muscle Monster® Peanut Butter Cup</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3720" w:type="dxa"/>
            <w:vAlign w:val="bottom"/>
          </w:tcPr>
          <w:p>
            <w:pPr>
              <w:ind w:left="300"/>
              <w:spacing w:after="0"/>
              <w:rPr>
                <w:sz w:val="20"/>
                <w:szCs w:val="20"/>
                <w:color w:val="auto"/>
              </w:rPr>
            </w:pPr>
            <w:r>
              <w:rPr>
                <w:rFonts w:ascii="Arial" w:cs="Arial" w:eastAsia="Arial" w:hAnsi="Arial"/>
                <w:sz w:val="20"/>
                <w:szCs w:val="20"/>
                <w:color w:val="auto"/>
              </w:rPr>
              <w:t>Übermonster® Energy Brew</w:t>
            </w:r>
          </w:p>
        </w:tc>
      </w:tr>
    </w:tbl>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20"/>
          <w:szCs w:val="20"/>
          <w:color w:val="auto"/>
        </w:rPr>
        <w:t>Monster Energy® Limited Edition Valentino Rossi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have two operating and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During the six-months ended June 30, 2014, we continued to expand our existing product lines and flavors and further developed our markets. In particular, we continued to focus on developing and marketing beverages that fall within the category generally described as the “alternative” beverage category. During the six-months ended June 30, 2014, we introduced the following products:</w:t>
      </w:r>
    </w:p>
    <w:p>
      <w:pPr>
        <w:spacing w:after="0" w:line="165" w:lineRule="exact"/>
        <w:rPr>
          <w:sz w:val="20"/>
          <w:szCs w:val="20"/>
          <w:color w:val="auto"/>
        </w:rPr>
      </w:pPr>
    </w:p>
    <w:p>
      <w:pPr>
        <w:ind w:left="840" w:hanging="599"/>
        <w:spacing w:after="0"/>
        <w:tabs>
          <w:tab w:leader="none" w:pos="8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Punch Monster™ Baller’s Blend (formerly Dub Edition) (January 2014).</w:t>
      </w:r>
    </w:p>
    <w:p>
      <w:pPr>
        <w:spacing w:after="0" w:line="15" w:lineRule="exact"/>
        <w:rPr>
          <w:rFonts w:ascii="Arial" w:cs="Arial" w:eastAsia="Arial" w:hAnsi="Arial"/>
          <w:sz w:val="20"/>
          <w:szCs w:val="20"/>
          <w:color w:val="auto"/>
        </w:rPr>
      </w:pPr>
    </w:p>
    <w:p>
      <w:pPr>
        <w:ind w:left="840" w:hanging="599"/>
        <w:spacing w:after="0"/>
        <w:tabs>
          <w:tab w:leader="none" w:pos="8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Punch Monster™ Mad Dog (formerly Dub Edition) (January 2014).</w:t>
      </w:r>
    </w:p>
    <w:p>
      <w:pPr>
        <w:sectPr>
          <w:pgSz w:w="11900" w:h="16883" w:orient="portrait"/>
          <w:cols w:equalWidth="0" w:num="1">
            <w:col w:w="11420"/>
          </w:cols>
          <w:pgMar w:left="240" w:top="121" w:right="239" w:bottom="0" w:gutter="0" w:footer="0" w:header="0"/>
        </w:sectPr>
      </w:pPr>
    </w:p>
    <w:bookmarkStart w:id="20" w:name="page21"/>
    <w:bookmarkEnd w:id="20"/>
    <w:p>
      <w:pPr>
        <w:ind w:left="840" w:hanging="599"/>
        <w:spacing w:after="0"/>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Peace Tea Beverage Company™ Viva Mango™, a mango flavored juice drink (February 2014).</w:t>
      </w:r>
    </w:p>
    <w:p>
      <w:pPr>
        <w:spacing w:after="0" w:line="16" w:lineRule="exact"/>
        <w:rPr>
          <w:rFonts w:ascii="Arial" w:cs="Arial" w:eastAsia="Arial" w:hAnsi="Arial"/>
          <w:sz w:val="20"/>
          <w:szCs w:val="20"/>
          <w:color w:val="auto"/>
        </w:rPr>
      </w:pPr>
    </w:p>
    <w:p>
      <w:pPr>
        <w:ind w:left="840" w:hanging="599"/>
        <w:spacing w:after="0"/>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Monster Energy® Limited Edition Valentino Rossi promotional energy drink (May 2014).</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during the six-months ended June 30, 2014, either individually or in aggregate, did not have a material adverse impact on our financial position, results of operations or liquidity.</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gross sales (as defined below) of $779.0 million for the three-months ended June 30, 2014 represented record sales for our second fiscal quarter. The vast majority of our gross sales are derived from our Monster Energy® brand energy drinks. Gross sales of our Monster Energy® brand energy drinks were $728.3 million for the three-months ended June 30, 2014, an increase of $56.5 million, or 102.6% of our overall increase in gross sales for the three-months ended June 30, 2014.</w:t>
      </w:r>
    </w:p>
    <w:p>
      <w:pPr>
        <w:spacing w:after="0" w:line="20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DSD segment represented 96.1% and 95.3% of our consolidated net sales for the three-months ended June 30, 2014 and 2013, respectively. Our Warehouse segment represented 3.9% and 4.7% of our consolidated net sales for the three-months ended June 30, 2014 and 2013, respectively. Our DSD segment represented 96.0% and 95.2% of our consolidated net sales for the six-months ended June 30, 2014 and 2013, respectively. Our Warehouse segment represented 4.0% and 4.8% of our consolidated net sales for the six-months ended June 30, 2014 and 2013, respectively.</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advertising, in-store promotions and in-store placement of point-of-sale materials, racks, coolers and barrel coolers) to encourage demand from consumers for our products. We also support our brands with prize promotions, price promotions, competitions, endorsements from selected public and sports figures, personality endorsements (including from television and other well-known sports personalities), coupons,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of our beverage products are manufactured by various third party bottlers and co-packers situated throughout the United States and abroad, under separate arrangements with each party.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Our growth strategy includes expanding our international business. Gross sales to customers outside the United States amounted to $180.2 million and $160.4 million for the three-months ended June 30, 2014 and 2013, respectively. Such sales were approximately 23% and 22% of gross sales for the three-months ended June 30, 2014 and 2013, respectively. Gross sales to customers outside the United States amounted to $324.5 million and $291.1 million for the six-months ended June 30, 2014 and 2013, respectively. Such sales were approximately 23% of gross sales for both the six-months ended June 30, 2014 and 2013, respectively.</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three- and six-months ended June 30, 2014 and 2013 are reflected below. Such information includes sales made by us directly to the customer types concerned, which include our full service beverage distributors in the United States. Such full service beverage distributors in turn sell certain of our products to some of the same customer types listed below. We limit our description of our customer types to include only our sales to our full service distributors without reference to such distributors’ sales to their own customers.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3300" w:type="dxa"/>
            <w:vAlign w:val="bottom"/>
            <w:gridSpan w:val="5"/>
          </w:tcPr>
          <w:p>
            <w:pPr>
              <w:jc w:val="center"/>
              <w:ind w:right="300"/>
              <w:spacing w:after="0"/>
              <w:rPr>
                <w:sz w:val="20"/>
                <w:szCs w:val="20"/>
                <w:color w:val="auto"/>
              </w:rPr>
            </w:pPr>
            <w:r>
              <w:rPr>
                <w:rFonts w:ascii="Arial" w:cs="Arial" w:eastAsia="Arial" w:hAnsi="Arial"/>
                <w:sz w:val="20"/>
                <w:szCs w:val="20"/>
                <w:color w:val="auto"/>
                <w:w w:val="89"/>
              </w:rPr>
              <w:t>Three-Months Ended</w:t>
            </w:r>
          </w:p>
        </w:tc>
        <w:tc>
          <w:tcPr>
            <w:tcW w:w="3020" w:type="dxa"/>
            <w:vAlign w:val="bottom"/>
            <w:gridSpan w:val="4"/>
          </w:tcPr>
          <w:p>
            <w:pPr>
              <w:jc w:val="center"/>
              <w:spacing w:after="0"/>
              <w:rPr>
                <w:sz w:val="20"/>
                <w:szCs w:val="20"/>
                <w:color w:val="auto"/>
              </w:rPr>
            </w:pPr>
            <w:r>
              <w:rPr>
                <w:rFonts w:ascii="Arial" w:cs="Arial" w:eastAsia="Arial" w:hAnsi="Arial"/>
                <w:sz w:val="20"/>
                <w:szCs w:val="20"/>
                <w:color w:val="auto"/>
                <w:w w:val="91"/>
              </w:rPr>
              <w:t>Six-Months Ended</w:t>
            </w: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80" w:type="dxa"/>
            <w:vAlign w:val="bottom"/>
            <w:gridSpan w:val="4"/>
          </w:tcPr>
          <w:p>
            <w:pPr>
              <w:jc w:val="center"/>
              <w:ind w:right="1300"/>
              <w:spacing w:after="0"/>
              <w:rPr>
                <w:sz w:val="20"/>
                <w:szCs w:val="20"/>
                <w:color w:val="auto"/>
              </w:rPr>
            </w:pPr>
            <w:r>
              <w:rPr>
                <w:rFonts w:ascii="Arial" w:cs="Arial" w:eastAsia="Arial" w:hAnsi="Arial"/>
                <w:sz w:val="20"/>
                <w:szCs w:val="20"/>
                <w:color w:val="auto"/>
                <w:w w:val="85"/>
              </w:rPr>
              <w:t>June 30,</w:t>
            </w:r>
          </w:p>
        </w:tc>
        <w:tc>
          <w:tcPr>
            <w:tcW w:w="1020" w:type="dxa"/>
            <w:vAlign w:val="bottom"/>
          </w:tcPr>
          <w:p>
            <w:pPr>
              <w:spacing w:after="0"/>
              <w:rPr>
                <w:sz w:val="21"/>
                <w:szCs w:val="21"/>
                <w:color w:val="auto"/>
              </w:rPr>
            </w:pPr>
          </w:p>
        </w:tc>
        <w:tc>
          <w:tcPr>
            <w:tcW w:w="2000" w:type="dxa"/>
            <w:vAlign w:val="bottom"/>
            <w:gridSpan w:val="3"/>
          </w:tcPr>
          <w:p>
            <w:pPr>
              <w:jc w:val="center"/>
              <w:ind w:right="921"/>
              <w:spacing w:after="0"/>
              <w:rPr>
                <w:sz w:val="20"/>
                <w:szCs w:val="20"/>
                <w:color w:val="auto"/>
              </w:rPr>
            </w:pPr>
            <w:r>
              <w:rPr>
                <w:rFonts w:ascii="Arial" w:cs="Arial" w:eastAsia="Arial" w:hAnsi="Arial"/>
                <w:sz w:val="20"/>
                <w:szCs w:val="20"/>
                <w:color w:val="auto"/>
                <w:w w:val="85"/>
              </w:rPr>
              <w:t>June 30,</w:t>
            </w:r>
          </w:p>
        </w:tc>
        <w:tc>
          <w:tcPr>
            <w:tcW w:w="0" w:type="dxa"/>
            <w:vAlign w:val="bottom"/>
          </w:tcPr>
          <w:p>
            <w:pPr>
              <w:spacing w:after="0"/>
              <w:rPr>
                <w:sz w:val="1"/>
                <w:szCs w:val="1"/>
                <w:color w:val="auto"/>
              </w:rPr>
            </w:pPr>
          </w:p>
        </w:tc>
      </w:tr>
      <w:tr>
        <w:trPr>
          <w:trHeight w:val="223"/>
        </w:trPr>
        <w:tc>
          <w:tcPr>
            <w:tcW w:w="5000" w:type="dxa"/>
            <w:vAlign w:val="bottom"/>
            <w:vMerge w:val="restart"/>
          </w:tcPr>
          <w:p>
            <w:pPr>
              <w:spacing w:after="0"/>
              <w:rPr>
                <w:sz w:val="20"/>
                <w:szCs w:val="20"/>
                <w:color w:val="auto"/>
              </w:rPr>
            </w:pPr>
            <w:r>
              <w:rPr>
                <w:rFonts w:ascii="Arial" w:cs="Arial" w:eastAsia="Arial" w:hAnsi="Arial"/>
                <w:sz w:val="20"/>
                <w:szCs w:val="20"/>
                <w:color w:val="auto"/>
              </w:rPr>
              <w:t>Full service distributors</w:t>
            </w:r>
          </w:p>
        </w:tc>
        <w:tc>
          <w:tcPr>
            <w:tcW w:w="1020" w:type="dxa"/>
            <w:vAlign w:val="bottom"/>
            <w:tcBorders>
              <w:top w:val="single" w:sz="8" w:color="auto"/>
            </w:tcBorders>
          </w:tcPr>
          <w:p>
            <w:pPr>
              <w:jc w:val="center"/>
              <w:ind w:left="241"/>
              <w:spacing w:after="0" w:line="223" w:lineRule="exact"/>
              <w:rPr>
                <w:sz w:val="20"/>
                <w:szCs w:val="20"/>
                <w:color w:val="auto"/>
              </w:rPr>
            </w:pPr>
            <w:r>
              <w:rPr>
                <w:rFonts w:ascii="Arial" w:cs="Arial" w:eastAsia="Arial" w:hAnsi="Arial"/>
                <w:sz w:val="20"/>
                <w:szCs w:val="20"/>
                <w:color w:val="auto"/>
                <w:w w:val="89"/>
              </w:rPr>
              <w:t>2014</w:t>
            </w:r>
          </w:p>
        </w:tc>
        <w:tc>
          <w:tcPr>
            <w:tcW w:w="2000" w:type="dxa"/>
            <w:vAlign w:val="bottom"/>
            <w:tcBorders>
              <w:top w:val="single" w:sz="8" w:color="auto"/>
            </w:tcBorders>
            <w:gridSpan w:val="3"/>
          </w:tcPr>
          <w:p>
            <w:pPr>
              <w:jc w:val="center"/>
              <w:ind w:left="541"/>
              <w:spacing w:after="0" w:line="223" w:lineRule="exact"/>
              <w:rPr>
                <w:sz w:val="20"/>
                <w:szCs w:val="20"/>
                <w:color w:val="auto"/>
              </w:rPr>
            </w:pPr>
            <w:r>
              <w:rPr>
                <w:rFonts w:ascii="Arial" w:cs="Arial" w:eastAsia="Arial" w:hAnsi="Arial"/>
                <w:sz w:val="20"/>
                <w:szCs w:val="20"/>
                <w:color w:val="auto"/>
                <w:w w:val="89"/>
              </w:rPr>
              <w:t>2013</w:t>
            </w:r>
          </w:p>
        </w:tc>
        <w:tc>
          <w:tcPr>
            <w:tcW w:w="280" w:type="dxa"/>
            <w:vAlign w:val="bottom"/>
          </w:tcPr>
          <w:p>
            <w:pPr>
              <w:spacing w:after="0"/>
              <w:rPr>
                <w:sz w:val="19"/>
                <w:szCs w:val="19"/>
                <w:color w:val="auto"/>
              </w:rPr>
            </w:pPr>
          </w:p>
        </w:tc>
        <w:tc>
          <w:tcPr>
            <w:tcW w:w="1020" w:type="dxa"/>
            <w:vAlign w:val="bottom"/>
            <w:tcBorders>
              <w:top w:val="single" w:sz="8" w:color="auto"/>
            </w:tcBorders>
          </w:tcPr>
          <w:p>
            <w:pPr>
              <w:jc w:val="center"/>
              <w:ind w:left="241"/>
              <w:spacing w:after="0" w:line="223" w:lineRule="exact"/>
              <w:rPr>
                <w:sz w:val="20"/>
                <w:szCs w:val="20"/>
                <w:color w:val="auto"/>
              </w:rPr>
            </w:pPr>
            <w:r>
              <w:rPr>
                <w:rFonts w:ascii="Arial" w:cs="Arial" w:eastAsia="Arial" w:hAnsi="Arial"/>
                <w:sz w:val="20"/>
                <w:szCs w:val="20"/>
                <w:color w:val="auto"/>
                <w:w w:val="89"/>
              </w:rPr>
              <w:t>2014</w:t>
            </w:r>
          </w:p>
        </w:tc>
        <w:tc>
          <w:tcPr>
            <w:tcW w:w="2000" w:type="dxa"/>
            <w:vAlign w:val="bottom"/>
            <w:tcBorders>
              <w:top w:val="single" w:sz="8" w:color="auto"/>
            </w:tcBorders>
            <w:gridSpan w:val="3"/>
          </w:tcPr>
          <w:p>
            <w:pPr>
              <w:jc w:val="center"/>
              <w:ind w:left="521"/>
              <w:spacing w:after="0" w:line="223" w:lineRule="exact"/>
              <w:rPr>
                <w:sz w:val="20"/>
                <w:szCs w:val="20"/>
                <w:color w:val="auto"/>
              </w:rPr>
            </w:pPr>
            <w:r>
              <w:rPr>
                <w:rFonts w:ascii="Arial" w:cs="Arial" w:eastAsia="Arial" w:hAnsi="Arial"/>
                <w:sz w:val="20"/>
                <w:szCs w:val="20"/>
                <w:color w:val="auto"/>
                <w:w w:val="85"/>
              </w:rPr>
              <w:t>2013</w:t>
            </w:r>
          </w:p>
        </w:tc>
        <w:tc>
          <w:tcPr>
            <w:tcW w:w="0" w:type="dxa"/>
            <w:vAlign w:val="bottom"/>
          </w:tcPr>
          <w:p>
            <w:pPr>
              <w:spacing w:after="0"/>
              <w:rPr>
                <w:sz w:val="1"/>
                <w:szCs w:val="1"/>
                <w:color w:val="auto"/>
              </w:rPr>
            </w:pPr>
          </w:p>
        </w:tc>
      </w:tr>
      <w:tr>
        <w:trPr>
          <w:trHeight w:val="206"/>
        </w:trPr>
        <w:tc>
          <w:tcPr>
            <w:tcW w:w="5000" w:type="dxa"/>
            <w:vAlign w:val="bottom"/>
            <w:vMerge w:val="continue"/>
          </w:tcPr>
          <w:p>
            <w:pPr>
              <w:spacing w:after="0"/>
              <w:rPr>
                <w:sz w:val="17"/>
                <w:szCs w:val="17"/>
                <w:color w:val="auto"/>
              </w:rPr>
            </w:pPr>
          </w:p>
        </w:tc>
        <w:tc>
          <w:tcPr>
            <w:tcW w:w="1020" w:type="dxa"/>
            <w:vAlign w:val="bottom"/>
            <w:tcBorders>
              <w:top w:val="single" w:sz="8" w:color="auto"/>
            </w:tcBorders>
          </w:tcPr>
          <w:p>
            <w:pPr>
              <w:jc w:val="center"/>
              <w:ind w:left="241"/>
              <w:spacing w:after="0" w:line="207" w:lineRule="exact"/>
              <w:rPr>
                <w:sz w:val="20"/>
                <w:szCs w:val="20"/>
                <w:color w:val="auto"/>
              </w:rPr>
            </w:pPr>
            <w:r>
              <w:rPr>
                <w:rFonts w:ascii="Arial" w:cs="Arial" w:eastAsia="Arial" w:hAnsi="Arial"/>
                <w:sz w:val="20"/>
                <w:szCs w:val="20"/>
                <w:color w:val="auto"/>
                <w:w w:val="89"/>
              </w:rPr>
              <w:t>62%</w:t>
            </w:r>
          </w:p>
        </w:tc>
        <w:tc>
          <w:tcPr>
            <w:tcW w:w="3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62%</w:t>
            </w:r>
          </w:p>
        </w:tc>
        <w:tc>
          <w:tcPr>
            <w:tcW w:w="280" w:type="dxa"/>
            <w:vAlign w:val="bottom"/>
          </w:tcPr>
          <w:p>
            <w:pPr>
              <w:spacing w:after="0"/>
              <w:rPr>
                <w:sz w:val="17"/>
                <w:szCs w:val="17"/>
                <w:color w:val="auto"/>
              </w:rPr>
            </w:pPr>
          </w:p>
        </w:tc>
        <w:tc>
          <w:tcPr>
            <w:tcW w:w="1020" w:type="dxa"/>
            <w:vAlign w:val="bottom"/>
            <w:tcBorders>
              <w:top w:val="single" w:sz="8" w:color="auto"/>
            </w:tcBorders>
          </w:tcPr>
          <w:p>
            <w:pPr>
              <w:jc w:val="center"/>
              <w:ind w:left="241"/>
              <w:spacing w:after="0" w:line="207" w:lineRule="exact"/>
              <w:rPr>
                <w:sz w:val="20"/>
                <w:szCs w:val="20"/>
                <w:color w:val="auto"/>
              </w:rPr>
            </w:pPr>
            <w:r>
              <w:rPr>
                <w:rFonts w:ascii="Arial" w:cs="Arial" w:eastAsia="Arial" w:hAnsi="Arial"/>
                <w:sz w:val="20"/>
                <w:szCs w:val="20"/>
                <w:color w:val="auto"/>
                <w:w w:val="89"/>
              </w:rPr>
              <w:t>62%</w:t>
            </w:r>
          </w:p>
        </w:tc>
        <w:tc>
          <w:tcPr>
            <w:tcW w:w="3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62%</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1020" w:type="dxa"/>
            <w:vAlign w:val="bottom"/>
          </w:tcPr>
          <w:p>
            <w:pPr>
              <w:jc w:val="center"/>
              <w:ind w:left="241"/>
              <w:spacing w:after="0"/>
              <w:rPr>
                <w:sz w:val="20"/>
                <w:szCs w:val="20"/>
                <w:color w:val="auto"/>
              </w:rPr>
            </w:pPr>
            <w:r>
              <w:rPr>
                <w:rFonts w:ascii="Arial" w:cs="Arial" w:eastAsia="Arial" w:hAnsi="Arial"/>
                <w:sz w:val="20"/>
                <w:szCs w:val="20"/>
                <w:color w:val="auto"/>
                <w:w w:val="96"/>
              </w:rPr>
              <w:t>9%</w:t>
            </w:r>
          </w:p>
        </w:tc>
        <w:tc>
          <w:tcPr>
            <w:tcW w:w="2000" w:type="dxa"/>
            <w:vAlign w:val="bottom"/>
            <w:gridSpan w:val="3"/>
          </w:tcPr>
          <w:p>
            <w:pPr>
              <w:jc w:val="center"/>
              <w:ind w:left="541"/>
              <w:spacing w:after="0"/>
              <w:rPr>
                <w:sz w:val="20"/>
                <w:szCs w:val="20"/>
                <w:color w:val="auto"/>
              </w:rPr>
            </w:pPr>
            <w:r>
              <w:rPr>
                <w:rFonts w:ascii="Arial" w:cs="Arial" w:eastAsia="Arial" w:hAnsi="Arial"/>
                <w:sz w:val="20"/>
                <w:szCs w:val="20"/>
                <w:color w:val="auto"/>
                <w:w w:val="89"/>
              </w:rPr>
              <w:t>11%</w:t>
            </w:r>
          </w:p>
        </w:tc>
        <w:tc>
          <w:tcPr>
            <w:tcW w:w="280" w:type="dxa"/>
            <w:vAlign w:val="bottom"/>
          </w:tcPr>
          <w:p>
            <w:pPr>
              <w:spacing w:after="0"/>
              <w:rPr>
                <w:sz w:val="19"/>
                <w:szCs w:val="19"/>
                <w:color w:val="auto"/>
              </w:rPr>
            </w:pPr>
          </w:p>
        </w:tc>
        <w:tc>
          <w:tcPr>
            <w:tcW w:w="1020" w:type="dxa"/>
            <w:vAlign w:val="bottom"/>
          </w:tcPr>
          <w:p>
            <w:pPr>
              <w:jc w:val="center"/>
              <w:ind w:left="261"/>
              <w:spacing w:after="0"/>
              <w:rPr>
                <w:sz w:val="20"/>
                <w:szCs w:val="20"/>
                <w:color w:val="auto"/>
              </w:rPr>
            </w:pPr>
            <w:r>
              <w:rPr>
                <w:rFonts w:ascii="Arial" w:cs="Arial" w:eastAsia="Arial" w:hAnsi="Arial"/>
                <w:sz w:val="20"/>
                <w:szCs w:val="20"/>
                <w:color w:val="auto"/>
                <w:w w:val="89"/>
              </w:rPr>
              <w:t>9%</w:t>
            </w:r>
          </w:p>
        </w:tc>
        <w:tc>
          <w:tcPr>
            <w:tcW w:w="2000" w:type="dxa"/>
            <w:vAlign w:val="bottom"/>
            <w:gridSpan w:val="3"/>
          </w:tcPr>
          <w:p>
            <w:pPr>
              <w:jc w:val="center"/>
              <w:ind w:left="521"/>
              <w:spacing w:after="0"/>
              <w:rPr>
                <w:sz w:val="20"/>
                <w:szCs w:val="20"/>
                <w:color w:val="auto"/>
              </w:rPr>
            </w:pPr>
            <w:r>
              <w:rPr>
                <w:rFonts w:ascii="Arial" w:cs="Arial" w:eastAsia="Arial" w:hAnsi="Arial"/>
                <w:sz w:val="20"/>
                <w:szCs w:val="20"/>
                <w:color w:val="auto"/>
                <w:w w:val="94"/>
              </w:rPr>
              <w:t>10%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Outside the U.S.</w:t>
            </w:r>
          </w:p>
        </w:tc>
        <w:tc>
          <w:tcPr>
            <w:tcW w:w="1020" w:type="dxa"/>
            <w:vAlign w:val="bottom"/>
          </w:tcPr>
          <w:p>
            <w:pPr>
              <w:jc w:val="center"/>
              <w:ind w:left="241"/>
              <w:spacing w:after="0"/>
              <w:rPr>
                <w:sz w:val="20"/>
                <w:szCs w:val="20"/>
                <w:color w:val="auto"/>
              </w:rPr>
            </w:pPr>
            <w:r>
              <w:rPr>
                <w:rFonts w:ascii="Arial" w:cs="Arial" w:eastAsia="Arial" w:hAnsi="Arial"/>
                <w:sz w:val="20"/>
                <w:szCs w:val="20"/>
                <w:color w:val="auto"/>
                <w:w w:val="89"/>
              </w:rPr>
              <w:t>23%</w:t>
            </w:r>
          </w:p>
        </w:tc>
        <w:tc>
          <w:tcPr>
            <w:tcW w:w="2000" w:type="dxa"/>
            <w:vAlign w:val="bottom"/>
            <w:gridSpan w:val="3"/>
          </w:tcPr>
          <w:p>
            <w:pPr>
              <w:jc w:val="center"/>
              <w:ind w:left="541"/>
              <w:spacing w:after="0"/>
              <w:rPr>
                <w:sz w:val="20"/>
                <w:szCs w:val="20"/>
                <w:color w:val="auto"/>
              </w:rPr>
            </w:pPr>
            <w:r>
              <w:rPr>
                <w:rFonts w:ascii="Arial" w:cs="Arial" w:eastAsia="Arial" w:hAnsi="Arial"/>
                <w:sz w:val="20"/>
                <w:szCs w:val="20"/>
                <w:color w:val="auto"/>
                <w:w w:val="89"/>
              </w:rPr>
              <w:t>22%</w:t>
            </w:r>
          </w:p>
        </w:tc>
        <w:tc>
          <w:tcPr>
            <w:tcW w:w="280" w:type="dxa"/>
            <w:vAlign w:val="bottom"/>
          </w:tcPr>
          <w:p>
            <w:pPr>
              <w:spacing w:after="0"/>
              <w:rPr>
                <w:sz w:val="19"/>
                <w:szCs w:val="19"/>
                <w:color w:val="auto"/>
              </w:rPr>
            </w:pPr>
          </w:p>
        </w:tc>
        <w:tc>
          <w:tcPr>
            <w:tcW w:w="1020" w:type="dxa"/>
            <w:vAlign w:val="bottom"/>
          </w:tcPr>
          <w:p>
            <w:pPr>
              <w:jc w:val="center"/>
              <w:ind w:left="241"/>
              <w:spacing w:after="0"/>
              <w:rPr>
                <w:sz w:val="20"/>
                <w:szCs w:val="20"/>
                <w:color w:val="auto"/>
              </w:rPr>
            </w:pPr>
            <w:r>
              <w:rPr>
                <w:rFonts w:ascii="Arial" w:cs="Arial" w:eastAsia="Arial" w:hAnsi="Arial"/>
                <w:sz w:val="20"/>
                <w:szCs w:val="20"/>
                <w:color w:val="auto"/>
                <w:w w:val="89"/>
              </w:rPr>
              <w:t>23%</w:t>
            </w:r>
          </w:p>
        </w:tc>
        <w:tc>
          <w:tcPr>
            <w:tcW w:w="2000" w:type="dxa"/>
            <w:vAlign w:val="bottom"/>
            <w:gridSpan w:val="3"/>
          </w:tcPr>
          <w:p>
            <w:pPr>
              <w:jc w:val="center"/>
              <w:ind w:left="521"/>
              <w:spacing w:after="0"/>
              <w:rPr>
                <w:sz w:val="20"/>
                <w:szCs w:val="20"/>
                <w:color w:val="auto"/>
              </w:rPr>
            </w:pPr>
            <w:r>
              <w:rPr>
                <w:rFonts w:ascii="Arial" w:cs="Arial" w:eastAsia="Arial" w:hAnsi="Arial"/>
                <w:sz w:val="20"/>
                <w:szCs w:val="20"/>
                <w:color w:val="auto"/>
                <w:w w:val="94"/>
              </w:rPr>
              <w:t>23%</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020" w:type="dxa"/>
            <w:vAlign w:val="bottom"/>
          </w:tcPr>
          <w:p>
            <w:pPr>
              <w:jc w:val="center"/>
              <w:ind w:left="241"/>
              <w:spacing w:after="0"/>
              <w:rPr>
                <w:sz w:val="20"/>
                <w:szCs w:val="20"/>
                <w:color w:val="auto"/>
              </w:rPr>
            </w:pPr>
            <w:r>
              <w:rPr>
                <w:rFonts w:ascii="Arial" w:cs="Arial" w:eastAsia="Arial" w:hAnsi="Arial"/>
                <w:sz w:val="20"/>
                <w:szCs w:val="20"/>
                <w:color w:val="auto"/>
                <w:w w:val="96"/>
              </w:rPr>
              <w:t>4%</w:t>
            </w:r>
          </w:p>
        </w:tc>
        <w:tc>
          <w:tcPr>
            <w:tcW w:w="200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3%</w:t>
            </w:r>
          </w:p>
        </w:tc>
        <w:tc>
          <w:tcPr>
            <w:tcW w:w="280" w:type="dxa"/>
            <w:vAlign w:val="bottom"/>
          </w:tcPr>
          <w:p>
            <w:pPr>
              <w:spacing w:after="0"/>
              <w:rPr>
                <w:sz w:val="19"/>
                <w:szCs w:val="19"/>
                <w:color w:val="auto"/>
              </w:rPr>
            </w:pPr>
          </w:p>
        </w:tc>
        <w:tc>
          <w:tcPr>
            <w:tcW w:w="1020" w:type="dxa"/>
            <w:vAlign w:val="bottom"/>
          </w:tcPr>
          <w:p>
            <w:pPr>
              <w:jc w:val="center"/>
              <w:ind w:left="261"/>
              <w:spacing w:after="0"/>
              <w:rPr>
                <w:sz w:val="20"/>
                <w:szCs w:val="20"/>
                <w:color w:val="auto"/>
              </w:rPr>
            </w:pPr>
            <w:r>
              <w:rPr>
                <w:rFonts w:ascii="Arial" w:cs="Arial" w:eastAsia="Arial" w:hAnsi="Arial"/>
                <w:sz w:val="20"/>
                <w:szCs w:val="20"/>
                <w:color w:val="auto"/>
                <w:w w:val="89"/>
              </w:rPr>
              <w:t>4%</w:t>
            </w:r>
          </w:p>
        </w:tc>
        <w:tc>
          <w:tcPr>
            <w:tcW w:w="200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3%</w:t>
            </w: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Other</w:t>
            </w:r>
          </w:p>
        </w:tc>
        <w:tc>
          <w:tcPr>
            <w:tcW w:w="1020" w:type="dxa"/>
            <w:vAlign w:val="bottom"/>
          </w:tcPr>
          <w:p>
            <w:pPr>
              <w:jc w:val="center"/>
              <w:ind w:left="241"/>
              <w:spacing w:after="0"/>
              <w:rPr>
                <w:sz w:val="20"/>
                <w:szCs w:val="20"/>
                <w:color w:val="auto"/>
              </w:rPr>
            </w:pPr>
            <w:r>
              <w:rPr>
                <w:rFonts w:ascii="Arial" w:cs="Arial" w:eastAsia="Arial" w:hAnsi="Arial"/>
                <w:sz w:val="20"/>
                <w:szCs w:val="20"/>
                <w:color w:val="auto"/>
                <w:w w:val="96"/>
              </w:rPr>
              <w:t>2%</w:t>
            </w:r>
          </w:p>
        </w:tc>
        <w:tc>
          <w:tcPr>
            <w:tcW w:w="200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2%</w:t>
            </w:r>
          </w:p>
        </w:tc>
        <w:tc>
          <w:tcPr>
            <w:tcW w:w="280" w:type="dxa"/>
            <w:vAlign w:val="bottom"/>
          </w:tcPr>
          <w:p>
            <w:pPr>
              <w:spacing w:after="0"/>
              <w:rPr>
                <w:sz w:val="21"/>
                <w:szCs w:val="21"/>
                <w:color w:val="auto"/>
              </w:rPr>
            </w:pPr>
          </w:p>
        </w:tc>
        <w:tc>
          <w:tcPr>
            <w:tcW w:w="1020" w:type="dxa"/>
            <w:vAlign w:val="bottom"/>
          </w:tcPr>
          <w:p>
            <w:pPr>
              <w:jc w:val="center"/>
              <w:ind w:left="261"/>
              <w:spacing w:after="0"/>
              <w:rPr>
                <w:sz w:val="20"/>
                <w:szCs w:val="20"/>
                <w:color w:val="auto"/>
              </w:rPr>
            </w:pPr>
            <w:r>
              <w:rPr>
                <w:rFonts w:ascii="Arial" w:cs="Arial" w:eastAsia="Arial" w:hAnsi="Arial"/>
                <w:sz w:val="20"/>
                <w:szCs w:val="20"/>
                <w:color w:val="auto"/>
                <w:w w:val="89"/>
              </w:rPr>
              <w:t>2%</w:t>
            </w:r>
          </w:p>
        </w:tc>
        <w:tc>
          <w:tcPr>
            <w:tcW w:w="200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customers include Coca-Cola Refreshments USA Inc. (“CCR”), Coca-Cola Enterprises, Coca-Cola Refreshments Canada, Ltd. (formerly known as Coca-Cola Bottling Company), CCBCC Operations, LLC, United Bottling Contracts Company, LLC, certain bottlers of the Coca-Cola Hellenic Bottling Company, Swire Coca-Cola, USA and certain other Coca-Cola Company independent bottlers, Anheuser-Busch, Inc. (“AB”), select independent AB distributors, Asahi, Kalil Bottling Group, Wal-Mart, Inc. (including Sam’s Club) and Costco. A decision by any large customer to decrease amounts purchased from us or to cease carrying our products could have a material negative effect on our financial condition and consolidated results of operations. CCR accounted for approximately 28% and 29% of our net sales for the three-months ended June 30, 2014 and 2013, respectively. CCR accounted for approximately 29% and 30% of our net sales for the six-months ended June 30, 2014 and 2013, respectively.</w:t>
      </w:r>
    </w:p>
    <w:p>
      <w:pPr>
        <w:sectPr>
          <w:pgSz w:w="11900" w:h="16838" w:orient="portrait"/>
          <w:cols w:equalWidth="0" w:num="1">
            <w:col w:w="11420"/>
          </w:cols>
          <w:pgMar w:left="240" w:top="121" w:right="239" w:bottom="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0" w:gutter="0" w:footer="0" w:header="0"/>
          <w:type w:val="continuous"/>
        </w:sectPr>
      </w:pPr>
    </w:p>
    <w:bookmarkStart w:id="21" w:name="page22"/>
    <w:bookmarkEnd w:id="21"/>
    <w:p>
      <w:pPr>
        <w:spacing w:after="0"/>
        <w:rPr>
          <w:rFonts w:ascii="Arial" w:cs="Arial" w:eastAsia="Arial" w:hAnsi="Arial"/>
          <w:sz w:val="20"/>
          <w:szCs w:val="20"/>
          <w:u w:val="single" w:color="auto"/>
          <w:color w:val="0000EE"/>
        </w:rPr>
      </w:pPr>
      <w:r>
        <w:rPr>
          <w:rFonts w:ascii="Arial" w:cs="Arial" w:eastAsia="Arial" w:hAnsi="Arial"/>
          <w:sz w:val="20"/>
          <w:szCs w:val="20"/>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key statistics for the three- and six-months ended June 30, 2014 and 2013,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Three-Months Ended</w:t>
            </w:r>
          </w:p>
        </w:tc>
        <w:tc>
          <w:tcPr>
            <w:tcW w:w="160" w:type="dxa"/>
            <w:vAlign w:val="bottom"/>
          </w:tcPr>
          <w:p>
            <w:pPr>
              <w:spacing w:after="0"/>
              <w:rPr>
                <w:sz w:val="14"/>
                <w:szCs w:val="1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w:t>
            </w:r>
          </w:p>
        </w:tc>
        <w:tc>
          <w:tcPr>
            <w:tcW w:w="320" w:type="dxa"/>
            <w:vAlign w:val="bottom"/>
          </w:tcPr>
          <w:p>
            <w:pPr>
              <w:spacing w:after="0"/>
              <w:rPr>
                <w:sz w:val="14"/>
                <w:szCs w:val="14"/>
                <w:color w:val="auto"/>
              </w:rPr>
            </w:pPr>
          </w:p>
        </w:tc>
        <w:tc>
          <w:tcPr>
            <w:tcW w:w="232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Six-Months Ended</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Pr>
          <w:p>
            <w:pPr>
              <w:spacing w:after="0"/>
              <w:rPr>
                <w:sz w:val="14"/>
                <w:szCs w:val="14"/>
                <w:color w:val="auto"/>
              </w:rPr>
            </w:pPr>
          </w:p>
        </w:tc>
        <w:tc>
          <w:tcPr>
            <w:tcW w:w="14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14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000" w:type="dxa"/>
            <w:vAlign w:val="bottom"/>
            <w:vMerge w:val="restart"/>
          </w:tcPr>
          <w:p>
            <w:pPr>
              <w:spacing w:after="0"/>
              <w:rPr>
                <w:sz w:val="20"/>
                <w:szCs w:val="20"/>
                <w:color w:val="auto"/>
              </w:rPr>
            </w:pPr>
            <w:r>
              <w:rPr>
                <w:rFonts w:ascii="Arial" w:cs="Arial" w:eastAsia="Arial" w:hAnsi="Arial"/>
                <w:sz w:val="14"/>
                <w:szCs w:val="14"/>
                <w:color w:val="auto"/>
              </w:rPr>
              <w:t>Gross sales, net of discounts &amp; returns *</w:t>
            </w:r>
          </w:p>
        </w:tc>
        <w:tc>
          <w:tcPr>
            <w:tcW w:w="3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14 vs. 13</w:t>
            </w:r>
          </w:p>
        </w:tc>
        <w:tc>
          <w:tcPr>
            <w:tcW w:w="1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14 vs. 13</w:t>
            </w:r>
          </w:p>
        </w:tc>
        <w:tc>
          <w:tcPr>
            <w:tcW w:w="0" w:type="dxa"/>
            <w:vAlign w:val="bottom"/>
          </w:tcPr>
          <w:p>
            <w:pPr>
              <w:spacing w:after="0"/>
              <w:rPr>
                <w:sz w:val="1"/>
                <w:szCs w:val="1"/>
                <w:color w:val="auto"/>
              </w:rPr>
            </w:pPr>
          </w:p>
        </w:tc>
      </w:tr>
      <w:tr>
        <w:trPr>
          <w:trHeight w:val="176"/>
        </w:trPr>
        <w:tc>
          <w:tcPr>
            <w:tcW w:w="3000" w:type="dxa"/>
            <w:vAlign w:val="bottom"/>
            <w:vMerge w:val="continue"/>
          </w:tcPr>
          <w:p>
            <w:pPr>
              <w:spacing w:after="0"/>
              <w:rPr>
                <w:sz w:val="15"/>
                <w:szCs w:val="15"/>
                <w:color w:val="auto"/>
              </w:rPr>
            </w:pP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778,956</w:t>
            </w:r>
          </w:p>
        </w:tc>
        <w:tc>
          <w:tcPr>
            <w:tcW w:w="180" w:type="dxa"/>
            <w:vAlign w:val="bottom"/>
          </w:tcPr>
          <w:p>
            <w:pPr>
              <w:spacing w:after="0"/>
              <w:rPr>
                <w:sz w:val="15"/>
                <w:szCs w:val="15"/>
                <w:color w:val="auto"/>
              </w:rPr>
            </w:pP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723,887</w:t>
            </w:r>
          </w:p>
        </w:tc>
        <w:tc>
          <w:tcPr>
            <w:tcW w:w="16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5"/>
                <w:szCs w:val="15"/>
                <w:color w:val="auto"/>
              </w:rPr>
            </w:pP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1,392,679</w:t>
            </w:r>
          </w:p>
        </w:tc>
        <w:tc>
          <w:tcPr>
            <w:tcW w:w="160" w:type="dxa"/>
            <w:vAlign w:val="bottom"/>
          </w:tcPr>
          <w:p>
            <w:pPr>
              <w:spacing w:after="0"/>
              <w:rPr>
                <w:sz w:val="15"/>
                <w:szCs w:val="15"/>
                <w:color w:val="auto"/>
              </w:rPr>
            </w:pP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1,278,838</w:t>
            </w:r>
          </w:p>
        </w:tc>
        <w:tc>
          <w:tcPr>
            <w:tcW w:w="16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63"/>
        </w:trPr>
        <w:tc>
          <w:tcPr>
            <w:tcW w:w="3000" w:type="dxa"/>
            <w:vAlign w:val="bottom"/>
          </w:tcPr>
          <w:p>
            <w:pPr>
              <w:spacing w:after="0"/>
              <w:rPr>
                <w:sz w:val="20"/>
                <w:szCs w:val="20"/>
                <w:color w:val="auto"/>
              </w:rPr>
            </w:pPr>
            <w:r>
              <w:rPr>
                <w:rFonts w:ascii="Arial" w:cs="Arial" w:eastAsia="Arial" w:hAnsi="Arial"/>
                <w:sz w:val="14"/>
                <w:szCs w:val="14"/>
                <w:color w:val="auto"/>
              </w:rPr>
              <w:t>Less: Promotional and other allowances**</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91,757</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92,953</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169,350</w:t>
            </w:r>
          </w:p>
        </w:tc>
        <w:tc>
          <w:tcPr>
            <w:tcW w:w="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163,680</w:t>
            </w:r>
          </w:p>
        </w:tc>
        <w:tc>
          <w:tcPr>
            <w:tcW w:w="1420" w:type="dxa"/>
            <w:vAlign w:val="bottom"/>
            <w:gridSpan w:val="2"/>
          </w:tcPr>
          <w:p>
            <w:pPr>
              <w:jc w:val="right"/>
              <w:ind w:right="4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6"/>
        </w:trPr>
        <w:tc>
          <w:tcPr>
            <w:tcW w:w="3000" w:type="dxa"/>
            <w:vAlign w:val="bottom"/>
          </w:tcPr>
          <w:p>
            <w:pPr>
              <w:spacing w:after="0"/>
              <w:rPr>
                <w:sz w:val="20"/>
                <w:szCs w:val="20"/>
                <w:color w:val="auto"/>
              </w:rPr>
            </w:pPr>
            <w:r>
              <w:rPr>
                <w:rFonts w:ascii="Arial" w:cs="Arial" w:eastAsia="Arial" w:hAnsi="Arial"/>
                <w:sz w:val="14"/>
                <w:szCs w:val="14"/>
                <w:color w:val="auto"/>
              </w:rPr>
              <w:t>Net sales</w:t>
            </w:r>
          </w:p>
        </w:tc>
        <w:tc>
          <w:tcPr>
            <w:tcW w:w="3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687,199</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630,934</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8.9%</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1,223,329</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1,115,158</w:t>
            </w:r>
          </w:p>
        </w:tc>
        <w:tc>
          <w:tcPr>
            <w:tcW w:w="1420" w:type="dxa"/>
            <w:vAlign w:val="bottom"/>
            <w:gridSpan w:val="2"/>
          </w:tcPr>
          <w:p>
            <w:pPr>
              <w:jc w:val="right"/>
              <w:ind w:right="4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63"/>
        </w:trPr>
        <w:tc>
          <w:tcPr>
            <w:tcW w:w="3000" w:type="dxa"/>
            <w:vAlign w:val="bottom"/>
          </w:tcPr>
          <w:p>
            <w:pPr>
              <w:spacing w:after="0"/>
              <w:rPr>
                <w:sz w:val="20"/>
                <w:szCs w:val="20"/>
                <w:color w:val="auto"/>
              </w:rPr>
            </w:pPr>
            <w:r>
              <w:rPr>
                <w:rFonts w:ascii="Arial" w:cs="Arial" w:eastAsia="Arial" w:hAnsi="Arial"/>
                <w:sz w:val="14"/>
                <w:szCs w:val="14"/>
                <w:color w:val="auto"/>
              </w:rPr>
              <w:t>Cost of sales</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307,911</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294,672</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557,222</w:t>
            </w:r>
          </w:p>
        </w:tc>
        <w:tc>
          <w:tcPr>
            <w:tcW w:w="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526,857</w:t>
            </w:r>
          </w:p>
        </w:tc>
        <w:tc>
          <w:tcPr>
            <w:tcW w:w="1420" w:type="dxa"/>
            <w:vAlign w:val="bottom"/>
            <w:gridSpan w:val="2"/>
          </w:tcPr>
          <w:p>
            <w:pPr>
              <w:jc w:val="right"/>
              <w:ind w:right="4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23"/>
        </w:trPr>
        <w:tc>
          <w:tcPr>
            <w:tcW w:w="3000" w:type="dxa"/>
            <w:vAlign w:val="bottom"/>
          </w:tcPr>
          <w:p>
            <w:pPr>
              <w:spacing w:after="0" w:line="123" w:lineRule="exact"/>
              <w:rPr>
                <w:sz w:val="20"/>
                <w:szCs w:val="20"/>
                <w:color w:val="auto"/>
              </w:rPr>
            </w:pPr>
            <w:r>
              <w:rPr>
                <w:rFonts w:ascii="Arial" w:cs="Arial" w:eastAsia="Arial" w:hAnsi="Arial"/>
                <w:sz w:val="14"/>
                <w:szCs w:val="14"/>
                <w:color w:val="auto"/>
              </w:rPr>
              <w:t>Gross profit***</w:t>
            </w:r>
          </w:p>
        </w:tc>
        <w:tc>
          <w:tcPr>
            <w:tcW w:w="300" w:type="dxa"/>
            <w:vAlign w:val="bottom"/>
          </w:tcPr>
          <w:p>
            <w:pPr>
              <w:spacing w:after="0"/>
              <w:rPr>
                <w:sz w:val="10"/>
                <w:szCs w:val="10"/>
                <w:color w:val="auto"/>
              </w:rPr>
            </w:pPr>
          </w:p>
        </w:tc>
        <w:tc>
          <w:tcPr>
            <w:tcW w:w="900" w:type="dxa"/>
            <w:vAlign w:val="bottom"/>
          </w:tcPr>
          <w:p>
            <w:pPr>
              <w:jc w:val="right"/>
              <w:ind w:right="28"/>
              <w:spacing w:after="0" w:line="123" w:lineRule="exact"/>
              <w:rPr>
                <w:sz w:val="20"/>
                <w:szCs w:val="20"/>
                <w:color w:val="auto"/>
              </w:rPr>
            </w:pPr>
            <w:r>
              <w:rPr>
                <w:rFonts w:ascii="Arial" w:cs="Arial" w:eastAsia="Arial" w:hAnsi="Arial"/>
                <w:sz w:val="14"/>
                <w:szCs w:val="14"/>
                <w:color w:val="auto"/>
              </w:rPr>
              <w:t>379,288</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jc w:val="right"/>
              <w:ind w:right="28"/>
              <w:spacing w:after="0" w:line="123" w:lineRule="exact"/>
              <w:rPr>
                <w:sz w:val="20"/>
                <w:szCs w:val="20"/>
                <w:color w:val="auto"/>
              </w:rPr>
            </w:pPr>
            <w:r>
              <w:rPr>
                <w:rFonts w:ascii="Arial" w:cs="Arial" w:eastAsia="Arial" w:hAnsi="Arial"/>
                <w:sz w:val="14"/>
                <w:szCs w:val="14"/>
                <w:color w:val="auto"/>
              </w:rPr>
              <w:t>336,262</w:t>
            </w:r>
          </w:p>
        </w:tc>
        <w:tc>
          <w:tcPr>
            <w:tcW w:w="1400" w:type="dxa"/>
            <w:vAlign w:val="bottom"/>
            <w:gridSpan w:val="2"/>
          </w:tcPr>
          <w:p>
            <w:pPr>
              <w:jc w:val="right"/>
              <w:ind w:right="28"/>
              <w:spacing w:after="0" w:line="123" w:lineRule="exact"/>
              <w:rPr>
                <w:sz w:val="20"/>
                <w:szCs w:val="20"/>
                <w:color w:val="auto"/>
              </w:rPr>
            </w:pPr>
            <w:r>
              <w:rPr>
                <w:rFonts w:ascii="Arial" w:cs="Arial" w:eastAsia="Arial" w:hAnsi="Arial"/>
                <w:sz w:val="14"/>
                <w:szCs w:val="14"/>
                <w:color w:val="auto"/>
              </w:rPr>
              <w:t>12.8%</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jc w:val="right"/>
              <w:ind w:right="28"/>
              <w:spacing w:after="0" w:line="123" w:lineRule="exact"/>
              <w:rPr>
                <w:sz w:val="20"/>
                <w:szCs w:val="20"/>
                <w:color w:val="auto"/>
              </w:rPr>
            </w:pPr>
            <w:r>
              <w:rPr>
                <w:rFonts w:ascii="Arial" w:cs="Arial" w:eastAsia="Arial" w:hAnsi="Arial"/>
                <w:sz w:val="14"/>
                <w:szCs w:val="14"/>
                <w:color w:val="auto"/>
              </w:rPr>
              <w:t>666,107</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jc w:val="right"/>
              <w:ind w:right="28"/>
              <w:spacing w:after="0" w:line="123" w:lineRule="exact"/>
              <w:rPr>
                <w:sz w:val="20"/>
                <w:szCs w:val="20"/>
                <w:color w:val="auto"/>
              </w:rPr>
            </w:pPr>
            <w:r>
              <w:rPr>
                <w:rFonts w:ascii="Arial" w:cs="Arial" w:eastAsia="Arial" w:hAnsi="Arial"/>
                <w:sz w:val="14"/>
                <w:szCs w:val="14"/>
                <w:color w:val="auto"/>
              </w:rPr>
              <w:t>588,301</w:t>
            </w:r>
          </w:p>
        </w:tc>
        <w:tc>
          <w:tcPr>
            <w:tcW w:w="1420" w:type="dxa"/>
            <w:vAlign w:val="bottom"/>
            <w:gridSpan w:val="2"/>
          </w:tcPr>
          <w:p>
            <w:pPr>
              <w:jc w:val="right"/>
              <w:ind w:right="48"/>
              <w:spacing w:after="0" w:line="123"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2"/>
        </w:trPr>
        <w:tc>
          <w:tcPr>
            <w:tcW w:w="3000" w:type="dxa"/>
            <w:vAlign w:val="bottom"/>
          </w:tcPr>
          <w:p>
            <w:pPr>
              <w:spacing w:after="0"/>
              <w:rPr>
                <w:sz w:val="20"/>
                <w:szCs w:val="20"/>
                <w:color w:val="auto"/>
              </w:rPr>
            </w:pPr>
            <w:r>
              <w:rPr>
                <w:rFonts w:ascii="Arial" w:cs="Arial" w:eastAsia="Arial" w:hAnsi="Arial"/>
                <w:sz w:val="14"/>
                <w:szCs w:val="14"/>
                <w:color w:val="auto"/>
              </w:rPr>
              <w:t>Gross profit as a percentage of net sales</w:t>
            </w:r>
          </w:p>
        </w:tc>
        <w:tc>
          <w:tcPr>
            <w:tcW w:w="3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55.2%</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53.3%</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000" w:type="dxa"/>
            <w:vAlign w:val="bottom"/>
          </w:tcPr>
          <w:p>
            <w:pPr>
              <w:spacing w:after="0"/>
              <w:rPr>
                <w:sz w:val="20"/>
                <w:szCs w:val="20"/>
                <w:color w:val="auto"/>
              </w:rPr>
            </w:pPr>
            <w:r>
              <w:rPr>
                <w:rFonts w:ascii="Arial" w:cs="Arial" w:eastAsia="Arial" w:hAnsi="Arial"/>
                <w:sz w:val="14"/>
                <w:szCs w:val="14"/>
                <w:color w:val="auto"/>
              </w:rPr>
              <w:t>Operating expenses</w:t>
            </w:r>
            <w:r>
              <w:rPr>
                <w:rFonts w:ascii="Arial" w:cs="Arial" w:eastAsia="Arial" w:hAnsi="Arial"/>
                <w:sz w:val="8"/>
                <w:szCs w:val="8"/>
                <w:color w:val="auto"/>
              </w:rPr>
              <w:t>1</w:t>
            </w:r>
          </w:p>
        </w:tc>
        <w:tc>
          <w:tcPr>
            <w:tcW w:w="3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163,475</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156,835</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301,430</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301,569</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Arial" w:cs="Arial" w:eastAsia="Arial" w:hAnsi="Arial"/>
                <w:sz w:val="14"/>
                <w:szCs w:val="14"/>
                <w:color w:val="auto"/>
                <w:w w:val="97"/>
              </w:rPr>
              <w:t>Operating expenses as a percentage of net sales</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24.9%</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27.0%</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000" w:type="dxa"/>
            <w:vAlign w:val="bottom"/>
          </w:tcPr>
          <w:p>
            <w:pPr>
              <w:spacing w:after="0"/>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215,813</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179,427</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20.3%</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364,677</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286,732</w:t>
            </w:r>
          </w:p>
        </w:tc>
        <w:tc>
          <w:tcPr>
            <w:tcW w:w="1420" w:type="dxa"/>
            <w:vAlign w:val="bottom"/>
            <w:gridSpan w:val="2"/>
          </w:tcPr>
          <w:p>
            <w:pPr>
              <w:jc w:val="right"/>
              <w:ind w:right="48"/>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82"/>
        </w:trPr>
        <w:tc>
          <w:tcPr>
            <w:tcW w:w="3000" w:type="dxa"/>
            <w:vAlign w:val="bottom"/>
          </w:tcPr>
          <w:p>
            <w:pPr>
              <w:spacing w:after="0"/>
              <w:rPr>
                <w:sz w:val="20"/>
                <w:szCs w:val="20"/>
                <w:color w:val="auto"/>
              </w:rPr>
            </w:pPr>
            <w:r>
              <w:rPr>
                <w:rFonts w:ascii="Arial" w:cs="Arial" w:eastAsia="Arial" w:hAnsi="Arial"/>
                <w:sz w:val="14"/>
                <w:szCs w:val="14"/>
                <w:color w:val="auto"/>
              </w:rPr>
              <w:t>Operating income as a percentage of net sales</w:t>
            </w:r>
          </w:p>
        </w:tc>
        <w:tc>
          <w:tcPr>
            <w:tcW w:w="3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29.8%</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000" w:type="dxa"/>
            <w:vAlign w:val="bottom"/>
          </w:tcPr>
          <w:p>
            <w:pPr>
              <w:spacing w:after="0"/>
              <w:rPr>
                <w:sz w:val="20"/>
                <w:szCs w:val="20"/>
                <w:color w:val="auto"/>
              </w:rPr>
            </w:pPr>
            <w:r>
              <w:rPr>
                <w:rFonts w:ascii="Arial" w:cs="Arial" w:eastAsia="Arial" w:hAnsi="Arial"/>
                <w:sz w:val="14"/>
                <w:szCs w:val="14"/>
                <w:color w:val="auto"/>
              </w:rPr>
              <w:t>Other income (expense):</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Interest and other income (expense), net</w:t>
            </w:r>
          </w:p>
        </w:tc>
        <w:tc>
          <w:tcPr>
            <w:tcW w:w="30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190</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(3,468)</w:t>
            </w:r>
          </w:p>
        </w:tc>
        <w:tc>
          <w:tcPr>
            <w:tcW w:w="14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105.5%</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345</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(7,940)</w:t>
            </w:r>
          </w:p>
        </w:tc>
        <w:tc>
          <w:tcPr>
            <w:tcW w:w="14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Arial" w:cs="Arial" w:eastAsia="Arial" w:hAnsi="Arial"/>
                <w:sz w:val="14"/>
                <w:szCs w:val="14"/>
                <w:color w:val="auto"/>
              </w:rPr>
              <w:t>(Loss) gain on investments and put options, net</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118.2%</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2,637</w:t>
            </w:r>
          </w:p>
        </w:tc>
        <w:tc>
          <w:tcPr>
            <w:tcW w:w="1420" w:type="dxa"/>
            <w:vAlign w:val="bottom"/>
            <w:gridSpan w:val="2"/>
          </w:tcPr>
          <w:p>
            <w:pPr>
              <w:jc w:val="right"/>
              <w:ind w:right="48"/>
              <w:spacing w:after="0"/>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4"/>
                <w:szCs w:val="14"/>
                <w:color w:val="auto"/>
              </w:rPr>
              <w:t>Total other income (expense)</w:t>
            </w: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178</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(3,402)</w:t>
            </w:r>
          </w:p>
        </w:tc>
        <w:tc>
          <w:tcPr>
            <w:tcW w:w="140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105.2%</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332</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(5,303)</w:t>
            </w:r>
          </w:p>
        </w:tc>
        <w:tc>
          <w:tcPr>
            <w:tcW w:w="142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306"/>
        </w:trPr>
        <w:tc>
          <w:tcPr>
            <w:tcW w:w="3000" w:type="dxa"/>
            <w:vAlign w:val="bottom"/>
          </w:tcPr>
          <w:p>
            <w:pPr>
              <w:spacing w:after="0"/>
              <w:rPr>
                <w:sz w:val="20"/>
                <w:szCs w:val="20"/>
                <w:color w:val="auto"/>
              </w:rPr>
            </w:pPr>
            <w:r>
              <w:rPr>
                <w:rFonts w:ascii="Arial" w:cs="Arial" w:eastAsia="Arial" w:hAnsi="Arial"/>
                <w:sz w:val="14"/>
                <w:szCs w:val="14"/>
                <w:color w:val="auto"/>
              </w:rPr>
              <w:t>Income before provision for income taxes</w:t>
            </w:r>
          </w:p>
        </w:tc>
        <w:tc>
          <w:tcPr>
            <w:tcW w:w="30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215,991</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176,025</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22.7%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365,009</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281,429</w:t>
            </w:r>
          </w:p>
        </w:tc>
        <w:tc>
          <w:tcPr>
            <w:tcW w:w="1420" w:type="dxa"/>
            <w:vAlign w:val="bottom"/>
            <w:gridSpan w:val="2"/>
          </w:tcPr>
          <w:p>
            <w:pPr>
              <w:jc w:val="right"/>
              <w:ind w:right="48"/>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74,988</w:t>
            </w: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69,152</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8.4%</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128,755</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111,060</w:t>
            </w:r>
          </w:p>
        </w:tc>
        <w:tc>
          <w:tcPr>
            <w:tcW w:w="1420" w:type="dxa"/>
            <w:vAlign w:val="bottom"/>
            <w:gridSpan w:val="2"/>
          </w:tcPr>
          <w:p>
            <w:pPr>
              <w:jc w:val="right"/>
              <w:ind w:right="4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72"/>
        </w:trPr>
        <w:tc>
          <w:tcPr>
            <w:tcW w:w="3000" w:type="dxa"/>
            <w:vAlign w:val="bottom"/>
          </w:tcPr>
          <w:p>
            <w:pPr>
              <w:spacing w:after="0"/>
              <w:rPr>
                <w:sz w:val="20"/>
                <w:szCs w:val="20"/>
                <w:color w:val="auto"/>
              </w:rPr>
            </w:pPr>
            <w:r>
              <w:rPr>
                <w:rFonts w:ascii="Arial" w:cs="Arial" w:eastAsia="Arial" w:hAnsi="Arial"/>
                <w:sz w:val="14"/>
                <w:szCs w:val="14"/>
                <w:color w:val="auto"/>
              </w:rPr>
              <w:t>Income taxes as a percentage of income before</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000" w:type="dxa"/>
            <w:vAlign w:val="bottom"/>
          </w:tcPr>
          <w:p>
            <w:pPr>
              <w:ind w:left="180"/>
              <w:spacing w:after="0"/>
              <w:rPr>
                <w:sz w:val="20"/>
                <w:szCs w:val="20"/>
                <w:color w:val="auto"/>
              </w:rPr>
            </w:pPr>
            <w:r>
              <w:rPr>
                <w:rFonts w:ascii="Arial" w:cs="Arial" w:eastAsia="Arial" w:hAnsi="Arial"/>
                <w:sz w:val="14"/>
                <w:szCs w:val="14"/>
                <w:color w:val="auto"/>
              </w:rPr>
              <w:t>taxes</w:t>
            </w:r>
          </w:p>
        </w:tc>
        <w:tc>
          <w:tcPr>
            <w:tcW w:w="3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34.7%</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35.3%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141,003</w:t>
            </w:r>
          </w:p>
        </w:tc>
        <w:tc>
          <w:tcPr>
            <w:tcW w:w="180" w:type="dxa"/>
            <w:vAlign w:val="bottom"/>
          </w:tcPr>
          <w:p>
            <w:pPr>
              <w:spacing w:after="0"/>
              <w:rPr>
                <w:sz w:val="24"/>
                <w:szCs w:val="24"/>
                <w:color w:val="auto"/>
              </w:rPr>
            </w:pP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106,873</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31.9%</w:t>
            </w:r>
          </w:p>
        </w:tc>
        <w:tc>
          <w:tcPr>
            <w:tcW w:w="160" w:type="dxa"/>
            <w:vAlign w:val="bottom"/>
          </w:tcPr>
          <w:p>
            <w:pPr>
              <w:spacing w:after="0"/>
              <w:rPr>
                <w:sz w:val="24"/>
                <w:szCs w:val="2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236,254</w:t>
            </w:r>
          </w:p>
        </w:tc>
        <w:tc>
          <w:tcPr>
            <w:tcW w:w="160" w:type="dxa"/>
            <w:vAlign w:val="bottom"/>
          </w:tcPr>
          <w:p>
            <w:pPr>
              <w:spacing w:after="0"/>
              <w:rPr>
                <w:sz w:val="24"/>
                <w:szCs w:val="24"/>
                <w:color w:val="auto"/>
              </w:rPr>
            </w:pP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170,369</w:t>
            </w:r>
          </w:p>
        </w:tc>
        <w:tc>
          <w:tcPr>
            <w:tcW w:w="1420" w:type="dxa"/>
            <w:vAlign w:val="bottom"/>
            <w:gridSpan w:val="2"/>
          </w:tcPr>
          <w:p>
            <w:pPr>
              <w:jc w:val="right"/>
              <w:ind w:right="48"/>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4"/>
                <w:szCs w:val="14"/>
                <w:color w:val="auto"/>
              </w:rPr>
              <w:t>Net income as a percentage of net sales</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1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000" w:type="dxa"/>
            <w:vAlign w:val="bottom"/>
          </w:tcPr>
          <w:p>
            <w:pPr>
              <w:spacing w:after="0"/>
              <w:rPr>
                <w:sz w:val="20"/>
                <w:szCs w:val="20"/>
                <w:color w:val="auto"/>
              </w:rPr>
            </w:pPr>
            <w:r>
              <w:rPr>
                <w:rFonts w:ascii="Arial" w:cs="Arial" w:eastAsia="Arial" w:hAnsi="Arial"/>
                <w:sz w:val="14"/>
                <w:szCs w:val="14"/>
                <w:color w:val="auto"/>
              </w:rPr>
              <w:t>Net income per common share:</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30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$0.84</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$0.64</w:t>
            </w:r>
          </w:p>
        </w:tc>
        <w:tc>
          <w:tcPr>
            <w:tcW w:w="14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31.4%</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$1.41</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$1.03</w:t>
            </w:r>
          </w:p>
        </w:tc>
        <w:tc>
          <w:tcPr>
            <w:tcW w:w="14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82"/>
        </w:trPr>
        <w:tc>
          <w:tcPr>
            <w:tcW w:w="3000" w:type="dxa"/>
            <w:vAlign w:val="bottom"/>
          </w:tcPr>
          <w:p>
            <w:pPr>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$0.81</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$0.62</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31.5%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$0.98</w:t>
            </w:r>
          </w:p>
        </w:tc>
        <w:tc>
          <w:tcPr>
            <w:tcW w:w="1420" w:type="dxa"/>
            <w:vAlign w:val="bottom"/>
            <w:gridSpan w:val="2"/>
          </w:tcPr>
          <w:p>
            <w:pPr>
              <w:jc w:val="right"/>
              <w:ind w:right="48"/>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63"/>
        </w:trPr>
        <w:tc>
          <w:tcPr>
            <w:tcW w:w="3000" w:type="dxa"/>
            <w:vAlign w:val="bottom"/>
          </w:tcPr>
          <w:p>
            <w:pPr>
              <w:spacing w:after="0"/>
              <w:rPr>
                <w:sz w:val="20"/>
                <w:szCs w:val="20"/>
                <w:color w:val="auto"/>
              </w:rPr>
            </w:pPr>
            <w:r>
              <w:rPr>
                <w:rFonts w:ascii="Arial" w:cs="Arial" w:eastAsia="Arial" w:hAnsi="Arial"/>
                <w:sz w:val="14"/>
                <w:szCs w:val="14"/>
                <w:color w:val="auto"/>
              </w:rPr>
              <w:t>Case sales (in thousands) (in 192-ounce case</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000" w:type="dxa"/>
            <w:vAlign w:val="bottom"/>
          </w:tcPr>
          <w:p>
            <w:pPr>
              <w:ind w:left="180"/>
              <w:spacing w:after="0"/>
              <w:rPr>
                <w:sz w:val="20"/>
                <w:szCs w:val="20"/>
                <w:color w:val="auto"/>
              </w:rPr>
            </w:pPr>
            <w:r>
              <w:rPr>
                <w:rFonts w:ascii="Arial" w:cs="Arial" w:eastAsia="Arial" w:hAnsi="Arial"/>
                <w:sz w:val="14"/>
                <w:szCs w:val="14"/>
                <w:color w:val="auto"/>
              </w:rPr>
              <w:t>equivalents)</w:t>
            </w:r>
          </w:p>
        </w:tc>
        <w:tc>
          <w:tcPr>
            <w:tcW w:w="3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65,587</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61,615</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6.4%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117,514</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109,364</w:t>
            </w:r>
          </w:p>
        </w:tc>
        <w:tc>
          <w:tcPr>
            <w:tcW w:w="1420" w:type="dxa"/>
            <w:vAlign w:val="bottom"/>
            <w:gridSpan w:val="2"/>
          </w:tcPr>
          <w:p>
            <w:pPr>
              <w:jc w:val="right"/>
              <w:ind w:right="4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Includes $0.5 million and $2.0 million for the three-months ended June 30, 2014 and 2013, respectively, and $0.5 million and $10.3 million for the six-months ended June 30, 2014 and 2013, respectively, related to expenditures attributable to the costs associated with terminating existing distributors.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*Gross sales is used internally by management as an indicator of and to monitor operating performance, including sales performance of particular products, salesperson performance, product growth or declines and overall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78" w:lineRule="exact"/>
        <w:rPr>
          <w:sz w:val="20"/>
          <w:szCs w:val="20"/>
          <w:color w:val="auto"/>
        </w:rPr>
      </w:pPr>
    </w:p>
    <w:p>
      <w:pPr>
        <w:jc w:val="both"/>
        <w:ind w:firstLine="8"/>
        <w:spacing w:after="0" w:line="268" w:lineRule="auto"/>
        <w:tabs>
          <w:tab w:leader="none" w:pos="225" w:val="left"/>
        </w:tabs>
        <w:numPr>
          <w:ilvl w:val="0"/>
          <w:numId w:val="27"/>
        </w:numPr>
        <w:rPr>
          <w:rFonts w:ascii="Arial" w:cs="Arial" w:eastAsia="Arial" w:hAnsi="Arial"/>
          <w:sz w:val="17"/>
          <w:szCs w:val="17"/>
          <w:b w:val="1"/>
          <w:b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discounts granted off list prices to support price promotions to end-consumers by retailers; (ii) reimbursements given to the Company’s distributors for agreed portions of their promotional spend with retailers, including slotting, shelf space allowances and other fees for both new and existing products; (iii) the Company’s agreed share of fees given to distributors and/or directly to retailers for advertising, in-store marketing and promotional activities; (iv) the Company’s agreed share of slotting, shelf space allowances and other fees given directly to retailers; (v) incentives given to the Company’s distributors and/or retailers for achieving or exceeding certain predetermined sales goals; (vi) discounted or free products; (vii) contractual fees given to the Company’s distributors related to sales made by the Company direct to certain customers that fall within the 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Three-Months Ended June 30, 2014 Compared to the Three-Months Ended June 30, 2013.</w:t>
      </w:r>
    </w:p>
    <w:p>
      <w:pPr>
        <w:sectPr>
          <w:pgSz w:w="11900" w:h="16838" w:orient="portrait"/>
          <w:cols w:equalWidth="0" w:num="1">
            <w:col w:w="11420"/>
          </w:cols>
          <w:pgMar w:left="240" w:top="514" w:right="239" w:bottom="0" w:gutter="0" w:footer="0" w:header="0"/>
        </w:sectPr>
      </w:pPr>
    </w:p>
    <w:bookmarkStart w:id="22" w:name="page23"/>
    <w:bookmarkEnd w:id="22"/>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$779.0 million for the three-months ended June 30, 2014, an increase of approximately $55.1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7.6% higher than gross sales of $723.9 million for the three-months ended June 30, 2013. The increase in the gross sales of our Monster Energy® brand energy drinks represented approximately $56.5 million, or 102.6%, of the overall increase in gross sales. Gross sales of our Monster Energy® brand energy drinks increased primarily due to increased sales by volume as a result of increased domestic and international consumer demand as well as our expansion into new international markets. Price increases on our 24-ounce Monster Energy® brand energy drinks and our Peace Tea® line represented approximately 9% of the overall increase in gross sales. No other individual product line contributed either a material increase or decrease to gross sales for the three-months ended June 30, 2014. Promotional and other allowances, as described in the footnote above, were $91.8 million for the three-months ended June 30, 2014, a decrease of $1.2 million, or 1.3% lower than promotional and other allowances of $93.0 million for the three-months ended June 30, 2013. Promotional and other allowances as a percentage of gross sales decreased to 11.8% from 12.8% for the three-months ended June 30, 2014 and 2013, respectively. As a result, the percentage increase in net sales for the three-months ended June 30, 2014 was higher than the percentage increase in gross sales.</w:t>
      </w:r>
    </w:p>
    <w:p>
      <w:pPr>
        <w:spacing w:after="0" w:line="185" w:lineRule="exact"/>
        <w:rPr>
          <w:sz w:val="20"/>
          <w:szCs w:val="20"/>
          <w:color w:val="auto"/>
        </w:rPr>
      </w:pPr>
    </w:p>
    <w:p>
      <w:pPr>
        <w:jc w:val="both"/>
        <w:ind w:firstLine="687"/>
        <w:spacing w:after="0" w:line="246" w:lineRule="auto"/>
        <w:rPr>
          <w:sz w:val="20"/>
          <w:szCs w:val="20"/>
          <w:color w:val="auto"/>
        </w:rPr>
      </w:pPr>
      <w:r>
        <w:rPr>
          <w:rFonts w:ascii="Arial" w:cs="Arial" w:eastAsia="Arial" w:hAnsi="Arial"/>
          <w:sz w:val="20"/>
          <w:szCs w:val="20"/>
          <w:i w:val="1"/>
          <w:iCs w:val="1"/>
          <w:color w:val="auto"/>
        </w:rPr>
        <w:t xml:space="preserve">Net Sales. </w:t>
      </w:r>
      <w:r>
        <w:rPr>
          <w:rFonts w:ascii="Arial" w:cs="Arial" w:eastAsia="Arial" w:hAnsi="Arial"/>
          <w:sz w:val="20"/>
          <w:szCs w:val="20"/>
          <w:color w:val="auto"/>
        </w:rPr>
        <w:t>Net sales were $687.2 million for the three-months ended June 30, 2014, an increase of approximately $56.3 million, or</w:t>
      </w:r>
      <w:r>
        <w:rPr>
          <w:rFonts w:ascii="Arial" w:cs="Arial" w:eastAsia="Arial" w:hAnsi="Arial"/>
          <w:sz w:val="20"/>
          <w:szCs w:val="20"/>
          <w:i w:val="1"/>
          <w:iCs w:val="1"/>
          <w:color w:val="auto"/>
        </w:rPr>
        <w:t xml:space="preserve"> </w:t>
      </w:r>
      <w:r>
        <w:rPr>
          <w:rFonts w:ascii="Arial" w:cs="Arial" w:eastAsia="Arial" w:hAnsi="Arial"/>
          <w:sz w:val="20"/>
          <w:szCs w:val="20"/>
          <w:color w:val="auto"/>
        </w:rPr>
        <w:t>8.9% higher than net sales of $630.9 million for the three-months ended June 30, 2013. The increase in net sales of our Monster Energy® brand energy drinks represented approximately $57.7 million, or 102.5%, of the overall increase in net sales. Net sales of our Monster Energy® brand energy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drinks increased partially due to increased sales by volume as a result of increased domestic and international consumer demand as well as our expansion into new international markets. Lower promotional and other allowances as a percentage of the gross selling prices of our Monster Energy® brand energy drinks as well as price increases on our 24-ounce Monster Energy® brand energy drinks and our Peace Tea® line represented approximately 20% of the overall increase in net sales. No other individual product line contributed either a material increase or decrease to net sales for the three-months ended June 30, 2014.</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Case sales, in 192-ounce case equivalents, were 65.6 million cases for the three-months ended June 30, 2014, an increase of approximately 4.0 million cases or 6.4% higher than case sales of 61.6 million cases for the three-months ended June 30, 2013. The overall average net sales per case increased to $10.48 for the three-months ended June 30, 2014, which was 2.3% higher than the average net sales per case of $10.24 for the three-months ended June 30, 2013.</w:t>
      </w:r>
    </w:p>
    <w:p>
      <w:pPr>
        <w:spacing w:after="0" w:line="205" w:lineRule="exact"/>
        <w:rPr>
          <w:sz w:val="20"/>
          <w:szCs w:val="20"/>
          <w:color w:val="auto"/>
        </w:rPr>
      </w:pPr>
    </w:p>
    <w:p>
      <w:pPr>
        <w:jc w:val="both"/>
        <w:ind w:firstLine="687"/>
        <w:spacing w:after="0" w:line="256" w:lineRule="auto"/>
        <w:rPr>
          <w:sz w:val="20"/>
          <w:szCs w:val="20"/>
          <w:color w:val="auto"/>
        </w:rPr>
      </w:pPr>
      <w:r>
        <w:rPr>
          <w:rFonts w:ascii="Arial" w:cs="Arial" w:eastAsia="Arial" w:hAnsi="Arial"/>
          <w:sz w:val="19"/>
          <w:szCs w:val="19"/>
          <w:color w:val="auto"/>
        </w:rPr>
        <w:t>Net sales for the DSD segment were $660.1 million for the three-months ended June 30, 2014, an increase of approximately $59.1 million, or 9.8% higher than net sales of $601.0 million for the three-months ended June 30, 2013. The increase in net sales of our Monster Energy® brand energy drinks represented approximately $57.7 million, or 97.6%, of the overall increase in net sales for the DSD segment. Net sales for the DSD segment of our Monster Energy® brand energy drinks increased partially due to increased sales by volume as a result of increased domestic and international consumer demand as well as our expansion into new international markets. Lower promotional and other allowances as a percentage of the gross selling prices of our Monster Energy® brand energy drinks as well as price increases on our 24-ounce Monster Energy® brand energy drinks and our Peace Tea® line represented approximately 20% of the overall increase in net sales for the DSD segment. No other individual product line contributed either a material increase or decrease to net sales for the DSD segment for the three-months ended June 30, 2014.</w:t>
      </w:r>
    </w:p>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Net sales for the Warehouse segment were $27.1 million for the three-months ended June 30, 2014, a decrease of approximately $2.8 million, or 9.5% lower than net sales of $29.9 million for the three-months ended June 30, 2013. The decrease in net sales for the Warehouse segment was primarily attributable to decreased sales by volume of Hubert’s® lemonades.</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Gross Profit. </w:t>
      </w:r>
      <w:r>
        <w:rPr>
          <w:rFonts w:ascii="Arial" w:cs="Arial" w:eastAsia="Arial" w:hAnsi="Arial"/>
          <w:sz w:val="20"/>
          <w:szCs w:val="20"/>
          <w:color w:val="auto"/>
        </w:rPr>
        <w:t>Gross profit was $379.3 million for the three-months ended June 30, 2014, an increase of approximately $43.0 million, or</w:t>
      </w:r>
      <w:r>
        <w:rPr>
          <w:rFonts w:ascii="Arial" w:cs="Arial" w:eastAsia="Arial" w:hAnsi="Arial"/>
          <w:sz w:val="20"/>
          <w:szCs w:val="20"/>
          <w:i w:val="1"/>
          <w:iCs w:val="1"/>
          <w:color w:val="auto"/>
        </w:rPr>
        <w:t xml:space="preserve"> </w:t>
      </w:r>
      <w:r>
        <w:rPr>
          <w:rFonts w:ascii="Arial" w:cs="Arial" w:eastAsia="Arial" w:hAnsi="Arial"/>
          <w:sz w:val="20"/>
          <w:szCs w:val="20"/>
          <w:color w:val="auto"/>
        </w:rPr>
        <w:t>12.8% higher than the gross profit of $336.3 million for the three-months ended June 30, 2013. Gross profit as a percentage of net sales increased to 55.2% for the three-months ended June 30, 2014 from 53.3% for the three-months ended June 30, 2013. The increase in gross profit dollars was primarily the result of the $56.5 million increase in gross sales of our Monster Energy® brand energy drinks. The increase in gross profit as a percentage of net sales was largely attributable to lower promotional and other allowances as a percentage of gross sales, price increases on our 24-ounce Monster Energy® brand energy drinks and our Peace Tea® line, lower costs of certain sweeteners and changes in product sales mix.</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$163.5 million for the three-months ended June 30, 2014,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$6.6 million, or 4.2% higher than total operating expenses of $156.8 million for the three-months ended June 30, 2013. The increase in operating expenses was partially attributable to increased expenditures of $5.2 million for sponsorships and endorsements, and to increased expenditures of $3.6 million related to regulatory matters and litigation concerning our Monster Energy® brand energy drinks. The increase in operating expenses was partially offset by decreased expenditures of $3.3 million for premiums, the reversal of a $2.5 million non-routine indirect tax related provision not realized, decreased expenditures of $2.6 million for point-of-sale materials and decreased expenditures of $1.9 million for allocated trade development.</w:t>
      </w:r>
    </w:p>
    <w:p>
      <w:pPr>
        <w:spacing w:after="0" w:line="19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for the DSD segment was $256.1 million for the three-months ended June 30, 2014,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$41.1 million, or 19.1% higher than contribution margin of $215.0 million for the three-months ended June 30, 2013. The increase in the contribution margin for the DSD segment was primarily the result of the $56.5 million increase in gross sales of our Monster Energy® brand energy drinks. Contribution margin for the Warehouse segment was $1.3 million for the three-months ended June 30, 2014, approximately $0.2 million higher than contribution margin of $1.1 million for the three-months ended June 30, 2013.</w:t>
      </w:r>
    </w:p>
    <w:p>
      <w:pPr>
        <w:sectPr>
          <w:pgSz w:w="11900" w:h="16838" w:orient="portrait"/>
          <w:cols w:equalWidth="0" w:num="1">
            <w:col w:w="11420"/>
          </w:cols>
          <w:pgMar w:left="240" w:top="121" w:right="239" w:bottom="123"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23" w:gutter="0" w:footer="0" w:header="0"/>
          <w:type w:val="continuous"/>
        </w:sectPr>
      </w:pPr>
    </w:p>
    <w:bookmarkStart w:id="23" w:name="page24"/>
    <w:bookmarkEnd w:id="23"/>
    <w:p>
      <w:pPr>
        <w:spacing w:after="0" w:line="134"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Operating Income. </w:t>
      </w:r>
      <w:r>
        <w:rPr>
          <w:rFonts w:ascii="Arial" w:cs="Arial" w:eastAsia="Arial" w:hAnsi="Arial"/>
          <w:sz w:val="19"/>
          <w:szCs w:val="19"/>
          <w:color w:val="auto"/>
        </w:rPr>
        <w:t>Operating income was $215.8 million for the three-months ended June 30, 2014,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$36.4 million, or 20.3% higher than operating income of $179.4 million for the three-months ended June 30, 2013. Operating income as a percentage of net sales increased to 31.4% for the three-months ended June 30, 2014 from 28.4% for the three-months ended June 30, 2013, primarily due to the increase in gross profit as a percentage of net sales as well as the decrease in operating expenses as a percentage of net sales. The increase in operating income in dollars was primarily due to an increase of $43.0 million in gross profit. Operating income (loss) was $12.9 million and ($1.8) million for the three-months ended June 30, 2014 and 2013, respectively, in relation to our operations in Africa, Asia, Australia, Europe, the Middle East and South America.</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Other Income (Expense)</w:t>
      </w:r>
      <w:r>
        <w:rPr>
          <w:rFonts w:ascii="Arial" w:cs="Arial" w:eastAsia="Arial" w:hAnsi="Arial"/>
          <w:sz w:val="19"/>
          <w:szCs w:val="19"/>
          <w:color w:val="auto"/>
        </w:rPr>
        <w:t>. Other income (expense) was $0.2 million for the three-months ended June 30, 2014, as compared to other</w:t>
      </w:r>
      <w:r>
        <w:rPr>
          <w:rFonts w:ascii="Arial" w:cs="Arial" w:eastAsia="Arial" w:hAnsi="Arial"/>
          <w:sz w:val="19"/>
          <w:szCs w:val="19"/>
          <w:i w:val="1"/>
          <w:iCs w:val="1"/>
          <w:color w:val="auto"/>
        </w:rPr>
        <w:t xml:space="preserve"> </w:t>
      </w:r>
      <w:r>
        <w:rPr>
          <w:rFonts w:ascii="Arial" w:cs="Arial" w:eastAsia="Arial" w:hAnsi="Arial"/>
          <w:sz w:val="19"/>
          <w:szCs w:val="19"/>
          <w:color w:val="auto"/>
        </w:rPr>
        <w:t>income (expense) of ($3.4) million for the three-months ended June 30, 2013. Foreign currency transaction losses were ($0.4) million and ($3.6) million for the three-months ended June 30, 2014 and 2013, respectively. The decrease in foreign currency losses during the three-months ended June 30, 2014 was primarily related to our foreign currency transactions in Australia, South Africa and Japan. Interest income was $0.3 million and $0.1 million for the three-months ended June 30, 2014 and 2013, respectively.</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$75.0 million for the three-months ended June 30, 2014,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$5.8 million or 8.4% higher than the provision for income taxes of $69.2 million for the three-months ended June 30, 2013. The effective combined federal, state and foreign tax rate decreased to 34.7% from 39.3% for the three-months ended June 30, 2014 and 2013, respectively. The decrease in the effective tax rate was primarily the result of profits earned in certain foreign subsidiaries that have no related income tax expense as a result of the prior establishment of valuation allowances on their deferred tax assets.</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$141.0 million for the three-months ended June 30, 2014, an increase of $34.1 million or 31.9% higher</w:t>
      </w:r>
      <w:r>
        <w:rPr>
          <w:rFonts w:ascii="Arial" w:cs="Arial" w:eastAsia="Arial" w:hAnsi="Arial"/>
          <w:sz w:val="20"/>
          <w:szCs w:val="20"/>
          <w:i w:val="1"/>
          <w:iCs w:val="1"/>
          <w:color w:val="auto"/>
        </w:rPr>
        <w:t xml:space="preserve"> </w:t>
      </w:r>
      <w:r>
        <w:rPr>
          <w:rFonts w:ascii="Arial" w:cs="Arial" w:eastAsia="Arial" w:hAnsi="Arial"/>
          <w:sz w:val="20"/>
          <w:szCs w:val="20"/>
          <w:color w:val="auto"/>
        </w:rPr>
        <w:t>than net income of $106.9 million for the three-months ended June 30, 2013. The increase in net income was primarily attributable to an increase in gross profit of $43.0 million. The increase in net income was partially offset by an increase in the provision for income taxes of $5.8 million.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Six-Months Ended June 30, 2014 Compared to the Six-Months Ended June 30, 2013.</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$1,392.7 million for the six-months ended June 30, 2014, an increase of approximately $113.8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or 8.9% higher than gross sales of $1,278.8 million for the six-months ended June 30, 2013. The increase in the gross sales of our Monster Energy® brand energy drinks represented approximately $111.9 million, or 98.3%, of the overall increase in gross sales. Gross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gross sales. No other individual product line contributed either a material increase or decrease to gross sales for the six-months ended June 30, 2014. Promotional and other allowances, as described in the footnote above, were $169.4 million for the six-months ended June 30, 2014, an increase of $5.7 million, or 3.5% higher than promotional and other allowances of $163.7 million for the six-months ended June 30, 2013. Promotional and other allowances as a percentage of gross sales decreased to 12.2% from 12.8% for the six-months ended June 30, 2014 and 2013, respectively. As a result, the percentage increase in net sales for the six-months ended June 30, 2014 was higher than the percentage increase in gross sales.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87"/>
        <w:spacing w:after="0" w:line="316"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were $1,223.3 million for the six-months ended June 30, 2014, an increase of approximately $108.2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9.7% higher than net sales of $1,115.2 million for the six-months ended June 30, 2013. The increase in net sales of our Monster Energy® brand energy drinks represented approximately $110.5 million, or 102.2%, of the overall increase in net sales. Net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No other individual product line contributed either a material increase or decrease to net sales for the six-months ended June 30, 2014.</w:t>
      </w:r>
    </w:p>
    <w:p>
      <w:pPr>
        <w:spacing w:after="0" w:line="15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Case sales, in 192-ounce case equivalents, were 117.5 million cases for the six-months ended June 30, 2014, an increase of approximately 8.1 million cases or 7.5% higher than case sales of 109.4 million cases for the six-months ended June 30, 2013. The overall average net sales per case increased to $10.41 for the six-months ended June 30, 2014, which was 2.1% higher than the average net sales per case of $10.20 for the six-months ended June 30, 2013.</w:t>
      </w:r>
    </w:p>
    <w:p>
      <w:pPr>
        <w:spacing w:after="0" w:line="205" w:lineRule="exact"/>
        <w:rPr>
          <w:sz w:val="20"/>
          <w:szCs w:val="20"/>
          <w:color w:val="auto"/>
        </w:rPr>
      </w:pPr>
    </w:p>
    <w:p>
      <w:pPr>
        <w:jc w:val="both"/>
        <w:ind w:firstLine="687"/>
        <w:spacing w:after="0" w:line="258" w:lineRule="auto"/>
        <w:rPr>
          <w:sz w:val="20"/>
          <w:szCs w:val="20"/>
          <w:color w:val="auto"/>
        </w:rPr>
      </w:pPr>
      <w:r>
        <w:rPr>
          <w:rFonts w:ascii="Arial" w:cs="Arial" w:eastAsia="Arial" w:hAnsi="Arial"/>
          <w:sz w:val="19"/>
          <w:szCs w:val="19"/>
          <w:color w:val="auto"/>
        </w:rPr>
        <w:t>Net sales for the DSD segment were $1,174.5 million for the six-months ended June 30, 2014, an increase of approximately $113.3 million, or 10.7% higher than net sales of $1,061.1 million for the six-months ended June 30, 2013. The increase in net sales of our Monster Energy® brand energy drinks represented approximately $110.5 million, or 97.5%, of the overall increase in net sales for the DSD segment. Net sales for the DSD segment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for the DSD segment. No other individual product line contributed either a material increase or decrease to net sales for the DSD segment for the six-months ended June 30, 2014.</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for the Warehouse segment were $48.9 million for the six-months ended June 30, 2014, a decrease of approximately $5.1 million, or 9.5% lower than net sales of $54.0 million for the six-months ended June 30, 2013. The decrease in net sales for the Warehouse segment was primarily attributable to decreased sales by volume of Hubert’s® lemonades.</w:t>
      </w:r>
    </w:p>
    <w:p>
      <w:pPr>
        <w:spacing w:after="0" w:line="200"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was $666.1 million for the six-months ended June 30, 2014, an increase of approximately $77.8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13.2% higher than the gross profit of $588.3 million for the six-months ended June 30, 2013. Gross profit as a percentage of net sales increased</w:t>
      </w:r>
    </w:p>
    <w:p>
      <w:pPr>
        <w:sectPr>
          <w:pgSz w:w="11900" w:h="16973" w:orient="portrait"/>
          <w:cols w:equalWidth="0" w:num="1">
            <w:col w:w="11420"/>
          </w:cols>
          <w:pgMar w:left="240" w:top="121" w:right="239" w:bottom="0" w:gutter="0" w:footer="0" w:header="0"/>
        </w:sectPr>
      </w:pPr>
    </w:p>
    <w:bookmarkStart w:id="24" w:name="page25"/>
    <w:bookmarkEnd w:id="24"/>
    <w:p>
      <w:pPr>
        <w:spacing w:after="0" w:line="10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to 54.5% for the six-months ended June 30, 2014 from 52.8% for the six-months ended June 30, 2013. The increase in gross profit dollars was primarily the result of the $111.9 million increase in gross sales of our Monster Energy® brand energy drinks. The increase in gross profit as a percentage of net sales was largely attributable to lower promotional and other allowances as a percentage of gross sales, price increases on our 24-ounce Monster Energy® brand energy drinks and our Peace Tea® line, changes in product sales mix, lower costs of certain sweeteners as well as an increase in production efficiencies.</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$301.4 million for the six-months ended June 30, 2014,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$0.1 million, or 0.05% lower than total operating expenses of $301.6 million for the six-months ended June 30, 2013. The decrease in operating expenses was partially attributable to decreased expenditures of $9.8 million relating to the costs associated with terminating existing distributors, decreased expenditures of $8.7 million for premiums, decreased expenditures of $3.7 million for allocated trade development and decreased expenditures of $3.2 million for point-of-sale materials. The decrease in operating expenses was partially offset by increased expenditures of $6.1 million for sponsorships and endorsements, increased expenditures of $5.6 million related to regulatory matters and litigation concerning our Monster Energy® brand energy drinks, increased out-bound freight and warehouse costs of $5.0 million and increased payroll expenses of $3.2 million (of which $0.7 million related to an increase in stock-based compensation).</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Contribution Margin. </w:t>
      </w:r>
      <w:r>
        <w:rPr>
          <w:rFonts w:ascii="Arial" w:cs="Arial" w:eastAsia="Arial" w:hAnsi="Arial"/>
          <w:sz w:val="20"/>
          <w:szCs w:val="20"/>
          <w:color w:val="auto"/>
        </w:rPr>
        <w:t>Contribution margin for the DSD segment was $442.6 million for the six-months ended June 30, 2014, an</w:t>
      </w:r>
      <w:r>
        <w:rPr>
          <w:rFonts w:ascii="Arial" w:cs="Arial" w:eastAsia="Arial" w:hAnsi="Arial"/>
          <w:sz w:val="20"/>
          <w:szCs w:val="20"/>
          <w:i w:val="1"/>
          <w:iCs w:val="1"/>
          <w:color w:val="auto"/>
        </w:rPr>
        <w:t xml:space="preserve"> </w:t>
      </w:r>
      <w:r>
        <w:rPr>
          <w:rFonts w:ascii="Arial" w:cs="Arial" w:eastAsia="Arial" w:hAnsi="Arial"/>
          <w:sz w:val="20"/>
          <w:szCs w:val="20"/>
          <w:color w:val="auto"/>
        </w:rPr>
        <w:t>increase of approximately $88.6 million, or 25.0% higher than contribution margin of $354.0 million for the six-months ended June 30, 2013. The increase in the contribution margin for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DSD segment was primarily the result of the $111.9 million increase in gross sales of our Monster Energy® brand energy drinks. Contribution margin for the Warehouse segment was $1.6 million for the six-months ended June 30, 2014, approximately $0.1 million higher than contribution margin of $1.5 million for the six-months ended June 30, 2013.</w:t>
      </w:r>
    </w:p>
    <w:p>
      <w:pPr>
        <w:spacing w:after="0" w:line="20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Operating Income. </w:t>
      </w:r>
      <w:r>
        <w:rPr>
          <w:rFonts w:ascii="Arial" w:cs="Arial" w:eastAsia="Arial" w:hAnsi="Arial"/>
          <w:sz w:val="19"/>
          <w:szCs w:val="19"/>
          <w:color w:val="auto"/>
        </w:rPr>
        <w:t>Operating income was $364.7 million for the six-months ended June 30, 2014, an increase of approximately $77.9</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27.2% higher than operating income of $286.7 million for the six-months ended June 30, 2013. Operating income as a percentage of net sales increased to 29.8% for the six-months ended June 30, 2014 from 25.7% for the six-months ended June 30, 2013, primarily due to the increase in gross profit as a percentage of net sales as well as the decrease in operating expenses as a percentage of net sales. The increase in operating income in dollars was primarily due to an increase of $77.8 million in gross profit. Operating income (loss) was $14.6 million and ($3.8) million for the six-months ended June 30, 2014 and 2013, respectively, in relation to our operations in Africa, Asia, Australia, Europe, the Middle East and South America.</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Other Income (Expense)</w:t>
      </w:r>
      <w:r>
        <w:rPr>
          <w:rFonts w:ascii="Arial" w:cs="Arial" w:eastAsia="Arial" w:hAnsi="Arial"/>
          <w:sz w:val="19"/>
          <w:szCs w:val="19"/>
          <w:color w:val="auto"/>
        </w:rPr>
        <w:t>. Other income (expense) was $0.3 million for the six-months ended June 30, 2014, as compared to other</w:t>
      </w:r>
      <w:r>
        <w:rPr>
          <w:rFonts w:ascii="Arial" w:cs="Arial" w:eastAsia="Arial" w:hAnsi="Arial"/>
          <w:sz w:val="19"/>
          <w:szCs w:val="19"/>
          <w:i w:val="1"/>
          <w:iCs w:val="1"/>
          <w:color w:val="auto"/>
        </w:rPr>
        <w:t xml:space="preserve"> </w:t>
      </w:r>
      <w:r>
        <w:rPr>
          <w:rFonts w:ascii="Arial" w:cs="Arial" w:eastAsia="Arial" w:hAnsi="Arial"/>
          <w:sz w:val="19"/>
          <w:szCs w:val="19"/>
          <w:color w:val="auto"/>
        </w:rPr>
        <w:t>income (expense) of ($5.3) million for the six-months ended June 30, 2013. Foreign currency transaction losses were ($0.6) million and ($8.3) million for the six-months ended June 30, 2014 and 2013, respectively. The decrease in foreign currency losses during the six-months ended June 30, 2014 was primarily related to our foreign currency transactions in Japan, Australia, Canada and South Africa. Interest income was $0.6 million and $0.3 million for the six-months ended June 30, 2014 and 2013, respectively.</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$128.8 million for the six-months ended June 30, 2014,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$17.7 million or 15.9% higher than the provision for income taxes of $111.1 million for the six-months ended June 30, 2013. The effective combined federal, state and foreign tax rate decreased to 35.3% from 39.5% for the six-months ended June 30, 2014 and 2013, respectively. The decrease in the effective tax rate was primarily the result of profits earned in certain foreign subsidiaries that have no related income tax expense, as a result of the prior establishment of valuation allowances on their deferred tax assets.</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$236.3 million for the six-months ended June 30, 2014, an increase of $65.9 million or 38.7% higher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of $170.4 million for the six-months ended June 30, 2013. The increase in net income was primarily attributable to an increase in gross profit of $77.8 million. The increase in net income was partially offset by an increase in the provision for income taxes of $17.7 million.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Cash flows provided by operating activities. </w:t>
      </w:r>
      <w:r>
        <w:rPr>
          <w:rFonts w:ascii="Arial" w:cs="Arial" w:eastAsia="Arial" w:hAnsi="Arial"/>
          <w:sz w:val="18"/>
          <w:szCs w:val="18"/>
          <w:color w:val="auto"/>
        </w:rPr>
        <w:t>Net cash provided by operating activities was $259.0 million for the six-months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2014, as compared with net cash provided by operating activities of $99.7 million for the six-months ended June 30, 2013. For the six-months ended June 30, 2014, cash provided by operating activities was primarily attributable to net income earned of $236.3 million and adjustments for certain non-cash expenses, consisting of $15.1 million of stock-based compensation and $13.0 million of depreciation and other amortization. For the six-months ended June 30, 2014, cash provided by operating activities also increased due to a $36.1 million increase in accounts payable, a $31.8 million increase in accrued promotional allowances, a $13.5 million decrease in inventory, a $17.5 million increase in accrued liabilities, a $6.8 million increase in income taxes payable and a $2.5 million decrease in prepaid income taxes. For the six-months ended June 30, 2014, cash provided by operating activities was reduced due to a $99.7 million increase in accounts receivable, a $4.6 million decrease in accrued compensation, a $4.2 million increase in prepaid expenses and other current assets, a $3.3 million tax benefit from the exercise of stock options and a $3.2 million decrease in deferred revenue.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For the six-months ended June 30, 2013, cash provided by operating activities was primarily attributable to net income earned of $170.4 million and adjustments for certain non-cash expenses consisting of $14.4 million of stock-based compensation and $10.3 million of</w:t>
      </w:r>
    </w:p>
    <w:p>
      <w:pPr>
        <w:sectPr>
          <w:pgSz w:w="11900" w:h="16939" w:orient="portrait"/>
          <w:cols w:equalWidth="0" w:num="1">
            <w:col w:w="11420"/>
          </w:cols>
          <w:pgMar w:left="240" w:top="121" w:right="239" w:bottom="0" w:gutter="0" w:footer="0" w:header="0"/>
        </w:sectPr>
      </w:pPr>
    </w:p>
    <w:bookmarkStart w:id="25" w:name="page26"/>
    <w:bookmarkEnd w:id="25"/>
    <w:p>
      <w:pPr>
        <w:jc w:val="both"/>
        <w:spacing w:after="0" w:line="274" w:lineRule="auto"/>
        <w:rPr>
          <w:sz w:val="20"/>
          <w:szCs w:val="20"/>
          <w:color w:val="auto"/>
        </w:rPr>
      </w:pPr>
      <w:r>
        <w:rPr>
          <w:rFonts w:ascii="Arial" w:cs="Arial" w:eastAsia="Arial" w:hAnsi="Arial"/>
          <w:sz w:val="18"/>
          <w:szCs w:val="18"/>
          <w:color w:val="auto"/>
        </w:rPr>
        <w:t>depreciation and other amortization. For the six-months ended June 30, 2013, cash provided by operating activities also increased due to a $33.0 million increase in income taxes payable, a $22.2 million increase in accrued promotional allowances, a $16.9 million increase in accounts payable, a $16.0 million increase in accrued liabilities, a $6.8 million increase in deferred revenue and a $3.5 million increase in accrued distributor terminations. For the six-months ended June 30, 2013, cash provided by operating activities was reduced due to a $105.0 million increase in accounts receivable, a $34.0 million increase in inventory, a $28.9 million increase in tax benefit from the exercise of stock options, a $8.5 million increase in prepaid expenses and other current assets, a $5.3 million increase in distributor receivables, a $4.1 million decrease in accrued compensation, a $4.1 million increase in prepaid income taxes and a $2.9 million gain on investments.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Cash flows used in investing activities. </w:t>
      </w:r>
      <w:r>
        <w:rPr>
          <w:rFonts w:ascii="Arial" w:cs="Arial" w:eastAsia="Arial" w:hAnsi="Arial"/>
          <w:sz w:val="18"/>
          <w:szCs w:val="18"/>
          <w:color w:val="auto"/>
        </w:rPr>
        <w:t>Net cash used in investing activities was $108.0 million for the six-months ended June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net cash used in investing activities of $70.6 million for the six-months ended June 30, 2013. For the six-months ended June 30, 2014, cash used in investing activities was primarily attributable to purchases of held-to-maturity investments and purchases of property and equipment, including the purchase of real property. For the six-months ended June 30, 2013, cash used in investing activities was primarily attributable to purchases of held-to-maturity investments, purchases of property and equipment and additions to intangibles. For the six-months ended June 30, 2014, cash provided by investing activities was primarily attributable to maturities of held-to-maturity investments. For the six-months ended June 30, 2013, cash provided by investing activities was primarily attributable to maturities of held-to-maturity investments and proceeds from the sale of property and equipment. For both the six-months ended June 30, 2014 and 2013,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 portion of our cash in excess of our requirements for operations for purchasing short-term and long-term investments, and for other corporate purposes, including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19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Cash flows provided by financing activities. </w:t>
      </w:r>
      <w:r>
        <w:rPr>
          <w:rFonts w:ascii="Arial" w:cs="Arial" w:eastAsia="Arial" w:hAnsi="Arial"/>
          <w:sz w:val="18"/>
          <w:szCs w:val="18"/>
          <w:color w:val="auto"/>
        </w:rPr>
        <w:t>Net cash provided by financing activities was $10.0 million for the six-months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2014, as compared to net cash provided by financing activities of $31.0 million for the six-months ended June 30, 2013. For the six-months ended June 30, 2014, cash provided by financing activities was primarily attributable to $7.7 million received from the issuance of common stock in connection with the exercise of certain stock options and a $3.3 million tax benefit from the exercise of stock options. For the six-months ended June 30, 2013, cash provided by financing activities was primarily attributable to a $28.9 million tax benefit from the exercise of stock options and $16.3 million received from the issuance of common stock in connection with the exercise of certain stock options. For the six-months ended June 30, 2013, cash used in financing activities was primarily attributable to $13.4 million of purchases on common stock.</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Purchases of inventories, increases in accounts receivable and other assets, acquisition of property and equipment, leasehold improvements, acquisition and maintenance of trademarks, payments of accounts payable, income taxes payable and purchases of our common stock are expected to remain our principal recurring use of cash.</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Cash and cash equivalents, short-term and long-term investments. </w:t>
      </w:r>
      <w:r>
        <w:rPr>
          <w:rFonts w:ascii="Arial" w:cs="Arial" w:eastAsia="Arial" w:hAnsi="Arial"/>
          <w:sz w:val="20"/>
          <w:szCs w:val="20"/>
          <w:color w:val="auto"/>
        </w:rPr>
        <w:t>At June 30, 2014, we had $373.1 million in cash and cash</w:t>
      </w:r>
      <w:r>
        <w:rPr>
          <w:rFonts w:ascii="Arial" w:cs="Arial" w:eastAsia="Arial" w:hAnsi="Arial"/>
          <w:sz w:val="20"/>
          <w:szCs w:val="20"/>
          <w:i w:val="1"/>
          <w:iCs w:val="1"/>
          <w:color w:val="auto"/>
        </w:rPr>
        <w:t xml:space="preserve"> </w:t>
      </w:r>
      <w:r>
        <w:rPr>
          <w:rFonts w:ascii="Arial" w:cs="Arial" w:eastAsia="Arial" w:hAnsi="Arial"/>
          <w:sz w:val="20"/>
          <w:szCs w:val="20"/>
          <w:color w:val="auto"/>
        </w:rPr>
        <w:t>equivalents and $505.7 million in short-term and long-term investments. We have historically invested these amounts in U.S. Treasury bills, U.S. government agency securities and municipal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securities (which may have an auction reset feature), corporate notes and bonds, commercial paper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Of our $373.1 million of cash and cash equivalents held at June 30, 2014, $110.9 million was held by our foreign subsidiaries. No short-term or long-term investments were held by our foreign subsidiaries at June 30, 2014. We do not intend, nor do we foresee a need, to repatriate undistributed earnings of our foreign subsidiaries other than to repay certain intercompany debt owed to our U.S. operations. Under current tax laws, if funds in excess of intercompany amounts owed were repatriated to our U.S. operations, we would be required to accrue and pay additional income taxes on such excess funds at the tax rates then in effect.</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less than $100.0 million through June 30, 2015. However, future business opportunities may cause a change in this estimate.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June 30,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800" w:type="dxa"/>
            <w:vAlign w:val="bottom"/>
            <w:tcBorders>
              <w:bottom w:val="single" w:sz="8" w:color="auto"/>
            </w:tcBorders>
            <w:gridSpan w:val="6"/>
          </w:tcPr>
          <w:p>
            <w:pPr>
              <w:ind w:left="600"/>
              <w:spacing w:after="0"/>
              <w:rPr>
                <w:sz w:val="20"/>
                <w:szCs w:val="20"/>
                <w:color w:val="auto"/>
              </w:rPr>
            </w:pPr>
            <w:r>
              <w:rPr>
                <w:rFonts w:ascii="Arial" w:cs="Arial" w:eastAsia="Arial" w:hAnsi="Arial"/>
                <w:sz w:val="22"/>
                <w:szCs w:val="22"/>
                <w:color w:val="auto"/>
              </w:rPr>
              <w:t>Payments due by period (in thousands)</w:t>
            </w:r>
          </w:p>
        </w:tc>
        <w:tc>
          <w:tcPr>
            <w:tcW w:w="1360" w:type="dxa"/>
            <w:vAlign w:val="bottom"/>
            <w:tcBorders>
              <w:bottom w:val="single" w:sz="8" w:color="auto"/>
            </w:tcBorders>
          </w:tcPr>
          <w:p>
            <w:pPr>
              <w:spacing w:after="0"/>
              <w:rPr>
                <w:sz w:val="23"/>
                <w:szCs w:val="23"/>
                <w:color w:val="auto"/>
              </w:rPr>
            </w:pPr>
          </w:p>
        </w:tc>
      </w:tr>
      <w:tr>
        <w:trPr>
          <w:trHeight w:val="215"/>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00"/>
              <w:spacing w:after="0" w:line="216" w:lineRule="exact"/>
              <w:rPr>
                <w:sz w:val="20"/>
                <w:szCs w:val="20"/>
                <w:color w:val="auto"/>
              </w:rPr>
            </w:pPr>
            <w:r>
              <w:rPr>
                <w:rFonts w:ascii="Arial" w:cs="Arial" w:eastAsia="Arial" w:hAnsi="Arial"/>
                <w:sz w:val="22"/>
                <w:szCs w:val="22"/>
                <w:color w:val="auto"/>
                <w:w w:val="85"/>
              </w:rPr>
              <w:t>Less than</w:t>
            </w:r>
          </w:p>
        </w:tc>
        <w:tc>
          <w:tcPr>
            <w:tcW w:w="1380" w:type="dxa"/>
            <w:vAlign w:val="bottom"/>
          </w:tcPr>
          <w:p>
            <w:pPr>
              <w:jc w:val="right"/>
              <w:ind w:right="432"/>
              <w:spacing w:after="0" w:line="216" w:lineRule="exact"/>
              <w:rPr>
                <w:sz w:val="20"/>
                <w:szCs w:val="20"/>
                <w:color w:val="auto"/>
              </w:rPr>
            </w:pPr>
            <w:r>
              <w:rPr>
                <w:rFonts w:ascii="Arial" w:cs="Arial" w:eastAsia="Arial" w:hAnsi="Arial"/>
                <w:sz w:val="22"/>
                <w:szCs w:val="22"/>
                <w:color w:val="auto"/>
              </w:rPr>
              <w:t>1-3</w:t>
            </w:r>
          </w:p>
        </w:tc>
        <w:tc>
          <w:tcPr>
            <w:tcW w:w="240" w:type="dxa"/>
            <w:vAlign w:val="bottom"/>
          </w:tcPr>
          <w:p>
            <w:pPr>
              <w:spacing w:after="0"/>
              <w:rPr>
                <w:sz w:val="18"/>
                <w:szCs w:val="18"/>
                <w:color w:val="auto"/>
              </w:rPr>
            </w:pPr>
          </w:p>
        </w:tc>
        <w:tc>
          <w:tcPr>
            <w:tcW w:w="1340" w:type="dxa"/>
            <w:vAlign w:val="bottom"/>
          </w:tcPr>
          <w:p>
            <w:pPr>
              <w:jc w:val="right"/>
              <w:ind w:right="412"/>
              <w:spacing w:after="0" w:line="216" w:lineRule="exact"/>
              <w:rPr>
                <w:sz w:val="20"/>
                <w:szCs w:val="20"/>
                <w:color w:val="auto"/>
              </w:rPr>
            </w:pPr>
            <w:r>
              <w:rPr>
                <w:rFonts w:ascii="Arial" w:cs="Arial" w:eastAsia="Arial" w:hAnsi="Arial"/>
                <w:sz w:val="22"/>
                <w:szCs w:val="22"/>
                <w:color w:val="auto"/>
              </w:rPr>
              <w:t>3-5</w:t>
            </w:r>
          </w:p>
        </w:tc>
        <w:tc>
          <w:tcPr>
            <w:tcW w:w="22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Arial" w:cs="Arial" w:eastAsia="Arial" w:hAnsi="Arial"/>
                <w:sz w:val="22"/>
                <w:szCs w:val="22"/>
                <w:color w:val="auto"/>
                <w:w w:val="90"/>
              </w:rPr>
              <w:t>More than</w:t>
            </w:r>
          </w:p>
        </w:tc>
      </w:tr>
      <w:tr>
        <w:trPr>
          <w:trHeight w:val="265"/>
        </w:trPr>
        <w:tc>
          <w:tcPr>
            <w:tcW w:w="3340" w:type="dxa"/>
            <w:vAlign w:val="bottom"/>
            <w:tcBorders>
              <w:bottom w:val="single" w:sz="8" w:color="auto"/>
            </w:tcBorders>
          </w:tcPr>
          <w:p>
            <w:pPr>
              <w:ind w:left="1160"/>
              <w:spacing w:after="0"/>
              <w:rPr>
                <w:sz w:val="20"/>
                <w:szCs w:val="20"/>
                <w:color w:val="auto"/>
              </w:rPr>
            </w:pPr>
            <w:r>
              <w:rPr>
                <w:rFonts w:ascii="Arial" w:cs="Arial" w:eastAsia="Arial" w:hAnsi="Arial"/>
                <w:sz w:val="22"/>
                <w:szCs w:val="22"/>
                <w:color w:val="auto"/>
              </w:rPr>
              <w:t>Obligations</w:t>
            </w:r>
          </w:p>
        </w:tc>
        <w:tc>
          <w:tcPr>
            <w:tcW w:w="220" w:type="dxa"/>
            <w:vAlign w:val="bottom"/>
          </w:tcPr>
          <w:p>
            <w:pPr>
              <w:spacing w:after="0"/>
              <w:rPr>
                <w:sz w:val="23"/>
                <w:szCs w:val="23"/>
                <w:color w:val="auto"/>
              </w:rPr>
            </w:pPr>
          </w:p>
        </w:tc>
        <w:tc>
          <w:tcPr>
            <w:tcW w:w="1380" w:type="dxa"/>
            <w:vAlign w:val="bottom"/>
            <w:tcBorders>
              <w:bottom w:val="single" w:sz="8" w:color="auto"/>
            </w:tcBorders>
          </w:tcPr>
          <w:p>
            <w:pPr>
              <w:ind w:left="460"/>
              <w:spacing w:after="0"/>
              <w:rPr>
                <w:sz w:val="20"/>
                <w:szCs w:val="20"/>
                <w:color w:val="auto"/>
              </w:rPr>
            </w:pPr>
            <w:r>
              <w:rPr>
                <w:rFonts w:ascii="Arial" w:cs="Arial" w:eastAsia="Arial" w:hAnsi="Arial"/>
                <w:sz w:val="22"/>
                <w:szCs w:val="22"/>
                <w:color w:val="auto"/>
              </w:rPr>
              <w:t>Total</w:t>
            </w:r>
          </w:p>
        </w:tc>
        <w:tc>
          <w:tcPr>
            <w:tcW w:w="220" w:type="dxa"/>
            <w:vAlign w:val="bottom"/>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4"/>
              </w:rPr>
              <w:t>1 year</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5"/>
              </w:rPr>
              <w:t>years</w:t>
            </w:r>
          </w:p>
        </w:tc>
        <w:tc>
          <w:tcPr>
            <w:tcW w:w="24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5"/>
              </w:rPr>
              <w:t>years</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5"/>
              </w:rPr>
              <w:t>5 years</w:t>
            </w:r>
          </w:p>
        </w:tc>
      </w:tr>
    </w:tbl>
    <w:p>
      <w:pPr>
        <w:sectPr>
          <w:pgSz w:w="11900" w:h="16838" w:orient="portrait"/>
          <w:cols w:equalWidth="0" w:num="1">
            <w:col w:w="11420"/>
          </w:cols>
          <w:pgMar w:left="240" w:top="121" w:right="239" w:bottom="0" w:gutter="0" w:footer="0" w:header="0"/>
        </w:sectPr>
      </w:pPr>
    </w:p>
    <w:bookmarkStart w:id="26" w:name="page27"/>
    <w:bookmarkEnd w:id="2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0"/>
                <w:szCs w:val="20"/>
                <w:color w:val="auto"/>
              </w:rPr>
            </w:pPr>
            <w:r>
              <w:rPr>
                <w:rFonts w:ascii="Arial" w:cs="Arial" w:eastAsia="Arial" w:hAnsi="Arial"/>
                <w:sz w:val="22"/>
                <w:szCs w:val="22"/>
                <w:color w:val="auto"/>
              </w:rPr>
              <w:t>Contractual Obligations¹</w:t>
            </w:r>
          </w:p>
        </w:tc>
        <w:tc>
          <w:tcPr>
            <w:tcW w:w="4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70,629</w:t>
            </w:r>
          </w:p>
        </w:tc>
        <w:tc>
          <w:tcPr>
            <w:tcW w:w="220" w:type="dxa"/>
            <w:vAlign w:val="bottom"/>
          </w:tcPr>
          <w:p>
            <w:pPr>
              <w:spacing w:after="0"/>
              <w:rPr>
                <w:sz w:val="21"/>
                <w:szCs w:val="21"/>
                <w:color w:val="auto"/>
              </w:rPr>
            </w:pPr>
          </w:p>
        </w:tc>
        <w:tc>
          <w:tcPr>
            <w:tcW w:w="46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47,701</w:t>
            </w:r>
          </w:p>
        </w:tc>
        <w:tc>
          <w:tcPr>
            <w:tcW w:w="220" w:type="dxa"/>
            <w:vAlign w:val="bottom"/>
          </w:tcPr>
          <w:p>
            <w:pPr>
              <w:spacing w:after="0"/>
              <w:rPr>
                <w:sz w:val="21"/>
                <w:szCs w:val="21"/>
                <w:color w:val="auto"/>
              </w:rPr>
            </w:pPr>
          </w:p>
        </w:tc>
        <w:tc>
          <w:tcPr>
            <w:tcW w:w="46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22,835</w:t>
            </w:r>
          </w:p>
        </w:tc>
        <w:tc>
          <w:tcPr>
            <w:tcW w:w="240" w:type="dxa"/>
            <w:vAlign w:val="bottom"/>
          </w:tcPr>
          <w:p>
            <w:pPr>
              <w:spacing w:after="0"/>
              <w:rPr>
                <w:sz w:val="21"/>
                <w:szCs w:val="21"/>
                <w:color w:val="auto"/>
              </w:rPr>
            </w:pPr>
          </w:p>
        </w:tc>
        <w:tc>
          <w:tcPr>
            <w:tcW w:w="56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93</w:t>
            </w:r>
          </w:p>
        </w:tc>
        <w:tc>
          <w:tcPr>
            <w:tcW w:w="220" w:type="dxa"/>
            <w:vAlign w:val="bottom"/>
          </w:tcPr>
          <w:p>
            <w:pPr>
              <w:spacing w:after="0"/>
              <w:rPr>
                <w:sz w:val="21"/>
                <w:szCs w:val="21"/>
                <w:color w:val="auto"/>
              </w:rPr>
            </w:pPr>
          </w:p>
        </w:tc>
        <w:tc>
          <w:tcPr>
            <w:tcW w:w="58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780" w:type="dxa"/>
            <w:vAlign w:val="bottom"/>
          </w:tcPr>
          <w:p>
            <w:pPr>
              <w:jc w:val="right"/>
              <w:ind w:right="12"/>
              <w:spacing w:after="0"/>
              <w:rPr>
                <w:sz w:val="20"/>
                <w:szCs w:val="20"/>
                <w:color w:val="auto"/>
              </w:rPr>
            </w:pPr>
            <w:r>
              <w:rPr>
                <w:rFonts w:ascii="Arial" w:cs="Arial" w:eastAsia="Arial" w:hAnsi="Arial"/>
                <w:sz w:val="22"/>
                <w:szCs w:val="22"/>
                <w:color w:val="auto"/>
              </w:rPr>
              <w:t>-</w:t>
            </w:r>
          </w:p>
        </w:tc>
      </w:tr>
      <w:tr>
        <w:trPr>
          <w:trHeight w:val="243"/>
        </w:trPr>
        <w:tc>
          <w:tcPr>
            <w:tcW w:w="3520" w:type="dxa"/>
            <w:vAlign w:val="bottom"/>
          </w:tcPr>
          <w:p>
            <w:pPr>
              <w:spacing w:after="0" w:line="243" w:lineRule="exact"/>
              <w:rPr>
                <w:sz w:val="20"/>
                <w:szCs w:val="20"/>
                <w:color w:val="auto"/>
              </w:rPr>
            </w:pPr>
            <w:r>
              <w:rPr>
                <w:rFonts w:ascii="Arial" w:cs="Arial" w:eastAsia="Arial" w:hAnsi="Arial"/>
                <w:sz w:val="22"/>
                <w:szCs w:val="22"/>
                <w:color w:val="auto"/>
              </w:rPr>
              <w:t>Capital Leases</w:t>
            </w:r>
          </w:p>
        </w:tc>
        <w:tc>
          <w:tcPr>
            <w:tcW w:w="40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789</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789</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r>
      <w:tr>
        <w:trPr>
          <w:trHeight w:val="243"/>
        </w:trPr>
        <w:tc>
          <w:tcPr>
            <w:tcW w:w="3520" w:type="dxa"/>
            <w:vAlign w:val="bottom"/>
          </w:tcPr>
          <w:p>
            <w:pPr>
              <w:spacing w:after="0" w:line="243" w:lineRule="exact"/>
              <w:rPr>
                <w:sz w:val="20"/>
                <w:szCs w:val="20"/>
                <w:color w:val="auto"/>
              </w:rPr>
            </w:pPr>
            <w:r>
              <w:rPr>
                <w:rFonts w:ascii="Arial" w:cs="Arial" w:eastAsia="Arial" w:hAnsi="Arial"/>
                <w:sz w:val="22"/>
                <w:szCs w:val="22"/>
                <w:color w:val="auto"/>
              </w:rPr>
              <w:t>Operating Leases</w:t>
            </w:r>
          </w:p>
        </w:tc>
        <w:tc>
          <w:tcPr>
            <w:tcW w:w="40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13,078</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4,856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7,239</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533</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12"/>
              <w:spacing w:after="0" w:line="243" w:lineRule="exact"/>
              <w:rPr>
                <w:sz w:val="20"/>
                <w:szCs w:val="20"/>
                <w:color w:val="auto"/>
              </w:rPr>
            </w:pPr>
            <w:r>
              <w:rPr>
                <w:rFonts w:ascii="Arial" w:cs="Arial" w:eastAsia="Arial" w:hAnsi="Arial"/>
                <w:sz w:val="22"/>
                <w:szCs w:val="22"/>
                <w:color w:val="auto"/>
              </w:rPr>
              <w:t>450</w:t>
            </w:r>
          </w:p>
        </w:tc>
      </w:tr>
      <w:tr>
        <w:trPr>
          <w:trHeight w:val="265"/>
        </w:trPr>
        <w:tc>
          <w:tcPr>
            <w:tcW w:w="3520" w:type="dxa"/>
            <w:vAlign w:val="bottom"/>
          </w:tcPr>
          <w:p>
            <w:pPr>
              <w:spacing w:after="0"/>
              <w:rPr>
                <w:sz w:val="20"/>
                <w:szCs w:val="20"/>
                <w:color w:val="auto"/>
              </w:rPr>
            </w:pPr>
            <w:r>
              <w:rPr>
                <w:rFonts w:ascii="Arial" w:cs="Arial" w:eastAsia="Arial" w:hAnsi="Arial"/>
                <w:sz w:val="22"/>
                <w:szCs w:val="22"/>
                <w:color w:val="auto"/>
              </w:rPr>
              <w:t>Purchase Commitments²</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32,811</w:t>
            </w:r>
          </w:p>
        </w:tc>
        <w:tc>
          <w:tcPr>
            <w:tcW w:w="2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32,811</w:t>
            </w:r>
          </w:p>
        </w:tc>
        <w:tc>
          <w:tcPr>
            <w:tcW w:w="2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r>
      <w:tr>
        <w:trPr>
          <w:trHeight w:val="237"/>
        </w:trPr>
        <w:tc>
          <w:tcPr>
            <w:tcW w:w="3520" w:type="dxa"/>
            <w:vAlign w:val="bottom"/>
          </w:tcPr>
          <w:p>
            <w:pPr>
              <w:spacing w:after="0"/>
              <w:rPr>
                <w:sz w:val="20"/>
                <w:szCs w:val="20"/>
                <w:color w:val="auto"/>
              </w:rPr>
            </w:pPr>
          </w:p>
        </w:tc>
        <w:tc>
          <w:tcPr>
            <w:tcW w:w="400" w:type="dxa"/>
            <w:vAlign w:val="bottom"/>
            <w:tcBorders>
              <w:bottom w:val="single" w:sz="8" w:color="auto"/>
            </w:tcBorders>
          </w:tcPr>
          <w:p>
            <w:pPr>
              <w:jc w:val="right"/>
              <w:ind w:right="7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117,307</w:t>
            </w:r>
          </w:p>
        </w:tc>
        <w:tc>
          <w:tcPr>
            <w:tcW w:w="220" w:type="dxa"/>
            <w:vAlign w:val="bottom"/>
          </w:tcPr>
          <w:p>
            <w:pPr>
              <w:spacing w:after="0"/>
              <w:rPr>
                <w:sz w:val="20"/>
                <w:szCs w:val="20"/>
                <w:color w:val="auto"/>
              </w:rPr>
            </w:pPr>
          </w:p>
        </w:tc>
        <w:tc>
          <w:tcPr>
            <w:tcW w:w="460" w:type="dxa"/>
            <w:vAlign w:val="bottom"/>
            <w:tcBorders>
              <w:bottom w:val="single" w:sz="8" w:color="auto"/>
            </w:tcBorders>
          </w:tcPr>
          <w:p>
            <w:pPr>
              <w:jc w:val="right"/>
              <w:ind w:right="132"/>
              <w:spacing w:after="0" w:line="237" w:lineRule="exact"/>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86,157</w:t>
            </w:r>
          </w:p>
        </w:tc>
        <w:tc>
          <w:tcPr>
            <w:tcW w:w="220" w:type="dxa"/>
            <w:vAlign w:val="bottom"/>
          </w:tcPr>
          <w:p>
            <w:pPr>
              <w:spacing w:after="0"/>
              <w:rPr>
                <w:sz w:val="20"/>
                <w:szCs w:val="20"/>
                <w:color w:val="auto"/>
              </w:rPr>
            </w:pPr>
          </w:p>
        </w:tc>
        <w:tc>
          <w:tcPr>
            <w:tcW w:w="460" w:type="dxa"/>
            <w:vAlign w:val="bottom"/>
            <w:tcBorders>
              <w:bottom w:val="single" w:sz="8" w:color="auto"/>
            </w:tcBorders>
          </w:tcPr>
          <w:p>
            <w:pPr>
              <w:jc w:val="right"/>
              <w:ind w:right="132"/>
              <w:spacing w:after="0" w:line="237" w:lineRule="exact"/>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30,074</w:t>
            </w:r>
          </w:p>
        </w:tc>
        <w:tc>
          <w:tcPr>
            <w:tcW w:w="240" w:type="dxa"/>
            <w:vAlign w:val="bottom"/>
          </w:tcPr>
          <w:p>
            <w:pPr>
              <w:spacing w:after="0"/>
              <w:rPr>
                <w:sz w:val="20"/>
                <w:szCs w:val="20"/>
                <w:color w:val="auto"/>
              </w:rPr>
            </w:pPr>
          </w:p>
        </w:tc>
        <w:tc>
          <w:tcPr>
            <w:tcW w:w="560" w:type="dxa"/>
            <w:vAlign w:val="bottom"/>
            <w:tcBorders>
              <w:bottom w:val="single" w:sz="8" w:color="auto"/>
            </w:tcBorders>
          </w:tcPr>
          <w:p>
            <w:pPr>
              <w:jc w:val="right"/>
              <w:ind w:right="232"/>
              <w:spacing w:after="0" w:line="237" w:lineRule="exact"/>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626</w:t>
            </w:r>
          </w:p>
        </w:tc>
        <w:tc>
          <w:tcPr>
            <w:tcW w:w="220" w:type="dxa"/>
            <w:vAlign w:val="bottom"/>
          </w:tcPr>
          <w:p>
            <w:pPr>
              <w:spacing w:after="0"/>
              <w:rPr>
                <w:sz w:val="20"/>
                <w:szCs w:val="20"/>
                <w:color w:val="auto"/>
              </w:rPr>
            </w:pPr>
          </w:p>
        </w:tc>
        <w:tc>
          <w:tcPr>
            <w:tcW w:w="580" w:type="dxa"/>
            <w:vAlign w:val="bottom"/>
            <w:tcBorders>
              <w:bottom w:val="single" w:sz="8" w:color="auto"/>
            </w:tcBorders>
          </w:tcPr>
          <w:p>
            <w:pPr>
              <w:jc w:val="right"/>
              <w:ind w:right="252"/>
              <w:spacing w:after="0" w:line="237" w:lineRule="exact"/>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450</w:t>
            </w:r>
          </w:p>
        </w:tc>
      </w:tr>
      <w:tr>
        <w:trPr>
          <w:trHeight w:val="20"/>
        </w:trPr>
        <w:tc>
          <w:tcPr>
            <w:tcW w:w="3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¹Contractual obligations include our obligations related to sponsorships and other commitments.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approximately $0.9 million of unrecognized tax benefits have been recorded as liabilities as of June 30, 2014. It is expected that the amount of unrecognized tax benefits will not significantly change within the next 12 months. We have also recorded a liability for potential penalties and interest of $0.4 million as of June 30, 2014.</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table below discloses selected quarterly data regarding sales for the three- and six-months ended June 30, 2014 and 2013, respectively. Data from any one or more quarters or periods is not necessarily indicative of annual results or continuing trends.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beverages sold by us.</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Because the primary historical market for our products is California, which has a year-long temperate climate, the effect of seasonal fluctuations on quarterly results may have been somewhat mitigated; however, such fluctuations may become more pronounced with the expansion of the distribution of our products outside of California. In addition, our experience with our energy drink products suggests they may be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20"/>
                <w:szCs w:val="20"/>
                <w:color w:val="auto"/>
              </w:rPr>
              <w:t>(In thousands, except average</w:t>
            </w:r>
          </w:p>
        </w:tc>
        <w:tc>
          <w:tcPr>
            <w:tcW w:w="360" w:type="dxa"/>
            <w:vAlign w:val="bottom"/>
          </w:tcPr>
          <w:p>
            <w:pPr>
              <w:spacing w:after="0"/>
              <w:rPr>
                <w:sz w:val="19"/>
                <w:szCs w:val="19"/>
                <w:color w:val="auto"/>
              </w:rPr>
            </w:pPr>
          </w:p>
        </w:tc>
        <w:tc>
          <w:tcPr>
            <w:tcW w:w="3180" w:type="dxa"/>
            <w:vAlign w:val="bottom"/>
            <w:gridSpan w:val="5"/>
          </w:tcPr>
          <w:p>
            <w:pPr>
              <w:ind w:left="420"/>
              <w:spacing w:after="0"/>
              <w:rPr>
                <w:sz w:val="20"/>
                <w:szCs w:val="20"/>
                <w:color w:val="auto"/>
              </w:rPr>
            </w:pPr>
            <w:r>
              <w:rPr>
                <w:rFonts w:ascii="Arial" w:cs="Arial" w:eastAsia="Arial" w:hAnsi="Arial"/>
                <w:sz w:val="20"/>
                <w:szCs w:val="20"/>
                <w:color w:val="auto"/>
              </w:rPr>
              <w:t>Three-Months Ended</w:t>
            </w:r>
          </w:p>
        </w:tc>
        <w:tc>
          <w:tcPr>
            <w:tcW w:w="360" w:type="dxa"/>
            <w:vAlign w:val="bottom"/>
          </w:tcPr>
          <w:p>
            <w:pPr>
              <w:spacing w:after="0"/>
              <w:rPr>
                <w:sz w:val="19"/>
                <w:szCs w:val="19"/>
                <w:color w:val="auto"/>
              </w:rPr>
            </w:pPr>
          </w:p>
        </w:tc>
        <w:tc>
          <w:tcPr>
            <w:tcW w:w="2920" w:type="dxa"/>
            <w:vAlign w:val="bottom"/>
            <w:gridSpan w:val="5"/>
          </w:tcPr>
          <w:p>
            <w:pPr>
              <w:ind w:left="480"/>
              <w:spacing w:after="0"/>
              <w:rPr>
                <w:sz w:val="20"/>
                <w:szCs w:val="20"/>
                <w:color w:val="auto"/>
              </w:rPr>
            </w:pPr>
            <w:r>
              <w:rPr>
                <w:rFonts w:ascii="Arial" w:cs="Arial" w:eastAsia="Arial" w:hAnsi="Arial"/>
                <w:sz w:val="20"/>
                <w:szCs w:val="20"/>
                <w:color w:val="auto"/>
              </w:rPr>
              <w:t>Six-Months Ended</w:t>
            </w:r>
          </w:p>
        </w:tc>
      </w:tr>
      <w:tr>
        <w:trPr>
          <w:trHeight w:val="246"/>
        </w:trPr>
        <w:tc>
          <w:tcPr>
            <w:tcW w:w="4600" w:type="dxa"/>
            <w:vAlign w:val="bottom"/>
            <w:gridSpan w:val="2"/>
          </w:tcPr>
          <w:p>
            <w:pPr>
              <w:ind w:left="180"/>
              <w:spacing w:after="0"/>
              <w:rPr>
                <w:sz w:val="20"/>
                <w:szCs w:val="20"/>
                <w:color w:val="auto"/>
              </w:rPr>
            </w:pPr>
            <w:r>
              <w:rPr>
                <w:rFonts w:ascii="Arial" w:cs="Arial" w:eastAsia="Arial" w:hAnsi="Arial"/>
                <w:sz w:val="20"/>
                <w:szCs w:val="20"/>
                <w:color w:val="auto"/>
              </w:rPr>
              <w:t>net sales per case)</w:t>
            </w:r>
          </w:p>
        </w:tc>
        <w:tc>
          <w:tcPr>
            <w:tcW w:w="360" w:type="dxa"/>
            <w:vAlign w:val="bottom"/>
          </w:tcPr>
          <w:p>
            <w:pPr>
              <w:spacing w:after="0"/>
              <w:rPr>
                <w:sz w:val="21"/>
                <w:szCs w:val="21"/>
                <w:color w:val="auto"/>
              </w:rPr>
            </w:pPr>
          </w:p>
        </w:tc>
        <w:tc>
          <w:tcPr>
            <w:tcW w:w="1780" w:type="dxa"/>
            <w:vAlign w:val="bottom"/>
            <w:gridSpan w:val="3"/>
          </w:tcPr>
          <w:p>
            <w:pPr>
              <w:jc w:val="right"/>
              <w:ind w:right="81"/>
              <w:spacing w:after="0"/>
              <w:rPr>
                <w:sz w:val="20"/>
                <w:szCs w:val="20"/>
                <w:color w:val="auto"/>
              </w:rPr>
            </w:pPr>
            <w:r>
              <w:rPr>
                <w:rFonts w:ascii="Arial" w:cs="Arial" w:eastAsia="Arial" w:hAnsi="Arial"/>
                <w:sz w:val="20"/>
                <w:szCs w:val="20"/>
                <w:color w:val="auto"/>
              </w:rPr>
              <w:t>June 30,</w:t>
            </w: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gridSpan w:val="3"/>
          </w:tcPr>
          <w:p>
            <w:pPr>
              <w:jc w:val="right"/>
              <w:ind w:right="101"/>
              <w:spacing w:after="0"/>
              <w:rPr>
                <w:sz w:val="20"/>
                <w:szCs w:val="20"/>
                <w:color w:val="auto"/>
              </w:rPr>
            </w:pPr>
            <w:r>
              <w:rPr>
                <w:rFonts w:ascii="Arial" w:cs="Arial" w:eastAsia="Arial" w:hAnsi="Arial"/>
                <w:sz w:val="20"/>
                <w:szCs w:val="20"/>
                <w:color w:val="auto"/>
              </w:rPr>
              <w:t>June 30,</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3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2014</w:t>
            </w: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2013</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2014</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2013</w:t>
            </w:r>
          </w:p>
        </w:tc>
        <w:tc>
          <w:tcPr>
            <w:tcW w:w="100" w:type="dxa"/>
            <w:vAlign w:val="bottom"/>
            <w:tcBorders>
              <w:top w:val="single" w:sz="8" w:color="auto"/>
              <w:bottom w:val="single" w:sz="8" w:color="auto"/>
            </w:tcBorders>
          </w:tcPr>
          <w:p>
            <w:pPr>
              <w:spacing w:after="0"/>
              <w:rPr>
                <w:sz w:val="19"/>
                <w:szCs w:val="19"/>
                <w:color w:val="auto"/>
              </w:rPr>
            </w:pPr>
          </w:p>
        </w:tc>
      </w:tr>
      <w:tr>
        <w:trPr>
          <w:trHeight w:val="436"/>
        </w:trPr>
        <w:tc>
          <w:tcPr>
            <w:tcW w:w="460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3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687,199</w:t>
            </w:r>
          </w:p>
        </w:tc>
        <w:tc>
          <w:tcPr>
            <w:tcW w:w="280" w:type="dxa"/>
            <w:vAlign w:val="bottom"/>
          </w:tcPr>
          <w:p>
            <w:pPr>
              <w:spacing w:after="0"/>
              <w:rPr>
                <w:sz w:val="24"/>
                <w:szCs w:val="24"/>
                <w:color w:val="auto"/>
              </w:rPr>
            </w:pPr>
          </w:p>
        </w:tc>
        <w:tc>
          <w:tcPr>
            <w:tcW w:w="3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630,934</w:t>
            </w:r>
          </w:p>
        </w:tc>
        <w:tc>
          <w:tcPr>
            <w:tcW w:w="280" w:type="dxa"/>
            <w:vAlign w:val="bottom"/>
          </w:tcPr>
          <w:p>
            <w:pPr>
              <w:spacing w:after="0"/>
              <w:rPr>
                <w:sz w:val="24"/>
                <w:szCs w:val="24"/>
                <w:color w:val="auto"/>
              </w:rPr>
            </w:pPr>
          </w:p>
        </w:tc>
        <w:tc>
          <w:tcPr>
            <w:tcW w:w="3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1,223,329</w:t>
            </w:r>
          </w:p>
        </w:tc>
        <w:tc>
          <w:tcPr>
            <w:tcW w:w="280" w:type="dxa"/>
            <w:vAlign w:val="bottom"/>
          </w:tcPr>
          <w:p>
            <w:pPr>
              <w:spacing w:after="0"/>
              <w:rPr>
                <w:sz w:val="24"/>
                <w:szCs w:val="24"/>
                <w:color w:val="auto"/>
              </w:rPr>
            </w:pP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1,115,158</w:t>
            </w:r>
          </w:p>
        </w:tc>
        <w:tc>
          <w:tcPr>
            <w:tcW w:w="100" w:type="dxa"/>
            <w:vAlign w:val="bottom"/>
          </w:tcPr>
          <w:p>
            <w:pPr>
              <w:spacing w:after="0"/>
              <w:rPr>
                <w:sz w:val="24"/>
                <w:szCs w:val="24"/>
                <w:color w:val="auto"/>
              </w:rPr>
            </w:pPr>
          </w:p>
        </w:tc>
      </w:tr>
      <w:tr>
        <w:trPr>
          <w:trHeight w:val="246"/>
        </w:trPr>
        <w:tc>
          <w:tcPr>
            <w:tcW w:w="4600" w:type="dxa"/>
            <w:vAlign w:val="bottom"/>
            <w:gridSpan w:val="2"/>
          </w:tcPr>
          <w:p>
            <w:pPr>
              <w:spacing w:after="0"/>
              <w:rPr>
                <w:sz w:val="20"/>
                <w:szCs w:val="20"/>
                <w:color w:val="auto"/>
              </w:rPr>
            </w:pPr>
            <w:r>
              <w:rPr>
                <w:rFonts w:ascii="Arial" w:cs="Arial" w:eastAsia="Arial" w:hAnsi="Arial"/>
                <w:sz w:val="20"/>
                <w:szCs w:val="20"/>
                <w:color w:val="auto"/>
              </w:rPr>
              <w:t>Case sales (192-ounce case equivalents)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65,587</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61,615</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117,514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109,364</w:t>
            </w:r>
          </w:p>
        </w:tc>
        <w:tc>
          <w:tcPr>
            <w:tcW w:w="100" w:type="dxa"/>
            <w:vAlign w:val="bottom"/>
          </w:tcPr>
          <w:p>
            <w:pPr>
              <w:spacing w:after="0"/>
              <w:rPr>
                <w:sz w:val="21"/>
                <w:szCs w:val="21"/>
                <w:color w:val="auto"/>
              </w:rPr>
            </w:pPr>
          </w:p>
        </w:tc>
      </w:tr>
      <w:tr>
        <w:trPr>
          <w:trHeight w:val="223"/>
        </w:trPr>
        <w:tc>
          <w:tcPr>
            <w:tcW w:w="4600" w:type="dxa"/>
            <w:vAlign w:val="bottom"/>
            <w:gridSpan w:val="2"/>
          </w:tcPr>
          <w:p>
            <w:pPr>
              <w:spacing w:after="0" w:line="223" w:lineRule="exact"/>
              <w:rPr>
                <w:sz w:val="20"/>
                <w:szCs w:val="20"/>
                <w:color w:val="auto"/>
              </w:rPr>
            </w:pPr>
            <w:r>
              <w:rPr>
                <w:rFonts w:ascii="Arial" w:cs="Arial" w:eastAsia="Arial" w:hAnsi="Arial"/>
                <w:sz w:val="20"/>
                <w:szCs w:val="20"/>
                <w:color w:val="auto"/>
              </w:rPr>
              <w:t>Average net sales per case</w:t>
            </w:r>
          </w:p>
        </w:tc>
        <w:tc>
          <w:tcPr>
            <w:tcW w:w="36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10.48</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10.24</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10.41</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10.20</w:t>
            </w:r>
          </w:p>
        </w:tc>
        <w:tc>
          <w:tcPr>
            <w:tcW w:w="100" w:type="dxa"/>
            <w:vAlign w:val="bottom"/>
            <w:tcBorders>
              <w:bottom w:val="single" w:sz="8" w:color="auto"/>
            </w:tcBorders>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See Item 2, “Management’s Discussion and Analysis of Financial Condition and Results of Operations - Our Business” for additional information related to the increase in sales.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from the information provided in Item 7, “Management’s Discussion and Analysis of Financial Condition and Results of Operations”, included in our Form 10-K for the fiscal year ended December 31, 2013.</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9"/>
          <w:szCs w:val="19"/>
          <w:color w:val="auto"/>
        </w:rPr>
        <w:t>In June 2014, the Financial Accounting Standards Board (the “FASB”) issued Accounting Standards Update (“ASU”) No. 2014-12, “Compensation—Stock Compensation (Topic 718): Accounting for Share-Based Payments When the Terms of an Award Provide That a Performance Target Could Be Achieved after the Requisite Service Period (a consensus of the FASB Emerging Issues Task Force)”. ASU 2014-12 clarifies that a performance target that affects vesting and that could be 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ASU 2014-12 is effective for annual periods, and interim periods within those years, beginning after December 15, 2015. Early adoption is permitted.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The adoption of ASU 2014-12 is not expected to have a material impact on the Company’s financial position, results of operations or liquidity.</w:t>
      </w:r>
    </w:p>
    <w:p>
      <w:pPr>
        <w:sectPr>
          <w:pgSz w:w="11900" w:h="16838" w:orient="portrait"/>
          <w:cols w:equalWidth="0" w:num="1">
            <w:col w:w="11420"/>
          </w:cols>
          <w:pgMar w:left="240" w:top="108" w:right="239" w:bottom="0" w:gutter="0" w:footer="0" w:header="0"/>
        </w:sectPr>
      </w:pPr>
    </w:p>
    <w:bookmarkStart w:id="27" w:name="page28"/>
    <w:bookmarkEnd w:id="27"/>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2014-09 requires that a company recognize revenue at an amount that reflects the consideration to which the company expects to be entitled in exchange for transferring goods or services to a customer. In applying the new guidance, a company will</w:t>
      </w:r>
    </w:p>
    <w:p>
      <w:pPr>
        <w:spacing w:after="0" w:line="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identify the contract(s) with a customer; (2) identify the performance obligations in the contract; (3) determine the transaction price;</w:t>
      </w:r>
    </w:p>
    <w:p>
      <w:pPr>
        <w:spacing w:after="0" w:line="11" w:lineRule="exact"/>
        <w:rPr>
          <w:rFonts w:ascii="Arial" w:cs="Arial" w:eastAsia="Arial" w:hAnsi="Arial"/>
          <w:sz w:val="19"/>
          <w:szCs w:val="19"/>
          <w:color w:val="auto"/>
        </w:rPr>
      </w:pPr>
    </w:p>
    <w:p>
      <w:pPr>
        <w:jc w:val="both"/>
        <w:ind w:firstLine="8"/>
        <w:spacing w:after="0" w:line="241" w:lineRule="auto"/>
        <w:tabs>
          <w:tab w:leader="none" w:pos="317" w:val="left"/>
        </w:tabs>
        <w:numPr>
          <w:ilvl w:val="0"/>
          <w:numId w:val="29"/>
        </w:numPr>
        <w:rPr>
          <w:rFonts w:ascii="Arial" w:cs="Arial" w:eastAsia="Arial" w:hAnsi="Arial"/>
          <w:sz w:val="20"/>
          <w:szCs w:val="20"/>
          <w:color w:val="auto"/>
        </w:rPr>
      </w:pPr>
      <w:r>
        <w:rPr>
          <w:rFonts w:ascii="Arial" w:cs="Arial" w:eastAsia="Arial" w:hAnsi="Arial"/>
          <w:sz w:val="20"/>
          <w:szCs w:val="20"/>
          <w:color w:val="auto"/>
        </w:rPr>
        <w:t>allocate the transaction price to the contract’s performance obligations; and (5) recognize revenue when (or as) the entity satisfies a performance obligation. ASU 2014-09 is effective for reporting periods beginning after December 15, 2016 and can be adopted using either a full retrospective or modified approach. The Company is currently evaluating the impact of ASU 2014-09 on its financial position, results of operations and liquidity.</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April 2014, the FASB issued ASU No. 2014-08, “Presentation of Financial Statements and Property, Plant, and Equipment - Reporting Discontinued Operations and Disclosures of Disposals of Components of an Entity”. ASU 2014-08 provides new guidance related to the definition of a discontinued operation and requires new disclosures of both discontinued operations and certain other disposals that do not meet the definition of a discontinued operation. This new guidance is effective for fiscal years beginning on or after December 15, 2014 and interim periods within those years. The adoption of ASU 2014-08 is not expected to have a material impact on the Company’s financial position, results of operations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inflation did not have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340" w:right="60" w:hanging="332"/>
        <w:spacing w:after="0" w:line="247" w:lineRule="auto"/>
        <w:tabs>
          <w:tab w:leader="none" w:pos="308" w:val="left"/>
        </w:tabs>
        <w:numPr>
          <w:ilvl w:val="0"/>
          <w:numId w:val="30"/>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Lack of anticipated demand for our products in international markets;</w:t>
      </w:r>
    </w:p>
    <w:p>
      <w:pPr>
        <w:ind w:left="260" w:hanging="252"/>
        <w:spacing w:after="0"/>
        <w:tabs>
          <w:tab w:leader="none" w:pos="2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and/or trade restrictions;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left="340" w:hanging="332"/>
        <w:spacing w:after="0" w:line="243" w:lineRule="auto"/>
        <w:tabs>
          <w:tab w:leader="none" w:pos="32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attorneys general, the Federal Trade Commission (the “FTC”), the FDA, municipalities or city attorneys and/or other government agencies and/or quasi-government agencies and/or government officials, including members of Congress, into the advertising, marketing, promotion, ingredients, sale and/or consumption of our energy drink products, including voluntary changes to our business practices;</w:t>
      </w:r>
    </w:p>
    <w:p>
      <w:pPr>
        <w:spacing w:after="0" w:line="2" w:lineRule="exact"/>
        <w:rPr>
          <w:rFonts w:ascii="Arial" w:cs="Arial" w:eastAsia="Arial" w:hAnsi="Arial"/>
          <w:sz w:val="20"/>
          <w:szCs w:val="20"/>
          <w:color w:val="auto"/>
        </w:rPr>
      </w:pPr>
    </w:p>
    <w:p>
      <w:pPr>
        <w:ind w:left="280" w:hanging="272"/>
        <w:spacing w:after="0"/>
        <w:tabs>
          <w:tab w:leader="none" w:pos="2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achieve profitability from our operations outside the United States;</w:t>
      </w:r>
    </w:p>
    <w:p>
      <w:pPr>
        <w:ind w:left="340" w:right="20" w:hanging="332"/>
        <w:spacing w:after="0" w:line="239" w:lineRule="auto"/>
        <w:tabs>
          <w:tab w:leader="none" w:pos="416"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spacing w:after="0" w:line="22" w:lineRule="exact"/>
        <w:rPr>
          <w:rFonts w:ascii="Arial" w:cs="Arial" w:eastAsia="Arial" w:hAnsi="Arial"/>
          <w:sz w:val="18"/>
          <w:szCs w:val="18"/>
          <w:color w:val="auto"/>
        </w:rPr>
      </w:pPr>
    </w:p>
    <w:p>
      <w:pPr>
        <w:ind w:left="280" w:hanging="272"/>
        <w:spacing w:after="0"/>
        <w:tabs>
          <w:tab w:leader="none" w:pos="2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340" w:hanging="332"/>
        <w:spacing w:after="0" w:line="239" w:lineRule="auto"/>
        <w:tabs>
          <w:tab w:leader="none" w:pos="362"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340" w:hanging="332"/>
        <w:spacing w:after="0" w:line="239" w:lineRule="auto"/>
        <w:tabs>
          <w:tab w:leader="none" w:pos="362"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340" w:right="20" w:hanging="332"/>
        <w:spacing w:after="0" w:line="239" w:lineRule="auto"/>
        <w:tabs>
          <w:tab w:leader="none" w:pos="335"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outcome of shareholder securities litigation and/or shareholder derivative actions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possibility of future shareholder derivative actions or shareholder securities litigation filed against us;</w:t>
      </w:r>
    </w:p>
    <w:p>
      <w:pPr>
        <w:jc w:val="both"/>
        <w:ind w:left="340" w:hanging="332"/>
        <w:spacing w:after="0" w:line="241" w:lineRule="auto"/>
        <w:tabs>
          <w:tab w:leader="none" w:pos="308"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ectPr>
          <w:pgSz w:w="11900" w:h="16887" w:orient="portrait"/>
          <w:cols w:equalWidth="0" w:num="1">
            <w:col w:w="11420"/>
          </w:cols>
          <w:pgMar w:left="240" w:top="125" w:right="239" w:bottom="0" w:gutter="0" w:footer="0" w:header="0"/>
        </w:sectPr>
      </w:pPr>
    </w:p>
    <w:bookmarkStart w:id="28" w:name="page29"/>
    <w:bookmarkEnd w:id="28"/>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spacing w:after="0" w:line="16" w:lineRule="exact"/>
        <w:rPr>
          <w:rFonts w:ascii="Arial" w:cs="Arial" w:eastAsia="Arial" w:hAnsi="Arial"/>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 over financial reporting;</w:t>
      </w: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capital expansion plans and general operating activities;</w:t>
      </w:r>
    </w:p>
    <w:p>
      <w:pPr>
        <w:ind w:left="340" w:right="20" w:hanging="332"/>
        <w:spacing w:after="0" w:line="239" w:lineRule="auto"/>
        <w:tabs>
          <w:tab w:leader="none" w:pos="497"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and/or from decreased consumer discretionary spending power and/or from high gasoline prices;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demand that are weather related, particularly in areas outside of California;</w:t>
      </w:r>
    </w:p>
    <w:p>
      <w:pPr>
        <w:ind w:left="340" w:hanging="332"/>
        <w:spacing w:after="0" w:line="239" w:lineRule="auto"/>
        <w:tabs>
          <w:tab w:leader="none" w:pos="308"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240" w:hanging="232"/>
        <w:spacing w:after="0"/>
        <w:tabs>
          <w:tab w:leader="none" w:pos="2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340" w:hanging="332"/>
        <w:spacing w:after="0" w:line="239" w:lineRule="auto"/>
        <w:tabs>
          <w:tab w:leader="none" w:pos="295"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increase the sales of our Monster Energy® brand energy drinks and/or our Peace Tea® iced teas and/or our other products;</w:t>
      </w:r>
    </w:p>
    <w:p>
      <w:pPr>
        <w:spacing w:after="0" w:line="1" w:lineRule="exact"/>
        <w:rPr>
          <w:rFonts w:ascii="Arial" w:cs="Arial" w:eastAsia="Arial" w:hAnsi="Arial"/>
          <w:sz w:val="20"/>
          <w:szCs w:val="20"/>
          <w:color w:val="auto"/>
        </w:rPr>
      </w:pPr>
    </w:p>
    <w:p>
      <w:pPr>
        <w:jc w:val="both"/>
        <w:ind w:left="340" w:hanging="332"/>
        <w:spacing w:after="0" w:line="266" w:lineRule="auto"/>
        <w:tabs>
          <w:tab w:leader="none" w:pos="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or impose age restrictions for the sale of energy drinks;</w:t>
      </w:r>
    </w:p>
    <w:p>
      <w:pPr>
        <w:jc w:val="both"/>
        <w:ind w:left="340" w:hanging="332"/>
        <w:spacing w:after="0" w:line="256" w:lineRule="auto"/>
        <w:tabs>
          <w:tab w:leader="none" w:pos="322" w:val="left"/>
        </w:tabs>
        <w:numPr>
          <w:ilvl w:val="0"/>
          <w:numId w:val="32"/>
        </w:numPr>
        <w:rPr>
          <w:rFonts w:ascii="Arial" w:cs="Arial" w:eastAsia="Arial" w:hAnsi="Arial"/>
          <w:sz w:val="19"/>
          <w:szCs w:val="19"/>
          <w:color w:val="auto"/>
        </w:rPr>
      </w:pPr>
      <w:r>
        <w:rPr>
          <w:rFonts w:ascii="Arial" w:cs="Arial" w:eastAsia="Arial" w:hAnsi="Arial"/>
          <w:sz w:val="19"/>
          <w:szCs w:val="19"/>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and/or sales and/or other taxes on our products and revised tax law interpretations) and environmental laws, as well as the FFDC Act, including as amended by the Dietary Supplement Health and Education Act, and regulations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left="340"/>
        <w:spacing w:after="0" w:line="242" w:lineRule="auto"/>
        <w:rPr>
          <w:sz w:val="20"/>
          <w:szCs w:val="20"/>
          <w:color w:val="auto"/>
        </w:rPr>
      </w:pPr>
      <w:r>
        <w:rPr>
          <w:rFonts w:ascii="Arial" w:cs="Arial" w:eastAsia="Arial" w:hAnsi="Arial"/>
          <w:sz w:val="20"/>
          <w:szCs w:val="20"/>
          <w:color w:val="auto"/>
        </w:rPr>
        <w:t>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 as well as laws and regulations or rules made or enforced by the FDA, and/or the Bureau of Alcohol, Tobacco and Firearms and Explosives, and/or the Federal Trade Commission;</w:t>
      </w:r>
    </w:p>
    <w:p>
      <w:pPr>
        <w:spacing w:after="0" w:line="2" w:lineRule="exact"/>
        <w:rPr>
          <w:sz w:val="20"/>
          <w:szCs w:val="20"/>
          <w:color w:val="auto"/>
        </w:rPr>
      </w:pPr>
    </w:p>
    <w:p>
      <w:pPr>
        <w:ind w:left="340" w:right="20" w:hanging="332"/>
        <w:spacing w:after="0" w:line="252" w:lineRule="auto"/>
        <w:tabs>
          <w:tab w:leader="none" w:pos="295" w:val="left"/>
        </w:tabs>
        <w:numPr>
          <w:ilvl w:val="0"/>
          <w:numId w:val="33"/>
        </w:numPr>
        <w:rPr>
          <w:rFonts w:ascii="Arial" w:cs="Arial" w:eastAsia="Arial" w:hAnsi="Arial"/>
          <w:sz w:val="19"/>
          <w:szCs w:val="19"/>
          <w:color w:val="auto"/>
        </w:rPr>
      </w:pPr>
      <w:r>
        <w:rPr>
          <w:rFonts w:ascii="Arial" w:cs="Arial" w:eastAsia="Arial" w:hAnsi="Arial"/>
          <w:sz w:val="19"/>
          <w:szCs w:val="19"/>
          <w:color w:val="auto"/>
        </w:rPr>
        <w:t>Our ability to satisfy all criteria set forth in any model energy drink guidelines, including, without limitation, those adopted by the American Beverage Association, of which the Company is a member, and the impact on the Company of such guidelines;</w:t>
      </w: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effect of unfavorable press and/or articles, comments and/or media attention;</w:t>
      </w:r>
    </w:p>
    <w:p>
      <w:pPr>
        <w:jc w:val="both"/>
        <w:ind w:left="340" w:hanging="332"/>
        <w:spacing w:after="0" w:line="239" w:lineRule="auto"/>
        <w:tabs>
          <w:tab w:leader="none" w:pos="308" w:val="left"/>
        </w:tabs>
        <w:numPr>
          <w:ilvl w:val="0"/>
          <w:numId w:val="33"/>
        </w:numPr>
        <w:rPr>
          <w:rFonts w:ascii="Arial" w:cs="Arial" w:eastAsia="Arial" w:hAnsi="Arial"/>
          <w:sz w:val="20"/>
          <w:szCs w:val="20"/>
          <w:color w:val="auto"/>
        </w:rPr>
      </w:pPr>
      <w:r>
        <w:rPr>
          <w:rFonts w:ascii="Arial" w:cs="Arial" w:eastAsia="Arial" w:hAnsi="Arial"/>
          <w:sz w:val="20"/>
          <w:szCs w:val="20"/>
          <w:color w:val="auto"/>
        </w:rPr>
        <w:t>Changes in the cost, quality and availability of containers, packaging materials, raw materials,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Arial" w:cs="Arial" w:eastAsia="Arial" w:hAnsi="Arial"/>
          <w:sz w:val="20"/>
          <w:szCs w:val="20"/>
          <w:color w:val="auto"/>
        </w:rPr>
      </w:pPr>
    </w:p>
    <w:p>
      <w:pPr>
        <w:ind w:left="340" w:hanging="332"/>
        <w:spacing w:after="0" w:line="239" w:lineRule="auto"/>
        <w:tabs>
          <w:tab w:leader="none" w:pos="443"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the increasing costs of fuel and/or raw materials and/or ingredients and/or commodities affecting our business;</w:t>
      </w:r>
    </w:p>
    <w:p>
      <w:pPr>
        <w:spacing w:after="0" w:line="1" w:lineRule="exact"/>
        <w:rPr>
          <w:rFonts w:ascii="Arial" w:cs="Arial" w:eastAsia="Arial" w:hAnsi="Arial"/>
          <w:sz w:val="20"/>
          <w:szCs w:val="20"/>
          <w:color w:val="auto"/>
        </w:rPr>
      </w:pPr>
    </w:p>
    <w:p>
      <w:pPr>
        <w:jc w:val="both"/>
        <w:ind w:left="340" w:right="20" w:hanging="332"/>
        <w:spacing w:after="0" w:line="239" w:lineRule="auto"/>
        <w:tabs>
          <w:tab w:leader="none" w:pos="295"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20"/>
          <w:szCs w:val="20"/>
          <w:color w:val="auto"/>
        </w:rPr>
      </w:pPr>
    </w:p>
    <w:p>
      <w:pPr>
        <w:ind w:left="340" w:hanging="332"/>
        <w:spacing w:after="0" w:line="239" w:lineRule="auto"/>
        <w:tabs>
          <w:tab w:leader="none" w:pos="349"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secure and/or retain competent and/or effective distributors internationally;</w:t>
      </w:r>
    </w:p>
    <w:p>
      <w:pPr>
        <w:ind w:left="340" w:right="20" w:hanging="332"/>
        <w:spacing w:after="0" w:line="239" w:lineRule="auto"/>
        <w:tabs>
          <w:tab w:leader="none" w:pos="36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of distributors of our products, most of which distribute products that are competitive with our products;</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524" w:val="left"/>
        </w:tabs>
        <w:numPr>
          <w:ilvl w:val="0"/>
          <w:numId w:val="33"/>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Changes in product category consumption;</w:t>
      </w:r>
    </w:p>
    <w:p>
      <w:pPr>
        <w:ind w:left="260" w:hanging="234"/>
        <w:spacing w:after="0"/>
        <w:tabs>
          <w:tab w:leader="none" w:pos="260" w:val="left"/>
        </w:tabs>
        <w:numPr>
          <w:ilvl w:val="1"/>
          <w:numId w:val="33"/>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340" w:hanging="332"/>
        <w:spacing w:after="0" w:line="239" w:lineRule="auto"/>
        <w:tabs>
          <w:tab w:leader="none" w:pos="308"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co-packing of any of our products both domestically and internationally and/or the timely replacement of discontinued co-packing arrangements;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procurement of non-defective raw materials;</w:t>
      </w:r>
    </w:p>
    <w:p>
      <w:pPr>
        <w:ind w:left="340" w:hanging="332"/>
        <w:spacing w:after="0" w:line="239" w:lineRule="auto"/>
        <w:tabs>
          <w:tab w:leader="none" w:pos="362"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ind w:left="340" w:hanging="332"/>
        <w:spacing w:after="0" w:line="239" w:lineRule="auto"/>
        <w:tabs>
          <w:tab w:leader="none" w:pos="308" w:val="left"/>
        </w:tabs>
        <w:numPr>
          <w:ilvl w:val="0"/>
          <w:numId w:val="33"/>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failure of our bottlers and contract packers to manufacture our products on a timely basis or at all;</w:t>
      </w: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40" w:hanging="332"/>
        <w:spacing w:after="0" w:line="239" w:lineRule="auto"/>
        <w:tabs>
          <w:tab w:leader="none" w:pos="412"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that disrupts our business or negatively impacts customer relationships; and</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ectPr>
          <w:pgSz w:w="11900" w:h="16838" w:orient="portrait"/>
          <w:cols w:equalWidth="0" w:num="1">
            <w:col w:w="11420"/>
          </w:cols>
          <w:pgMar w:left="240" w:top="121" w:right="239" w:bottom="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1" w:right="239" w:bottom="0" w:gutter="0" w:footer="0" w:header="0"/>
          <w:type w:val="continuous"/>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foregoing list of important factors and other risks detailed from time to time in our reports filed with the SEC is not exhaustive. See the section entitled “Risk Factors” in our Form 10-K for the fiscal year ended December 31, 2013,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Currency Exchange Rate Risk</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gross sales to customers outside of the United States were approximately 23% of consolidated gross sales for both the three- and six-months ended June 30, 2014. Our growth strategy includes expanding our international business. As a result, we are subject to risks from changes in foreign currency exchange rates. During the three- and six-months ended June 30, 2014,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June 30, 2014 have terms of one month or less. We do not enter into forward currency exchange contracts for speculation or trading purposes.</w:t>
      </w:r>
    </w:p>
    <w:p>
      <w:pPr>
        <w:spacing w:after="0" w:line="20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We have not designated our foreign currency exchange contracts as hedge transactions under ASC 815. Therefore, gains and losses on our foreign currency exchange contracts are recognized in interest and other income (expense), net, in the condensed consolidated statements of income, and are largely offset by the changes in the fair value of the underlying economically hedged item. We do not consider the potential loss resulting from a hypothetical 10% adverse change in quoted foreign currency exchange rates as of June 30, 2014 to be significant.</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There have been no additional material changes in our market risk during the three- and six-months ended June 30, 2014 compared with the disclosures in Part II, Item 7A of our Annual Report on Form 10-K for the year ended December 31, 2013.</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 Company’s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June 30, 2014, that have materially affected, or are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information required by this Item is incorporated herein by reference to the Notes to Condensed Consolidated Financial Statements —Note 10. Commitments and Contingencies: Legal Proceedings in Part I, Item 1, of this Quarterly Report on Form 10-Q.</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Our Risk Factors are discussed in our Annual Report on Form 10-K for the fiscal year ended December 31, 2013. There have been no material changes with respect to the risk factors disclosed in our Annual Report on Form 10-K for the period ended December 31, 2013.</w:t>
      </w:r>
    </w:p>
    <w:p>
      <w:pPr>
        <w:spacing w:after="0" w:line="138"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During the three-months ended June 30, 2014, 586 shares were purchased from employees in lieu of cash payments for options exercised or withholding taxes due for a total amount of $0.04 million. While such purchases are considered common stock repurchases, they</w:t>
      </w:r>
    </w:p>
    <w:p>
      <w:pPr>
        <w:sectPr>
          <w:pgSz w:w="11900" w:h="16858" w:orient="portrait"/>
          <w:cols w:equalWidth="0" w:num="1">
            <w:col w:w="11420"/>
          </w:cols>
          <w:pgMar w:left="240" w:top="514" w:right="239" w:bottom="0" w:gutter="0" w:footer="0" w:header="0"/>
        </w:sectPr>
      </w:pPr>
    </w:p>
    <w:bookmarkStart w:id="30" w:name="page31"/>
    <w:bookmarkEnd w:id="30"/>
    <w:p>
      <w:pPr>
        <w:spacing w:after="0"/>
        <w:rPr>
          <w:sz w:val="20"/>
          <w:szCs w:val="20"/>
          <w:color w:val="auto"/>
        </w:rPr>
      </w:pPr>
      <w:r>
        <w:rPr>
          <w:rFonts w:ascii="Arial" w:cs="Arial" w:eastAsia="Arial" w:hAnsi="Arial"/>
          <w:sz w:val="20"/>
          <w:szCs w:val="20"/>
          <w:color w:val="auto"/>
        </w:rPr>
        <w:t>are not counted as purchases against our authorized share repurchase program, including the April 2013 Repurchase Plan.</w:t>
      </w:r>
    </w:p>
    <w:p>
      <w:pPr>
        <w:spacing w:after="0" w:line="224"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18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10120" w:type="dxa"/>
            <w:vAlign w:val="bottom"/>
          </w:tcPr>
          <w:p>
            <w:pPr>
              <w:ind w:left="60"/>
              <w:spacing w:after="0"/>
              <w:rPr>
                <w:sz w:val="20"/>
                <w:szCs w:val="20"/>
                <w:color w:val="auto"/>
              </w:rPr>
            </w:pPr>
            <w:r>
              <w:rPr>
                <w:rFonts w:ascii="Arial" w:cs="Arial" w:eastAsia="Arial" w:hAnsi="Arial"/>
                <w:sz w:val="20"/>
                <w:szCs w:val="20"/>
                <w:b w:val="1"/>
                <w:bCs w:val="1"/>
                <w:color w:val="auto"/>
              </w:rPr>
              <w:t>OTHER INFORMATION</w:t>
            </w:r>
          </w:p>
        </w:tc>
      </w:tr>
      <w:tr>
        <w:trPr>
          <w:trHeight w:val="459"/>
        </w:trPr>
        <w:tc>
          <w:tcPr>
            <w:tcW w:w="1180" w:type="dxa"/>
            <w:vAlign w:val="bottom"/>
          </w:tcPr>
          <w:p>
            <w:pPr>
              <w:ind w:left="660"/>
              <w:spacing w:after="0"/>
              <w:rPr>
                <w:sz w:val="20"/>
                <w:szCs w:val="20"/>
                <w:color w:val="auto"/>
              </w:rPr>
            </w:pPr>
            <w:r>
              <w:rPr>
                <w:rFonts w:ascii="Arial" w:cs="Arial" w:eastAsia="Arial" w:hAnsi="Arial"/>
                <w:sz w:val="20"/>
                <w:szCs w:val="20"/>
                <w:color w:val="auto"/>
                <w:w w:val="93"/>
              </w:rPr>
              <w:t>None.</w:t>
            </w:r>
          </w:p>
        </w:tc>
        <w:tc>
          <w:tcPr>
            <w:tcW w:w="10120" w:type="dxa"/>
            <w:vAlign w:val="bottom"/>
          </w:tcPr>
          <w:p>
            <w:pPr>
              <w:spacing w:after="0"/>
              <w:rPr>
                <w:sz w:val="24"/>
                <w:szCs w:val="24"/>
                <w:color w:val="auto"/>
              </w:rPr>
            </w:pPr>
          </w:p>
        </w:tc>
      </w:tr>
      <w:tr>
        <w:trPr>
          <w:trHeight w:val="459"/>
        </w:trPr>
        <w:tc>
          <w:tcPr>
            <w:tcW w:w="118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120" w:type="dxa"/>
            <w:vAlign w:val="bottom"/>
          </w:tcPr>
          <w:p>
            <w:pPr>
              <w:ind w:left="60"/>
              <w:spacing w:after="0"/>
              <w:rPr>
                <w:sz w:val="20"/>
                <w:szCs w:val="20"/>
                <w:color w:val="auto"/>
              </w:rPr>
            </w:pPr>
            <w:r>
              <w:rPr>
                <w:rFonts w:ascii="Arial" w:cs="Arial" w:eastAsia="Arial" w:hAnsi="Arial"/>
                <w:sz w:val="20"/>
                <w:szCs w:val="20"/>
                <w:b w:val="1"/>
                <w:bCs w:val="1"/>
                <w:color w:val="auto"/>
              </w:rPr>
              <w:t>EXHIBITS</w:t>
            </w:r>
          </w:p>
        </w:tc>
      </w:tr>
      <w:tr>
        <w:trPr>
          <w:trHeight w:val="459"/>
        </w:trPr>
        <w:tc>
          <w:tcPr>
            <w:tcW w:w="1180" w:type="dxa"/>
            <w:vAlign w:val="bottom"/>
          </w:tcPr>
          <w:p>
            <w:pPr>
              <w:spacing w:after="0"/>
              <w:rPr>
                <w:sz w:val="20"/>
                <w:szCs w:val="20"/>
                <w:color w:val="auto"/>
              </w:rPr>
            </w:pPr>
            <w:r>
              <w:rPr>
                <w:rFonts w:ascii="Arial" w:cs="Arial" w:eastAsia="Arial" w:hAnsi="Arial"/>
                <w:sz w:val="20"/>
                <w:szCs w:val="20"/>
                <w:color w:val="auto"/>
              </w:rPr>
              <w:t>31.1*</w:t>
            </w:r>
          </w:p>
        </w:tc>
        <w:tc>
          <w:tcPr>
            <w:tcW w:w="10120" w:type="dxa"/>
            <w:vAlign w:val="bottom"/>
          </w:tcPr>
          <w:p>
            <w:pPr>
              <w:ind w:left="380"/>
              <w:spacing w:after="0"/>
              <w:rPr>
                <w:sz w:val="20"/>
                <w:szCs w:val="20"/>
                <w:color w:val="auto"/>
              </w:rPr>
            </w:pPr>
            <w:r>
              <w:rPr>
                <w:rFonts w:ascii="Arial" w:cs="Arial" w:eastAsia="Arial" w:hAnsi="Arial"/>
                <w:sz w:val="20"/>
                <w:szCs w:val="20"/>
                <w:color w:val="auto"/>
              </w:rPr>
              <w:t>Certification of Chief Executive Officer Pursuant to Section 302 of the Sarbanes- Oxley Act of 2002</w:t>
            </w:r>
          </w:p>
        </w:tc>
      </w:tr>
      <w:tr>
        <w:trPr>
          <w:trHeight w:val="459"/>
        </w:trPr>
        <w:tc>
          <w:tcPr>
            <w:tcW w:w="1180" w:type="dxa"/>
            <w:vAlign w:val="bottom"/>
          </w:tcPr>
          <w:p>
            <w:pPr>
              <w:spacing w:after="0"/>
              <w:rPr>
                <w:sz w:val="20"/>
                <w:szCs w:val="20"/>
                <w:color w:val="auto"/>
              </w:rPr>
            </w:pPr>
            <w:r>
              <w:rPr>
                <w:rFonts w:ascii="Arial" w:cs="Arial" w:eastAsia="Arial" w:hAnsi="Arial"/>
                <w:sz w:val="20"/>
                <w:szCs w:val="20"/>
                <w:color w:val="auto"/>
              </w:rPr>
              <w:t>31.2*</w:t>
            </w:r>
          </w:p>
        </w:tc>
        <w:tc>
          <w:tcPr>
            <w:tcW w:w="10120" w:type="dxa"/>
            <w:vAlign w:val="bottom"/>
          </w:tcPr>
          <w:p>
            <w:pPr>
              <w:ind w:left="380"/>
              <w:spacing w:after="0"/>
              <w:rPr>
                <w:sz w:val="20"/>
                <w:szCs w:val="20"/>
                <w:color w:val="auto"/>
              </w:rPr>
            </w:pPr>
            <w:r>
              <w:rPr>
                <w:rFonts w:ascii="Arial" w:cs="Arial" w:eastAsia="Arial" w:hAnsi="Arial"/>
                <w:sz w:val="20"/>
                <w:szCs w:val="20"/>
                <w:color w:val="auto"/>
              </w:rPr>
              <w:t>Certification of Chief Financial Officer Pursuant to Section 302 of the Sarbanes- Oxley Act of 2002</w:t>
            </w:r>
          </w:p>
        </w:tc>
      </w:tr>
      <w:tr>
        <w:trPr>
          <w:trHeight w:val="438"/>
        </w:trPr>
        <w:tc>
          <w:tcPr>
            <w:tcW w:w="1180" w:type="dxa"/>
            <w:vAlign w:val="bottom"/>
          </w:tcPr>
          <w:p>
            <w:pPr>
              <w:spacing w:after="0"/>
              <w:rPr>
                <w:sz w:val="20"/>
                <w:szCs w:val="20"/>
                <w:color w:val="auto"/>
              </w:rPr>
            </w:pPr>
            <w:r>
              <w:rPr>
                <w:rFonts w:ascii="Arial" w:cs="Arial" w:eastAsia="Arial" w:hAnsi="Arial"/>
                <w:sz w:val="20"/>
                <w:szCs w:val="20"/>
                <w:color w:val="auto"/>
              </w:rPr>
              <w:t>32.1*</w:t>
            </w:r>
          </w:p>
        </w:tc>
        <w:tc>
          <w:tcPr>
            <w:tcW w:w="10120" w:type="dxa"/>
            <w:vAlign w:val="bottom"/>
          </w:tcPr>
          <w:p>
            <w:pPr>
              <w:ind w:left="380"/>
              <w:spacing w:after="0"/>
              <w:rPr>
                <w:sz w:val="20"/>
                <w:szCs w:val="20"/>
                <w:color w:val="auto"/>
              </w:rPr>
            </w:pPr>
            <w:r>
              <w:rPr>
                <w:rFonts w:ascii="Arial" w:cs="Arial" w:eastAsia="Arial" w:hAnsi="Arial"/>
                <w:sz w:val="20"/>
                <w:szCs w:val="20"/>
                <w:color w:val="auto"/>
                <w:w w:val="92"/>
              </w:rPr>
              <w:t>Certification of Chief Executive Officer Pursuant to 18 U.S.C. Section 1350, as Adopted Pursuant to Section 906 of the</w:t>
            </w:r>
          </w:p>
        </w:tc>
      </w:tr>
      <w:tr>
        <w:trPr>
          <w:trHeight w:val="250"/>
        </w:trPr>
        <w:tc>
          <w:tcPr>
            <w:tcW w:w="1180" w:type="dxa"/>
            <w:vAlign w:val="bottom"/>
          </w:tcPr>
          <w:p>
            <w:pPr>
              <w:spacing w:after="0"/>
              <w:rPr>
                <w:sz w:val="21"/>
                <w:szCs w:val="21"/>
                <w:color w:val="auto"/>
              </w:rPr>
            </w:pPr>
          </w:p>
        </w:tc>
        <w:tc>
          <w:tcPr>
            <w:tcW w:w="10120" w:type="dxa"/>
            <w:vAlign w:val="bottom"/>
          </w:tcPr>
          <w:p>
            <w:pPr>
              <w:ind w:left="380"/>
              <w:spacing w:after="0"/>
              <w:rPr>
                <w:sz w:val="20"/>
                <w:szCs w:val="20"/>
                <w:color w:val="auto"/>
              </w:rPr>
            </w:pPr>
            <w:r>
              <w:rPr>
                <w:rFonts w:ascii="Arial" w:cs="Arial" w:eastAsia="Arial" w:hAnsi="Arial"/>
                <w:sz w:val="20"/>
                <w:szCs w:val="20"/>
                <w:color w:val="auto"/>
              </w:rPr>
              <w:t>Sarbanes-Oxley Act of 2002</w:t>
            </w:r>
          </w:p>
        </w:tc>
      </w:tr>
      <w:tr>
        <w:trPr>
          <w:trHeight w:val="438"/>
        </w:trPr>
        <w:tc>
          <w:tcPr>
            <w:tcW w:w="1180" w:type="dxa"/>
            <w:vAlign w:val="bottom"/>
          </w:tcPr>
          <w:p>
            <w:pPr>
              <w:spacing w:after="0"/>
              <w:rPr>
                <w:sz w:val="20"/>
                <w:szCs w:val="20"/>
                <w:color w:val="auto"/>
              </w:rPr>
            </w:pPr>
            <w:r>
              <w:rPr>
                <w:rFonts w:ascii="Arial" w:cs="Arial" w:eastAsia="Arial" w:hAnsi="Arial"/>
                <w:sz w:val="20"/>
                <w:szCs w:val="20"/>
                <w:color w:val="auto"/>
              </w:rPr>
              <w:t>32.2*</w:t>
            </w:r>
          </w:p>
        </w:tc>
        <w:tc>
          <w:tcPr>
            <w:tcW w:w="10120" w:type="dxa"/>
            <w:vAlign w:val="bottom"/>
          </w:tcPr>
          <w:p>
            <w:pPr>
              <w:ind w:left="380"/>
              <w:spacing w:after="0"/>
              <w:rPr>
                <w:sz w:val="20"/>
                <w:szCs w:val="20"/>
                <w:color w:val="auto"/>
              </w:rPr>
            </w:pPr>
            <w:r>
              <w:rPr>
                <w:rFonts w:ascii="Arial" w:cs="Arial" w:eastAsia="Arial" w:hAnsi="Arial"/>
                <w:sz w:val="20"/>
                <w:szCs w:val="20"/>
                <w:color w:val="auto"/>
                <w:w w:val="93"/>
              </w:rPr>
              <w:t>Certification by Chief Financial Officer Pursuant to 18 U.S.C. Section 1350, as Adopted Pursuant to Section 906 of the</w:t>
            </w:r>
          </w:p>
        </w:tc>
      </w:tr>
      <w:tr>
        <w:trPr>
          <w:trHeight w:val="250"/>
        </w:trPr>
        <w:tc>
          <w:tcPr>
            <w:tcW w:w="1180" w:type="dxa"/>
            <w:vAlign w:val="bottom"/>
          </w:tcPr>
          <w:p>
            <w:pPr>
              <w:spacing w:after="0"/>
              <w:rPr>
                <w:sz w:val="21"/>
                <w:szCs w:val="21"/>
                <w:color w:val="auto"/>
              </w:rPr>
            </w:pPr>
          </w:p>
        </w:tc>
        <w:tc>
          <w:tcPr>
            <w:tcW w:w="10120" w:type="dxa"/>
            <w:vAlign w:val="bottom"/>
          </w:tcPr>
          <w:p>
            <w:pPr>
              <w:ind w:left="380"/>
              <w:spacing w:after="0"/>
              <w:rPr>
                <w:sz w:val="20"/>
                <w:szCs w:val="20"/>
                <w:color w:val="auto"/>
              </w:rPr>
            </w:pPr>
            <w:r>
              <w:rPr>
                <w:rFonts w:ascii="Arial" w:cs="Arial" w:eastAsia="Arial" w:hAnsi="Arial"/>
                <w:sz w:val="20"/>
                <w:szCs w:val="20"/>
                <w:color w:val="auto"/>
              </w:rPr>
              <w:t>Sarbanes-Oxley Act of 2002</w:t>
            </w:r>
          </w:p>
        </w:tc>
      </w:tr>
      <w:tr>
        <w:trPr>
          <w:trHeight w:val="438"/>
        </w:trPr>
        <w:tc>
          <w:tcPr>
            <w:tcW w:w="1180" w:type="dxa"/>
            <w:vAlign w:val="bottom"/>
          </w:tcPr>
          <w:p>
            <w:pPr>
              <w:spacing w:after="0"/>
              <w:rPr>
                <w:sz w:val="20"/>
                <w:szCs w:val="20"/>
                <w:color w:val="auto"/>
              </w:rPr>
            </w:pPr>
            <w:r>
              <w:rPr>
                <w:rFonts w:ascii="Arial" w:cs="Arial" w:eastAsia="Arial" w:hAnsi="Arial"/>
                <w:sz w:val="20"/>
                <w:szCs w:val="20"/>
                <w:color w:val="auto"/>
              </w:rPr>
              <w:t>101*</w:t>
            </w:r>
          </w:p>
        </w:tc>
        <w:tc>
          <w:tcPr>
            <w:tcW w:w="10120" w:type="dxa"/>
            <w:vAlign w:val="bottom"/>
          </w:tcPr>
          <w:p>
            <w:pPr>
              <w:ind w:left="380"/>
              <w:spacing w:after="0"/>
              <w:rPr>
                <w:sz w:val="20"/>
                <w:szCs w:val="20"/>
                <w:color w:val="auto"/>
              </w:rPr>
            </w:pPr>
            <w:r>
              <w:rPr>
                <w:rFonts w:ascii="Arial" w:cs="Arial" w:eastAsia="Arial" w:hAnsi="Arial"/>
                <w:sz w:val="20"/>
                <w:szCs w:val="20"/>
                <w:color w:val="auto"/>
                <w:w w:val="92"/>
              </w:rPr>
              <w:t>The following financial information from Monster Beverage Corporation’s Quarterly Report on Form 10-Q for the quarter</w:t>
            </w:r>
          </w:p>
        </w:tc>
      </w:tr>
      <w:tr>
        <w:trPr>
          <w:trHeight w:val="230"/>
        </w:trPr>
        <w:tc>
          <w:tcPr>
            <w:tcW w:w="1180" w:type="dxa"/>
            <w:vAlign w:val="bottom"/>
          </w:tcPr>
          <w:p>
            <w:pPr>
              <w:spacing w:after="0"/>
              <w:rPr>
                <w:sz w:val="19"/>
                <w:szCs w:val="19"/>
                <w:color w:val="auto"/>
              </w:rPr>
            </w:pPr>
          </w:p>
        </w:tc>
        <w:tc>
          <w:tcPr>
            <w:tcW w:w="10120" w:type="dxa"/>
            <w:vAlign w:val="bottom"/>
          </w:tcPr>
          <w:p>
            <w:pPr>
              <w:ind w:left="380"/>
              <w:spacing w:after="0"/>
              <w:rPr>
                <w:sz w:val="20"/>
                <w:szCs w:val="20"/>
                <w:color w:val="auto"/>
              </w:rPr>
            </w:pPr>
            <w:r>
              <w:rPr>
                <w:rFonts w:ascii="Arial" w:cs="Arial" w:eastAsia="Arial" w:hAnsi="Arial"/>
                <w:sz w:val="20"/>
                <w:szCs w:val="20"/>
                <w:color w:val="auto"/>
                <w:w w:val="89"/>
              </w:rPr>
              <w:t>ended June 30, 2014, formatted in XBRL (eXtensible Business Reporting Language): (i) Condensed Consolidated Balance</w:t>
            </w:r>
          </w:p>
        </w:tc>
      </w:tr>
      <w:tr>
        <w:trPr>
          <w:trHeight w:val="246"/>
        </w:trPr>
        <w:tc>
          <w:tcPr>
            <w:tcW w:w="1180" w:type="dxa"/>
            <w:vAlign w:val="bottom"/>
          </w:tcPr>
          <w:p>
            <w:pPr>
              <w:spacing w:after="0"/>
              <w:rPr>
                <w:sz w:val="21"/>
                <w:szCs w:val="21"/>
                <w:color w:val="auto"/>
              </w:rPr>
            </w:pPr>
          </w:p>
        </w:tc>
        <w:tc>
          <w:tcPr>
            <w:tcW w:w="10120" w:type="dxa"/>
            <w:vAlign w:val="bottom"/>
          </w:tcPr>
          <w:p>
            <w:pPr>
              <w:ind w:left="380"/>
              <w:spacing w:after="0"/>
              <w:rPr>
                <w:sz w:val="20"/>
                <w:szCs w:val="20"/>
                <w:color w:val="auto"/>
              </w:rPr>
            </w:pPr>
            <w:r>
              <w:rPr>
                <w:rFonts w:ascii="Arial" w:cs="Arial" w:eastAsia="Arial" w:hAnsi="Arial"/>
                <w:sz w:val="20"/>
                <w:szCs w:val="20"/>
                <w:color w:val="auto"/>
                <w:w w:val="89"/>
              </w:rPr>
              <w:t>Sheets as of June 30, 2014 and December 31, 2013, (ii) Condensed Consolidated Statements of Income for the three- and</w:t>
            </w:r>
          </w:p>
        </w:tc>
      </w:tr>
    </w:tbl>
    <w:p>
      <w:pPr>
        <w:ind w:left="1560" w:right="120"/>
        <w:spacing w:after="0" w:line="282" w:lineRule="auto"/>
        <w:rPr>
          <w:sz w:val="20"/>
          <w:szCs w:val="20"/>
          <w:color w:val="auto"/>
        </w:rPr>
      </w:pPr>
      <w:r>
        <w:rPr>
          <w:rFonts w:ascii="Arial" w:cs="Arial" w:eastAsia="Arial" w:hAnsi="Arial"/>
          <w:sz w:val="18"/>
          <w:szCs w:val="18"/>
          <w:color w:val="auto"/>
        </w:rPr>
        <w:t>six-months ended June 30, 2014 and 2013, (iii) Condensed Consolidated Statements of Comprehensive Income for the three- and six-months ended June 30, 2014 and 2013, (iv) Condensed Consolidated Statements of Cash Flows for the three-and six-months ended June 30, 2014 and 2013, and (v) the Notes to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20"/>
                <w:szCs w:val="20"/>
                <w:color w:val="auto"/>
              </w:rPr>
              <w:t>MONSTER BEVERAGE CORPORATION</w:t>
            </w:r>
          </w:p>
        </w:tc>
      </w:tr>
      <w:tr>
        <w:trPr>
          <w:trHeight w:val="250"/>
        </w:trPr>
        <w:tc>
          <w:tcPr>
            <w:tcW w:w="36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20"/>
                <w:szCs w:val="20"/>
                <w:color w:val="auto"/>
              </w:rPr>
              <w:t>Registrant</w:t>
            </w:r>
          </w:p>
        </w:tc>
      </w:tr>
      <w:tr>
        <w:trPr>
          <w:trHeight w:val="644"/>
        </w:trPr>
        <w:tc>
          <w:tcPr>
            <w:tcW w:w="3660" w:type="dxa"/>
            <w:vAlign w:val="bottom"/>
          </w:tcPr>
          <w:p>
            <w:pPr>
              <w:spacing w:after="0"/>
              <w:rPr>
                <w:sz w:val="20"/>
                <w:szCs w:val="20"/>
                <w:color w:val="auto"/>
              </w:rPr>
            </w:pPr>
            <w:r>
              <w:rPr>
                <w:rFonts w:ascii="Arial" w:cs="Arial" w:eastAsia="Arial" w:hAnsi="Arial"/>
                <w:sz w:val="20"/>
                <w:szCs w:val="20"/>
                <w:color w:val="auto"/>
              </w:rPr>
              <w:t>Date: August 8, 2014</w:t>
            </w:r>
          </w:p>
        </w:tc>
        <w:tc>
          <w:tcPr>
            <w:tcW w:w="2440" w:type="dxa"/>
            <w:vAlign w:val="bottom"/>
          </w:tcPr>
          <w:p>
            <w:pPr>
              <w:spacing w:after="0"/>
              <w:rPr>
                <w:sz w:val="24"/>
                <w:szCs w:val="24"/>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2"/>
              </w:rPr>
              <w:t>/s/ RODNEY C. SACKS</w:t>
            </w:r>
          </w:p>
        </w:tc>
        <w:tc>
          <w:tcPr>
            <w:tcW w:w="3380" w:type="dxa"/>
            <w:vAlign w:val="bottom"/>
          </w:tcPr>
          <w:p>
            <w:pPr>
              <w:spacing w:after="0"/>
              <w:rPr>
                <w:sz w:val="24"/>
                <w:szCs w:val="24"/>
                <w:color w:val="auto"/>
              </w:rPr>
            </w:pPr>
          </w:p>
        </w:tc>
      </w:tr>
      <w:tr>
        <w:trPr>
          <w:trHeight w:val="233"/>
        </w:trPr>
        <w:tc>
          <w:tcPr>
            <w:tcW w:w="3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20"/>
                <w:szCs w:val="20"/>
                <w:color w:val="auto"/>
              </w:rPr>
              <w:t>Rodney C. Sacks</w:t>
            </w:r>
          </w:p>
        </w:tc>
      </w:tr>
      <w:tr>
        <w:trPr>
          <w:trHeight w:val="230"/>
        </w:trPr>
        <w:tc>
          <w:tcPr>
            <w:tcW w:w="36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36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20"/>
                <w:szCs w:val="20"/>
                <w:color w:val="auto"/>
              </w:rPr>
              <w:t>and Chief Executive Officer</w:t>
            </w:r>
          </w:p>
        </w:tc>
      </w:tr>
      <w:tr>
        <w:trPr>
          <w:trHeight w:val="428"/>
        </w:trPr>
        <w:tc>
          <w:tcPr>
            <w:tcW w:w="3660" w:type="dxa"/>
            <w:vAlign w:val="bottom"/>
          </w:tcPr>
          <w:p>
            <w:pPr>
              <w:spacing w:after="0"/>
              <w:rPr>
                <w:sz w:val="24"/>
                <w:szCs w:val="24"/>
                <w:color w:val="auto"/>
              </w:rPr>
            </w:pPr>
          </w:p>
        </w:tc>
        <w:tc>
          <w:tcPr>
            <w:tcW w:w="2440" w:type="dxa"/>
            <w:vAlign w:val="bottom"/>
          </w:tcPr>
          <w:p>
            <w:pPr>
              <w:jc w:val="right"/>
              <w:ind w:right="210"/>
              <w:spacing w:after="0"/>
              <w:rPr>
                <w:sz w:val="20"/>
                <w:szCs w:val="20"/>
                <w:color w:val="auto"/>
              </w:rPr>
            </w:pPr>
            <w:r>
              <w:rPr>
                <w:rFonts w:ascii="Arial" w:cs="Arial" w:eastAsia="Arial" w:hAnsi="Arial"/>
                <w:sz w:val="18"/>
                <w:szCs w:val="18"/>
                <w:color w:val="auto"/>
              </w:rPr>
              <w:t>47</w:t>
            </w:r>
          </w:p>
        </w:tc>
        <w:tc>
          <w:tcPr>
            <w:tcW w:w="19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32"/>
        </w:trPr>
        <w:tc>
          <w:tcPr>
            <w:tcW w:w="3660" w:type="dxa"/>
            <w:vAlign w:val="bottom"/>
            <w:tcBorders>
              <w:bottom w:val="single" w:sz="8" w:color="010101"/>
            </w:tcBorders>
          </w:tcPr>
          <w:p>
            <w:pPr>
              <w:spacing w:after="0"/>
              <w:rPr>
                <w:sz w:val="11"/>
                <w:szCs w:val="11"/>
                <w:color w:val="auto"/>
              </w:rPr>
            </w:pPr>
          </w:p>
        </w:tc>
        <w:tc>
          <w:tcPr>
            <w:tcW w:w="2440" w:type="dxa"/>
            <w:vAlign w:val="bottom"/>
            <w:tcBorders>
              <w:bottom w:val="single" w:sz="8" w:color="010101"/>
            </w:tcBorders>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33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80" w:type="dxa"/>
            <w:vAlign w:val="bottom"/>
          </w:tcPr>
          <w:p>
            <w:pPr>
              <w:ind w:left="20"/>
              <w:spacing w:after="0"/>
              <w:rPr>
                <w:sz w:val="20"/>
                <w:szCs w:val="20"/>
                <w:color w:val="auto"/>
              </w:rPr>
            </w:pPr>
            <w:r>
              <w:rPr>
                <w:rFonts w:ascii="Arial" w:cs="Arial" w:eastAsia="Arial" w:hAnsi="Arial"/>
                <w:sz w:val="20"/>
                <w:szCs w:val="20"/>
                <w:color w:val="auto"/>
              </w:rPr>
              <w:t>Date:</w:t>
            </w:r>
          </w:p>
        </w:tc>
        <w:tc>
          <w:tcPr>
            <w:tcW w:w="5200" w:type="dxa"/>
            <w:vAlign w:val="bottom"/>
          </w:tcPr>
          <w:p>
            <w:pPr>
              <w:ind w:left="520"/>
              <w:spacing w:after="0"/>
              <w:rPr>
                <w:sz w:val="20"/>
                <w:szCs w:val="20"/>
                <w:color w:val="auto"/>
              </w:rPr>
            </w:pPr>
            <w:r>
              <w:rPr>
                <w:rFonts w:ascii="Arial" w:cs="Arial" w:eastAsia="Arial" w:hAnsi="Arial"/>
                <w:sz w:val="20"/>
                <w:szCs w:val="20"/>
                <w:color w:val="auto"/>
              </w:rPr>
              <w:t>August 8, 2014</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98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5240" w:type="dxa"/>
            <w:vAlign w:val="bottom"/>
          </w:tcPr>
          <w:p>
            <w:pPr>
              <w:ind w:left="4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9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9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5240" w:type="dxa"/>
            <w:vAlign w:val="bottom"/>
          </w:tcPr>
          <w:p>
            <w:pPr>
              <w:ind w:left="4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44"/>
        </w:trPr>
        <w:tc>
          <w:tcPr>
            <w:tcW w:w="98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2" w:name="page33"/>
    <w:bookmarkEnd w:id="32"/>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0" w:type="dxa"/>
            <w:vAlign w:val="bottom"/>
          </w:tcPr>
          <w:p>
            <w:pPr>
              <w:ind w:left="20"/>
              <w:spacing w:after="0"/>
              <w:rPr>
                <w:sz w:val="20"/>
                <w:szCs w:val="20"/>
                <w:color w:val="auto"/>
              </w:rPr>
            </w:pPr>
            <w:r>
              <w:rPr>
                <w:rFonts w:ascii="Arial" w:cs="Arial" w:eastAsia="Arial" w:hAnsi="Arial"/>
                <w:sz w:val="20"/>
                <w:szCs w:val="20"/>
                <w:color w:val="auto"/>
              </w:rPr>
              <w:t>Date:</w:t>
            </w:r>
          </w:p>
        </w:tc>
        <w:tc>
          <w:tcPr>
            <w:tcW w:w="5200" w:type="dxa"/>
            <w:vAlign w:val="bottom"/>
          </w:tcPr>
          <w:p>
            <w:pPr>
              <w:ind w:left="500"/>
              <w:spacing w:after="0"/>
              <w:rPr>
                <w:sz w:val="20"/>
                <w:szCs w:val="20"/>
                <w:color w:val="auto"/>
              </w:rPr>
            </w:pPr>
            <w:r>
              <w:rPr>
                <w:rFonts w:ascii="Arial" w:cs="Arial" w:eastAsia="Arial" w:hAnsi="Arial"/>
                <w:sz w:val="20"/>
                <w:szCs w:val="20"/>
                <w:color w:val="auto"/>
              </w:rPr>
              <w:t>August 8, 2014</w:t>
            </w:r>
          </w:p>
        </w:tc>
        <w:tc>
          <w:tcPr>
            <w:tcW w:w="5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9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5280" w:type="dxa"/>
            <w:vAlign w:val="bottom"/>
          </w:tcPr>
          <w:p>
            <w:pPr>
              <w:ind w:left="4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9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9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94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5280" w:type="dxa"/>
            <w:vAlign w:val="bottom"/>
          </w:tcPr>
          <w:p>
            <w:pPr>
              <w:ind w:left="4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44"/>
        </w:trPr>
        <w:tc>
          <w:tcPr>
            <w:tcW w:w="94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52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3" w:name="page34"/>
    <w:bookmarkEnd w:id="33"/>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June 30, 2014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ind w:left="20"/>
              <w:spacing w:after="0"/>
              <w:rPr>
                <w:sz w:val="20"/>
                <w:szCs w:val="20"/>
                <w:color w:val="auto"/>
              </w:rPr>
            </w:pPr>
            <w:r>
              <w:rPr>
                <w:rFonts w:ascii="Arial" w:cs="Arial" w:eastAsia="Arial" w:hAnsi="Arial"/>
                <w:sz w:val="20"/>
                <w:szCs w:val="20"/>
                <w:color w:val="auto"/>
              </w:rPr>
              <w:t>Date:</w:t>
            </w:r>
          </w:p>
        </w:tc>
        <w:tc>
          <w:tcPr>
            <w:tcW w:w="5300" w:type="dxa"/>
            <w:vAlign w:val="bottom"/>
          </w:tcPr>
          <w:p>
            <w:pPr>
              <w:ind w:left="420"/>
              <w:spacing w:after="0"/>
              <w:rPr>
                <w:sz w:val="20"/>
                <w:szCs w:val="20"/>
                <w:color w:val="auto"/>
              </w:rPr>
            </w:pPr>
            <w:r>
              <w:rPr>
                <w:rFonts w:ascii="Arial" w:cs="Arial" w:eastAsia="Arial" w:hAnsi="Arial"/>
                <w:sz w:val="20"/>
                <w:szCs w:val="20"/>
                <w:color w:val="auto"/>
              </w:rPr>
              <w:t>August 8, 2014</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88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5240" w:type="dxa"/>
            <w:vAlign w:val="bottom"/>
          </w:tcPr>
          <w:p>
            <w:pPr>
              <w:ind w:left="4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8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5240" w:type="dxa"/>
            <w:vAlign w:val="bottom"/>
          </w:tcPr>
          <w:p>
            <w:pPr>
              <w:ind w:left="4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44"/>
        </w:trPr>
        <w:tc>
          <w:tcPr>
            <w:tcW w:w="880" w:type="dxa"/>
            <w:vAlign w:val="bottom"/>
            <w:tcBorders>
              <w:bottom w:val="single" w:sz="8" w:color="010101"/>
            </w:tcBorders>
          </w:tcPr>
          <w:p>
            <w:pPr>
              <w:spacing w:after="0"/>
              <w:rPr>
                <w:sz w:val="24"/>
                <w:szCs w:val="24"/>
                <w:color w:val="auto"/>
              </w:rPr>
            </w:pPr>
          </w:p>
        </w:tc>
        <w:tc>
          <w:tcPr>
            <w:tcW w:w="530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34" w:name="page35"/>
    <w:bookmarkEnd w:id="34"/>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June 30, 2014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969"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20" w:type="dxa"/>
            <w:vAlign w:val="bottom"/>
          </w:tcPr>
          <w:p>
            <w:pPr>
              <w:ind w:left="20"/>
              <w:spacing w:after="0"/>
              <w:rPr>
                <w:sz w:val="20"/>
                <w:szCs w:val="20"/>
                <w:color w:val="auto"/>
              </w:rPr>
            </w:pPr>
            <w:r>
              <w:rPr>
                <w:rFonts w:ascii="Arial" w:cs="Arial" w:eastAsia="Arial" w:hAnsi="Arial"/>
                <w:sz w:val="20"/>
                <w:szCs w:val="20"/>
                <w:color w:val="auto"/>
              </w:rPr>
              <w:t>Date:</w:t>
            </w:r>
          </w:p>
        </w:tc>
        <w:tc>
          <w:tcPr>
            <w:tcW w:w="5340" w:type="dxa"/>
            <w:vAlign w:val="bottom"/>
          </w:tcPr>
          <w:p>
            <w:pPr>
              <w:ind w:left="360"/>
              <w:spacing w:after="0"/>
              <w:rPr>
                <w:sz w:val="20"/>
                <w:szCs w:val="20"/>
                <w:color w:val="auto"/>
              </w:rPr>
            </w:pPr>
            <w:r>
              <w:rPr>
                <w:rFonts w:ascii="Arial" w:cs="Arial" w:eastAsia="Arial" w:hAnsi="Arial"/>
                <w:sz w:val="20"/>
                <w:szCs w:val="20"/>
                <w:color w:val="auto"/>
              </w:rPr>
              <w:t>August 8, 2014</w:t>
            </w:r>
          </w:p>
        </w:tc>
        <w:tc>
          <w:tcPr>
            <w:tcW w:w="52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5260" w:type="dxa"/>
            <w:vAlign w:val="bottom"/>
          </w:tcPr>
          <w:p>
            <w:pPr>
              <w:ind w:left="6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5260" w:type="dxa"/>
            <w:vAlign w:val="bottom"/>
          </w:tcPr>
          <w:p>
            <w:pPr>
              <w:ind w:left="6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820" w:type="dxa"/>
            <w:vAlign w:val="bottom"/>
            <w:tcBorders>
              <w:bottom w:val="single" w:sz="8" w:color="010101"/>
            </w:tcBorders>
          </w:tcPr>
          <w:p>
            <w:pPr>
              <w:spacing w:after="0"/>
              <w:rPr>
                <w:sz w:val="24"/>
                <w:szCs w:val="24"/>
                <w:color w:val="auto"/>
              </w:rPr>
            </w:pPr>
          </w:p>
        </w:tc>
        <w:tc>
          <w:tcPr>
            <w:tcW w:w="534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4"/>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4"/>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lowerRoman"/>
      <w:start w:val="2"/>
    </w:lvl>
  </w:abstractNum>
  <w:abstractNum w:abstractNumId="8">
    <w:nsid w:val="2D1D5AE9"/>
    <w:multiLevelType w:val="hybridMultilevel"/>
    <w:lvl w:ilvl="0">
      <w:lvlJc w:val="left"/>
      <w:lvlText w:val="(%1)"/>
      <w:numFmt w:val="lowerRoman"/>
      <w:start w:val="1"/>
    </w:lvl>
  </w:abstractNum>
  <w:abstractNum w:abstractNumId="9">
    <w:nsid w:val="6763845E"/>
    <w:multiLevelType w:val="hybridMultilevel"/>
    <w:lvl w:ilvl="0">
      <w:lvlJc w:val="left"/>
      <w:lvlText w:val="%1."/>
      <w:numFmt w:val="decimal"/>
      <w:start w:val="5"/>
    </w:lvl>
  </w:abstractNum>
  <w:abstractNum w:abstractNumId="10">
    <w:nsid w:val="75A2A8D4"/>
    <w:multiLevelType w:val="hybridMultilevel"/>
    <w:lvl w:ilvl="0">
      <w:lvlJc w:val="left"/>
      <w:lvlText w:val="%1."/>
      <w:numFmt w:val="decimal"/>
      <w:start w:val="6"/>
    </w:lvl>
  </w:abstractNum>
  <w:abstractNum w:abstractNumId="11">
    <w:nsid w:val="8EDBDAB"/>
    <w:multiLevelType w:val="hybridMultilevel"/>
    <w:lvl w:ilvl="0">
      <w:lvlJc w:val="left"/>
      <w:lvlText w:val="%1."/>
      <w:numFmt w:val="decimal"/>
      <w:start w:val="7"/>
    </w:lvl>
  </w:abstractNum>
  <w:abstractNum w:abstractNumId="12">
    <w:nsid w:val="79838CB2"/>
    <w:multiLevelType w:val="hybridMultilevel"/>
    <w:lvl w:ilvl="0">
      <w:lvlJc w:val="left"/>
      <w:lvlText w:val="%1."/>
      <w:numFmt w:val="decimal"/>
      <w:start w:val="8"/>
    </w:lvl>
  </w:abstractNum>
  <w:abstractNum w:abstractNumId="13">
    <w:nsid w:val="4353D0CD"/>
    <w:multiLevelType w:val="hybridMultilevel"/>
    <w:lvl w:ilvl="0">
      <w:lvlJc w:val="left"/>
      <w:lvlText w:val="%1."/>
      <w:numFmt w:val="decimal"/>
      <w:start w:val="9"/>
    </w:lvl>
  </w:abstractNum>
  <w:abstractNum w:abstractNumId="14">
    <w:nsid w:val="B03E0C6"/>
    <w:multiLevelType w:val="hybridMultilevel"/>
    <w:lvl w:ilvl="0">
      <w:lvlJc w:val="left"/>
      <w:lvlText w:val="%1."/>
      <w:numFmt w:val="decimal"/>
      <w:start w:val="10"/>
    </w:lvl>
  </w:abstractNum>
  <w:abstractNum w:abstractNumId="15">
    <w:nsid w:val="189A769B"/>
    <w:multiLevelType w:val="hybridMultilevel"/>
    <w:lvl w:ilvl="0">
      <w:lvlJc w:val="left"/>
      <w:lvlText w:val="(%1)"/>
      <w:numFmt w:val="lowerRoman"/>
      <w:start w:val="1"/>
    </w:lvl>
  </w:abstractNum>
  <w:abstractNum w:abstractNumId="16">
    <w:nsid w:val="54E49EB4"/>
    <w:multiLevelType w:val="hybridMultilevel"/>
    <w:lvl w:ilvl="0">
      <w:lvlJc w:val="left"/>
      <w:lvlText w:val="(%1)"/>
      <w:numFmt w:val="lowerRoman"/>
      <w:start w:val="1"/>
    </w:lvl>
  </w:abstractNum>
  <w:abstractNum w:abstractNumId="17">
    <w:nsid w:val="71F32454"/>
    <w:multiLevelType w:val="hybridMultilevel"/>
    <w:lvl w:ilvl="0">
      <w:lvlJc w:val="left"/>
      <w:lvlText w:val="(%1)"/>
      <w:numFmt w:val="decimal"/>
      <w:start w:val="2"/>
    </w:lvl>
  </w:abstractNum>
  <w:abstractNum w:abstractNumId="18">
    <w:nsid w:val="2CA88611"/>
    <w:multiLevelType w:val="hybridMultilevel"/>
    <w:lvl w:ilvl="0">
      <w:lvlJc w:val="left"/>
      <w:lvlText w:val="%1."/>
      <w:numFmt w:val="decimal"/>
      <w:start w:val="11"/>
    </w:lvl>
  </w:abstractNum>
  <w:abstractNum w:abstractNumId="19">
    <w:nsid w:val="836C40E"/>
    <w:multiLevelType w:val="hybridMultilevel"/>
    <w:lvl w:ilvl="0">
      <w:lvlJc w:val="left"/>
      <w:lvlText w:val="%1."/>
      <w:numFmt w:val="decimal"/>
      <w:start w:val="13"/>
    </w:lvl>
  </w:abstractNum>
  <w:abstractNum w:abstractNumId="20">
    <w:nsid w:val="2901D82"/>
    <w:multiLevelType w:val="hybridMultilevel"/>
    <w:lvl w:ilvl="0">
      <w:lvlJc w:val="left"/>
      <w:lvlText w:val="%1."/>
      <w:numFmt w:val="decimal"/>
      <w:start w:val="14"/>
    </w:lvl>
  </w:abstractNum>
  <w:abstractNum w:abstractNumId="21">
    <w:nsid w:val="3A95F874"/>
    <w:multiLevelType w:val="hybridMultilevel"/>
    <w:lvl w:ilvl="0">
      <w:lvlJc w:val="left"/>
      <w:lvlText w:val="%1."/>
      <w:numFmt w:val="decimal"/>
      <w:start w:val="15"/>
    </w:lvl>
  </w:abstractNum>
  <w:abstractNum w:abstractNumId="22">
    <w:nsid w:val="8138641"/>
    <w:multiLevelType w:val="hybridMultilevel"/>
    <w:lvl w:ilvl="0">
      <w:lvlJc w:val="left"/>
      <w:lvlText w:val="%1."/>
      <w:numFmt w:val="decimal"/>
      <w:start w:val="16"/>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4"/>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lvl w:ilvl="1">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2019-12-06T03:09:21Z</dcterms:created>
  <dcterms:modified xsi:type="dcterms:W3CDTF">2019-12-06T03:09:21Z</dcterms:modified>
</cp:coreProperties>
</file>