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Form 10-K</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 One)</w:t>
      </w:r>
    </w:p>
    <w:p>
      <w:pPr>
        <w:spacing w:after="0" w:line="7" w:lineRule="exact"/>
        <w:rPr>
          <w:sz w:val="24"/>
          <w:szCs w:val="24"/>
          <w:color w:val="auto"/>
        </w:rPr>
      </w:pPr>
    </w:p>
    <w:p>
      <w:pPr>
        <w:ind w:left="3940" w:right="3140" w:hanging="794"/>
        <w:spacing w:after="0" w:line="261" w:lineRule="auto"/>
        <w:tabs>
          <w:tab w:leader="none" w:pos="324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ANNUAL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 the fiscal year ended December 31, 2016</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OR</w:t>
      </w:r>
    </w:p>
    <w:p>
      <w:pPr>
        <w:spacing w:after="0" w:line="139" w:lineRule="exact"/>
        <w:rPr>
          <w:sz w:val="24"/>
          <w:szCs w:val="24"/>
          <w:color w:val="auto"/>
        </w:rPr>
      </w:pPr>
    </w:p>
    <w:p>
      <w:pPr>
        <w:ind w:left="3940" w:right="3020" w:hanging="911"/>
        <w:spacing w:after="0" w:line="282" w:lineRule="auto"/>
        <w:tabs>
          <w:tab w:leader="none" w:pos="317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TRANSITION REPORT PURSUANT TO SECTION 13 OR 15(d) OF THE SECURITIES EXCHANGE ACT OF 1934</w:t>
      </w:r>
    </w:p>
    <w:p>
      <w:pPr>
        <w:spacing w:after="0" w:line="76"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4"/>
          <w:szCs w:val="14"/>
          <w:color w:val="auto"/>
        </w:rPr>
        <w:t>For the transition period from _____ to _____</w:t>
      </w:r>
    </w:p>
    <w:p>
      <w:pPr>
        <w:spacing w:after="0" w:line="1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001-18761</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MONSTER BEVERAGE CORPORATION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420"/>
          </w:cols>
          <w:pgMar w:left="240" w:top="229" w:right="239" w:bottom="0" w:gutter="0" w:footer="0" w:header="0"/>
        </w:sectPr>
      </w:pPr>
    </w:p>
    <w:p>
      <w:pPr>
        <w:spacing w:after="0" w:line="107"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9"/>
          <w:szCs w:val="19"/>
          <w:color w:val="auto"/>
        </w:rPr>
        <w:t>Delaware</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47-1809393</w:t>
      </w:r>
    </w:p>
    <w:p>
      <w:pPr>
        <w:spacing w:after="0" w:line="15" w:lineRule="exact"/>
        <w:rPr>
          <w:sz w:val="24"/>
          <w:szCs w:val="24"/>
          <w:color w:val="auto"/>
        </w:rPr>
      </w:pPr>
    </w:p>
    <w:p>
      <w:pPr>
        <w:sectPr>
          <w:pgSz w:w="11900" w:h="16838" w:orient="portrait"/>
          <w:cols w:equalWidth="0" w:num="2">
            <w:col w:w="6360" w:space="720"/>
            <w:col w:w="4340"/>
          </w:cols>
          <w:pgMar w:left="240" w:top="229" w:right="239" w:bottom="0" w:gutter="0" w:footer="0" w:header="0"/>
          <w:type w:val="continuous"/>
        </w:sectPr>
      </w:pPr>
    </w:p>
    <w:p>
      <w:pPr>
        <w:ind w:left="3460"/>
        <w:spacing w:after="0"/>
        <w:rPr>
          <w:sz w:val="20"/>
          <w:szCs w:val="20"/>
          <w:color w:val="auto"/>
        </w:rPr>
      </w:pPr>
      <w:r>
        <w:rPr>
          <w:rFonts w:ascii="Times New Roman" w:cs="Times New Roman" w:eastAsia="Times New Roman" w:hAnsi="Times New Roman"/>
          <w:sz w:val="14"/>
          <w:szCs w:val="14"/>
          <w:color w:val="auto"/>
        </w:rPr>
        <w:t>(State or other jurisdiction of</w:t>
      </w:r>
    </w:p>
    <w:p>
      <w:pPr>
        <w:ind w:left="346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w:t>
      </w:r>
    </w:p>
    <w:p>
      <w:pPr>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188" w:lineRule="exact"/>
        <w:rPr>
          <w:sz w:val="24"/>
          <w:szCs w:val="24"/>
          <w:color w:val="auto"/>
        </w:rPr>
      </w:pPr>
    </w:p>
    <w:p>
      <w:pPr>
        <w:sectPr>
          <w:pgSz w:w="11900" w:h="16838" w:orient="portrait"/>
          <w:cols w:equalWidth="0" w:num="2">
            <w:col w:w="6360" w:space="720"/>
            <w:col w:w="4340"/>
          </w:cols>
          <w:pgMar w:left="240" w:top="229" w:right="239" w:bottom="0" w:gutter="0" w:footer="0" w:header="0"/>
          <w:type w:val="continuous"/>
        </w:sectPr>
      </w:pPr>
    </w:p>
    <w:p>
      <w:pPr>
        <w:jc w:val="center"/>
        <w:spacing w:after="0"/>
        <w:rPr>
          <w:sz w:val="20"/>
          <w:szCs w:val="20"/>
          <w:color w:val="auto"/>
        </w:rPr>
      </w:pPr>
      <w:r>
        <w:rPr>
          <w:rFonts w:ascii="Times New Roman" w:cs="Times New Roman" w:eastAsia="Times New Roman" w:hAnsi="Times New Roman"/>
          <w:sz w:val="20"/>
          <w:szCs w:val="20"/>
          <w:color w:val="auto"/>
        </w:rPr>
        <w:t>1 Monster Way</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Corona, California 92879</w:t>
      </w:r>
    </w:p>
    <w:p>
      <w:pPr>
        <w:jc w:val="center"/>
        <w:spacing w:after="0"/>
        <w:rPr>
          <w:sz w:val="20"/>
          <w:szCs w:val="20"/>
          <w:color w:val="auto"/>
        </w:rPr>
      </w:pPr>
      <w:r>
        <w:rPr>
          <w:rFonts w:ascii="Times New Roman" w:cs="Times New Roman" w:eastAsia="Times New Roman" w:hAnsi="Times New Roman"/>
          <w:sz w:val="15"/>
          <w:szCs w:val="15"/>
          <w:color w:val="auto"/>
        </w:rPr>
        <w:t>(Address of principal executive offices) (Zip Code)</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(951) 739 - 6200</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1300" w:type="dxa"/>
        <w:tblCellMar>
          <w:top w:w="0" w:type="dxa"/>
          <w:left w:w="0" w:type="dxa"/>
          <w:bottom w:w="0" w:type="dxa"/>
          <w:right w:w="0" w:type="dxa"/>
        </w:tblCellMar>
      </w:tblPr>
      <w:tr>
        <w:trPr>
          <w:trHeight w:val="207"/>
        </w:trPr>
        <w:tc>
          <w:tcPr>
            <w:tcW w:w="820" w:type="dxa"/>
            <w:vAlign w:val="bottom"/>
          </w:tcPr>
          <w:p>
            <w:pPr>
              <w:spacing w:after="0"/>
              <w:rPr>
                <w:sz w:val="18"/>
                <w:szCs w:val="18"/>
                <w:color w:val="auto"/>
              </w:rPr>
            </w:pPr>
          </w:p>
        </w:tc>
        <w:tc>
          <w:tcPr>
            <w:tcW w:w="4920" w:type="dxa"/>
            <w:vAlign w:val="bottom"/>
            <w:gridSpan w:val="2"/>
          </w:tcPr>
          <w:p>
            <w:pPr>
              <w:jc w:val="center"/>
              <w:ind w:right="3540"/>
              <w:spacing w:after="0"/>
              <w:rPr>
                <w:sz w:val="20"/>
                <w:szCs w:val="20"/>
                <w:color w:val="auto"/>
              </w:rPr>
            </w:pPr>
            <w:r>
              <w:rPr>
                <w:rFonts w:ascii="Times New Roman" w:cs="Times New Roman" w:eastAsia="Times New Roman" w:hAnsi="Times New Roman"/>
                <w:sz w:val="18"/>
                <w:szCs w:val="18"/>
                <w:color w:val="auto"/>
              </w:rPr>
              <w:t>Title of Each Class</w:t>
            </w: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7"/>
        </w:trPr>
        <w:tc>
          <w:tcPr>
            <w:tcW w:w="5740" w:type="dxa"/>
            <w:vAlign w:val="bottom"/>
            <w:gridSpan w:val="3"/>
          </w:tcPr>
          <w:p>
            <w:pPr>
              <w:jc w:val="center"/>
              <w:ind w:right="2720"/>
              <w:spacing w:after="0"/>
              <w:rPr>
                <w:sz w:val="20"/>
                <w:szCs w:val="20"/>
                <w:color w:val="auto"/>
              </w:rPr>
            </w:pPr>
            <w:r>
              <w:rPr>
                <w:rFonts w:ascii="Times New Roman" w:cs="Times New Roman" w:eastAsia="Times New Roman" w:hAnsi="Times New Roman"/>
                <w:sz w:val="18"/>
                <w:szCs w:val="18"/>
                <w:color w:val="auto"/>
                <w:w w:val="99"/>
              </w:rPr>
              <w:t>Common Stock, $.005 par value per share</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97"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 Yes</w:t>
      </w:r>
      <w:r>
        <w:rPr>
          <w:rFonts w:ascii="MS PGothic" w:cs="MS PGothic" w:eastAsia="MS PGothic" w:hAnsi="MS PGothic"/>
          <w:sz w:val="18"/>
          <w:szCs w:val="18"/>
          <w:color w:val="auto"/>
        </w:rPr>
        <w:t>☑</w:t>
      </w:r>
      <w:r>
        <w:rPr>
          <w:rFonts w:ascii="Times New Roman" w:cs="Times New Roman" w:eastAsia="Times New Roman" w:hAnsi="Times New Roman"/>
          <w:sz w:val="16"/>
          <w:szCs w:val="16"/>
          <w:color w:val="auto"/>
        </w:rPr>
        <w:t xml:space="preserve"> No</w:t>
      </w:r>
      <w:r>
        <w:rPr>
          <w:rFonts w:ascii="MS PGothic" w:cs="MS PGothic" w:eastAsia="MS PGothic" w:hAnsi="MS PGothic"/>
          <w:sz w:val="18"/>
          <w:szCs w:val="18"/>
          <w:color w:val="auto"/>
        </w:rPr>
        <w:t>☐</w:t>
      </w:r>
    </w:p>
    <w:p>
      <w:pPr>
        <w:spacing w:after="0" w:line="212"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Exchange Act. Yes</w:t>
      </w:r>
      <w:r>
        <w:rPr>
          <w:rFonts w:ascii="MS PGothic" w:cs="MS PGothic" w:eastAsia="MS PGothic" w:hAnsi="MS PGothic"/>
          <w:sz w:val="18"/>
          <w:szCs w:val="18"/>
          <w:color w:val="auto"/>
        </w:rPr>
        <w:t>☐</w:t>
      </w:r>
      <w:r>
        <w:rPr>
          <w:rFonts w:ascii="Times New Roman" w:cs="Times New Roman" w:eastAsia="Times New Roman" w:hAnsi="Times New Roman"/>
          <w:sz w:val="16"/>
          <w:szCs w:val="16"/>
          <w:color w:val="auto"/>
        </w:rPr>
        <w:t xml:space="preserve"> No</w:t>
      </w:r>
      <w:r>
        <w:rPr>
          <w:rFonts w:ascii="MS PGothic" w:cs="MS PGothic" w:eastAsia="MS PGothic" w:hAnsi="MS PGothic"/>
          <w:sz w:val="18"/>
          <w:szCs w:val="18"/>
          <w:color w:val="auto"/>
        </w:rPr>
        <w:t>☑</w:t>
      </w:r>
    </w:p>
    <w:p>
      <w:pPr>
        <w:spacing w:after="0" w:line="245" w:lineRule="exact"/>
        <w:rPr>
          <w:sz w:val="24"/>
          <w:szCs w:val="24"/>
          <w:color w:val="auto"/>
        </w:rPr>
      </w:pPr>
    </w:p>
    <w:p>
      <w:pPr>
        <w:ind w:firstLine="648"/>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right="360" w:firstLine="648"/>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6"/>
          <w:szCs w:val="16"/>
          <w:color w:val="auto"/>
        </w:rPr>
        <w:t xml:space="preserve">No </w:t>
      </w:r>
      <w:r>
        <w:rPr>
          <w:rFonts w:ascii="MS PGothic" w:cs="MS PGothic" w:eastAsia="MS PGothic" w:hAnsi="MS PGothic"/>
          <w:sz w:val="18"/>
          <w:szCs w:val="18"/>
          <w:color w:val="auto"/>
        </w:rPr>
        <w:t>☐</w:t>
      </w:r>
    </w:p>
    <w:p>
      <w:pPr>
        <w:spacing w:after="0" w:line="170" w:lineRule="exact"/>
        <w:rPr>
          <w:sz w:val="24"/>
          <w:szCs w:val="24"/>
          <w:color w:val="auto"/>
        </w:rPr>
      </w:pPr>
    </w:p>
    <w:p>
      <w:pPr>
        <w:ind w:firstLine="648"/>
        <w:spacing w:after="0" w:line="226" w:lineRule="exact"/>
        <w:rPr>
          <w:sz w:val="20"/>
          <w:szCs w:val="20"/>
          <w:color w:val="auto"/>
        </w:rPr>
      </w:pPr>
      <w:r>
        <w:rPr>
          <w:rFonts w:ascii="Times New Roman" w:cs="Times New Roman" w:eastAsia="Times New Roman" w:hAnsi="Times New Roman"/>
          <w:sz w:val="16"/>
          <w:szCs w:val="16"/>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70" w:lineRule="exact"/>
        <w:rPr>
          <w:sz w:val="24"/>
          <w:szCs w:val="24"/>
          <w:color w:val="auto"/>
        </w:rPr>
      </w:pPr>
    </w:p>
    <w:p>
      <w:pPr>
        <w:ind w:right="120" w:firstLine="648"/>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 w:lineRule="exact"/>
        <w:rPr>
          <w:sz w:val="24"/>
          <w:szCs w:val="24"/>
          <w:color w:val="auto"/>
        </w:rPr>
      </w:pPr>
    </w:p>
    <w:p>
      <w:pPr>
        <w:ind w:right="3680" w:firstLine="324"/>
        <w:spacing w:after="0" w:line="221"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Non-accelerated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Smaller reporting company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(Do not check if a smaller reporting company)</w:t>
      </w:r>
    </w:p>
    <w:p>
      <w:pPr>
        <w:spacing w:after="0" w:line="328" w:lineRule="exact"/>
        <w:rPr>
          <w:sz w:val="24"/>
          <w:szCs w:val="24"/>
          <w:color w:val="auto"/>
        </w:rPr>
      </w:pPr>
    </w:p>
    <w:p>
      <w:pPr>
        <w:ind w:left="660"/>
        <w:spacing w:after="0" w:line="196" w:lineRule="exact"/>
        <w:tabs>
          <w:tab w:leader="none" w:pos="82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by Rule 12b-2 of the Exchange Act.)</w:t>
      </w:r>
      <w:r>
        <w:rPr>
          <w:sz w:val="20"/>
          <w:szCs w:val="20"/>
          <w:color w:val="auto"/>
        </w:rPr>
        <w:tab/>
      </w:r>
      <w:r>
        <w:rPr>
          <w:rFonts w:ascii="Times New Roman" w:cs="Times New Roman" w:eastAsia="Times New Roman" w:hAnsi="Times New Roman"/>
          <w:sz w:val="15"/>
          <w:szCs w:val="15"/>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7"/>
          <w:szCs w:val="17"/>
          <w:color w:val="auto"/>
        </w:rPr>
        <w:t>☑</w:t>
      </w:r>
    </w:p>
    <w:p>
      <w:pPr>
        <w:spacing w:after="0" w:line="256" w:lineRule="exact"/>
        <w:rPr>
          <w:sz w:val="24"/>
          <w:szCs w:val="24"/>
          <w:color w:val="auto"/>
        </w:rPr>
      </w:pPr>
    </w:p>
    <w:p>
      <w:pPr>
        <w:jc w:val="both"/>
        <w:ind w:firstLine="648"/>
        <w:spacing w:after="0" w:line="295"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was $27,920,735,052 computed by reference to the closing sale price for such stock on the NASDAQ Global Select Market on June 30, 2016, the last business day of the registrant’s most recently completed second fiscal quarter.</w:t>
      </w:r>
    </w:p>
    <w:p>
      <w:pPr>
        <w:spacing w:after="0" w:line="358" w:lineRule="exact"/>
        <w:rPr>
          <w:sz w:val="24"/>
          <w:szCs w:val="24"/>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The number of shares of the registrant’s common stock, $0.005 par value per share (being the only class of common stock of the registrant), outstanding on February 10, 2017 was 566,619,343 shares.</w:t>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113" w:lineRule="exact"/>
        <w:rPr>
          <w:sz w:val="24"/>
          <w:szCs w:val="24"/>
          <w:color w:val="auto"/>
        </w:rPr>
      </w:pPr>
    </w:p>
    <w:p>
      <w:pPr>
        <w:jc w:val="both"/>
        <w:ind w:firstLine="441"/>
        <w:spacing w:after="0" w:line="281" w:lineRule="auto"/>
        <w:rPr>
          <w:sz w:val="20"/>
          <w:szCs w:val="20"/>
          <w:color w:val="auto"/>
        </w:rPr>
      </w:pPr>
      <w:r>
        <w:rPr>
          <w:rFonts w:ascii="Times New Roman" w:cs="Times New Roman" w:eastAsia="Times New Roman" w:hAnsi="Times New Roman"/>
          <w:sz w:val="16"/>
          <w:szCs w:val="16"/>
          <w:color w:val="auto"/>
        </w:rPr>
        <w:t>Portions of the registrant’s Definitive Proxy Statement to be filed subsequent to the date hereof with the Commission pursuant to Regulation 14A in connection with the registrant’s 2017 Annual Meeting of Stockholders are incorporated by reference into Part III of this Report. Such Definitive Proxy Statement will be filed with the Securities and Exchange Commission no later than 120 days after the conclusion of the registrant’s fiscal year ended December 31, 2016.</w:t>
      </w:r>
    </w:p>
    <w:p>
      <w:pPr>
        <w:sectPr>
          <w:pgSz w:w="11900" w:h="16838" w:orient="portrait"/>
          <w:cols w:equalWidth="0" w:num="1">
            <w:col w:w="11420"/>
          </w:cols>
          <w:pgMar w:left="240" w:top="229" w:right="239" w:bottom="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80" w:type="dxa"/>
            <w:vAlign w:val="bottom"/>
            <w:gridSpan w:val="4"/>
          </w:tcPr>
          <w:p>
            <w:pPr>
              <w:jc w:val="center"/>
              <w:ind w:right="3321"/>
              <w:spacing w:after="0"/>
              <w:rPr>
                <w:sz w:val="20"/>
                <w:szCs w:val="20"/>
                <w:color w:val="auto"/>
              </w:rPr>
            </w:pPr>
            <w:r>
              <w:rPr>
                <w:rFonts w:ascii="Times New Roman" w:cs="Times New Roman" w:eastAsia="Times New Roman" w:hAnsi="Times New Roman"/>
                <w:sz w:val="20"/>
                <w:szCs w:val="20"/>
                <w:b w:val="1"/>
                <w:bCs w:val="1"/>
                <w:color w:val="auto"/>
                <w:w w:val="98"/>
              </w:rPr>
              <w:t>MONSTER BEVERAGE CORPORATION</w:t>
            </w:r>
          </w:p>
        </w:tc>
        <w:tc>
          <w:tcPr>
            <w:tcW w:w="0" w:type="dxa"/>
            <w:vAlign w:val="bottom"/>
          </w:tcPr>
          <w:p>
            <w:pPr>
              <w:spacing w:after="0"/>
              <w:rPr>
                <w:sz w:val="1"/>
                <w:szCs w:val="1"/>
                <w:color w:val="auto"/>
              </w:rPr>
            </w:pPr>
          </w:p>
        </w:tc>
      </w:tr>
      <w:tr>
        <w:trPr>
          <w:trHeight w:val="459"/>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80" w:type="dxa"/>
            <w:vAlign w:val="bottom"/>
            <w:gridSpan w:val="4"/>
          </w:tcPr>
          <w:p>
            <w:pPr>
              <w:jc w:val="center"/>
              <w:ind w:right="3301"/>
              <w:spacing w:after="0"/>
              <w:rPr>
                <w:sz w:val="20"/>
                <w:szCs w:val="20"/>
                <w:color w:val="auto"/>
              </w:rPr>
            </w:pPr>
            <w:r>
              <w:rPr>
                <w:rFonts w:ascii="Times New Roman" w:cs="Times New Roman" w:eastAsia="Times New Roman" w:hAnsi="Times New Roman"/>
                <w:sz w:val="20"/>
                <w:szCs w:val="20"/>
                <w:b w:val="1"/>
                <w:bCs w:val="1"/>
                <w:color w:val="auto"/>
                <w:w w:val="99"/>
              </w:rPr>
              <w:t>FORM 10-K</w:t>
            </w:r>
          </w:p>
        </w:tc>
        <w:tc>
          <w:tcPr>
            <w:tcW w:w="0" w:type="dxa"/>
            <w:vAlign w:val="bottom"/>
          </w:tcPr>
          <w:p>
            <w:pPr>
              <w:spacing w:after="0"/>
              <w:rPr>
                <w:sz w:val="1"/>
                <w:szCs w:val="1"/>
                <w:color w:val="auto"/>
              </w:rPr>
            </w:pPr>
          </w:p>
        </w:tc>
      </w:tr>
      <w:tr>
        <w:trPr>
          <w:trHeight w:val="459"/>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80" w:type="dxa"/>
            <w:vAlign w:val="bottom"/>
            <w:gridSpan w:val="4"/>
          </w:tcPr>
          <w:p>
            <w:pPr>
              <w:jc w:val="center"/>
              <w:ind w:right="3301"/>
              <w:spacing w:after="0"/>
              <w:rPr>
                <w:sz w:val="20"/>
                <w:szCs w:val="20"/>
                <w:color w:val="auto"/>
              </w:rPr>
            </w:pPr>
            <w:r>
              <w:rPr>
                <w:rFonts w:ascii="Times New Roman" w:cs="Times New Roman" w:eastAsia="Times New Roman" w:hAnsi="Times New Roman"/>
                <w:sz w:val="20"/>
                <w:szCs w:val="20"/>
                <w:b w:val="1"/>
                <w:bCs w:val="1"/>
                <w:color w:val="auto"/>
                <w:w w:val="98"/>
              </w:rPr>
              <w:t>TABLE OF CONTENTS</w:t>
            </w:r>
          </w:p>
        </w:tc>
        <w:tc>
          <w:tcPr>
            <w:tcW w:w="0" w:type="dxa"/>
            <w:vAlign w:val="bottom"/>
          </w:tcPr>
          <w:p>
            <w:pPr>
              <w:spacing w:after="0"/>
              <w:rPr>
                <w:sz w:val="1"/>
                <w:szCs w:val="1"/>
                <w:color w:val="auto"/>
              </w:rPr>
            </w:pPr>
          </w:p>
        </w:tc>
      </w:tr>
      <w:tr>
        <w:trPr>
          <w:trHeight w:val="872"/>
        </w:trPr>
        <w:tc>
          <w:tcPr>
            <w:tcW w:w="11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b w:val="1"/>
                <w:bCs w:val="1"/>
                <w:color w:val="auto"/>
                <w:w w:val="98"/>
              </w:rPr>
              <w:t>Item Number</w:t>
            </w:r>
          </w:p>
        </w:tc>
        <w:tc>
          <w:tcPr>
            <w:tcW w:w="2420" w:type="dxa"/>
            <w:vAlign w:val="bottom"/>
            <w:gridSpan w:val="7"/>
          </w:tcPr>
          <w:p>
            <w:pPr>
              <w:spacing w:after="0"/>
              <w:rPr>
                <w:sz w:val="24"/>
                <w:szCs w:val="24"/>
                <w:color w:val="auto"/>
              </w:rPr>
            </w:pPr>
          </w:p>
        </w:tc>
        <w:tc>
          <w:tcPr>
            <w:tcW w:w="1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7"/>
              </w:rPr>
              <w:t>Page Number</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80" w:type="dxa"/>
            <w:vAlign w:val="bottom"/>
            <w:gridSpan w:val="4"/>
          </w:tcPr>
          <w:p>
            <w:pPr>
              <w:jc w:val="center"/>
              <w:ind w:right="3301"/>
              <w:spacing w:after="0" w:line="209" w:lineRule="exact"/>
              <w:rPr>
                <w:rFonts w:ascii="Times New Roman" w:cs="Times New Roman" w:eastAsia="Times New Roman" w:hAnsi="Times New Roman"/>
                <w:sz w:val="20"/>
                <w:szCs w:val="20"/>
                <w:b w:val="1"/>
                <w:bCs w:val="1"/>
                <w:color w:val="0000EE"/>
                <w:w w:val="95"/>
              </w:rPr>
            </w:pPr>
            <w:hyperlink w:anchor="page2">
              <w:r>
                <w:rPr>
                  <w:rFonts w:ascii="Times New Roman" w:cs="Times New Roman" w:eastAsia="Times New Roman" w:hAnsi="Times New Roman"/>
                  <w:sz w:val="20"/>
                  <w:szCs w:val="20"/>
                  <w:b w:val="1"/>
                  <w:bCs w:val="1"/>
                  <w:color w:val="0000EE"/>
                  <w:w w:val="95"/>
                </w:rPr>
                <w:t>PART I</w:t>
              </w:r>
            </w:hyperlink>
          </w:p>
        </w:tc>
        <w:tc>
          <w:tcPr>
            <w:tcW w:w="0" w:type="dxa"/>
            <w:vAlign w:val="bottom"/>
          </w:tcPr>
          <w:p>
            <w:pPr>
              <w:spacing w:after="0"/>
              <w:rPr>
                <w:sz w:val="1"/>
                <w:szCs w:val="1"/>
                <w:color w:val="auto"/>
              </w:rPr>
            </w:pPr>
          </w:p>
        </w:tc>
      </w:tr>
      <w:tr>
        <w:trPr>
          <w:trHeight w:val="426"/>
        </w:trPr>
        <w:tc>
          <w:tcPr>
            <w:tcW w:w="720" w:type="dxa"/>
            <w:vAlign w:val="bottom"/>
            <w:gridSpan w:val="3"/>
          </w:tcPr>
          <w:p>
            <w:pPr>
              <w:jc w:val="right"/>
              <w:spacing w:after="0"/>
              <w:rPr>
                <w:rFonts w:ascii="Times New Roman" w:cs="Times New Roman" w:eastAsia="Times New Roman" w:hAnsi="Times New Roman"/>
                <w:sz w:val="20"/>
                <w:szCs w:val="20"/>
                <w:color w:val="0000EE"/>
              </w:rPr>
            </w:pPr>
            <w:hyperlink w:anchor="page2">
              <w:r>
                <w:rPr>
                  <w:rFonts w:ascii="Times New Roman" w:cs="Times New Roman" w:eastAsia="Times New Roman" w:hAnsi="Times New Roman"/>
                  <w:sz w:val="20"/>
                  <w:szCs w:val="20"/>
                  <w:color w:val="0000EE"/>
                </w:rPr>
                <w:t>1.</w:t>
              </w:r>
            </w:hyperlink>
          </w:p>
        </w:tc>
        <w:tc>
          <w:tcPr>
            <w:tcW w:w="320" w:type="dxa"/>
            <w:vAlign w:val="bottom"/>
          </w:tcPr>
          <w:p>
            <w:pPr>
              <w:spacing w:after="0"/>
              <w:rPr>
                <w:sz w:val="24"/>
                <w:szCs w:val="24"/>
                <w:color w:val="auto"/>
              </w:rPr>
            </w:pPr>
          </w:p>
        </w:tc>
        <w:tc>
          <w:tcPr>
            <w:tcW w:w="2540" w:type="dxa"/>
            <w:vAlign w:val="bottom"/>
            <w:gridSpan w:val="8"/>
          </w:tcPr>
          <w:p>
            <w:pPr>
              <w:spacing w:after="0"/>
              <w:rPr>
                <w:rFonts w:ascii="Times New Roman" w:cs="Times New Roman" w:eastAsia="Times New Roman" w:hAnsi="Times New Roman"/>
                <w:sz w:val="20"/>
                <w:szCs w:val="20"/>
                <w:color w:val="0000EE"/>
              </w:rPr>
            </w:pPr>
            <w:hyperlink w:anchor="page2">
              <w:r>
                <w:rPr>
                  <w:rFonts w:ascii="Times New Roman" w:cs="Times New Roman" w:eastAsia="Times New Roman" w:hAnsi="Times New Roman"/>
                  <w:sz w:val="20"/>
                  <w:szCs w:val="20"/>
                  <w:color w:val="0000EE"/>
                </w:rPr>
                <w:t>Business</w:t>
              </w:r>
            </w:hyperlink>
          </w:p>
        </w:tc>
        <w:tc>
          <w:tcPr>
            <w:tcW w:w="18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5220" w:type="dxa"/>
            <w:vAlign w:val="bottom"/>
            <w:gridSpan w:val="2"/>
          </w:tcPr>
          <w:p>
            <w:pPr>
              <w:jc w:val="center"/>
              <w:ind w:left="3981"/>
              <w:spacing w:after="0"/>
              <w:rPr>
                <w:sz w:val="20"/>
                <w:szCs w:val="20"/>
                <w:color w:val="auto"/>
              </w:rPr>
            </w:pPr>
            <w:r>
              <w:rPr>
                <w:rFonts w:ascii="Times New Roman" w:cs="Times New Roman" w:eastAsia="Times New Roman" w:hAnsi="Times New Roman"/>
                <w:sz w:val="20"/>
                <w:szCs w:val="20"/>
                <w:color w:val="auto"/>
                <w:w w:val="99"/>
              </w:rPr>
              <w:t>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80" w:type="dxa"/>
            <w:vAlign w:val="bottom"/>
            <w:gridSpan w:val="4"/>
            <w:vMerge w:val="restart"/>
          </w:tcPr>
          <w:p>
            <w:pPr>
              <w:jc w:val="center"/>
              <w:ind w:left="6421"/>
              <w:spacing w:after="0"/>
              <w:rPr>
                <w:sz w:val="20"/>
                <w:szCs w:val="20"/>
                <w:color w:val="auto"/>
              </w:rPr>
            </w:pPr>
            <w:r>
              <w:rPr>
                <w:rFonts w:ascii="Times New Roman" w:cs="Times New Roman" w:eastAsia="Times New Roman" w:hAnsi="Times New Roman"/>
                <w:sz w:val="20"/>
                <w:szCs w:val="20"/>
                <w:color w:val="auto"/>
                <w:w w:val="99"/>
              </w:rPr>
              <w:t>19</w:t>
            </w:r>
          </w:p>
        </w:tc>
        <w:tc>
          <w:tcPr>
            <w:tcW w:w="0" w:type="dxa"/>
            <w:vAlign w:val="bottom"/>
          </w:tcPr>
          <w:p>
            <w:pPr>
              <w:spacing w:after="0" w:line="20" w:lineRule="exact"/>
              <w:rPr>
                <w:sz w:val="1"/>
                <w:szCs w:val="1"/>
                <w:color w:val="auto"/>
              </w:rPr>
            </w:pPr>
          </w:p>
        </w:tc>
      </w:tr>
      <w:tr>
        <w:trPr>
          <w:trHeight w:val="210"/>
        </w:trPr>
        <w:tc>
          <w:tcPr>
            <w:tcW w:w="720" w:type="dxa"/>
            <w:vAlign w:val="bottom"/>
            <w:gridSpan w:val="3"/>
          </w:tcPr>
          <w:p>
            <w:pPr>
              <w:jc w:val="right"/>
              <w:spacing w:after="0" w:line="209" w:lineRule="exact"/>
              <w:rPr>
                <w:rFonts w:ascii="Times New Roman" w:cs="Times New Roman" w:eastAsia="Times New Roman" w:hAnsi="Times New Roman"/>
                <w:sz w:val="20"/>
                <w:szCs w:val="20"/>
                <w:color w:val="0000EE"/>
              </w:rPr>
            </w:pPr>
            <w:hyperlink w:anchor="page13">
              <w:r>
                <w:rPr>
                  <w:rFonts w:ascii="Times New Roman" w:cs="Times New Roman" w:eastAsia="Times New Roman" w:hAnsi="Times New Roman"/>
                  <w:sz w:val="20"/>
                  <w:szCs w:val="20"/>
                  <w:color w:val="0000EE"/>
                </w:rPr>
                <w:t>1A.</w:t>
              </w:r>
            </w:hyperlink>
          </w:p>
        </w:tc>
        <w:tc>
          <w:tcPr>
            <w:tcW w:w="320" w:type="dxa"/>
            <w:vAlign w:val="bottom"/>
          </w:tcPr>
          <w:p>
            <w:pPr>
              <w:spacing w:after="0"/>
              <w:rPr>
                <w:sz w:val="18"/>
                <w:szCs w:val="18"/>
                <w:color w:val="auto"/>
              </w:rPr>
            </w:pPr>
          </w:p>
        </w:tc>
        <w:tc>
          <w:tcPr>
            <w:tcW w:w="2540" w:type="dxa"/>
            <w:vAlign w:val="bottom"/>
            <w:gridSpan w:val="8"/>
          </w:tcPr>
          <w:p>
            <w:pPr>
              <w:spacing w:after="0" w:line="209" w:lineRule="exact"/>
              <w:rPr>
                <w:rFonts w:ascii="Times New Roman" w:cs="Times New Roman" w:eastAsia="Times New Roman" w:hAnsi="Times New Roman"/>
                <w:sz w:val="20"/>
                <w:szCs w:val="20"/>
                <w:color w:val="0000EE"/>
              </w:rPr>
            </w:pPr>
            <w:hyperlink w:anchor="page13">
              <w:r>
                <w:rPr>
                  <w:rFonts w:ascii="Times New Roman" w:cs="Times New Roman" w:eastAsia="Times New Roman" w:hAnsi="Times New Roman"/>
                  <w:sz w:val="20"/>
                  <w:szCs w:val="20"/>
                  <w:color w:val="0000EE"/>
                </w:rPr>
                <w:t>Risk Factors</w:t>
              </w:r>
            </w:hyperlink>
          </w:p>
        </w:tc>
        <w:tc>
          <w:tcPr>
            <w:tcW w:w="768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80" w:type="dxa"/>
            <w:vAlign w:val="bottom"/>
            <w:gridSpan w:val="4"/>
            <w:vMerge w:val="restart"/>
          </w:tcPr>
          <w:p>
            <w:pPr>
              <w:jc w:val="center"/>
              <w:ind w:left="6421"/>
              <w:spacing w:after="0"/>
              <w:rPr>
                <w:sz w:val="20"/>
                <w:szCs w:val="20"/>
                <w:color w:val="auto"/>
              </w:rPr>
            </w:pPr>
            <w:r>
              <w:rPr>
                <w:rFonts w:ascii="Times New Roman" w:cs="Times New Roman" w:eastAsia="Times New Roman" w:hAnsi="Times New Roman"/>
                <w:sz w:val="20"/>
                <w:szCs w:val="20"/>
                <w:color w:val="auto"/>
                <w:w w:val="99"/>
              </w:rPr>
              <w:t>30</w:t>
            </w: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260" w:type="dxa"/>
            <w:vAlign w:val="bottom"/>
            <w:tcBorders>
              <w:bottom w:val="single" w:sz="8" w:color="0000EE"/>
            </w:tcBorders>
            <w:gridSpan w:val="2"/>
          </w:tcPr>
          <w:p>
            <w:pPr>
              <w:jc w:val="right"/>
              <w:spacing w:after="0" w:line="209" w:lineRule="exact"/>
              <w:rPr>
                <w:rFonts w:ascii="Times New Roman" w:cs="Times New Roman" w:eastAsia="Times New Roman" w:hAnsi="Times New Roman"/>
                <w:sz w:val="20"/>
                <w:szCs w:val="20"/>
                <w:color w:val="0000EE"/>
                <w:w w:val="84"/>
              </w:rPr>
            </w:pPr>
            <w:hyperlink w:anchor="page21">
              <w:r>
                <w:rPr>
                  <w:rFonts w:ascii="Times New Roman" w:cs="Times New Roman" w:eastAsia="Times New Roman" w:hAnsi="Times New Roman"/>
                  <w:sz w:val="20"/>
                  <w:szCs w:val="20"/>
                  <w:color w:val="0000EE"/>
                  <w:w w:val="84"/>
                </w:rPr>
                <w:t>1B.</w:t>
              </w:r>
            </w:hyperlink>
          </w:p>
        </w:tc>
        <w:tc>
          <w:tcPr>
            <w:tcW w:w="320" w:type="dxa"/>
            <w:vAlign w:val="bottom"/>
          </w:tcPr>
          <w:p>
            <w:pPr>
              <w:spacing w:after="0"/>
              <w:rPr>
                <w:sz w:val="18"/>
                <w:szCs w:val="18"/>
                <w:color w:val="auto"/>
              </w:rPr>
            </w:pPr>
          </w:p>
        </w:tc>
        <w:tc>
          <w:tcPr>
            <w:tcW w:w="2260" w:type="dxa"/>
            <w:vAlign w:val="bottom"/>
            <w:tcBorders>
              <w:bottom w:val="single" w:sz="8" w:color="0000EE"/>
            </w:tcBorders>
            <w:gridSpan w:val="7"/>
          </w:tcPr>
          <w:p>
            <w:pPr>
              <w:spacing w:after="0" w:line="209" w:lineRule="exact"/>
              <w:rPr>
                <w:rFonts w:ascii="Times New Roman" w:cs="Times New Roman" w:eastAsia="Times New Roman" w:hAnsi="Times New Roman"/>
                <w:sz w:val="20"/>
                <w:szCs w:val="20"/>
                <w:color w:val="0000EE"/>
                <w:w w:val="98"/>
              </w:rPr>
            </w:pPr>
            <w:hyperlink w:anchor="page21">
              <w:r>
                <w:rPr>
                  <w:rFonts w:ascii="Times New Roman" w:cs="Times New Roman" w:eastAsia="Times New Roman" w:hAnsi="Times New Roman"/>
                  <w:sz w:val="20"/>
                  <w:szCs w:val="20"/>
                  <w:color w:val="0000EE"/>
                  <w:w w:val="98"/>
                </w:rPr>
                <w:t>Unresolved Staff Comments</w:t>
              </w:r>
            </w:hyperlink>
          </w:p>
        </w:tc>
        <w:tc>
          <w:tcPr>
            <w:tcW w:w="280" w:type="dxa"/>
            <w:vAlign w:val="bottom"/>
          </w:tcPr>
          <w:p>
            <w:pPr>
              <w:spacing w:after="0"/>
              <w:rPr>
                <w:sz w:val="18"/>
                <w:szCs w:val="18"/>
                <w:color w:val="auto"/>
              </w:rPr>
            </w:pPr>
          </w:p>
        </w:tc>
        <w:tc>
          <w:tcPr>
            <w:tcW w:w="768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gridSpan w:val="3"/>
          </w:tcPr>
          <w:p>
            <w:pPr>
              <w:jc w:val="right"/>
              <w:spacing w:after="0" w:line="209" w:lineRule="exact"/>
              <w:rPr>
                <w:rFonts w:ascii="Times New Roman" w:cs="Times New Roman" w:eastAsia="Times New Roman" w:hAnsi="Times New Roman"/>
                <w:sz w:val="20"/>
                <w:szCs w:val="20"/>
                <w:color w:val="0000EE"/>
              </w:rPr>
            </w:pPr>
            <w:hyperlink w:anchor="page21">
              <w:r>
                <w:rPr>
                  <w:rFonts w:ascii="Times New Roman" w:cs="Times New Roman" w:eastAsia="Times New Roman" w:hAnsi="Times New Roman"/>
                  <w:sz w:val="20"/>
                  <w:szCs w:val="20"/>
                  <w:color w:val="0000EE"/>
                </w:rPr>
                <w:t>2.</w:t>
              </w:r>
            </w:hyperlink>
          </w:p>
        </w:tc>
        <w:tc>
          <w:tcPr>
            <w:tcW w:w="320" w:type="dxa"/>
            <w:vAlign w:val="bottom"/>
          </w:tcPr>
          <w:p>
            <w:pPr>
              <w:spacing w:after="0"/>
              <w:rPr>
                <w:sz w:val="18"/>
                <w:szCs w:val="18"/>
                <w:color w:val="auto"/>
              </w:rPr>
            </w:pPr>
          </w:p>
        </w:tc>
        <w:tc>
          <w:tcPr>
            <w:tcW w:w="2540" w:type="dxa"/>
            <w:vAlign w:val="bottom"/>
            <w:gridSpan w:val="8"/>
          </w:tcPr>
          <w:p>
            <w:pPr>
              <w:spacing w:after="0" w:line="209" w:lineRule="exact"/>
              <w:rPr>
                <w:rFonts w:ascii="Times New Roman" w:cs="Times New Roman" w:eastAsia="Times New Roman" w:hAnsi="Times New Roman"/>
                <w:sz w:val="20"/>
                <w:szCs w:val="20"/>
                <w:color w:val="0000EE"/>
              </w:rPr>
            </w:pPr>
            <w:hyperlink w:anchor="page21">
              <w:r>
                <w:rPr>
                  <w:rFonts w:ascii="Times New Roman" w:cs="Times New Roman" w:eastAsia="Times New Roman" w:hAnsi="Times New Roman"/>
                  <w:sz w:val="20"/>
                  <w:szCs w:val="20"/>
                  <w:color w:val="0000EE"/>
                </w:rPr>
                <w:t>Properties</w:t>
              </w:r>
            </w:hyperlink>
          </w:p>
        </w:tc>
        <w:tc>
          <w:tcPr>
            <w:tcW w:w="7680" w:type="dxa"/>
            <w:vAlign w:val="bottom"/>
            <w:gridSpan w:val="4"/>
          </w:tcPr>
          <w:p>
            <w:pPr>
              <w:jc w:val="center"/>
              <w:ind w:left="6421"/>
              <w:spacing w:after="0" w:line="209" w:lineRule="exact"/>
              <w:rPr>
                <w:sz w:val="20"/>
                <w:szCs w:val="20"/>
                <w:color w:val="auto"/>
              </w:rPr>
            </w:pPr>
            <w:r>
              <w:rPr>
                <w:rFonts w:ascii="Times New Roman" w:cs="Times New Roman" w:eastAsia="Times New Roman" w:hAnsi="Times New Roman"/>
                <w:sz w:val="20"/>
                <w:szCs w:val="20"/>
                <w:color w:val="auto"/>
                <w:w w:val="99"/>
              </w:rPr>
              <w:t>31</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680" w:type="dxa"/>
            <w:vAlign w:val="bottom"/>
            <w:gridSpan w:val="4"/>
            <w:vMerge w:val="restart"/>
          </w:tcPr>
          <w:p>
            <w:pPr>
              <w:jc w:val="center"/>
              <w:ind w:left="6421"/>
              <w:spacing w:after="0"/>
              <w:rPr>
                <w:sz w:val="20"/>
                <w:szCs w:val="20"/>
                <w:color w:val="auto"/>
              </w:rPr>
            </w:pPr>
            <w:r>
              <w:rPr>
                <w:rFonts w:ascii="Times New Roman" w:cs="Times New Roman" w:eastAsia="Times New Roman" w:hAnsi="Times New Roman"/>
                <w:sz w:val="20"/>
                <w:szCs w:val="20"/>
                <w:color w:val="auto"/>
                <w:w w:val="99"/>
              </w:rPr>
              <w:t>31</w:t>
            </w:r>
          </w:p>
        </w:tc>
        <w:tc>
          <w:tcPr>
            <w:tcW w:w="0" w:type="dxa"/>
            <w:vAlign w:val="bottom"/>
          </w:tcPr>
          <w:p>
            <w:pPr>
              <w:spacing w:after="0" w:line="20" w:lineRule="exact"/>
              <w:rPr>
                <w:sz w:val="1"/>
                <w:szCs w:val="1"/>
                <w:color w:val="auto"/>
              </w:rPr>
            </w:pPr>
          </w:p>
        </w:tc>
      </w:tr>
      <w:tr>
        <w:trPr>
          <w:trHeight w:val="210"/>
        </w:trPr>
        <w:tc>
          <w:tcPr>
            <w:tcW w:w="720" w:type="dxa"/>
            <w:vAlign w:val="bottom"/>
            <w:gridSpan w:val="3"/>
          </w:tcPr>
          <w:p>
            <w:pPr>
              <w:jc w:val="right"/>
              <w:spacing w:after="0" w:line="209" w:lineRule="exact"/>
              <w:rPr>
                <w:rFonts w:ascii="Times New Roman" w:cs="Times New Roman" w:eastAsia="Times New Roman" w:hAnsi="Times New Roman"/>
                <w:sz w:val="20"/>
                <w:szCs w:val="20"/>
                <w:color w:val="0000EE"/>
              </w:rPr>
            </w:pPr>
            <w:hyperlink w:anchor="page21">
              <w:r>
                <w:rPr>
                  <w:rFonts w:ascii="Times New Roman" w:cs="Times New Roman" w:eastAsia="Times New Roman" w:hAnsi="Times New Roman"/>
                  <w:sz w:val="20"/>
                  <w:szCs w:val="20"/>
                  <w:color w:val="0000EE"/>
                </w:rPr>
                <w:t>3.</w:t>
              </w:r>
            </w:hyperlink>
          </w:p>
        </w:tc>
        <w:tc>
          <w:tcPr>
            <w:tcW w:w="320" w:type="dxa"/>
            <w:vAlign w:val="bottom"/>
          </w:tcPr>
          <w:p>
            <w:pPr>
              <w:spacing w:after="0"/>
              <w:rPr>
                <w:sz w:val="18"/>
                <w:szCs w:val="18"/>
                <w:color w:val="auto"/>
              </w:rPr>
            </w:pPr>
          </w:p>
        </w:tc>
        <w:tc>
          <w:tcPr>
            <w:tcW w:w="2540" w:type="dxa"/>
            <w:vAlign w:val="bottom"/>
            <w:gridSpan w:val="8"/>
          </w:tcPr>
          <w:p>
            <w:pPr>
              <w:spacing w:after="0" w:line="209" w:lineRule="exact"/>
              <w:rPr>
                <w:rFonts w:ascii="Times New Roman" w:cs="Times New Roman" w:eastAsia="Times New Roman" w:hAnsi="Times New Roman"/>
                <w:sz w:val="20"/>
                <w:szCs w:val="20"/>
                <w:color w:val="0000EE"/>
              </w:rPr>
            </w:pPr>
            <w:hyperlink w:anchor="page21">
              <w:r>
                <w:rPr>
                  <w:rFonts w:ascii="Times New Roman" w:cs="Times New Roman" w:eastAsia="Times New Roman" w:hAnsi="Times New Roman"/>
                  <w:sz w:val="20"/>
                  <w:szCs w:val="20"/>
                  <w:color w:val="0000EE"/>
                </w:rPr>
                <w:t>Legal Proceedings</w:t>
              </w:r>
            </w:hyperlink>
          </w:p>
        </w:tc>
        <w:tc>
          <w:tcPr>
            <w:tcW w:w="768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680" w:type="dxa"/>
            <w:vAlign w:val="bottom"/>
            <w:gridSpan w:val="4"/>
            <w:vMerge w:val="restart"/>
          </w:tcPr>
          <w:p>
            <w:pPr>
              <w:jc w:val="center"/>
              <w:ind w:left="6421"/>
              <w:spacing w:after="0"/>
              <w:rPr>
                <w:sz w:val="20"/>
                <w:szCs w:val="20"/>
                <w:color w:val="auto"/>
              </w:rPr>
            </w:pPr>
            <w:r>
              <w:rPr>
                <w:rFonts w:ascii="Times New Roman" w:cs="Times New Roman" w:eastAsia="Times New Roman" w:hAnsi="Times New Roman"/>
                <w:sz w:val="20"/>
                <w:szCs w:val="20"/>
                <w:color w:val="auto"/>
                <w:w w:val="99"/>
              </w:rPr>
              <w:t>32</w:t>
            </w:r>
          </w:p>
        </w:tc>
        <w:tc>
          <w:tcPr>
            <w:tcW w:w="0" w:type="dxa"/>
            <w:vAlign w:val="bottom"/>
          </w:tcPr>
          <w:p>
            <w:pPr>
              <w:spacing w:after="0" w:line="20" w:lineRule="exact"/>
              <w:rPr>
                <w:sz w:val="1"/>
                <w:szCs w:val="1"/>
                <w:color w:val="auto"/>
              </w:rPr>
            </w:pPr>
          </w:p>
        </w:tc>
      </w:tr>
      <w:tr>
        <w:trPr>
          <w:trHeight w:val="210"/>
        </w:trPr>
        <w:tc>
          <w:tcPr>
            <w:tcW w:w="720" w:type="dxa"/>
            <w:vAlign w:val="bottom"/>
            <w:gridSpan w:val="3"/>
          </w:tcPr>
          <w:p>
            <w:pPr>
              <w:jc w:val="right"/>
              <w:spacing w:after="0" w:line="209" w:lineRule="exact"/>
              <w:rPr>
                <w:rFonts w:ascii="Times New Roman" w:cs="Times New Roman" w:eastAsia="Times New Roman" w:hAnsi="Times New Roman"/>
                <w:sz w:val="20"/>
                <w:szCs w:val="20"/>
                <w:color w:val="0000EE"/>
              </w:rPr>
            </w:pPr>
            <w:hyperlink w:anchor="page22">
              <w:r>
                <w:rPr>
                  <w:rFonts w:ascii="Times New Roman" w:cs="Times New Roman" w:eastAsia="Times New Roman" w:hAnsi="Times New Roman"/>
                  <w:sz w:val="20"/>
                  <w:szCs w:val="20"/>
                  <w:color w:val="0000EE"/>
                </w:rPr>
                <w:t>4.</w:t>
              </w:r>
            </w:hyperlink>
          </w:p>
        </w:tc>
        <w:tc>
          <w:tcPr>
            <w:tcW w:w="320" w:type="dxa"/>
            <w:vAlign w:val="bottom"/>
          </w:tcPr>
          <w:p>
            <w:pPr>
              <w:spacing w:after="0"/>
              <w:rPr>
                <w:sz w:val="18"/>
                <w:szCs w:val="18"/>
                <w:color w:val="auto"/>
              </w:rPr>
            </w:pPr>
          </w:p>
        </w:tc>
        <w:tc>
          <w:tcPr>
            <w:tcW w:w="2540" w:type="dxa"/>
            <w:vAlign w:val="bottom"/>
            <w:gridSpan w:val="8"/>
          </w:tcPr>
          <w:p>
            <w:pPr>
              <w:spacing w:after="0" w:line="209" w:lineRule="exact"/>
              <w:rPr>
                <w:rFonts w:ascii="Times New Roman" w:cs="Times New Roman" w:eastAsia="Times New Roman" w:hAnsi="Times New Roman"/>
                <w:sz w:val="20"/>
                <w:szCs w:val="20"/>
                <w:color w:val="0000EE"/>
              </w:rPr>
            </w:pPr>
            <w:hyperlink w:anchor="page22">
              <w:r>
                <w:rPr>
                  <w:rFonts w:ascii="Times New Roman" w:cs="Times New Roman" w:eastAsia="Times New Roman" w:hAnsi="Times New Roman"/>
                  <w:sz w:val="20"/>
                  <w:szCs w:val="20"/>
                  <w:color w:val="0000EE"/>
                </w:rPr>
                <w:t>Mine Safety Disclosures</w:t>
              </w:r>
            </w:hyperlink>
          </w:p>
        </w:tc>
        <w:tc>
          <w:tcPr>
            <w:tcW w:w="768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jc w:val="center"/>
        <w:ind w:right="40"/>
        <w:spacing w:after="0"/>
        <w:rPr>
          <w:rFonts w:ascii="Times New Roman" w:cs="Times New Roman" w:eastAsia="Times New Roman" w:hAnsi="Times New Roman"/>
          <w:sz w:val="20"/>
          <w:szCs w:val="20"/>
          <w:b w:val="1"/>
          <w:bCs w:val="1"/>
          <w:u w:val="single" w:color="auto"/>
          <w:color w:val="0000EE"/>
        </w:rPr>
      </w:pPr>
      <w:hyperlink w:anchor="page22">
        <w:r>
          <w:rPr>
            <w:rFonts w:ascii="Times New Roman" w:cs="Times New Roman" w:eastAsia="Times New Roman" w:hAnsi="Times New Roman"/>
            <w:sz w:val="20"/>
            <w:szCs w:val="20"/>
            <w:b w:val="1"/>
            <w:bCs w:val="1"/>
            <w:u w:val="single" w:color="auto"/>
            <w:color w:val="0000EE"/>
          </w:rPr>
          <w:t>PART II</w:t>
        </w:r>
      </w:hyperlink>
    </w:p>
    <w:p>
      <w:pPr>
        <w:spacing w:after="0" w:line="233" w:lineRule="exact"/>
        <w:rPr>
          <w:sz w:val="20"/>
          <w:szCs w:val="20"/>
          <w:color w:val="auto"/>
        </w:rPr>
      </w:pPr>
    </w:p>
    <w:p>
      <w:pPr>
        <w:ind w:left="1040" w:hanging="465"/>
        <w:spacing w:after="0"/>
        <w:tabs>
          <w:tab w:leader="none" w:pos="1040" w:val="left"/>
        </w:tabs>
        <w:numPr>
          <w:ilvl w:val="0"/>
          <w:numId w:val="3"/>
        </w:numPr>
        <w:rPr>
          <w:rFonts w:ascii="Times New Roman" w:cs="Times New Roman" w:eastAsia="Times New Roman" w:hAnsi="Times New Roman"/>
          <w:sz w:val="20"/>
          <w:szCs w:val="20"/>
          <w:u w:val="single" w:color="auto"/>
          <w:color w:val="0000EE"/>
        </w:rPr>
      </w:pPr>
      <w:hyperlink w:anchor="page22">
        <w:r>
          <w:rPr>
            <w:rFonts w:ascii="Times New Roman" w:cs="Times New Roman" w:eastAsia="Times New Roman" w:hAnsi="Times New Roman"/>
            <w:sz w:val="20"/>
            <w:szCs w:val="20"/>
            <w:u w:val="single" w:color="auto"/>
            <w:color w:val="0000EE"/>
          </w:rPr>
          <w:t>Market for the Registrant’s Common Equity, Related Stockholder Matters and Issuer Purchases of Equity</w:t>
        </w:r>
      </w:hyperlink>
    </w:p>
    <w:tbl>
      <w:tblPr>
        <w:tblLayout w:type="fixed"/>
        <w:tblInd w:w="0" w:type="dxa"/>
        <w:tblCellMar>
          <w:top w:w="0" w:type="dxa"/>
          <w:left w:w="0" w:type="dxa"/>
          <w:bottom w:w="0" w:type="dxa"/>
          <w:right w:w="0" w:type="dxa"/>
        </w:tblCellMar>
      </w:tblPr>
      <w:tr>
        <w:trPr>
          <w:trHeight w:val="212"/>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0" w:type="dxa"/>
            <w:vAlign w:val="bottom"/>
            <w:gridSpan w:val="20"/>
          </w:tcPr>
          <w:p>
            <w:pPr>
              <w:spacing w:after="0" w:line="211" w:lineRule="exact"/>
              <w:rPr>
                <w:rFonts w:ascii="Times New Roman" w:cs="Times New Roman" w:eastAsia="Times New Roman" w:hAnsi="Times New Roman"/>
                <w:sz w:val="20"/>
                <w:szCs w:val="20"/>
                <w:color w:val="0000EE"/>
              </w:rPr>
            </w:pPr>
            <w:hyperlink w:anchor="page22">
              <w:r>
                <w:rPr>
                  <w:rFonts w:ascii="Times New Roman" w:cs="Times New Roman" w:eastAsia="Times New Roman" w:hAnsi="Times New Roman"/>
                  <w:sz w:val="20"/>
                  <w:szCs w:val="20"/>
                  <w:color w:val="0000EE"/>
                </w:rPr>
                <w:t>Securities</w:t>
              </w:r>
            </w:hyperlink>
          </w:p>
        </w:tc>
        <w:tc>
          <w:tcPr>
            <w:tcW w:w="1640" w:type="dxa"/>
            <w:vAlign w:val="bottom"/>
          </w:tcPr>
          <w:p>
            <w:pPr>
              <w:jc w:val="right"/>
              <w:ind w:right="581"/>
              <w:spacing w:after="0" w:line="211" w:lineRule="exact"/>
              <w:rPr>
                <w:sz w:val="20"/>
                <w:szCs w:val="20"/>
                <w:color w:val="auto"/>
              </w:rPr>
            </w:pPr>
            <w:r>
              <w:rPr>
                <w:rFonts w:ascii="Times New Roman" w:cs="Times New Roman" w:eastAsia="Times New Roman" w:hAnsi="Times New Roman"/>
                <w:sz w:val="20"/>
                <w:szCs w:val="20"/>
                <w:color w:val="auto"/>
              </w:rPr>
              <w:t>33</w:t>
            </w:r>
          </w:p>
        </w:tc>
        <w:tc>
          <w:tcPr>
            <w:tcW w:w="0" w:type="dxa"/>
            <w:vAlign w:val="bottom"/>
          </w:tcPr>
          <w:p>
            <w:pPr>
              <w:spacing w:after="0"/>
              <w:rPr>
                <w:sz w:val="1"/>
                <w:szCs w:val="1"/>
                <w:color w:val="auto"/>
              </w:rPr>
            </w:pPr>
          </w:p>
        </w:tc>
      </w:tr>
      <w:tr>
        <w:trPr>
          <w:trHeight w:val="20"/>
        </w:trPr>
        <w:tc>
          <w:tcPr>
            <w:tcW w:w="720" w:type="dxa"/>
            <w:vAlign w:val="bottom"/>
            <w:gridSpan w:val="6"/>
            <w:vMerge w:val="restart"/>
          </w:tcPr>
          <w:p>
            <w:pPr>
              <w:jc w:val="right"/>
              <w:spacing w:after="0"/>
              <w:rPr>
                <w:rFonts w:ascii="Times New Roman" w:cs="Times New Roman" w:eastAsia="Times New Roman" w:hAnsi="Times New Roman"/>
                <w:sz w:val="20"/>
                <w:szCs w:val="20"/>
                <w:color w:val="0000EE"/>
              </w:rPr>
            </w:pPr>
            <w:hyperlink w:anchor="page24">
              <w:r>
                <w:rPr>
                  <w:rFonts w:ascii="Times New Roman" w:cs="Times New Roman" w:eastAsia="Times New Roman" w:hAnsi="Times New Roman"/>
                  <w:sz w:val="20"/>
                  <w:szCs w:val="20"/>
                  <w:color w:val="0000EE"/>
                </w:rPr>
                <w:t>6.</w:t>
              </w:r>
            </w:hyperlink>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vMerge w:val="restart"/>
          </w:tcPr>
          <w:p>
            <w:pPr>
              <w:jc w:val="right"/>
              <w:ind w:right="581"/>
              <w:spacing w:after="0"/>
              <w:rPr>
                <w:sz w:val="20"/>
                <w:szCs w:val="20"/>
                <w:color w:val="auto"/>
              </w:rPr>
            </w:pPr>
            <w:r>
              <w:rPr>
                <w:rFonts w:ascii="Times New Roman" w:cs="Times New Roman" w:eastAsia="Times New Roman" w:hAnsi="Times New Roman"/>
                <w:sz w:val="20"/>
                <w:szCs w:val="20"/>
                <w:color w:val="auto"/>
              </w:rPr>
              <w:t>36</w:t>
            </w:r>
          </w:p>
        </w:tc>
        <w:tc>
          <w:tcPr>
            <w:tcW w:w="0" w:type="dxa"/>
            <w:vAlign w:val="bottom"/>
          </w:tcPr>
          <w:p>
            <w:pPr>
              <w:spacing w:after="0" w:line="20" w:lineRule="exact"/>
              <w:rPr>
                <w:sz w:val="1"/>
                <w:szCs w:val="1"/>
                <w:color w:val="auto"/>
              </w:rPr>
            </w:pPr>
          </w:p>
        </w:tc>
      </w:tr>
      <w:tr>
        <w:trPr>
          <w:trHeight w:val="210"/>
        </w:trPr>
        <w:tc>
          <w:tcPr>
            <w:tcW w:w="720" w:type="dxa"/>
            <w:vAlign w:val="bottom"/>
            <w:gridSpan w:val="6"/>
            <w:vMerge w:val="continue"/>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80" w:type="dxa"/>
            <w:vAlign w:val="bottom"/>
            <w:gridSpan w:val="21"/>
          </w:tcPr>
          <w:p>
            <w:pPr>
              <w:spacing w:after="0" w:line="209" w:lineRule="exact"/>
              <w:rPr>
                <w:rFonts w:ascii="Times New Roman" w:cs="Times New Roman" w:eastAsia="Times New Roman" w:hAnsi="Times New Roman"/>
                <w:sz w:val="20"/>
                <w:szCs w:val="20"/>
                <w:color w:val="0000EE"/>
              </w:rPr>
            </w:pPr>
            <w:hyperlink w:anchor="page24">
              <w:r>
                <w:rPr>
                  <w:rFonts w:ascii="Times New Roman" w:cs="Times New Roman" w:eastAsia="Times New Roman" w:hAnsi="Times New Roman"/>
                  <w:sz w:val="20"/>
                  <w:szCs w:val="20"/>
                  <w:color w:val="0000EE"/>
                </w:rPr>
                <w:t>Selected Financial Data</w:t>
              </w:r>
            </w:hyperlink>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vMerge w:val="restart"/>
          </w:tcPr>
          <w:p>
            <w:pPr>
              <w:jc w:val="right"/>
              <w:ind w:right="581"/>
              <w:spacing w:after="0"/>
              <w:rPr>
                <w:sz w:val="20"/>
                <w:szCs w:val="20"/>
                <w:color w:val="auto"/>
              </w:rPr>
            </w:pPr>
            <w:r>
              <w:rPr>
                <w:rFonts w:ascii="Times New Roman" w:cs="Times New Roman" w:eastAsia="Times New Roman" w:hAnsi="Times New Roman"/>
                <w:sz w:val="20"/>
                <w:szCs w:val="20"/>
                <w:color w:val="auto"/>
              </w:rPr>
              <w:t>37</w:t>
            </w:r>
          </w:p>
        </w:tc>
        <w:tc>
          <w:tcPr>
            <w:tcW w:w="0" w:type="dxa"/>
            <w:vAlign w:val="bottom"/>
          </w:tcPr>
          <w:p>
            <w:pPr>
              <w:spacing w:after="0" w:line="20" w:lineRule="exact"/>
              <w:rPr>
                <w:sz w:val="1"/>
                <w:szCs w:val="1"/>
                <w:color w:val="auto"/>
              </w:rPr>
            </w:pPr>
          </w:p>
        </w:tc>
      </w:tr>
      <w:tr>
        <w:trPr>
          <w:trHeight w:val="210"/>
        </w:trPr>
        <w:tc>
          <w:tcPr>
            <w:tcW w:w="720" w:type="dxa"/>
            <w:vAlign w:val="bottom"/>
            <w:gridSpan w:val="6"/>
          </w:tcPr>
          <w:p>
            <w:pPr>
              <w:jc w:val="right"/>
              <w:spacing w:after="0" w:line="209" w:lineRule="exact"/>
              <w:rPr>
                <w:rFonts w:ascii="Times New Roman" w:cs="Times New Roman" w:eastAsia="Times New Roman" w:hAnsi="Times New Roman"/>
                <w:sz w:val="20"/>
                <w:szCs w:val="20"/>
                <w:color w:val="0000EE"/>
              </w:rPr>
            </w:pPr>
            <w:hyperlink w:anchor="page25">
              <w:r>
                <w:rPr>
                  <w:rFonts w:ascii="Times New Roman" w:cs="Times New Roman" w:eastAsia="Times New Roman" w:hAnsi="Times New Roman"/>
                  <w:sz w:val="20"/>
                  <w:szCs w:val="20"/>
                  <w:color w:val="0000EE"/>
                </w:rPr>
                <w:t>7.</w:t>
              </w:r>
            </w:hyperlink>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80" w:type="dxa"/>
            <w:vAlign w:val="bottom"/>
            <w:gridSpan w:val="21"/>
          </w:tcPr>
          <w:p>
            <w:pPr>
              <w:spacing w:after="0" w:line="209" w:lineRule="exact"/>
              <w:rPr>
                <w:rFonts w:ascii="Times New Roman" w:cs="Times New Roman" w:eastAsia="Times New Roman" w:hAnsi="Times New Roman"/>
                <w:sz w:val="20"/>
                <w:szCs w:val="20"/>
                <w:color w:val="0000EE"/>
              </w:rPr>
            </w:pPr>
            <w:hyperlink w:anchor="page25">
              <w:r>
                <w:rPr>
                  <w:rFonts w:ascii="Times New Roman" w:cs="Times New Roman" w:eastAsia="Times New Roman" w:hAnsi="Times New Roman"/>
                  <w:sz w:val="20"/>
                  <w:szCs w:val="20"/>
                  <w:color w:val="0000EE"/>
                </w:rPr>
                <w:t>Management’s Discussion and Analysis of Financial Condition and Results of Operations</w:t>
              </w:r>
            </w:hyperlink>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vMerge w:val="restart"/>
          </w:tcPr>
          <w:p>
            <w:pPr>
              <w:jc w:val="right"/>
              <w:ind w:right="581"/>
              <w:spacing w:after="0"/>
              <w:rPr>
                <w:sz w:val="20"/>
                <w:szCs w:val="20"/>
                <w:color w:val="auto"/>
              </w:rPr>
            </w:pPr>
            <w:r>
              <w:rPr>
                <w:rFonts w:ascii="Times New Roman" w:cs="Times New Roman" w:eastAsia="Times New Roman" w:hAnsi="Times New Roman"/>
                <w:sz w:val="20"/>
                <w:szCs w:val="20"/>
                <w:color w:val="auto"/>
              </w:rPr>
              <w:t>64</w:t>
            </w: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gridSpan w:val="4"/>
          </w:tcPr>
          <w:p>
            <w:pPr>
              <w:jc w:val="right"/>
              <w:spacing w:after="0" w:line="209" w:lineRule="exact"/>
              <w:rPr>
                <w:rFonts w:ascii="Times New Roman" w:cs="Times New Roman" w:eastAsia="Times New Roman" w:hAnsi="Times New Roman"/>
                <w:sz w:val="20"/>
                <w:szCs w:val="20"/>
                <w:color w:val="0000EE"/>
                <w:w w:val="94"/>
              </w:rPr>
            </w:pPr>
            <w:hyperlink w:anchor="page42">
              <w:r>
                <w:rPr>
                  <w:rFonts w:ascii="Times New Roman" w:cs="Times New Roman" w:eastAsia="Times New Roman" w:hAnsi="Times New Roman"/>
                  <w:sz w:val="20"/>
                  <w:szCs w:val="20"/>
                  <w:color w:val="0000EE"/>
                  <w:w w:val="94"/>
                </w:rPr>
                <w:t>7A.</w:t>
              </w:r>
            </w:hyperlink>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80" w:type="dxa"/>
            <w:vAlign w:val="bottom"/>
            <w:gridSpan w:val="21"/>
          </w:tcPr>
          <w:p>
            <w:pPr>
              <w:spacing w:after="0" w:line="209" w:lineRule="exact"/>
              <w:rPr>
                <w:rFonts w:ascii="Times New Roman" w:cs="Times New Roman" w:eastAsia="Times New Roman" w:hAnsi="Times New Roman"/>
                <w:sz w:val="20"/>
                <w:szCs w:val="20"/>
                <w:color w:val="0000EE"/>
              </w:rPr>
            </w:pPr>
            <w:hyperlink w:anchor="page42">
              <w:r>
                <w:rPr>
                  <w:rFonts w:ascii="Times New Roman" w:cs="Times New Roman" w:eastAsia="Times New Roman" w:hAnsi="Times New Roman"/>
                  <w:sz w:val="20"/>
                  <w:szCs w:val="20"/>
                  <w:color w:val="0000EE"/>
                </w:rPr>
                <w:t>Quantitative and Qualitative Disclosures about Market Risk</w:t>
              </w:r>
            </w:hyperlink>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340" w:type="dxa"/>
            <w:vAlign w:val="bottom"/>
            <w:tcBorders>
              <w:top w:val="single" w:sz="8" w:color="0000EE"/>
            </w:tcBorders>
            <w:gridSpan w:val="5"/>
          </w:tcPr>
          <w:p>
            <w:pPr>
              <w:jc w:val="right"/>
              <w:spacing w:after="0" w:line="209" w:lineRule="exact"/>
              <w:rPr>
                <w:rFonts w:ascii="Times New Roman" w:cs="Times New Roman" w:eastAsia="Times New Roman" w:hAnsi="Times New Roman"/>
                <w:sz w:val="20"/>
                <w:szCs w:val="20"/>
                <w:color w:val="0000EE"/>
              </w:rPr>
            </w:pPr>
            <w:hyperlink w:anchor="page42">
              <w:r>
                <w:rPr>
                  <w:rFonts w:ascii="Times New Roman" w:cs="Times New Roman" w:eastAsia="Times New Roman" w:hAnsi="Times New Roman"/>
                  <w:sz w:val="20"/>
                  <w:szCs w:val="20"/>
                  <w:color w:val="0000EE"/>
                </w:rPr>
                <w:t>8.</w:t>
              </w:r>
            </w:hyperlink>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tcBorders>
              <w:top w:val="single" w:sz="8" w:color="0000EE"/>
            </w:tcBorders>
            <w:gridSpan w:val="14"/>
          </w:tcPr>
          <w:p>
            <w:pPr>
              <w:spacing w:after="0" w:line="209" w:lineRule="exact"/>
              <w:rPr>
                <w:rFonts w:ascii="Times New Roman" w:cs="Times New Roman" w:eastAsia="Times New Roman" w:hAnsi="Times New Roman"/>
                <w:sz w:val="20"/>
                <w:szCs w:val="20"/>
                <w:color w:val="0000EE"/>
              </w:rPr>
            </w:pPr>
            <w:hyperlink w:anchor="page42">
              <w:r>
                <w:rPr>
                  <w:rFonts w:ascii="Times New Roman" w:cs="Times New Roman" w:eastAsia="Times New Roman" w:hAnsi="Times New Roman"/>
                  <w:sz w:val="20"/>
                  <w:szCs w:val="20"/>
                  <w:color w:val="0000EE"/>
                </w:rPr>
                <w:t>Financial Statements and Supplementary Data</w:t>
              </w:r>
            </w:hyperlink>
          </w:p>
        </w:tc>
        <w:tc>
          <w:tcPr>
            <w:tcW w:w="4040" w:type="dxa"/>
            <w:vAlign w:val="bottom"/>
            <w:gridSpan w:val="7"/>
          </w:tcPr>
          <w:p>
            <w:pPr>
              <w:spacing w:after="0"/>
              <w:rPr>
                <w:sz w:val="18"/>
                <w:szCs w:val="18"/>
                <w:color w:val="auto"/>
              </w:rPr>
            </w:pPr>
          </w:p>
        </w:tc>
        <w:tc>
          <w:tcPr>
            <w:tcW w:w="1640" w:type="dxa"/>
            <w:vAlign w:val="bottom"/>
          </w:tcPr>
          <w:p>
            <w:pPr>
              <w:jc w:val="right"/>
              <w:ind w:right="581"/>
              <w:spacing w:after="0" w:line="209" w:lineRule="exact"/>
              <w:rPr>
                <w:sz w:val="20"/>
                <w:szCs w:val="20"/>
                <w:color w:val="auto"/>
              </w:rPr>
            </w:pPr>
            <w:r>
              <w:rPr>
                <w:rFonts w:ascii="Times New Roman" w:cs="Times New Roman" w:eastAsia="Times New Roman" w:hAnsi="Times New Roman"/>
                <w:sz w:val="20"/>
                <w:szCs w:val="20"/>
                <w:color w:val="auto"/>
              </w:rPr>
              <w:t>65</w:t>
            </w: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vMerge w:val="restart"/>
          </w:tcPr>
          <w:p>
            <w:pPr>
              <w:jc w:val="right"/>
              <w:ind w:right="581"/>
              <w:spacing w:after="0"/>
              <w:rPr>
                <w:sz w:val="20"/>
                <w:szCs w:val="20"/>
                <w:color w:val="auto"/>
              </w:rPr>
            </w:pPr>
            <w:r>
              <w:rPr>
                <w:rFonts w:ascii="Times New Roman" w:cs="Times New Roman" w:eastAsia="Times New Roman" w:hAnsi="Times New Roman"/>
                <w:sz w:val="20"/>
                <w:szCs w:val="20"/>
                <w:color w:val="auto"/>
              </w:rPr>
              <w:t>65</w:t>
            </w:r>
          </w:p>
        </w:tc>
        <w:tc>
          <w:tcPr>
            <w:tcW w:w="0" w:type="dxa"/>
            <w:vAlign w:val="bottom"/>
          </w:tcPr>
          <w:p>
            <w:pPr>
              <w:spacing w:after="0" w:line="20" w:lineRule="exact"/>
              <w:rPr>
                <w:sz w:val="1"/>
                <w:szCs w:val="1"/>
                <w:color w:val="auto"/>
              </w:rPr>
            </w:pPr>
          </w:p>
        </w:tc>
      </w:tr>
      <w:tr>
        <w:trPr>
          <w:trHeight w:val="210"/>
        </w:trPr>
        <w:tc>
          <w:tcPr>
            <w:tcW w:w="720" w:type="dxa"/>
            <w:vAlign w:val="bottom"/>
            <w:gridSpan w:val="6"/>
          </w:tcPr>
          <w:p>
            <w:pPr>
              <w:jc w:val="right"/>
              <w:spacing w:after="0" w:line="209" w:lineRule="exact"/>
              <w:rPr>
                <w:rFonts w:ascii="Times New Roman" w:cs="Times New Roman" w:eastAsia="Times New Roman" w:hAnsi="Times New Roman"/>
                <w:sz w:val="20"/>
                <w:szCs w:val="20"/>
                <w:color w:val="0000EE"/>
              </w:rPr>
            </w:pPr>
            <w:hyperlink w:anchor="page43">
              <w:r>
                <w:rPr>
                  <w:rFonts w:ascii="Times New Roman" w:cs="Times New Roman" w:eastAsia="Times New Roman" w:hAnsi="Times New Roman"/>
                  <w:sz w:val="20"/>
                  <w:szCs w:val="20"/>
                  <w:color w:val="0000EE"/>
                </w:rPr>
                <w:t>9.</w:t>
              </w:r>
            </w:hyperlink>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80" w:type="dxa"/>
            <w:vAlign w:val="bottom"/>
            <w:gridSpan w:val="21"/>
          </w:tcPr>
          <w:p>
            <w:pPr>
              <w:spacing w:after="0" w:line="209" w:lineRule="exact"/>
              <w:rPr>
                <w:rFonts w:ascii="Times New Roman" w:cs="Times New Roman" w:eastAsia="Times New Roman" w:hAnsi="Times New Roman"/>
                <w:sz w:val="20"/>
                <w:szCs w:val="20"/>
                <w:color w:val="0000EE"/>
              </w:rPr>
            </w:pPr>
            <w:hyperlink w:anchor="page43">
              <w:r>
                <w:rPr>
                  <w:rFonts w:ascii="Times New Roman" w:cs="Times New Roman" w:eastAsia="Times New Roman" w:hAnsi="Times New Roman"/>
                  <w:sz w:val="20"/>
                  <w:szCs w:val="20"/>
                  <w:color w:val="0000EE"/>
                </w:rPr>
                <w:t>Changes in and Disagreements with Accountants on Accounting and Financial Disclosure</w:t>
              </w:r>
            </w:hyperlink>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0000EE"/>
            </w:tcBorders>
            <w:gridSpan w:val="2"/>
            <w:shd w:val="clear" w:color="auto" w:fill="0000EE"/>
          </w:tcPr>
          <w:p>
            <w:pPr>
              <w:spacing w:after="0" w:line="20" w:lineRule="exact"/>
              <w:rPr>
                <w:sz w:val="1"/>
                <w:szCs w:val="1"/>
                <w:color w:val="auto"/>
              </w:rPr>
            </w:pPr>
          </w:p>
        </w:tc>
        <w:tc>
          <w:tcPr>
            <w:tcW w:w="640" w:type="dxa"/>
            <w:vAlign w:val="bottom"/>
            <w:tcBorders>
              <w:bottom w:val="single" w:sz="8" w:color="0000EE"/>
            </w:tcBorders>
            <w:gridSpan w:val="2"/>
            <w:shd w:val="clear" w:color="auto" w:fill="0000EE"/>
          </w:tcPr>
          <w:p>
            <w:pPr>
              <w:spacing w:after="0" w:line="20" w:lineRule="exact"/>
              <w:rPr>
                <w:sz w:val="1"/>
                <w:szCs w:val="1"/>
                <w:color w:val="auto"/>
              </w:rPr>
            </w:pPr>
          </w:p>
        </w:tc>
        <w:tc>
          <w:tcPr>
            <w:tcW w:w="500" w:type="dxa"/>
            <w:vAlign w:val="bottom"/>
            <w:tcBorders>
              <w:bottom w:val="single" w:sz="8" w:color="0000EE"/>
            </w:tcBorders>
            <w:gridSpan w:val="2"/>
            <w:shd w:val="clear" w:color="auto" w:fill="0000EE"/>
          </w:tcPr>
          <w:p>
            <w:pPr>
              <w:spacing w:after="0" w:line="20" w:lineRule="exact"/>
              <w:rPr>
                <w:sz w:val="1"/>
                <w:szCs w:val="1"/>
                <w:color w:val="auto"/>
              </w:rPr>
            </w:pPr>
          </w:p>
        </w:tc>
        <w:tc>
          <w:tcPr>
            <w:tcW w:w="40" w:type="dxa"/>
            <w:vAlign w:val="bottom"/>
            <w:tcBorders>
              <w:bottom w:val="single" w:sz="8" w:color="0000EE"/>
            </w:tcBorders>
            <w:shd w:val="clear" w:color="auto" w:fill="0000EE"/>
          </w:tcPr>
          <w:p>
            <w:pPr>
              <w:spacing w:after="0" w:line="20" w:lineRule="exact"/>
              <w:rPr>
                <w:sz w:val="1"/>
                <w:szCs w:val="1"/>
                <w:color w:val="auto"/>
              </w:rPr>
            </w:pPr>
          </w:p>
        </w:tc>
        <w:tc>
          <w:tcPr>
            <w:tcW w:w="1160" w:type="dxa"/>
            <w:vAlign w:val="bottom"/>
            <w:tcBorders>
              <w:bottom w:val="single" w:sz="8" w:color="0000EE"/>
            </w:tcBorders>
            <w:shd w:val="clear" w:color="auto" w:fill="0000EE"/>
          </w:tcPr>
          <w:p>
            <w:pPr>
              <w:spacing w:after="0" w:line="20" w:lineRule="exact"/>
              <w:rPr>
                <w:sz w:val="1"/>
                <w:szCs w:val="1"/>
                <w:color w:val="auto"/>
              </w:rPr>
            </w:pPr>
          </w:p>
        </w:tc>
        <w:tc>
          <w:tcPr>
            <w:tcW w:w="300" w:type="dxa"/>
            <w:vAlign w:val="bottom"/>
            <w:tcBorders>
              <w:bottom w:val="single" w:sz="8" w:color="0000EE"/>
            </w:tcBorders>
            <w:shd w:val="clear" w:color="auto" w:fill="0000EE"/>
          </w:tcPr>
          <w:p>
            <w:pPr>
              <w:spacing w:after="0" w:line="20" w:lineRule="exact"/>
              <w:rPr>
                <w:sz w:val="1"/>
                <w:szCs w:val="1"/>
                <w:color w:val="auto"/>
              </w:rPr>
            </w:pPr>
          </w:p>
        </w:tc>
        <w:tc>
          <w:tcPr>
            <w:tcW w:w="820" w:type="dxa"/>
            <w:vAlign w:val="bottom"/>
            <w:tcBorders>
              <w:bottom w:val="single" w:sz="8" w:color="0000EE"/>
            </w:tcBorders>
            <w:gridSpan w:val="2"/>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220" w:type="dxa"/>
            <w:vAlign w:val="bottom"/>
            <w:tcBorders>
              <w:bottom w:val="single" w:sz="8" w:color="0000EE"/>
            </w:tcBorders>
            <w:shd w:val="clear" w:color="auto" w:fill="0000EE"/>
          </w:tcPr>
          <w:p>
            <w:pPr>
              <w:spacing w:after="0" w:line="20" w:lineRule="exact"/>
              <w:rPr>
                <w:sz w:val="1"/>
                <w:szCs w:val="1"/>
                <w:color w:val="auto"/>
              </w:rPr>
            </w:pPr>
          </w:p>
        </w:tc>
        <w:tc>
          <w:tcPr>
            <w:tcW w:w="540" w:type="dxa"/>
            <w:vAlign w:val="bottom"/>
            <w:tcBorders>
              <w:bottom w:val="single" w:sz="8" w:color="0000EE"/>
            </w:tcBorders>
            <w:gridSpan w:val="2"/>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920" w:type="dxa"/>
            <w:vAlign w:val="bottom"/>
            <w:tcBorders>
              <w:bottom w:val="single" w:sz="8" w:color="0000EE"/>
            </w:tcBorders>
            <w:shd w:val="clear" w:color="auto" w:fill="0000EE"/>
          </w:tcPr>
          <w:p>
            <w:pPr>
              <w:spacing w:after="0" w:line="20" w:lineRule="exact"/>
              <w:rPr>
                <w:sz w:val="1"/>
                <w:szCs w:val="1"/>
                <w:color w:val="auto"/>
              </w:rPr>
            </w:pPr>
          </w:p>
        </w:tc>
        <w:tc>
          <w:tcPr>
            <w:tcW w:w="1140" w:type="dxa"/>
            <w:vAlign w:val="bottom"/>
            <w:tcBorders>
              <w:bottom w:val="single" w:sz="8" w:color="0000EE"/>
            </w:tcBorders>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80" w:type="dxa"/>
            <w:vAlign w:val="bottom"/>
          </w:tcPr>
          <w:p>
            <w:pPr>
              <w:spacing w:after="0"/>
              <w:rPr>
                <w:sz w:val="16"/>
                <w:szCs w:val="16"/>
                <w:color w:val="auto"/>
              </w:rPr>
            </w:pPr>
          </w:p>
        </w:tc>
        <w:tc>
          <w:tcPr>
            <w:tcW w:w="40" w:type="dxa"/>
            <w:vAlign w:val="bottom"/>
            <w:tcBorders>
              <w:bottom w:val="single" w:sz="8" w:color="0000EE"/>
            </w:tcBorders>
          </w:tcPr>
          <w:p>
            <w:pPr>
              <w:spacing w:after="0"/>
              <w:rPr>
                <w:sz w:val="16"/>
                <w:szCs w:val="16"/>
                <w:color w:val="auto"/>
              </w:rPr>
            </w:pPr>
          </w:p>
        </w:tc>
        <w:tc>
          <w:tcPr>
            <w:tcW w:w="300" w:type="dxa"/>
            <w:vAlign w:val="bottom"/>
            <w:tcBorders>
              <w:bottom w:val="single" w:sz="8" w:color="0000EE"/>
            </w:tcBorders>
            <w:gridSpan w:val="4"/>
          </w:tcPr>
          <w:p>
            <w:pPr>
              <w:jc w:val="right"/>
              <w:spacing w:after="0" w:line="189" w:lineRule="exact"/>
              <w:rPr>
                <w:rFonts w:ascii="Times New Roman" w:cs="Times New Roman" w:eastAsia="Times New Roman" w:hAnsi="Times New Roman"/>
                <w:sz w:val="20"/>
                <w:szCs w:val="20"/>
                <w:color w:val="0000EE"/>
                <w:w w:val="94"/>
              </w:rPr>
            </w:pPr>
            <w:hyperlink w:anchor="page43">
              <w:r>
                <w:rPr>
                  <w:rFonts w:ascii="Times New Roman" w:cs="Times New Roman" w:eastAsia="Times New Roman" w:hAnsi="Times New Roman"/>
                  <w:sz w:val="20"/>
                  <w:szCs w:val="20"/>
                  <w:color w:val="0000EE"/>
                  <w:w w:val="94"/>
                </w:rPr>
                <w:t>9A.</w:t>
              </w:r>
            </w:hyperlink>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60" w:type="dxa"/>
            <w:vAlign w:val="bottom"/>
            <w:tcBorders>
              <w:bottom w:val="single" w:sz="8" w:color="0000EE"/>
            </w:tcBorders>
            <w:gridSpan w:val="6"/>
          </w:tcPr>
          <w:p>
            <w:pPr>
              <w:spacing w:after="0" w:line="189" w:lineRule="exact"/>
              <w:rPr>
                <w:rFonts w:ascii="Times New Roman" w:cs="Times New Roman" w:eastAsia="Times New Roman" w:hAnsi="Times New Roman"/>
                <w:sz w:val="20"/>
                <w:szCs w:val="20"/>
                <w:color w:val="0000EE"/>
                <w:w w:val="98"/>
              </w:rPr>
            </w:pPr>
            <w:hyperlink w:anchor="page43">
              <w:r>
                <w:rPr>
                  <w:rFonts w:ascii="Times New Roman" w:cs="Times New Roman" w:eastAsia="Times New Roman" w:hAnsi="Times New Roman"/>
                  <w:sz w:val="20"/>
                  <w:szCs w:val="20"/>
                  <w:color w:val="0000EE"/>
                  <w:w w:val="98"/>
                </w:rPr>
                <w:t>Controls and Procedures</w:t>
              </w:r>
            </w:hyperlink>
          </w:p>
        </w:tc>
        <w:tc>
          <w:tcPr>
            <w:tcW w:w="6820" w:type="dxa"/>
            <w:vAlign w:val="bottom"/>
            <w:gridSpan w:val="15"/>
          </w:tcPr>
          <w:p>
            <w:pPr>
              <w:spacing w:after="0"/>
              <w:rPr>
                <w:sz w:val="16"/>
                <w:szCs w:val="16"/>
                <w:color w:val="auto"/>
              </w:rPr>
            </w:pPr>
          </w:p>
        </w:tc>
        <w:tc>
          <w:tcPr>
            <w:tcW w:w="1640" w:type="dxa"/>
            <w:vAlign w:val="bottom"/>
          </w:tcPr>
          <w:p>
            <w:pPr>
              <w:jc w:val="right"/>
              <w:ind w:right="581"/>
              <w:spacing w:after="0" w:line="189" w:lineRule="exact"/>
              <w:rPr>
                <w:sz w:val="20"/>
                <w:szCs w:val="20"/>
                <w:color w:val="auto"/>
              </w:rPr>
            </w:pPr>
            <w:r>
              <w:rPr>
                <w:rFonts w:ascii="Times New Roman" w:cs="Times New Roman" w:eastAsia="Times New Roman" w:hAnsi="Times New Roman"/>
                <w:sz w:val="20"/>
                <w:szCs w:val="20"/>
                <w:color w:val="auto"/>
              </w:rPr>
              <w:t>65</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3"/>
          </w:tcPr>
          <w:p>
            <w:pPr>
              <w:jc w:val="right"/>
              <w:spacing w:after="0" w:line="209" w:lineRule="exact"/>
              <w:rPr>
                <w:rFonts w:ascii="Times New Roman" w:cs="Times New Roman" w:eastAsia="Times New Roman" w:hAnsi="Times New Roman"/>
                <w:sz w:val="20"/>
                <w:szCs w:val="20"/>
                <w:color w:val="0000EE"/>
                <w:w w:val="91"/>
              </w:rPr>
            </w:pPr>
            <w:hyperlink w:anchor="page44">
              <w:r>
                <w:rPr>
                  <w:rFonts w:ascii="Times New Roman" w:cs="Times New Roman" w:eastAsia="Times New Roman" w:hAnsi="Times New Roman"/>
                  <w:sz w:val="20"/>
                  <w:szCs w:val="20"/>
                  <w:color w:val="0000EE"/>
                  <w:w w:val="91"/>
                </w:rPr>
                <w:t>9B.</w:t>
              </w:r>
            </w:hyperlink>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80" w:type="dxa"/>
            <w:vAlign w:val="bottom"/>
            <w:gridSpan w:val="21"/>
          </w:tcPr>
          <w:p>
            <w:pPr>
              <w:spacing w:after="0" w:line="209" w:lineRule="exact"/>
              <w:rPr>
                <w:rFonts w:ascii="Times New Roman" w:cs="Times New Roman" w:eastAsia="Times New Roman" w:hAnsi="Times New Roman"/>
                <w:sz w:val="20"/>
                <w:szCs w:val="20"/>
                <w:color w:val="0000EE"/>
              </w:rPr>
            </w:pPr>
            <w:hyperlink w:anchor="page44">
              <w:r>
                <w:rPr>
                  <w:rFonts w:ascii="Times New Roman" w:cs="Times New Roman" w:eastAsia="Times New Roman" w:hAnsi="Times New Roman"/>
                  <w:sz w:val="20"/>
                  <w:szCs w:val="20"/>
                  <w:color w:val="0000EE"/>
                </w:rPr>
                <w:t>Other Information</w:t>
              </w:r>
            </w:hyperlink>
          </w:p>
        </w:tc>
        <w:tc>
          <w:tcPr>
            <w:tcW w:w="1640" w:type="dxa"/>
            <w:vAlign w:val="bottom"/>
          </w:tcPr>
          <w:p>
            <w:pPr>
              <w:jc w:val="right"/>
              <w:ind w:right="581"/>
              <w:spacing w:after="0" w:line="209" w:lineRule="exact"/>
              <w:rPr>
                <w:sz w:val="20"/>
                <w:szCs w:val="20"/>
                <w:color w:val="auto"/>
              </w:rPr>
            </w:pPr>
            <w:r>
              <w:rPr>
                <w:rFonts w:ascii="Times New Roman" w:cs="Times New Roman" w:eastAsia="Times New Roman" w:hAnsi="Times New Roman"/>
                <w:sz w:val="20"/>
                <w:szCs w:val="20"/>
                <w:color w:val="auto"/>
              </w:rPr>
              <w:t>67</w:t>
            </w:r>
          </w:p>
        </w:tc>
        <w:tc>
          <w:tcPr>
            <w:tcW w:w="0" w:type="dxa"/>
            <w:vAlign w:val="bottom"/>
          </w:tcPr>
          <w:p>
            <w:pPr>
              <w:spacing w:after="0"/>
              <w:rPr>
                <w:sz w:val="1"/>
                <w:szCs w:val="1"/>
                <w:color w:val="auto"/>
              </w:rPr>
            </w:pPr>
          </w:p>
        </w:tc>
      </w:tr>
      <w:tr>
        <w:trPr>
          <w:trHeight w:val="439"/>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Borders>
              <w:bottom w:val="single" w:sz="8" w:color="0000EE"/>
            </w:tcBorders>
            <w:gridSpan w:val="5"/>
          </w:tcPr>
          <w:p>
            <w:pPr>
              <w:jc w:val="center"/>
              <w:spacing w:after="0"/>
              <w:rPr>
                <w:rFonts w:ascii="Times New Roman" w:cs="Times New Roman" w:eastAsia="Times New Roman" w:hAnsi="Times New Roman"/>
                <w:sz w:val="20"/>
                <w:szCs w:val="20"/>
                <w:b w:val="1"/>
                <w:bCs w:val="1"/>
                <w:color w:val="0000EE"/>
                <w:w w:val="96"/>
              </w:rPr>
            </w:pPr>
            <w:hyperlink w:anchor="page44">
              <w:r>
                <w:rPr>
                  <w:rFonts w:ascii="Times New Roman" w:cs="Times New Roman" w:eastAsia="Times New Roman" w:hAnsi="Times New Roman"/>
                  <w:sz w:val="20"/>
                  <w:szCs w:val="20"/>
                  <w:b w:val="1"/>
                  <w:bCs w:val="1"/>
                  <w:color w:val="0000EE"/>
                  <w:w w:val="96"/>
                </w:rPr>
                <w:t>PART III</w:t>
              </w:r>
            </w:hyperlink>
          </w:p>
        </w:tc>
        <w:tc>
          <w:tcPr>
            <w:tcW w:w="3700" w:type="dxa"/>
            <w:vAlign w:val="bottom"/>
            <w:gridSpan w:val="5"/>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20" w:type="dxa"/>
            <w:vAlign w:val="bottom"/>
            <w:gridSpan w:val="2"/>
          </w:tcPr>
          <w:p>
            <w:pPr>
              <w:spacing w:after="0"/>
              <w:rPr>
                <w:sz w:val="24"/>
                <w:szCs w:val="24"/>
                <w:color w:val="auto"/>
              </w:rPr>
            </w:pPr>
          </w:p>
        </w:tc>
        <w:tc>
          <w:tcPr>
            <w:tcW w:w="300" w:type="dxa"/>
            <w:vAlign w:val="bottom"/>
            <w:tcBorders>
              <w:bottom w:val="single" w:sz="8" w:color="0000EE"/>
            </w:tcBorders>
            <w:gridSpan w:val="4"/>
          </w:tcPr>
          <w:p>
            <w:pPr>
              <w:jc w:val="right"/>
              <w:spacing w:after="0"/>
              <w:rPr>
                <w:rFonts w:ascii="Times New Roman" w:cs="Times New Roman" w:eastAsia="Times New Roman" w:hAnsi="Times New Roman"/>
                <w:sz w:val="20"/>
                <w:szCs w:val="20"/>
                <w:color w:val="0000EE"/>
              </w:rPr>
            </w:pPr>
            <w:hyperlink w:anchor="page44">
              <w:r>
                <w:rPr>
                  <w:rFonts w:ascii="Times New Roman" w:cs="Times New Roman" w:eastAsia="Times New Roman" w:hAnsi="Times New Roman"/>
                  <w:sz w:val="20"/>
                  <w:szCs w:val="20"/>
                  <w:color w:val="0000EE"/>
                </w:rPr>
                <w:t>10.</w:t>
              </w:r>
            </w:hyperlink>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tcBorders>
              <w:bottom w:val="single" w:sz="8" w:color="0000EE"/>
            </w:tcBorders>
            <w:gridSpan w:val="13"/>
          </w:tcPr>
          <w:p>
            <w:pPr>
              <w:spacing w:after="0"/>
              <w:rPr>
                <w:rFonts w:ascii="Times New Roman" w:cs="Times New Roman" w:eastAsia="Times New Roman" w:hAnsi="Times New Roman"/>
                <w:sz w:val="20"/>
                <w:szCs w:val="20"/>
                <w:color w:val="0000EE"/>
                <w:w w:val="98"/>
              </w:rPr>
            </w:pPr>
            <w:hyperlink w:anchor="page44">
              <w:r>
                <w:rPr>
                  <w:rFonts w:ascii="Times New Roman" w:cs="Times New Roman" w:eastAsia="Times New Roman" w:hAnsi="Times New Roman"/>
                  <w:sz w:val="20"/>
                  <w:szCs w:val="20"/>
                  <w:color w:val="0000EE"/>
                  <w:w w:val="98"/>
                </w:rPr>
                <w:t>Directors, Executive Officers and Corporate Governance</w:t>
              </w:r>
            </w:hyperlink>
          </w:p>
        </w:tc>
        <w:tc>
          <w:tcPr>
            <w:tcW w:w="4260" w:type="dxa"/>
            <w:vAlign w:val="bottom"/>
            <w:gridSpan w:val="8"/>
          </w:tcPr>
          <w:p>
            <w:pPr>
              <w:spacing w:after="0"/>
              <w:rPr>
                <w:sz w:val="24"/>
                <w:szCs w:val="24"/>
                <w:color w:val="auto"/>
              </w:rPr>
            </w:pPr>
          </w:p>
        </w:tc>
        <w:tc>
          <w:tcPr>
            <w:tcW w:w="164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rPr>
              <w:t>67</w:t>
            </w:r>
          </w:p>
        </w:tc>
        <w:tc>
          <w:tcPr>
            <w:tcW w:w="0" w:type="dxa"/>
            <w:vAlign w:val="bottom"/>
          </w:tcPr>
          <w:p>
            <w:pPr>
              <w:spacing w:after="0"/>
              <w:rPr>
                <w:sz w:val="1"/>
                <w:szCs w:val="1"/>
                <w:color w:val="auto"/>
              </w:rPr>
            </w:pPr>
          </w:p>
        </w:tc>
      </w:tr>
      <w:tr>
        <w:trPr>
          <w:trHeight w:val="210"/>
        </w:trPr>
        <w:tc>
          <w:tcPr>
            <w:tcW w:w="440" w:type="dxa"/>
            <w:vAlign w:val="bottom"/>
            <w:gridSpan w:val="3"/>
          </w:tcPr>
          <w:p>
            <w:pPr>
              <w:spacing w:after="0"/>
              <w:rPr>
                <w:sz w:val="18"/>
                <w:szCs w:val="18"/>
                <w:color w:val="auto"/>
              </w:rPr>
            </w:pPr>
          </w:p>
        </w:tc>
        <w:tc>
          <w:tcPr>
            <w:tcW w:w="280" w:type="dxa"/>
            <w:vAlign w:val="bottom"/>
            <w:tcBorders>
              <w:bottom w:val="single" w:sz="8" w:color="0000EE"/>
            </w:tcBorders>
            <w:gridSpan w:val="3"/>
          </w:tcPr>
          <w:p>
            <w:pPr>
              <w:jc w:val="right"/>
              <w:spacing w:after="0" w:line="189" w:lineRule="exact"/>
              <w:rPr>
                <w:rFonts w:ascii="Times New Roman" w:cs="Times New Roman" w:eastAsia="Times New Roman" w:hAnsi="Times New Roman"/>
                <w:sz w:val="20"/>
                <w:szCs w:val="20"/>
                <w:color w:val="0000EE"/>
              </w:rPr>
            </w:pPr>
            <w:hyperlink w:anchor="page44">
              <w:r>
                <w:rPr>
                  <w:rFonts w:ascii="Times New Roman" w:cs="Times New Roman" w:eastAsia="Times New Roman" w:hAnsi="Times New Roman"/>
                  <w:sz w:val="20"/>
                  <w:szCs w:val="20"/>
                  <w:color w:val="0000EE"/>
                </w:rPr>
                <w:t>11.</w:t>
              </w:r>
            </w:hyperlink>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0" w:type="dxa"/>
            <w:vAlign w:val="bottom"/>
            <w:tcBorders>
              <w:bottom w:val="single" w:sz="8" w:color="0000EE"/>
            </w:tcBorders>
            <w:gridSpan w:val="7"/>
          </w:tcPr>
          <w:p>
            <w:pPr>
              <w:spacing w:after="0" w:line="189" w:lineRule="exact"/>
              <w:rPr>
                <w:rFonts w:ascii="Times New Roman" w:cs="Times New Roman" w:eastAsia="Times New Roman" w:hAnsi="Times New Roman"/>
                <w:sz w:val="20"/>
                <w:szCs w:val="20"/>
                <w:color w:val="0000EE"/>
                <w:w w:val="98"/>
              </w:rPr>
            </w:pPr>
            <w:hyperlink w:anchor="page44">
              <w:r>
                <w:rPr>
                  <w:rFonts w:ascii="Times New Roman" w:cs="Times New Roman" w:eastAsia="Times New Roman" w:hAnsi="Times New Roman"/>
                  <w:sz w:val="20"/>
                  <w:szCs w:val="20"/>
                  <w:color w:val="0000EE"/>
                  <w:w w:val="98"/>
                </w:rPr>
                <w:t>Executive Compensation</w:t>
              </w:r>
            </w:hyperlink>
          </w:p>
        </w:tc>
        <w:tc>
          <w:tcPr>
            <w:tcW w:w="6780" w:type="dxa"/>
            <w:vAlign w:val="bottom"/>
            <w:gridSpan w:val="14"/>
          </w:tcPr>
          <w:p>
            <w:pPr>
              <w:spacing w:after="0"/>
              <w:rPr>
                <w:sz w:val="18"/>
                <w:szCs w:val="18"/>
                <w:color w:val="auto"/>
              </w:rPr>
            </w:pPr>
          </w:p>
        </w:tc>
        <w:tc>
          <w:tcPr>
            <w:tcW w:w="1640" w:type="dxa"/>
            <w:vAlign w:val="bottom"/>
          </w:tcPr>
          <w:p>
            <w:pPr>
              <w:jc w:val="right"/>
              <w:ind w:right="581"/>
              <w:spacing w:after="0" w:line="189" w:lineRule="exact"/>
              <w:rPr>
                <w:sz w:val="20"/>
                <w:szCs w:val="20"/>
                <w:color w:val="auto"/>
              </w:rPr>
            </w:pPr>
            <w:r>
              <w:rPr>
                <w:rFonts w:ascii="Times New Roman" w:cs="Times New Roman" w:eastAsia="Times New Roman" w:hAnsi="Times New Roman"/>
                <w:sz w:val="20"/>
                <w:szCs w:val="20"/>
                <w:color w:val="auto"/>
              </w:rPr>
              <w:t>67</w:t>
            </w:r>
          </w:p>
        </w:tc>
        <w:tc>
          <w:tcPr>
            <w:tcW w:w="0" w:type="dxa"/>
            <w:vAlign w:val="bottom"/>
          </w:tcPr>
          <w:p>
            <w:pPr>
              <w:spacing w:after="0"/>
              <w:rPr>
                <w:sz w:val="1"/>
                <w:szCs w:val="1"/>
                <w:color w:val="auto"/>
              </w:rPr>
            </w:pPr>
          </w:p>
        </w:tc>
      </w:tr>
      <w:tr>
        <w:trPr>
          <w:trHeight w:val="190"/>
        </w:trPr>
        <w:tc>
          <w:tcPr>
            <w:tcW w:w="720" w:type="dxa"/>
            <w:vAlign w:val="bottom"/>
            <w:gridSpan w:val="6"/>
          </w:tcPr>
          <w:p>
            <w:pPr>
              <w:jc w:val="right"/>
              <w:spacing w:after="0" w:line="189" w:lineRule="exact"/>
              <w:rPr>
                <w:rFonts w:ascii="Times New Roman" w:cs="Times New Roman" w:eastAsia="Times New Roman" w:hAnsi="Times New Roman"/>
                <w:sz w:val="20"/>
                <w:szCs w:val="20"/>
                <w:color w:val="0000EE"/>
              </w:rPr>
            </w:pPr>
            <w:hyperlink w:anchor="page44">
              <w:r>
                <w:rPr>
                  <w:rFonts w:ascii="Times New Roman" w:cs="Times New Roman" w:eastAsia="Times New Roman" w:hAnsi="Times New Roman"/>
                  <w:sz w:val="20"/>
                  <w:szCs w:val="20"/>
                  <w:color w:val="0000EE"/>
                </w:rPr>
                <w:t>12.</w:t>
              </w:r>
            </w:hyperlink>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80" w:type="dxa"/>
            <w:vAlign w:val="bottom"/>
            <w:gridSpan w:val="21"/>
          </w:tcPr>
          <w:p>
            <w:pPr>
              <w:spacing w:after="0" w:line="189" w:lineRule="exact"/>
              <w:rPr>
                <w:rFonts w:ascii="Times New Roman" w:cs="Times New Roman" w:eastAsia="Times New Roman" w:hAnsi="Times New Roman"/>
                <w:sz w:val="20"/>
                <w:szCs w:val="20"/>
                <w:color w:val="0000EE"/>
              </w:rPr>
            </w:pPr>
            <w:hyperlink w:anchor="page44">
              <w:r>
                <w:rPr>
                  <w:rFonts w:ascii="Times New Roman" w:cs="Times New Roman" w:eastAsia="Times New Roman" w:hAnsi="Times New Roman"/>
                  <w:sz w:val="20"/>
                  <w:szCs w:val="20"/>
                  <w:color w:val="0000EE"/>
                </w:rPr>
                <w:t>Security Ownership of Certain Beneficial Owners and Management and Related Stockholder Matters</w:t>
              </w:r>
            </w:hyperlink>
          </w:p>
        </w:tc>
        <w:tc>
          <w:tcPr>
            <w:tcW w:w="1640" w:type="dxa"/>
            <w:vAlign w:val="bottom"/>
          </w:tcPr>
          <w:p>
            <w:pPr>
              <w:jc w:val="right"/>
              <w:ind w:right="581"/>
              <w:spacing w:after="0" w:line="189" w:lineRule="exact"/>
              <w:rPr>
                <w:sz w:val="20"/>
                <w:szCs w:val="20"/>
                <w:color w:val="auto"/>
              </w:rPr>
            </w:pPr>
            <w:r>
              <w:rPr>
                <w:rFonts w:ascii="Times New Roman" w:cs="Times New Roman" w:eastAsia="Times New Roman" w:hAnsi="Times New Roman"/>
                <w:sz w:val="20"/>
                <w:szCs w:val="20"/>
                <w:color w:val="auto"/>
              </w:rPr>
              <w:t>67</w:t>
            </w: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0000EE"/>
            </w:tcBorders>
            <w:gridSpan w:val="2"/>
            <w:shd w:val="clear" w:color="auto" w:fill="0000EE"/>
          </w:tcPr>
          <w:p>
            <w:pPr>
              <w:spacing w:after="0" w:line="20" w:lineRule="exact"/>
              <w:rPr>
                <w:sz w:val="1"/>
                <w:szCs w:val="1"/>
                <w:color w:val="auto"/>
              </w:rPr>
            </w:pPr>
          </w:p>
        </w:tc>
        <w:tc>
          <w:tcPr>
            <w:tcW w:w="2340" w:type="dxa"/>
            <w:vAlign w:val="bottom"/>
            <w:tcBorders>
              <w:bottom w:val="single" w:sz="8" w:color="0000EE"/>
            </w:tcBorders>
            <w:gridSpan w:val="6"/>
            <w:shd w:val="clear" w:color="auto" w:fill="0000EE"/>
          </w:tcPr>
          <w:p>
            <w:pPr>
              <w:spacing w:after="0" w:line="20" w:lineRule="exact"/>
              <w:rPr>
                <w:sz w:val="1"/>
                <w:szCs w:val="1"/>
                <w:color w:val="auto"/>
              </w:rPr>
            </w:pPr>
          </w:p>
        </w:tc>
        <w:tc>
          <w:tcPr>
            <w:tcW w:w="300" w:type="dxa"/>
            <w:vAlign w:val="bottom"/>
            <w:tcBorders>
              <w:bottom w:val="single" w:sz="8" w:color="0000EE"/>
            </w:tcBorders>
            <w:shd w:val="clear" w:color="auto" w:fill="0000EE"/>
          </w:tcPr>
          <w:p>
            <w:pPr>
              <w:spacing w:after="0" w:line="20" w:lineRule="exact"/>
              <w:rPr>
                <w:sz w:val="1"/>
                <w:szCs w:val="1"/>
                <w:color w:val="auto"/>
              </w:rPr>
            </w:pPr>
          </w:p>
        </w:tc>
        <w:tc>
          <w:tcPr>
            <w:tcW w:w="840" w:type="dxa"/>
            <w:vAlign w:val="bottom"/>
            <w:tcBorders>
              <w:bottom w:val="single" w:sz="8" w:color="0000EE"/>
            </w:tcBorders>
            <w:gridSpan w:val="3"/>
            <w:shd w:val="clear" w:color="auto" w:fill="0000EE"/>
          </w:tcPr>
          <w:p>
            <w:pPr>
              <w:spacing w:after="0" w:line="20" w:lineRule="exact"/>
              <w:rPr>
                <w:sz w:val="1"/>
                <w:szCs w:val="1"/>
                <w:color w:val="auto"/>
              </w:rPr>
            </w:pPr>
          </w:p>
        </w:tc>
        <w:tc>
          <w:tcPr>
            <w:tcW w:w="760" w:type="dxa"/>
            <w:vAlign w:val="bottom"/>
            <w:tcBorders>
              <w:bottom w:val="single" w:sz="8" w:color="0000EE"/>
            </w:tcBorders>
            <w:gridSpan w:val="3"/>
            <w:shd w:val="clear" w:color="auto" w:fill="0000EE"/>
          </w:tcPr>
          <w:p>
            <w:pPr>
              <w:spacing w:after="0" w:line="20" w:lineRule="exact"/>
              <w:rPr>
                <w:sz w:val="1"/>
                <w:szCs w:val="1"/>
                <w:color w:val="auto"/>
              </w:rPr>
            </w:pPr>
          </w:p>
        </w:tc>
        <w:tc>
          <w:tcPr>
            <w:tcW w:w="940" w:type="dxa"/>
            <w:vAlign w:val="bottom"/>
            <w:tcBorders>
              <w:bottom w:val="single" w:sz="8" w:color="0000EE"/>
            </w:tcBorders>
            <w:gridSpan w:val="2"/>
            <w:shd w:val="clear" w:color="auto" w:fill="0000EE"/>
          </w:tcPr>
          <w:p>
            <w:pPr>
              <w:spacing w:after="0" w:line="20" w:lineRule="exact"/>
              <w:rPr>
                <w:sz w:val="1"/>
                <w:szCs w:val="1"/>
                <w:color w:val="auto"/>
              </w:rPr>
            </w:pPr>
          </w:p>
        </w:tc>
        <w:tc>
          <w:tcPr>
            <w:tcW w:w="2020" w:type="dxa"/>
            <w:vAlign w:val="bottom"/>
            <w:tcBorders>
              <w:bottom w:val="single" w:sz="8" w:color="0000EE"/>
            </w:tcBorders>
            <w:gridSpan w:val="3"/>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20" w:type="dxa"/>
            <w:vAlign w:val="bottom"/>
            <w:gridSpan w:val="6"/>
          </w:tcPr>
          <w:p>
            <w:pPr>
              <w:jc w:val="right"/>
              <w:spacing w:after="0" w:line="189" w:lineRule="exact"/>
              <w:rPr>
                <w:rFonts w:ascii="Times New Roman" w:cs="Times New Roman" w:eastAsia="Times New Roman" w:hAnsi="Times New Roman"/>
                <w:sz w:val="20"/>
                <w:szCs w:val="20"/>
                <w:color w:val="0000EE"/>
              </w:rPr>
            </w:pPr>
            <w:hyperlink w:anchor="page44">
              <w:r>
                <w:rPr>
                  <w:rFonts w:ascii="Times New Roman" w:cs="Times New Roman" w:eastAsia="Times New Roman" w:hAnsi="Times New Roman"/>
                  <w:sz w:val="20"/>
                  <w:szCs w:val="20"/>
                  <w:color w:val="0000EE"/>
                </w:rPr>
                <w:t>13.</w:t>
              </w:r>
            </w:hyperlink>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80" w:type="dxa"/>
            <w:vAlign w:val="bottom"/>
            <w:gridSpan w:val="21"/>
          </w:tcPr>
          <w:p>
            <w:pPr>
              <w:spacing w:after="0" w:line="189" w:lineRule="exact"/>
              <w:rPr>
                <w:rFonts w:ascii="Times New Roman" w:cs="Times New Roman" w:eastAsia="Times New Roman" w:hAnsi="Times New Roman"/>
                <w:sz w:val="20"/>
                <w:szCs w:val="20"/>
                <w:color w:val="0000EE"/>
              </w:rPr>
            </w:pPr>
            <w:hyperlink w:anchor="page44">
              <w:r>
                <w:rPr>
                  <w:rFonts w:ascii="Times New Roman" w:cs="Times New Roman" w:eastAsia="Times New Roman" w:hAnsi="Times New Roman"/>
                  <w:sz w:val="20"/>
                  <w:szCs w:val="20"/>
                  <w:color w:val="0000EE"/>
                </w:rPr>
                <w:t>Certain Relationships and Related Transactions, and Director Independence</w:t>
              </w:r>
            </w:hyperlink>
          </w:p>
        </w:tc>
        <w:tc>
          <w:tcPr>
            <w:tcW w:w="1640" w:type="dxa"/>
            <w:vAlign w:val="bottom"/>
          </w:tcPr>
          <w:p>
            <w:pPr>
              <w:jc w:val="right"/>
              <w:ind w:right="581"/>
              <w:spacing w:after="0" w:line="189" w:lineRule="exact"/>
              <w:rPr>
                <w:sz w:val="20"/>
                <w:szCs w:val="20"/>
                <w:color w:val="auto"/>
              </w:rPr>
            </w:pPr>
            <w:r>
              <w:rPr>
                <w:rFonts w:ascii="Times New Roman" w:cs="Times New Roman" w:eastAsia="Times New Roman" w:hAnsi="Times New Roman"/>
                <w:sz w:val="20"/>
                <w:szCs w:val="20"/>
                <w:color w:val="auto"/>
              </w:rPr>
              <w:t>68</w:t>
            </w:r>
          </w:p>
        </w:tc>
        <w:tc>
          <w:tcPr>
            <w:tcW w:w="0" w:type="dxa"/>
            <w:vAlign w:val="bottom"/>
          </w:tcPr>
          <w:p>
            <w:pPr>
              <w:spacing w:after="0"/>
              <w:rPr>
                <w:sz w:val="1"/>
                <w:szCs w:val="1"/>
                <w:color w:val="auto"/>
              </w:rPr>
            </w:pPr>
          </w:p>
        </w:tc>
      </w:tr>
      <w:tr>
        <w:trPr>
          <w:trHeight w:val="20"/>
        </w:trPr>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340" w:type="dxa"/>
            <w:vAlign w:val="bottom"/>
            <w:gridSpan w:val="6"/>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640" w:type="dxa"/>
            <w:vAlign w:val="bottom"/>
            <w:vMerge w:val="restart"/>
          </w:tcPr>
          <w:p>
            <w:pPr>
              <w:jc w:val="right"/>
              <w:ind w:right="581"/>
              <w:spacing w:after="0"/>
              <w:rPr>
                <w:sz w:val="20"/>
                <w:szCs w:val="20"/>
                <w:color w:val="auto"/>
              </w:rPr>
            </w:pPr>
            <w:r>
              <w:rPr>
                <w:rFonts w:ascii="Times New Roman" w:cs="Times New Roman" w:eastAsia="Times New Roman" w:hAnsi="Times New Roman"/>
                <w:sz w:val="20"/>
                <w:szCs w:val="20"/>
                <w:color w:val="auto"/>
              </w:rPr>
              <w:t>68</w:t>
            </w:r>
          </w:p>
        </w:tc>
        <w:tc>
          <w:tcPr>
            <w:tcW w:w="0" w:type="dxa"/>
            <w:vAlign w:val="bottom"/>
          </w:tcPr>
          <w:p>
            <w:pPr>
              <w:spacing w:after="0" w:line="20" w:lineRule="exact"/>
              <w:rPr>
                <w:sz w:val="1"/>
                <w:szCs w:val="1"/>
                <w:color w:val="auto"/>
              </w:rPr>
            </w:pPr>
          </w:p>
        </w:tc>
      </w:tr>
      <w:tr>
        <w:trPr>
          <w:trHeight w:val="210"/>
        </w:trPr>
        <w:tc>
          <w:tcPr>
            <w:tcW w:w="720" w:type="dxa"/>
            <w:vAlign w:val="bottom"/>
            <w:gridSpan w:val="6"/>
          </w:tcPr>
          <w:p>
            <w:pPr>
              <w:jc w:val="right"/>
              <w:spacing w:after="0" w:line="209" w:lineRule="exact"/>
              <w:rPr>
                <w:rFonts w:ascii="Times New Roman" w:cs="Times New Roman" w:eastAsia="Times New Roman" w:hAnsi="Times New Roman"/>
                <w:sz w:val="20"/>
                <w:szCs w:val="20"/>
                <w:color w:val="0000EE"/>
              </w:rPr>
            </w:pPr>
            <w:hyperlink w:anchor="page45">
              <w:r>
                <w:rPr>
                  <w:rFonts w:ascii="Times New Roman" w:cs="Times New Roman" w:eastAsia="Times New Roman" w:hAnsi="Times New Roman"/>
                  <w:sz w:val="20"/>
                  <w:szCs w:val="20"/>
                  <w:color w:val="0000EE"/>
                </w:rPr>
                <w:t>14.</w:t>
              </w:r>
            </w:hyperlink>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80" w:type="dxa"/>
            <w:vAlign w:val="bottom"/>
            <w:gridSpan w:val="21"/>
          </w:tcPr>
          <w:p>
            <w:pPr>
              <w:spacing w:after="0" w:line="209" w:lineRule="exact"/>
              <w:rPr>
                <w:rFonts w:ascii="Times New Roman" w:cs="Times New Roman" w:eastAsia="Times New Roman" w:hAnsi="Times New Roman"/>
                <w:sz w:val="20"/>
                <w:szCs w:val="20"/>
                <w:color w:val="0000EE"/>
              </w:rPr>
            </w:pPr>
            <w:hyperlink w:anchor="page45">
              <w:r>
                <w:rPr>
                  <w:rFonts w:ascii="Times New Roman" w:cs="Times New Roman" w:eastAsia="Times New Roman" w:hAnsi="Times New Roman"/>
                  <w:sz w:val="20"/>
                  <w:szCs w:val="20"/>
                  <w:color w:val="0000EE"/>
                </w:rPr>
                <w:t>Principal Accounting Fees and Services</w:t>
              </w:r>
            </w:hyperlink>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9"/>
          </w:tcPr>
          <w:p>
            <w:pPr>
              <w:jc w:val="center"/>
              <w:ind w:right="3720"/>
              <w:spacing w:after="0"/>
              <w:rPr>
                <w:rFonts w:ascii="Times New Roman" w:cs="Times New Roman" w:eastAsia="Times New Roman" w:hAnsi="Times New Roman"/>
                <w:sz w:val="20"/>
                <w:szCs w:val="20"/>
                <w:b w:val="1"/>
                <w:bCs w:val="1"/>
                <w:color w:val="0000EE"/>
                <w:w w:val="93"/>
              </w:rPr>
            </w:pPr>
            <w:hyperlink w:anchor="page45">
              <w:r>
                <w:rPr>
                  <w:rFonts w:ascii="Times New Roman" w:cs="Times New Roman" w:eastAsia="Times New Roman" w:hAnsi="Times New Roman"/>
                  <w:sz w:val="20"/>
                  <w:szCs w:val="20"/>
                  <w:b w:val="1"/>
                  <w:bCs w:val="1"/>
                  <w:color w:val="0000EE"/>
                  <w:w w:val="93"/>
                </w:rPr>
                <w:t>PART IV</w:t>
              </w:r>
            </w:hyperlink>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40" w:type="dxa"/>
            <w:vAlign w:val="bottom"/>
            <w:gridSpan w:val="3"/>
          </w:tcPr>
          <w:p>
            <w:pPr>
              <w:spacing w:after="0"/>
              <w:rPr>
                <w:sz w:val="24"/>
                <w:szCs w:val="24"/>
                <w:color w:val="auto"/>
              </w:rPr>
            </w:pPr>
          </w:p>
        </w:tc>
        <w:tc>
          <w:tcPr>
            <w:tcW w:w="280" w:type="dxa"/>
            <w:vAlign w:val="bottom"/>
            <w:tcBorders>
              <w:bottom w:val="single" w:sz="8" w:color="0000EE"/>
            </w:tcBorders>
            <w:gridSpan w:val="3"/>
          </w:tcPr>
          <w:p>
            <w:pPr>
              <w:jc w:val="right"/>
              <w:ind w:right="20"/>
              <w:spacing w:after="0"/>
              <w:rPr>
                <w:rFonts w:ascii="Times New Roman" w:cs="Times New Roman" w:eastAsia="Times New Roman" w:hAnsi="Times New Roman"/>
                <w:sz w:val="20"/>
                <w:szCs w:val="20"/>
                <w:color w:val="0000EE"/>
                <w:w w:val="95"/>
              </w:rPr>
            </w:pPr>
            <w:hyperlink w:anchor="page45">
              <w:r>
                <w:rPr>
                  <w:rFonts w:ascii="Times New Roman" w:cs="Times New Roman" w:eastAsia="Times New Roman" w:hAnsi="Times New Roman"/>
                  <w:sz w:val="20"/>
                  <w:szCs w:val="20"/>
                  <w:color w:val="0000EE"/>
                  <w:w w:val="95"/>
                </w:rPr>
                <w:t>15.</w:t>
              </w:r>
            </w:hyperlink>
          </w:p>
        </w:tc>
        <w:tc>
          <w:tcPr>
            <w:tcW w:w="300" w:type="dxa"/>
            <w:vAlign w:val="bottom"/>
          </w:tcPr>
          <w:p>
            <w:pPr>
              <w:spacing w:after="0"/>
              <w:rPr>
                <w:sz w:val="24"/>
                <w:szCs w:val="24"/>
                <w:color w:val="auto"/>
              </w:rPr>
            </w:pPr>
          </w:p>
        </w:tc>
        <w:tc>
          <w:tcPr>
            <w:tcW w:w="3480" w:type="dxa"/>
            <w:vAlign w:val="bottom"/>
            <w:tcBorders>
              <w:bottom w:val="single" w:sz="8" w:color="0000EE"/>
            </w:tcBorders>
            <w:gridSpan w:val="10"/>
          </w:tcPr>
          <w:p>
            <w:pPr>
              <w:spacing w:after="0"/>
              <w:rPr>
                <w:rFonts w:ascii="Times New Roman" w:cs="Times New Roman" w:eastAsia="Times New Roman" w:hAnsi="Times New Roman"/>
                <w:sz w:val="20"/>
                <w:szCs w:val="20"/>
                <w:color w:val="0000EE"/>
                <w:w w:val="98"/>
              </w:rPr>
            </w:pPr>
            <w:hyperlink w:anchor="page45">
              <w:r>
                <w:rPr>
                  <w:rFonts w:ascii="Times New Roman" w:cs="Times New Roman" w:eastAsia="Times New Roman" w:hAnsi="Times New Roman"/>
                  <w:sz w:val="20"/>
                  <w:szCs w:val="20"/>
                  <w:color w:val="0000EE"/>
                  <w:w w:val="98"/>
                </w:rPr>
                <w:t>Exhibits and Financial Statement Schedules</w:t>
              </w:r>
            </w:hyperlink>
          </w:p>
        </w:tc>
        <w:tc>
          <w:tcPr>
            <w:tcW w:w="840" w:type="dxa"/>
            <w:vAlign w:val="bottom"/>
            <w:gridSpan w:val="3"/>
          </w:tcPr>
          <w:p>
            <w:pPr>
              <w:spacing w:after="0"/>
              <w:rPr>
                <w:sz w:val="24"/>
                <w:szCs w:val="24"/>
                <w:color w:val="auto"/>
              </w:rPr>
            </w:pPr>
          </w:p>
        </w:tc>
        <w:tc>
          <w:tcPr>
            <w:tcW w:w="760" w:type="dxa"/>
            <w:vAlign w:val="bottom"/>
            <w:tcBorders>
              <w:top w:val="single" w:sz="8" w:color="0000EE"/>
            </w:tcBorders>
            <w:gridSpan w:val="3"/>
          </w:tcPr>
          <w:p>
            <w:pPr>
              <w:spacing w:after="0"/>
              <w:rPr>
                <w:sz w:val="24"/>
                <w:szCs w:val="24"/>
                <w:color w:val="auto"/>
              </w:rPr>
            </w:pPr>
          </w:p>
        </w:tc>
        <w:tc>
          <w:tcPr>
            <w:tcW w:w="3720" w:type="dxa"/>
            <w:vAlign w:val="bottom"/>
            <w:gridSpan w:val="6"/>
          </w:tcPr>
          <w:p>
            <w:pPr>
              <w:spacing w:after="0"/>
              <w:rPr>
                <w:sz w:val="24"/>
                <w:szCs w:val="24"/>
                <w:color w:val="auto"/>
              </w:rPr>
            </w:pPr>
          </w:p>
        </w:tc>
        <w:tc>
          <w:tcPr>
            <w:tcW w:w="164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rPr>
              <w:t>68</w:t>
            </w:r>
          </w:p>
        </w:tc>
        <w:tc>
          <w:tcPr>
            <w:tcW w:w="0" w:type="dxa"/>
            <w:vAlign w:val="bottom"/>
          </w:tcPr>
          <w:p>
            <w:pPr>
              <w:spacing w:after="0"/>
              <w:rPr>
                <w:sz w:val="1"/>
                <w:szCs w:val="1"/>
                <w:color w:val="auto"/>
              </w:rPr>
            </w:pPr>
          </w:p>
        </w:tc>
      </w:tr>
      <w:tr>
        <w:trPr>
          <w:trHeight w:val="426"/>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Borders>
              <w:bottom w:val="single" w:sz="8" w:color="0000EE"/>
            </w:tcBorders>
            <w:gridSpan w:val="3"/>
          </w:tcPr>
          <w:p>
            <w:pPr>
              <w:spacing w:after="0"/>
              <w:rPr>
                <w:rFonts w:ascii="Times New Roman" w:cs="Times New Roman" w:eastAsia="Times New Roman" w:hAnsi="Times New Roman"/>
                <w:sz w:val="20"/>
                <w:szCs w:val="20"/>
                <w:color w:val="0000EE"/>
                <w:w w:val="97"/>
              </w:rPr>
            </w:pPr>
            <w:hyperlink w:anchor="page45">
              <w:r>
                <w:rPr>
                  <w:rFonts w:ascii="Times New Roman" w:cs="Times New Roman" w:eastAsia="Times New Roman" w:hAnsi="Times New Roman"/>
                  <w:sz w:val="20"/>
                  <w:szCs w:val="20"/>
                  <w:color w:val="0000EE"/>
                  <w:w w:val="97"/>
                </w:rPr>
                <w:t>Signatures</w:t>
              </w:r>
            </w:hyperlink>
          </w:p>
        </w:tc>
        <w:tc>
          <w:tcPr>
            <w:tcW w:w="7960" w:type="dxa"/>
            <w:vAlign w:val="bottom"/>
            <w:gridSpan w:val="19"/>
          </w:tcPr>
          <w:p>
            <w:pPr>
              <w:spacing w:after="0"/>
              <w:rPr>
                <w:sz w:val="24"/>
                <w:szCs w:val="24"/>
                <w:color w:val="auto"/>
              </w:rPr>
            </w:pPr>
          </w:p>
        </w:tc>
        <w:tc>
          <w:tcPr>
            <w:tcW w:w="164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rPr>
              <w:t>69</w:t>
            </w:r>
          </w:p>
        </w:tc>
        <w:tc>
          <w:tcPr>
            <w:tcW w:w="0" w:type="dxa"/>
            <w:vAlign w:val="bottom"/>
          </w:tcPr>
          <w:p>
            <w:pPr>
              <w:spacing w:after="0"/>
              <w:rPr>
                <w:sz w:val="1"/>
                <w:szCs w:val="1"/>
                <w:color w:val="auto"/>
              </w:rPr>
            </w:pPr>
          </w:p>
        </w:tc>
      </w:tr>
      <w:tr>
        <w:trPr>
          <w:trHeight w:val="466"/>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60" w:type="dxa"/>
            <w:vAlign w:val="bottom"/>
            <w:gridSpan w:val="16"/>
          </w:tcPr>
          <w:p>
            <w:pPr>
              <w:jc w:val="center"/>
              <w:ind w:left="483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16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29"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BUSINESS</w:t>
      </w:r>
    </w:p>
    <w:p>
      <w:pPr>
        <w:spacing w:after="0" w:line="233" w:lineRule="exact"/>
        <w:rPr>
          <w:sz w:val="20"/>
          <w:szCs w:val="20"/>
          <w:color w:val="auto"/>
        </w:rPr>
      </w:pPr>
    </w:p>
    <w:p>
      <w:pPr>
        <w:jc w:val="both"/>
        <w:ind w:right="40" w:firstLine="648"/>
        <w:spacing w:after="0" w:line="249" w:lineRule="auto"/>
        <w:rPr>
          <w:sz w:val="20"/>
          <w:szCs w:val="20"/>
          <w:color w:val="auto"/>
        </w:rPr>
      </w:pPr>
      <w:r>
        <w:rPr>
          <w:rFonts w:ascii="Times New Roman" w:cs="Times New Roman" w:eastAsia="Times New Roman" w:hAnsi="Times New Roman"/>
          <w:sz w:val="20"/>
          <w:szCs w:val="20"/>
          <w:color w:val="auto"/>
        </w:rPr>
        <w:t>When this report uses the words “the Company”, “we”, “us” and “our”, these words refer to Monster Beverage Corporation and its subsidiaries, unless the context otherwise requires. Based in Corona, California, Monster Beverage Corporation is a holding company and conducts no operating business, except through its consolidated subsidiaries. The Company’s subsidiaries primarily develop and market energy drinks as well as Mutant® Super Soda drinks.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Split</w:t>
      </w:r>
    </w:p>
    <w:p>
      <w:pPr>
        <w:spacing w:after="0" w:line="233" w:lineRule="exact"/>
        <w:rPr>
          <w:sz w:val="20"/>
          <w:szCs w:val="20"/>
          <w:color w:val="auto"/>
        </w:rPr>
      </w:pPr>
    </w:p>
    <w:p>
      <w:pPr>
        <w:jc w:val="both"/>
        <w:ind w:right="40" w:firstLine="648"/>
        <w:spacing w:after="0" w:line="247" w:lineRule="auto"/>
        <w:rPr>
          <w:sz w:val="20"/>
          <w:szCs w:val="20"/>
          <w:color w:val="auto"/>
        </w:rPr>
      </w:pPr>
      <w:r>
        <w:rPr>
          <w:rFonts w:ascii="Times New Roman" w:cs="Times New Roman" w:eastAsia="Times New Roman" w:hAnsi="Times New Roman"/>
          <w:sz w:val="20"/>
          <w:szCs w:val="20"/>
          <w:color w:val="auto"/>
        </w:rPr>
        <w:t>On October 14, 2016, we announced a three-for-one stock split of the Company’s common stock (“the Stock Split”), to be effected in the form of a 200% stock dividend. The common stock dividend was issued on November 9, 2016 and the Company’s common stock began trading at the split adjusted price on November 10, 2016. Accordingly, all per share amounts, average common stock outstanding, common stock outstanding, common stock repurchased and equity based compensation presented in this Form 10-K have been adjusted retroactively, where applicable, to reflect the stock split.</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Stock Repurchases</w:t>
      </w:r>
    </w:p>
    <w:p>
      <w:pPr>
        <w:sectPr>
          <w:pgSz w:w="11900" w:h="16838" w:orient="portrait"/>
          <w:cols w:equalWidth="0" w:num="1">
            <w:col w:w="11460"/>
          </w:cols>
          <w:pgMar w:left="240" w:top="513" w:right="199" w:bottom="0" w:gutter="0" w:footer="0" w:header="0"/>
        </w:sectPr>
      </w:pPr>
    </w:p>
    <w:bookmarkStart w:id="2" w:name="page3"/>
    <w:bookmarkEnd w:id="2"/>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On April 28, 2016, our Board of Directors authorized us to commence a “modified Dutch auction” tender offer to repurchase up to $2.0 billion of our outstanding shares of common stock (the “Auction Stock Repurchase Tender”). The Auction Stock Repurchase Tender was authorized under our existing share repurchase authority and was funded with cash on hand. We commenced this tender offer in May 2016. On June 15, 2016, we accepted for payment an aggregate of 38.5 million shares of common stock at a purchase price of $52.00 per share, for a total amount of $2.0 billion (excluding commissions), which exhausted the availability under all previously authorized share repurchase plans. Such shares of common stock are included in common stock in treasury in the accompanying consolidated balance sheet at December 31, 2016.</w:t>
      </w:r>
    </w:p>
    <w:p>
      <w:pPr>
        <w:spacing w:after="0" w:line="18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On August 2, 2016, our Board of Directors authorized a new share repurchase program for the repurchase of up to $250.0 million of our outstanding shares of common stock (the “August 2016 Repurchase Plan”). During the year ended December 31, 2016, we purchased 5.8 million shares of common stock at an average purchase price of $43.40 per share, for a total amount of $249.9 million (excluding broker commissions), which exhausted the availability under the August 2016 Repurchase Plan. Such shares of common stock are included in common stock in treasury in the accompanying consolidated balance sheet at December 31, 2016.</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On February 28, 2017, our Board of Directors authorized a new share repurchase program for the purchase of up to $500.0 million of our outstanding shares of common stock (the “February 2017 Repurchase Plan”). No shares have been repurchased pursuant to the February 2017 Repurchase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Acquisitions and Divestitures</w:t>
      </w:r>
    </w:p>
    <w:p>
      <w:pPr>
        <w:spacing w:after="0" w:line="23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On April 1, 2016, we completed our acquisition of flavor supplier and long-time business partner American Fruits &amp; Flavors (“AFF”), in an asset acquisition that brought our primary flavor supplier in-house, secured the intellectual property of our most important flavors in perpetuity and further enhanced our flavor development and global flavor footprint capabilities (the “AFF Transaction”). Pursuant to the terms of the AFF Transaction, we purchased AFF for $688.5 million in cash after adjustments. We accounted for the AFF Transaction in accordance with Financial Accounting Standards Board (“FASB”) Accounting Standards Codification (“ASC”) 805 “Business Combinations”. (See Note 2 “Acquisitions and Divestitures” in the notes to the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On June 12, 2015, we completed the transactions contemplated by the definitive agreements entered into with The Coca-Cola Company (“TCCC”) on August 14, 2014, which provided for a long-term strategic relationship in the global energy drink category (the “TCCC Transaction”). (See Note 2 “Acquisitions and Divestitures” in the notes to the consolidated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Reportable Segments</w:t>
      </w:r>
    </w:p>
    <w:p>
      <w:pPr>
        <w:spacing w:after="0" w:line="23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We have three operating and reportable segments, (i) Monster Energy® Drinks segment (“Monster Energy® Drinks”), which is comprised of our Monster Energy® drinks as well as Mutant® Super Soda drinks, (ii) Strategic Brands segment (“Strategic Brands”), which include the various energy drink brands acquired from TCCC as a result of the TCCC Transaction and (iii) Other segment (“Other”), the principal products of which include the non-energy brands disposed of as a result of the TCCC Transaction, as well as certain products acquired as part of the AFF Transaction that are sold to independent third-parties (the “AFF Third-Party Products”). Corporate and unallocated amounts that do not relate to a reportable segment specifically have been allocated to “Corporate and Unallocated.” Our Monster Energy® Drinks segment represented 90.5%, 92.5% and 93.9% of our consolidated net sales for the years ended December 31, 2016, 2015 and 2014, respectively. Our Strategic Brands segment represented 8.9% and 5.3% of our consolidated net sales for the years ended December 31, 2016 and 2015 (effectively from June 13, 2015). Our Other segment represented 0.6%, 2.2% and 6.1% of our consolidated net sales for the years ended December 31, 2016, 2015 and 2014, respectively.</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Our Monster Energy® Drinks segment generates net operating revenues by selling ready-to-drink packaged drinks primarily to bottlers and full service beverage distributors. In some cases, we sell directly to retail grocery and specialty chains, wholesalers, club stores, mass merchandisers, convenience chains, food service customers and the military.</w:t>
      </w:r>
    </w:p>
    <w:p>
      <w:pPr>
        <w:spacing w:after="0" w:line="18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Our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to other bottlers, full service distributors, wholesalers, or retailers directly, including, retail grocery and specialty chains, club stores, mass merchandisers, convenience chains, food service customers, drug stores and the military. To a lesser extent, our Strategic Brands segment generates net operating revenues by selling ready-to-drink packaged energy drinks to bottlers and full service beverage distributors.</w:t>
      </w:r>
    </w:p>
    <w:p>
      <w:pPr>
        <w:spacing w:after="0" w:line="19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Generally, the Monster Energy® Drinks segment generates higher per case net operating revenues, but lower per case gross profit margins, than the Strategic Brands segment.</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For financial information about our reporting segments and geographic areas, refer to Note 18 of Notes to the Consolidated Financial Statements set forth in “Part II, Item 8 – Financial Statements and Supplementary Data” of this report, incorporated herein by reference. For certain risks with respect to our energy drinks see “Part I, Item 1A – Risk Factors” below.</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420"/>
          </w:cols>
          <w:pgMar w:left="240" w:top="118" w:right="239" w:bottom="0" w:gutter="0" w:footer="0" w:header="0"/>
        </w:sect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Overview</w:t>
      </w:r>
    </w:p>
    <w:p>
      <w:pPr>
        <w:sectPr>
          <w:pgSz w:w="11900" w:h="16838" w:orient="portrait"/>
          <w:cols w:equalWidth="0" w:num="1">
            <w:col w:w="11420"/>
          </w:cols>
          <w:pgMar w:left="240" w:top="118" w:right="239" w:bottom="0" w:gutter="0" w:footer="0" w:header="0"/>
          <w:type w:val="continuous"/>
        </w:sectPr>
      </w:pPr>
    </w:p>
    <w:bookmarkStart w:id="3" w:name="page4"/>
    <w:bookmarkEnd w:id="3"/>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develop, market, sell and distribute energy drink beverages, sodas and/or concentrates for energy drink beverages, primarily under the following brand names:</w:t>
      </w:r>
    </w:p>
    <w:p>
      <w:pPr>
        <w:spacing w:after="0" w:line="173"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Energy®</w:t>
            </w:r>
          </w:p>
        </w:tc>
        <w:tc>
          <w:tcPr>
            <w:tcW w:w="120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2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Nalu®</w:t>
            </w:r>
          </w:p>
        </w:tc>
      </w:t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Rehab®</w:t>
            </w:r>
          </w:p>
        </w:tc>
        <w:tc>
          <w:tcPr>
            <w:tcW w:w="120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2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NOS®</w:t>
            </w:r>
          </w:p>
        </w:tc>
      </w:tr>
      <w:tr>
        <w:trPr>
          <w:trHeight w:val="230"/>
        </w:trPr>
        <w:tc>
          <w:tcPr>
            <w:tcW w:w="5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Monster Energy Extra Strength Nitrous Technology®</w:t>
            </w:r>
          </w:p>
        </w:tc>
        <w:tc>
          <w:tcPr>
            <w:tcW w:w="120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2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Full Throttle®</w:t>
            </w:r>
          </w:p>
        </w:tc>
      </w:t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Java Monster®</w:t>
            </w:r>
          </w:p>
        </w:tc>
        <w:tc>
          <w:tcPr>
            <w:tcW w:w="120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2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Burn®</w:t>
            </w:r>
          </w:p>
        </w:tc>
      </w:t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Muscle Monster®</w:t>
            </w:r>
          </w:p>
        </w:tc>
        <w:tc>
          <w:tcPr>
            <w:tcW w:w="120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2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Mother®</w:t>
            </w:r>
          </w:p>
        </w:tc>
      </w:t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Mega Monster Energy®</w:t>
            </w:r>
          </w:p>
        </w:tc>
        <w:tc>
          <w:tcPr>
            <w:tcW w:w="120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2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Ultra®</w:t>
            </w:r>
          </w:p>
        </w:tc>
      </w:t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Punch Monster®</w:t>
            </w:r>
          </w:p>
        </w:tc>
        <w:tc>
          <w:tcPr>
            <w:tcW w:w="3260" w:type="dxa"/>
            <w:vAlign w:val="bottom"/>
            <w:gridSpan w:val="2"/>
          </w:tcPr>
          <w:p>
            <w:pPr>
              <w:ind w:left="1040"/>
              <w:spacing w:after="0"/>
              <w:rPr>
                <w:sz w:val="20"/>
                <w:szCs w:val="20"/>
                <w:color w:val="auto"/>
              </w:rPr>
            </w:pPr>
            <w:r>
              <w:rPr>
                <w:rFonts w:ascii="Times New Roman" w:cs="Times New Roman" w:eastAsia="Times New Roman" w:hAnsi="Times New Roman"/>
                <w:sz w:val="20"/>
                <w:szCs w:val="20"/>
                <w:color w:val="auto"/>
              </w:rPr>
              <w:t>·   Play® and Power Play®</w:t>
            </w:r>
          </w:p>
        </w:tc>
      </w:t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Juice Monster®</w:t>
            </w:r>
          </w:p>
        </w:tc>
        <w:tc>
          <w:tcPr>
            <w:tcW w:w="120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2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Gladiator®</w:t>
            </w:r>
          </w:p>
        </w:tc>
      </w:t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Übermonster®</w:t>
            </w:r>
          </w:p>
        </w:tc>
        <w:tc>
          <w:tcPr>
            <w:tcW w:w="120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2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Relentless®</w:t>
            </w:r>
          </w:p>
        </w:tc>
      </w:t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BU®</w:t>
            </w:r>
          </w:p>
        </w:tc>
        <w:tc>
          <w:tcPr>
            <w:tcW w:w="120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2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Samurai®</w:t>
            </w:r>
          </w:p>
        </w:tc>
      </w:tr>
      <w:tr>
        <w:trPr>
          <w:trHeight w:val="258"/>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Mutant® Super Soda</w:t>
            </w:r>
          </w:p>
        </w:tc>
        <w:tc>
          <w:tcPr>
            <w:tcW w:w="120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2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BPM®</w:t>
            </w:r>
          </w:p>
        </w:tc>
      </w:tr>
    </w:tbl>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Our Monster Energy® brand energy drinks, which represented 90.1%, 92.5% and 93.9% of our net sales for the years ended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2016, 2015 and 2014, respectively, primarily include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5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Monster Energy®</w:t>
            </w:r>
          </w:p>
        </w:tc>
        <w:tc>
          <w:tcPr>
            <w:tcW w:w="5360" w:type="dxa"/>
            <w:vAlign w:val="bottom"/>
            <w:gridSpan w:val="2"/>
          </w:tcPr>
          <w:p>
            <w:pPr>
              <w:ind w:left="820"/>
              <w:spacing w:after="0"/>
              <w:rPr>
                <w:sz w:val="20"/>
                <w:szCs w:val="20"/>
                <w:color w:val="auto"/>
              </w:rPr>
            </w:pPr>
            <w:r>
              <w:rPr>
                <w:rFonts w:ascii="Times New Roman" w:cs="Times New Roman" w:eastAsia="Times New Roman" w:hAnsi="Times New Roman"/>
                <w:sz w:val="20"/>
                <w:szCs w:val="20"/>
                <w:color w:val="auto"/>
              </w:rPr>
              <w:t>·   Java Monster® Kona Blend</w:t>
            </w:r>
          </w:p>
        </w:tc>
      </w:tr>
      <w:tr>
        <w:trPr>
          <w:trHeight w:val="230"/>
        </w:trPr>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5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Lo-Carb Monster Energy®</w:t>
            </w:r>
          </w:p>
        </w:tc>
        <w:tc>
          <w:tcPr>
            <w:tcW w:w="5360" w:type="dxa"/>
            <w:vAlign w:val="bottom"/>
            <w:gridSpan w:val="2"/>
          </w:tcPr>
          <w:p>
            <w:pPr>
              <w:ind w:left="820"/>
              <w:spacing w:after="0"/>
              <w:rPr>
                <w:sz w:val="20"/>
                <w:szCs w:val="20"/>
                <w:color w:val="auto"/>
              </w:rPr>
            </w:pPr>
            <w:r>
              <w:rPr>
                <w:rFonts w:ascii="Times New Roman" w:cs="Times New Roman" w:eastAsia="Times New Roman" w:hAnsi="Times New Roman"/>
                <w:sz w:val="20"/>
                <w:szCs w:val="20"/>
                <w:color w:val="auto"/>
              </w:rPr>
              <w:t>·   Java Monster® Loca Moca®</w:t>
            </w:r>
          </w:p>
        </w:tc>
      </w:tr>
      <w:tr>
        <w:trPr>
          <w:trHeight w:val="230"/>
        </w:trPr>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5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Monster Assault®</w:t>
            </w:r>
          </w:p>
        </w:tc>
        <w:tc>
          <w:tcPr>
            <w:tcW w:w="5360" w:type="dxa"/>
            <w:vAlign w:val="bottom"/>
            <w:gridSpan w:val="2"/>
          </w:tcPr>
          <w:p>
            <w:pPr>
              <w:ind w:left="820"/>
              <w:spacing w:after="0"/>
              <w:rPr>
                <w:sz w:val="20"/>
                <w:szCs w:val="20"/>
                <w:color w:val="auto"/>
              </w:rPr>
            </w:pPr>
            <w:r>
              <w:rPr>
                <w:rFonts w:ascii="Times New Roman" w:cs="Times New Roman" w:eastAsia="Times New Roman" w:hAnsi="Times New Roman"/>
                <w:sz w:val="20"/>
                <w:szCs w:val="20"/>
                <w:color w:val="auto"/>
              </w:rPr>
              <w:t>·   Java Monster® Mean Bean®</w:t>
            </w:r>
          </w:p>
        </w:tc>
      </w:tr>
      <w:tr>
        <w:trPr>
          <w:trHeight w:val="230"/>
        </w:trPr>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5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Juice Monster® Khaos®</w:t>
            </w:r>
          </w:p>
        </w:tc>
        <w:tc>
          <w:tcPr>
            <w:tcW w:w="5360" w:type="dxa"/>
            <w:vAlign w:val="bottom"/>
            <w:gridSpan w:val="2"/>
          </w:tcPr>
          <w:p>
            <w:pPr>
              <w:ind w:left="820"/>
              <w:spacing w:after="0"/>
              <w:rPr>
                <w:sz w:val="20"/>
                <w:szCs w:val="20"/>
                <w:color w:val="auto"/>
              </w:rPr>
            </w:pPr>
            <w:r>
              <w:rPr>
                <w:rFonts w:ascii="Times New Roman" w:cs="Times New Roman" w:eastAsia="Times New Roman" w:hAnsi="Times New Roman"/>
                <w:sz w:val="20"/>
                <w:szCs w:val="20"/>
                <w:color w:val="auto"/>
              </w:rPr>
              <w:t>·   Java Monster® Vanilla Light</w:t>
            </w:r>
          </w:p>
        </w:tc>
      </w:tr>
      <w:tr>
        <w:trPr>
          <w:trHeight w:val="230"/>
        </w:trPr>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5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Juice Monster® Ripper®</w:t>
            </w:r>
          </w:p>
        </w:tc>
        <w:tc>
          <w:tcPr>
            <w:tcW w:w="5360" w:type="dxa"/>
            <w:vAlign w:val="bottom"/>
            <w:gridSpan w:val="2"/>
          </w:tcPr>
          <w:p>
            <w:pPr>
              <w:ind w:left="820"/>
              <w:spacing w:after="0"/>
              <w:rPr>
                <w:sz w:val="20"/>
                <w:szCs w:val="20"/>
                <w:color w:val="auto"/>
              </w:rPr>
            </w:pPr>
            <w:r>
              <w:rPr>
                <w:rFonts w:ascii="Times New Roman" w:cs="Times New Roman" w:eastAsia="Times New Roman" w:hAnsi="Times New Roman"/>
                <w:sz w:val="20"/>
                <w:szCs w:val="20"/>
                <w:color w:val="auto"/>
              </w:rPr>
              <w:t>·   Java Monster® Irish Blend®</w:t>
            </w:r>
          </w:p>
        </w:tc>
      </w:tr>
      <w:tr>
        <w:trPr>
          <w:trHeight w:val="230"/>
        </w:trPr>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Juice Monster® Pipeline Punch®</w:t>
            </w:r>
          </w:p>
        </w:tc>
        <w:tc>
          <w:tcPr>
            <w:tcW w:w="5360" w:type="dxa"/>
            <w:vAlign w:val="bottom"/>
            <w:gridSpan w:val="2"/>
          </w:tcPr>
          <w:p>
            <w:pPr>
              <w:ind w:left="820"/>
              <w:spacing w:after="0"/>
              <w:rPr>
                <w:sz w:val="20"/>
                <w:szCs w:val="20"/>
                <w:color w:val="auto"/>
              </w:rPr>
            </w:pPr>
            <w:r>
              <w:rPr>
                <w:rFonts w:ascii="Times New Roman" w:cs="Times New Roman" w:eastAsia="Times New Roman" w:hAnsi="Times New Roman"/>
                <w:sz w:val="20"/>
                <w:szCs w:val="20"/>
                <w:color w:val="auto"/>
              </w:rPr>
              <w:t>·   Java Monster® Salted Caramel</w:t>
            </w:r>
          </w:p>
        </w:tc>
      </w:tr>
      <w:tr>
        <w:trPr>
          <w:trHeight w:val="230"/>
        </w:trPr>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Monster Energy® Absolutely Zero</w:t>
            </w:r>
          </w:p>
        </w:tc>
        <w:tc>
          <w:tcPr>
            <w:tcW w:w="9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43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Mega Monster Energy®</w:t>
            </w:r>
          </w:p>
        </w:tc>
      </w:tr>
      <w:tr>
        <w:trPr>
          <w:trHeight w:val="230"/>
        </w:trPr>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5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Monster Energy® Import</w:t>
            </w:r>
          </w:p>
        </w:tc>
        <w:tc>
          <w:tcPr>
            <w:tcW w:w="5360" w:type="dxa"/>
            <w:vAlign w:val="bottom"/>
            <w:gridSpan w:val="2"/>
          </w:tcPr>
          <w:p>
            <w:pPr>
              <w:ind w:left="820"/>
              <w:spacing w:after="0"/>
              <w:rPr>
                <w:sz w:val="20"/>
                <w:szCs w:val="20"/>
                <w:color w:val="auto"/>
              </w:rPr>
            </w:pPr>
            <w:r>
              <w:rPr>
                <w:rFonts w:ascii="Times New Roman" w:cs="Times New Roman" w:eastAsia="Times New Roman" w:hAnsi="Times New Roman"/>
                <w:sz w:val="20"/>
                <w:szCs w:val="20"/>
                <w:color w:val="auto"/>
                <w:w w:val="99"/>
              </w:rPr>
              <w:t>·   Monster Energy Extra Strength Nitrous Technology®</w:t>
            </w:r>
          </w:p>
        </w:tc>
      </w:tr>
      <w:tr>
        <w:trPr>
          <w:trHeight w:val="230"/>
        </w:trPr>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Punch Monster® Baller’s Blend® (formerly Dub Edition)</w:t>
            </w:r>
          </w:p>
        </w:tc>
        <w:tc>
          <w:tcPr>
            <w:tcW w:w="980" w:type="dxa"/>
            <w:vAlign w:val="bottom"/>
          </w:tcPr>
          <w:p>
            <w:pPr>
              <w:spacing w:after="0"/>
              <w:rPr>
                <w:sz w:val="19"/>
                <w:szCs w:val="19"/>
                <w:color w:val="auto"/>
              </w:rPr>
            </w:pPr>
          </w:p>
        </w:tc>
        <w:tc>
          <w:tcPr>
            <w:tcW w:w="4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Super Dry™</w:t>
            </w:r>
          </w:p>
        </w:tc>
      </w:tr>
      <w:tr>
        <w:trPr>
          <w:trHeight w:val="230"/>
        </w:trPr>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Punch Monster® Mad Dog (formerly Dub Edition)</w:t>
            </w:r>
          </w:p>
        </w:tc>
        <w:tc>
          <w:tcPr>
            <w:tcW w:w="5360" w:type="dxa"/>
            <w:vAlign w:val="bottom"/>
            <w:gridSpan w:val="2"/>
          </w:tcPr>
          <w:p>
            <w:pPr>
              <w:ind w:left="820"/>
              <w:spacing w:after="0"/>
              <w:rPr>
                <w:sz w:val="20"/>
                <w:szCs w:val="20"/>
                <w:color w:val="auto"/>
              </w:rPr>
            </w:pPr>
            <w:r>
              <w:rPr>
                <w:rFonts w:ascii="Times New Roman" w:cs="Times New Roman" w:eastAsia="Times New Roman" w:hAnsi="Times New Roman"/>
                <w:sz w:val="20"/>
                <w:szCs w:val="20"/>
                <w:color w:val="auto"/>
                <w:w w:val="99"/>
              </w:rPr>
              <w:t>·   Monster Energy Extra Strength Nitrous Technology®</w:t>
            </w:r>
          </w:p>
        </w:tc>
      </w:tr>
      <w:tr>
        <w:trPr>
          <w:trHeight w:val="230"/>
        </w:trPr>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Monster Rehab® Tea + Lemonade + Energy</w:t>
            </w:r>
          </w:p>
        </w:tc>
        <w:tc>
          <w:tcPr>
            <w:tcW w:w="980" w:type="dxa"/>
            <w:vAlign w:val="bottom"/>
          </w:tcPr>
          <w:p>
            <w:pPr>
              <w:spacing w:after="0"/>
              <w:rPr>
                <w:sz w:val="19"/>
                <w:szCs w:val="19"/>
                <w:color w:val="auto"/>
              </w:rPr>
            </w:pPr>
          </w:p>
        </w:tc>
        <w:tc>
          <w:tcPr>
            <w:tcW w:w="4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Anti-Gravity®</w:t>
            </w:r>
          </w:p>
        </w:tc>
      </w:tr>
      <w:tr>
        <w:trPr>
          <w:trHeight w:val="230"/>
        </w:trPr>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Monster Rehab® Raspberry Tea + Energy (formerly Rojo)</w:t>
            </w:r>
          </w:p>
        </w:tc>
        <w:tc>
          <w:tcPr>
            <w:tcW w:w="5360" w:type="dxa"/>
            <w:vAlign w:val="bottom"/>
            <w:gridSpan w:val="2"/>
          </w:tcPr>
          <w:p>
            <w:pPr>
              <w:ind w:left="820"/>
              <w:spacing w:after="0"/>
              <w:rPr>
                <w:sz w:val="20"/>
                <w:szCs w:val="20"/>
                <w:color w:val="auto"/>
              </w:rPr>
            </w:pPr>
            <w:r>
              <w:rPr>
                <w:rFonts w:ascii="Times New Roman" w:cs="Times New Roman" w:eastAsia="Times New Roman" w:hAnsi="Times New Roman"/>
                <w:sz w:val="20"/>
                <w:szCs w:val="20"/>
                <w:color w:val="auto"/>
              </w:rPr>
              <w:t>·   M3® Monster Energy® Super Concentrate</w:t>
            </w:r>
          </w:p>
        </w:tc>
      </w:tr>
      <w:tr>
        <w:trPr>
          <w:trHeight w:val="230"/>
        </w:trPr>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Monster Rehab® Green Tea + Energy</w:t>
            </w:r>
          </w:p>
        </w:tc>
        <w:tc>
          <w:tcPr>
            <w:tcW w:w="5360" w:type="dxa"/>
            <w:vAlign w:val="bottom"/>
            <w:gridSpan w:val="2"/>
          </w:tcPr>
          <w:p>
            <w:pPr>
              <w:ind w:left="820"/>
              <w:spacing w:after="0"/>
              <w:rPr>
                <w:sz w:val="20"/>
                <w:szCs w:val="20"/>
                <w:color w:val="auto"/>
              </w:rPr>
            </w:pPr>
            <w:r>
              <w:rPr>
                <w:rFonts w:ascii="Times New Roman" w:cs="Times New Roman" w:eastAsia="Times New Roman" w:hAnsi="Times New Roman"/>
                <w:sz w:val="20"/>
                <w:szCs w:val="20"/>
                <w:color w:val="auto"/>
              </w:rPr>
              <w:t>·   Monster Energy Zero Ultra®</w:t>
            </w:r>
          </w:p>
        </w:tc>
      </w:tr>
      <w:tr>
        <w:trPr>
          <w:trHeight w:val="230"/>
        </w:trPr>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Monster Rehab® Tea + Orangeade + Energy</w:t>
            </w:r>
          </w:p>
        </w:tc>
        <w:tc>
          <w:tcPr>
            <w:tcW w:w="5360" w:type="dxa"/>
            <w:vAlign w:val="bottom"/>
            <w:gridSpan w:val="2"/>
          </w:tcPr>
          <w:p>
            <w:pPr>
              <w:ind w:left="820"/>
              <w:spacing w:after="0"/>
              <w:rPr>
                <w:sz w:val="20"/>
                <w:szCs w:val="20"/>
                <w:color w:val="auto"/>
              </w:rPr>
            </w:pPr>
            <w:r>
              <w:rPr>
                <w:rFonts w:ascii="Times New Roman" w:cs="Times New Roman" w:eastAsia="Times New Roman" w:hAnsi="Times New Roman"/>
                <w:sz w:val="20"/>
                <w:szCs w:val="20"/>
                <w:color w:val="auto"/>
              </w:rPr>
              <w:t>·   Monster Energy Ultra Blue®</w:t>
            </w:r>
          </w:p>
        </w:tc>
      </w:tr>
      <w:tr>
        <w:trPr>
          <w:trHeight w:val="230"/>
        </w:trPr>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Monster Rehab® Tea + Pink Lemonade + Energy</w:t>
            </w:r>
          </w:p>
        </w:tc>
        <w:tc>
          <w:tcPr>
            <w:tcW w:w="5360" w:type="dxa"/>
            <w:vAlign w:val="bottom"/>
            <w:gridSpan w:val="2"/>
          </w:tcPr>
          <w:p>
            <w:pPr>
              <w:ind w:left="820"/>
              <w:spacing w:after="0"/>
              <w:rPr>
                <w:sz w:val="20"/>
                <w:szCs w:val="20"/>
                <w:color w:val="auto"/>
              </w:rPr>
            </w:pPr>
            <w:r>
              <w:rPr>
                <w:rFonts w:ascii="Times New Roman" w:cs="Times New Roman" w:eastAsia="Times New Roman" w:hAnsi="Times New Roman"/>
                <w:sz w:val="20"/>
                <w:szCs w:val="20"/>
                <w:color w:val="auto"/>
              </w:rPr>
              <w:t>·   Monster Energy Ultra Red®</w:t>
            </w:r>
          </w:p>
        </w:tc>
      </w:tr>
      <w:tr>
        <w:trPr>
          <w:trHeight w:val="230"/>
        </w:trPr>
        <w:tc>
          <w:tcPr>
            <w:tcW w:w="5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Monster Rehab® Peach Tea + Energy</w:t>
            </w:r>
          </w:p>
        </w:tc>
        <w:tc>
          <w:tcPr>
            <w:tcW w:w="5360" w:type="dxa"/>
            <w:vAlign w:val="bottom"/>
            <w:gridSpan w:val="2"/>
          </w:tcPr>
          <w:p>
            <w:pPr>
              <w:ind w:left="820"/>
              <w:spacing w:after="0"/>
              <w:rPr>
                <w:sz w:val="20"/>
                <w:szCs w:val="20"/>
                <w:color w:val="auto"/>
              </w:rPr>
            </w:pPr>
            <w:r>
              <w:rPr>
                <w:rFonts w:ascii="Times New Roman" w:cs="Times New Roman" w:eastAsia="Times New Roman" w:hAnsi="Times New Roman"/>
                <w:sz w:val="20"/>
                <w:szCs w:val="20"/>
                <w:color w:val="auto"/>
              </w:rPr>
              <w:t>·   Monster Energy Ultra Black®</w:t>
            </w:r>
          </w:p>
        </w:tc>
      </w:tr>
      <w:tr>
        <w:trPr>
          <w:trHeight w:val="230"/>
        </w:trPr>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5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Muscle Monster® Vanilla</w:t>
            </w:r>
          </w:p>
        </w:tc>
        <w:tc>
          <w:tcPr>
            <w:tcW w:w="5360" w:type="dxa"/>
            <w:vAlign w:val="bottom"/>
            <w:gridSpan w:val="2"/>
          </w:tcPr>
          <w:p>
            <w:pPr>
              <w:ind w:left="820"/>
              <w:spacing w:after="0"/>
              <w:rPr>
                <w:sz w:val="20"/>
                <w:szCs w:val="20"/>
                <w:color w:val="auto"/>
              </w:rPr>
            </w:pPr>
            <w:r>
              <w:rPr>
                <w:rFonts w:ascii="Times New Roman" w:cs="Times New Roman" w:eastAsia="Times New Roman" w:hAnsi="Times New Roman"/>
                <w:sz w:val="20"/>
                <w:szCs w:val="20"/>
                <w:color w:val="auto"/>
              </w:rPr>
              <w:t>·   Monster Energy Ultra Sunrise®</w:t>
            </w:r>
          </w:p>
        </w:tc>
      </w:tr>
      <w:tr>
        <w:trPr>
          <w:trHeight w:val="230"/>
        </w:trPr>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5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Muscle Monster® Chocolate</w:t>
            </w:r>
          </w:p>
        </w:tc>
        <w:tc>
          <w:tcPr>
            <w:tcW w:w="5360" w:type="dxa"/>
            <w:vAlign w:val="bottom"/>
            <w:gridSpan w:val="2"/>
          </w:tcPr>
          <w:p>
            <w:pPr>
              <w:ind w:left="820"/>
              <w:spacing w:after="0"/>
              <w:rPr>
                <w:sz w:val="20"/>
                <w:szCs w:val="20"/>
                <w:color w:val="auto"/>
              </w:rPr>
            </w:pPr>
            <w:r>
              <w:rPr>
                <w:rFonts w:ascii="Times New Roman" w:cs="Times New Roman" w:eastAsia="Times New Roman" w:hAnsi="Times New Roman"/>
                <w:sz w:val="20"/>
                <w:szCs w:val="20"/>
                <w:color w:val="auto"/>
              </w:rPr>
              <w:t>·   Monster Energy Ultra Citron®</w:t>
            </w:r>
          </w:p>
        </w:tc>
      </w:tr>
      <w:tr>
        <w:trPr>
          <w:trHeight w:val="230"/>
        </w:trPr>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5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Muscle Monster® Strawberry</w:t>
            </w:r>
          </w:p>
        </w:tc>
        <w:tc>
          <w:tcPr>
            <w:tcW w:w="5360" w:type="dxa"/>
            <w:vAlign w:val="bottom"/>
            <w:gridSpan w:val="2"/>
          </w:tcPr>
          <w:p>
            <w:pPr>
              <w:ind w:left="820"/>
              <w:spacing w:after="0"/>
              <w:rPr>
                <w:sz w:val="20"/>
                <w:szCs w:val="20"/>
                <w:color w:val="auto"/>
              </w:rPr>
            </w:pPr>
            <w:r>
              <w:rPr>
                <w:rFonts w:ascii="Times New Roman" w:cs="Times New Roman" w:eastAsia="Times New Roman" w:hAnsi="Times New Roman"/>
                <w:sz w:val="20"/>
                <w:szCs w:val="20"/>
                <w:color w:val="auto"/>
              </w:rPr>
              <w:t>·   Monster Energy Ultra Violet™</w:t>
            </w:r>
          </w:p>
        </w:tc>
      </w:tr>
      <w:tr>
        <w:trPr>
          <w:trHeight w:val="230"/>
        </w:trPr>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5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Muscle Monster® Banana</w:t>
            </w:r>
          </w:p>
        </w:tc>
        <w:tc>
          <w:tcPr>
            <w:tcW w:w="5360" w:type="dxa"/>
            <w:vAlign w:val="bottom"/>
            <w:gridSpan w:val="2"/>
          </w:tcPr>
          <w:p>
            <w:pPr>
              <w:ind w:left="820"/>
              <w:spacing w:after="0"/>
              <w:rPr>
                <w:sz w:val="20"/>
                <w:szCs w:val="20"/>
                <w:color w:val="auto"/>
              </w:rPr>
            </w:pPr>
            <w:r>
              <w:rPr>
                <w:rFonts w:ascii="Times New Roman" w:cs="Times New Roman" w:eastAsia="Times New Roman" w:hAnsi="Times New Roman"/>
                <w:sz w:val="20"/>
                <w:szCs w:val="20"/>
                <w:color w:val="auto"/>
              </w:rPr>
              <w:t>·   Monster Energy® Valentino Rossi</w:t>
            </w:r>
          </w:p>
        </w:tc>
      </w:tr>
      <w:tr>
        <w:trPr>
          <w:trHeight w:val="258"/>
        </w:trPr>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5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Monster Energy® Gronk</w:t>
            </w:r>
          </w:p>
        </w:tc>
        <w:tc>
          <w:tcPr>
            <w:tcW w:w="9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43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Übermonster® Energy Brew™</w:t>
            </w: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Industry Overview</w:t>
      </w:r>
    </w:p>
    <w:p>
      <w:pPr>
        <w:spacing w:after="0" w:line="23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“alternative” beverage category combines non-carbonated, ready-to-drink iced teas, lemonades, juice cocktails, single-serve juices and fruit beverages, ready-to-drink dairy and coffee drinks, energy drinks, sports drinks and single-serve still water (flavored, unflavored and enhanced) with “new age” beverages, including sodas that are considered natural, sparkling juices and flavored sparkling beverages. According to Beverage Marketing Corporation, domestic U.S. wholesale sales in 2016 for the “alternative” beverage category of the market are estimated at approximately $48.5 billion, representing an increase of approximately 7.7% over the estimated domestic U.S. wholesale sales in 2015 of approximately $45.0 billion.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History</w:t>
      </w:r>
    </w:p>
    <w:p>
      <w:pPr>
        <w:spacing w:after="0" w:line="23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In the 1930s, Hubert Hansen and his sons started a business selling fresh non-pasteurized juices in Los Angeles, California. This business eventually became Hansen’s Juices, Inc., which subsequently became known as The Fresh Juice Company of California, Inc. (“FJC”). FJC retained the right to market and sell fresh non-pasteurized juices under the Hansen’s® trademark. In 1977, Tim Hansen, one of the grandsons of Hubert Hansen, perceived a demand for shelf stable pasteurized natural juices and juice blends and formed Hansen Foods, Inc. (“HFI”). HFI expanded its product line from juices to include Hansen’s Natural Soda® brand sodas. In 1990, California Co-Packers Corporation (d/b/a Hansen Beverage Company) (“CCC”) acquired certain assets of HFI, including the right to market the Hansen’s® brand name. In 1992, Hansen Natural Corporation acquired the Hansen’s® brand natural soda and apple juice business from CCC. Under our ownership, the Hansen’s® beverage business significantly expanded to include a wide range of beverages within the growing “alternative” beverage category including, in particular, energy drinks. In 1999, we acquired all of FJC’s rights to manufacture, sell and distribute fresh non-pasteurized juice products under the Hansen’s® trademark together with certain additional rights. In 2012, we changed our name from Hansen Natural Corporation to Monster Beverage Corporation. In 2015, as part of the TCCC Transaction, we acquired the Strategic Brands from TCCC and disposed of our non-energy drink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2016 Product Introductions</w:t>
      </w:r>
    </w:p>
    <w:p>
      <w:pPr>
        <w:sectPr>
          <w:pgSz w:w="11900" w:h="16838" w:orient="portrait"/>
          <w:cols w:equalWidth="0" w:num="1">
            <w:col w:w="11420"/>
          </w:cols>
          <w:pgMar w:left="240" w:top="346" w:right="239" w:bottom="0" w:gutter="0" w:footer="0" w:header="0"/>
        </w:sectPr>
      </w:pPr>
    </w:p>
    <w:bookmarkStart w:id="4" w:name="page5"/>
    <w:bookmarkEnd w:id="4"/>
    <w:p>
      <w:pPr>
        <w:spacing w:after="0" w:line="32"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20"/>
          <w:szCs w:val="20"/>
          <w:color w:val="auto"/>
        </w:rPr>
        <w:t>During 2016, we continued to expand our existing portfolio of drinks and further develop our distribution markets. During 2016, we introduced the following products:</w:t>
      </w:r>
    </w:p>
    <w:p>
      <w:pPr>
        <w:spacing w:after="0" w:line="174" w:lineRule="exact"/>
        <w:rPr>
          <w:sz w:val="20"/>
          <w:szCs w:val="20"/>
          <w:color w:val="auto"/>
        </w:rPr>
      </w:pPr>
    </w:p>
    <w:p>
      <w:pPr>
        <w:ind w:left="600" w:hanging="359"/>
        <w:spacing w:after="0"/>
        <w:tabs>
          <w:tab w:leader="none" w:pos="6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Monster Energy Ultra Violet™ (December 2016).</w:t>
      </w:r>
    </w:p>
    <w:p>
      <w:pPr>
        <w:spacing w:after="0" w:line="21" w:lineRule="exact"/>
        <w:rPr>
          <w:rFonts w:ascii="Times New Roman" w:cs="Times New Roman" w:eastAsia="Times New Roman" w:hAnsi="Times New Roman"/>
          <w:sz w:val="20"/>
          <w:szCs w:val="20"/>
          <w:color w:val="auto"/>
        </w:rPr>
      </w:pPr>
    </w:p>
    <w:p>
      <w:pPr>
        <w:ind w:left="600" w:hanging="359"/>
        <w:spacing w:after="0"/>
        <w:tabs>
          <w:tab w:leader="none" w:pos="6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Mutant® Super Soda (September 2016).</w:t>
      </w:r>
    </w:p>
    <w:p>
      <w:pPr>
        <w:ind w:left="600" w:hanging="359"/>
        <w:spacing w:after="0"/>
        <w:tabs>
          <w:tab w:leader="none" w:pos="6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Monster Energy® Gronk (February 2016).</w:t>
      </w:r>
    </w:p>
    <w:p>
      <w:pPr>
        <w:ind w:left="600" w:hanging="359"/>
        <w:spacing w:after="0"/>
        <w:tabs>
          <w:tab w:leader="none" w:pos="6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Java Monster® Salted Caramel (January 2016).</w:t>
      </w:r>
    </w:p>
    <w:p>
      <w:pPr>
        <w:spacing w:after="0" w:line="207"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In the normal course of business we discontinue certain products and/or product lines. Those products or product lines discontinued in 2016, either individually or in aggregate, did not have a material adverse impact on our financial position, results of operations or liquidity.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Products – Monster Energy® Drinks Segment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Monster Energy® Brand Energy Drinks:</w:t>
      </w:r>
    </w:p>
    <w:p>
      <w:pPr>
        <w:spacing w:after="0" w:line="22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Monster Energy® Drinks </w:t>
      </w:r>
      <w:r>
        <w:rPr>
          <w:rFonts w:ascii="Times New Roman" w:cs="Times New Roman" w:eastAsia="Times New Roman" w:hAnsi="Times New Roman"/>
          <w:sz w:val="20"/>
          <w:szCs w:val="20"/>
          <w:color w:val="auto"/>
        </w:rPr>
        <w:t>- a line of carbonated energy drinks. Our Monster Energy® drinks contain vitamins, minerals, nutrients, herbs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other dietary ingredients (collectively, “dietary ingredients”) and are marketed through our full service distributor network. We offer the following energy drinks under the Monster Energy® drink product line: Monster Energy®, Lo-Carb Monster Energy®, Monster Assault®, Juice Monster® Khaos®, Juice Monster® Ripper®, Juice Monster® Pipeline Punch®, Monster Energy® Absolutely Zero, Monster Energy® Import, Punch Monster® Baller’s Blend®, Punch Monster® Mad Dog, Mega Monster Energy®, M3® Monster Energy® Super Concentrate energy drinks, Übermonster® Energy Brew™, Monster Energy Zero Ultra®, Monster Energy Ultra Blue®, Monster Energy Ultra Red®, Monster Energy Ultra Black®, Monster Energy Ultra Sunrise®, Monster Energy Ultra Citron®, Monster Energy Ultra Violet™, Monster Energy® Gronk and Monster Energy® Valentino Rossi.</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Java Monster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Coffee + Energy Drinks </w:t>
      </w:r>
      <w:r>
        <w:rPr>
          <w:rFonts w:ascii="Times New Roman" w:cs="Times New Roman" w:eastAsia="Times New Roman" w:hAnsi="Times New Roman"/>
          <w:sz w:val="20"/>
          <w:szCs w:val="20"/>
          <w:color w:val="auto"/>
        </w:rPr>
        <w:t>- a line of non-carbonated dairy based coffee + energy drinks. We offer the following coffee +</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energy drinks under the Java Monster® product line: Java Monster® Kona Blend, Java Monster® Loca Moca®, Java Monster® Mean Bean®, Java Monster® Vanilla Light, Java Monster® Irish Blend® and Java Monster® Salted Caramel.</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Muscle Monster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Energy Shakes </w:t>
      </w:r>
      <w:r>
        <w:rPr>
          <w:rFonts w:ascii="Times New Roman" w:cs="Times New Roman" w:eastAsia="Times New Roman" w:hAnsi="Times New Roman"/>
          <w:sz w:val="20"/>
          <w:szCs w:val="20"/>
          <w:color w:val="auto"/>
        </w:rPr>
        <w:t>– a line of non-carbonated energy shakes containing 25-grams of protein. We offer the following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energy shakes under the Muscle Monster® Energy Shake product line: Vanilla, Chocolate, Strawberry and Banana.</w:t>
      </w:r>
    </w:p>
    <w:p>
      <w:pPr>
        <w:spacing w:after="0" w:line="16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Monster Energy Extra Strength Nitrous Technology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Energy Drinks </w:t>
      </w:r>
      <w:r>
        <w:rPr>
          <w:rFonts w:ascii="Times New Roman" w:cs="Times New Roman" w:eastAsia="Times New Roman" w:hAnsi="Times New Roman"/>
          <w:sz w:val="20"/>
          <w:szCs w:val="20"/>
          <w:color w:val="auto"/>
        </w:rPr>
        <w:t>- a line of carbonated energy drinks containing nitrous oxide. We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offer the following energy drinks under the Monster Energy Extra Strength Nitrous Technology® product line: Super Dry™ and Anti Gravity®.</w:t>
      </w:r>
    </w:p>
    <w:p>
      <w:pPr>
        <w:spacing w:after="0" w:line="18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Monster Rehab® Tea + Energy Drinks </w:t>
      </w:r>
      <w:r>
        <w:rPr>
          <w:rFonts w:ascii="Times New Roman" w:cs="Times New Roman" w:eastAsia="Times New Roman" w:hAnsi="Times New Roman"/>
          <w:sz w:val="20"/>
          <w:szCs w:val="20"/>
          <w:color w:val="auto"/>
        </w:rPr>
        <w:t>- a line of non-carbonated energy drinks with electrolytes. We offer the following tea + energy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drinks under the Monster Rehab® drink line: Monster Rehab® Tea + Lemonade + Energy, Monster Rehab® Raspberry Tea + Energy, Monster Rehab® Green Tea + Energy, Monster Rehab® Tea + Orangeade + Energy, Monster Rehab® Tea + Pink Lemonade + Energy and Monster Rehab Peach® Tea + Energy.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Mutant® Super Soda Drinks:</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Mutant® – a line of carbonated ‘super sodas’. We offer the following sodas under the Mutant® Super Soda product line: Mutant® Super Soda and Mutant® Red Dawn Super Soda.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Products – Strategic Brands Segment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Strategic Brands Energy Drinks:</w:t>
      </w:r>
    </w:p>
    <w:p>
      <w:pPr>
        <w:spacing w:after="0" w:line="225"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BPM® </w:t>
      </w:r>
      <w:r>
        <w:rPr>
          <w:rFonts w:ascii="Times New Roman" w:cs="Times New Roman" w:eastAsia="Times New Roman" w:hAnsi="Times New Roman"/>
          <w:sz w:val="20"/>
          <w:szCs w:val="20"/>
          <w:color w:val="auto"/>
        </w:rPr>
        <w:t>- a line of carbonated energy drinks. We offer the following energy drinks under the BPM® product line: Focus Berry Red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Hydrate Citrus Green.</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BU®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line of carbonated energy drinks. We offer the following energy drinks under the BU</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product line: Original.</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Burn® </w:t>
      </w:r>
      <w:r>
        <w:rPr>
          <w:rFonts w:ascii="Times New Roman" w:cs="Times New Roman" w:eastAsia="Times New Roman" w:hAnsi="Times New Roman"/>
          <w:sz w:val="20"/>
          <w:szCs w:val="20"/>
          <w:color w:val="auto"/>
        </w:rPr>
        <w:t>- a line of carbonated energy drinks. We offer the following energy drinks under the Burn® product line: Original, Blue, Zero,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Cherry, Lemon Ice, Apple Kiwi and Passion Punch.</w:t>
      </w:r>
    </w:p>
    <w:p>
      <w:pPr>
        <w:spacing w:after="0" w:line="16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Full Throttle® </w:t>
      </w:r>
      <w:r>
        <w:rPr>
          <w:rFonts w:ascii="Times New Roman" w:cs="Times New Roman" w:eastAsia="Times New Roman" w:hAnsi="Times New Roman"/>
          <w:sz w:val="20"/>
          <w:szCs w:val="20"/>
          <w:color w:val="auto"/>
        </w:rPr>
        <w:t>- a line of carbonated energy drinks. We offer the following energy drinks under the Full Throttle® product line: Citrus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Blue Agave.</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Gladiator® - </w:t>
      </w:r>
      <w:r>
        <w:rPr>
          <w:rFonts w:ascii="Times New Roman" w:cs="Times New Roman" w:eastAsia="Times New Roman" w:hAnsi="Times New Roman"/>
          <w:sz w:val="20"/>
          <w:szCs w:val="20"/>
          <w:color w:val="auto"/>
        </w:rPr>
        <w:t>a line of carbonated energy drinks. We offer the following energy drinks under the Gladiator® product line: Original.</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Mother® - </w:t>
      </w:r>
      <w:r>
        <w:rPr>
          <w:rFonts w:ascii="Times New Roman" w:cs="Times New Roman" w:eastAsia="Times New Roman" w:hAnsi="Times New Roman"/>
          <w:sz w:val="20"/>
          <w:szCs w:val="20"/>
          <w:color w:val="auto"/>
        </w:rPr>
        <w:t>a line of carbonated energy drinks. We offer the following energy drinks under the Mother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product line: Original, Sugar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Free, Frosty Berry, Green Storm, Orange Surge and Revive.</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Nalu® </w:t>
      </w:r>
      <w:r>
        <w:rPr>
          <w:rFonts w:ascii="Times New Roman" w:cs="Times New Roman" w:eastAsia="Times New Roman" w:hAnsi="Times New Roman"/>
          <w:sz w:val="20"/>
          <w:szCs w:val="20"/>
          <w:color w:val="auto"/>
        </w:rPr>
        <w:t>- a line of carbonated energy drinks. We offer the following energy drinks under the Nalu</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product line: Original, Exotic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Frost.</w:t>
      </w:r>
    </w:p>
    <w:p>
      <w:pPr>
        <w:sectPr>
          <w:pgSz w:w="11900" w:h="16870" w:orient="portrait"/>
          <w:cols w:equalWidth="0" w:num="1">
            <w:col w:w="11420"/>
          </w:cols>
          <w:pgMar w:left="240" w:top="118" w:right="239" w:bottom="0" w:gutter="0" w:footer="0" w:header="0"/>
        </w:sectPr>
      </w:pPr>
    </w:p>
    <w:bookmarkStart w:id="5" w:name="page6"/>
    <w:bookmarkEnd w:id="5"/>
    <w:p>
      <w:pPr>
        <w:spacing w:after="0" w:line="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NOS® </w:t>
      </w:r>
      <w:r>
        <w:rPr>
          <w:rFonts w:ascii="Times New Roman" w:cs="Times New Roman" w:eastAsia="Times New Roman" w:hAnsi="Times New Roman"/>
          <w:sz w:val="20"/>
          <w:szCs w:val="20"/>
          <w:color w:val="auto"/>
        </w:rPr>
        <w:t>- a line of carbonated energy drinks. We offer the following energy drinks under the NOS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product line: Original, Sugar Free,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Charged Citrus, GT Grape, Cherried Out and NOS Rowdy.</w:t>
      </w:r>
    </w:p>
    <w:p>
      <w:pPr>
        <w:spacing w:after="0" w:line="16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Play® and Power Play® - </w:t>
      </w:r>
      <w:r>
        <w:rPr>
          <w:rFonts w:ascii="Times New Roman" w:cs="Times New Roman" w:eastAsia="Times New Roman" w:hAnsi="Times New Roman"/>
          <w:sz w:val="20"/>
          <w:szCs w:val="20"/>
          <w:color w:val="auto"/>
        </w:rPr>
        <w:t>a line of carbonated energy drinks. We offer the following energy drinks under the Play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Power Play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product line: Original, Sugar Free, Dare and Forge.</w:t>
      </w:r>
    </w:p>
    <w:p>
      <w:pPr>
        <w:spacing w:after="0" w:line="16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Relentless® - </w:t>
      </w:r>
      <w:r>
        <w:rPr>
          <w:rFonts w:ascii="Times New Roman" w:cs="Times New Roman" w:eastAsia="Times New Roman" w:hAnsi="Times New Roman"/>
          <w:sz w:val="20"/>
          <w:szCs w:val="20"/>
          <w:color w:val="auto"/>
        </w:rPr>
        <w:t>a line of carbonated energy drinks. We offer the following energy drinks under the Relentless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product line: Origin,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Zero, Apple Kiwi, Lemon Ice, Cherry and Passion Punch.</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i w:val="1"/>
          <w:iCs w:val="1"/>
          <w:color w:val="auto"/>
        </w:rPr>
        <w:t xml:space="preserve">Samurai® - </w:t>
      </w:r>
      <w:r>
        <w:rPr>
          <w:rFonts w:ascii="Times New Roman" w:cs="Times New Roman" w:eastAsia="Times New Roman" w:hAnsi="Times New Roman"/>
          <w:sz w:val="19"/>
          <w:szCs w:val="19"/>
          <w:color w:val="auto"/>
        </w:rPr>
        <w:t>a line of carbonated energy drinks. We offer the following energy drinks under the Samurai® product line: Strawberry and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Fruity.</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i w:val="1"/>
          <w:iCs w:val="1"/>
          <w:color w:val="auto"/>
        </w:rPr>
        <w:t xml:space="preserve">Ultra® - </w:t>
      </w:r>
      <w:r>
        <w:rPr>
          <w:rFonts w:ascii="Times New Roman" w:cs="Times New Roman" w:eastAsia="Times New Roman" w:hAnsi="Times New Roman"/>
          <w:sz w:val="19"/>
          <w:szCs w:val="19"/>
          <w:color w:val="auto"/>
        </w:rPr>
        <w:t>a line of carbonated energy drinks. We offer the following energy drinks under the Ultra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product line: Original and Orange.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Products – Other Segment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AFF Third-Party Products: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sell a limited number of products acquired as part of the AFF Transaction to independent third-party customers.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Non-Energy Drinks Disposed of as part of the TCCC Transaction (sales through June 12, 2015):</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As part of the TCCC Transaction, we transferred all of our rights in and to the following products to TCCC (with the exception of Hansen’s® and Blue Sky® energy drinks, which were discontinued): Peace Tea® Iced Teas and Juice Drinks, Hansen’s® Brand Sodas, Blue Sky® Products, Hansen’s® Energy Drinks, Hansen’s® Juice Products, Hansen’s® Aseptic Juices and Hubert’s® Lemonades.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Products</w:t>
      </w:r>
    </w:p>
    <w:p>
      <w:pPr>
        <w:spacing w:after="0" w:line="23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We continue to evaluate and, where considered appropriate, introduce additional flavors and types of beverages to complement our existing product lines. We may also evaluate, and where considered appropriate, introduce additional types of consumer products we consider are complementary to our existing products and/or to which our brand names are able to add value. Under the terms of the TCCC Transaction, we have agreed, subject to certain exceptions, not to compete with TCCC in non-alcoholic ready-to-drink beverages, other than the energy drink category.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Products – Packaging</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Our products are packaged in a variety of different package types and sizes including, but not limited to, aluminum cans, aluminum Cap Cans, sleek aluminum cans, aluminum cans with re-sealable ends and, to a limited extent, glass bottles. In addition to these packages, our bottlers package Mutant® Super Soda drinks and certain of our Strategic Brands in polyethylene terephthalate (PET) plastic bottles.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Manufacture and Distribution</w:t>
      </w:r>
    </w:p>
    <w:p>
      <w:pPr>
        <w:spacing w:after="0" w:line="23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do not directly manufacture finished goods, but instead outsource the manufacturing process to third-party bottlers and contract packers.</w:t>
      </w:r>
    </w:p>
    <w:p>
      <w:pPr>
        <w:spacing w:after="0" w:line="17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AFF Transaction brought our primary flavor supplier in-house, secured the intellectual property of our most important flavors in perpetuity and further enhanced our flavor development and global flavor footprint capabilities for our Monster Energy® Drinks segment. We also source flavors from other suppliers. We purchase flavors, concentrates, sweeteners, juices, dietary ingredients, cans, bottles, caps, labels, trays, boxes and other ingredients for our beverage products from our suppliers, which are delivered to our various third-party bottlers and co-packers. In some cases, certain common supplies may be purchased by our various third-party bottlers and co-packers. Depending on the product, the third-party bottlers or co-packers add filtered water and/or other ingredients (including dietary ingredients) for the manufacture and packaging of the finished products into our approved containers in accordance with our recipes and formulas. Depending on the beverage, the bottler/packer may also add carbonation to the products as part of the production process.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9"/>
          <w:szCs w:val="19"/>
          <w:color w:val="auto"/>
        </w:rPr>
        <w:t>For our Strategic Brands segment, we primarily purchase concentrates and/or beverage bases which are then sold to certain of our various third-party bottlers/distributors. The third-party bottlers/distributors are responsible for the manufacture and packaging of the finished products, including the procurement of all other required ingredients and packaging materials. For certain limited products, we may purchase flavors, concentrates, sweeteners, juices, flavors, dietary ingredients, cans, bottles, caps, labels, trays, boxes and other ingredients for our Strategic Brand products from our suppliers, which are delivered to our various third-party bottlers and co-packers. In some cases, certain common supplies may be purchased by our various third-party bottlers and co-packers. Depending on the product, the third-party bottlers or co-packers add filtered water and/or other ingredients (including dietary ingredients), for the manufacture and packaging of the finished products</w:t>
      </w:r>
    </w:p>
    <w:p>
      <w:pPr>
        <w:sectPr>
          <w:pgSz w:w="11900" w:h="16891" w:orient="portrait"/>
          <w:cols w:equalWidth="0" w:num="1">
            <w:col w:w="11420"/>
          </w:cols>
          <w:pgMar w:left="240" w:top="342" w:right="239" w:bottom="0" w:gutter="0" w:footer="0" w:header="0"/>
        </w:sectPr>
      </w:pPr>
    </w:p>
    <w:bookmarkStart w:id="6" w:name="page7"/>
    <w:bookmarkEnd w:id="6"/>
    <w:p>
      <w:pPr>
        <w:jc w:val="both"/>
        <w:spacing w:after="0" w:line="268" w:lineRule="auto"/>
        <w:rPr>
          <w:sz w:val="20"/>
          <w:szCs w:val="20"/>
          <w:color w:val="auto"/>
        </w:rPr>
      </w:pPr>
      <w:r>
        <w:rPr>
          <w:rFonts w:ascii="Times New Roman" w:cs="Times New Roman" w:eastAsia="Times New Roman" w:hAnsi="Times New Roman"/>
          <w:sz w:val="20"/>
          <w:szCs w:val="20"/>
          <w:color w:val="auto"/>
        </w:rPr>
        <w:t>into our approved containers in accordance with our recipes and formulas. Depending on the beverage, the bottler/co-packer may also add carbonation to the products as part of the production process.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Co-Packing Arrangements</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All of our finished goods are manufactured by various third-party bottlers and co-packers situated throughout the United States and abroad, under separate arrangements with each party. The majority of our co-packaging arrangements are generally on a month-to-month basis or are terminable upon request and do not generally obligate us to produce any minimum quantities of products within specified periods.</w:t>
      </w:r>
    </w:p>
    <w:p>
      <w:pPr>
        <w:spacing w:after="0" w:line="188" w:lineRule="exact"/>
        <w:rPr>
          <w:sz w:val="20"/>
          <w:szCs w:val="20"/>
          <w:color w:val="auto"/>
        </w:rPr>
      </w:pPr>
    </w:p>
    <w:p>
      <w:pPr>
        <w:jc w:val="both"/>
        <w:ind w:firstLine="693"/>
        <w:spacing w:after="0" w:line="249" w:lineRule="auto"/>
        <w:rPr>
          <w:sz w:val="20"/>
          <w:szCs w:val="20"/>
          <w:color w:val="auto"/>
        </w:rPr>
      </w:pPr>
      <w:r>
        <w:rPr>
          <w:rFonts w:ascii="Times New Roman" w:cs="Times New Roman" w:eastAsia="Times New Roman" w:hAnsi="Times New Roman"/>
          <w:sz w:val="20"/>
          <w:szCs w:val="20"/>
          <w:color w:val="auto"/>
        </w:rPr>
        <w:t>In some instances subject to agreement, certain equipment may be purchased by us and installed at the facilities of our co-packers to enable them to produce certain of our products. In many cases, such equipment remains our property and is returned to us upon termination of the packing arrangements with such co-packers, unless we are reimbursed by the co-packer at the then book value or via a per-case credit over a pre-determined number of cases that are produced at the facilities concerned.</w:t>
      </w:r>
    </w:p>
    <w:p>
      <w:pPr>
        <w:spacing w:after="0" w:line="19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For our Monster Energy® Drinks segment, we are generally responsible for arranging for the purchase and delivery to our third-party bottlers and co-packers of the containers in which our beverage products are packaged.</w:t>
      </w:r>
    </w:p>
    <w:p>
      <w:pPr>
        <w:spacing w:after="0" w:line="17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Our products are packaged in a number of locations, both domestically and internationally, to enable us to produce products closer to the markets where they are sold with the objective of reducing freight costs as well as transportation-related product damages. As distribution volumes increase in both our domestic and international markets, we will continue to source additional packing arrangements closer to such markets to further reduce freight costs. Our ability to estimate demand for our products is imprecise, particularly with new products, and may be less precise during periods of rapid growth, particularly in new markets. If we materially underestimate demand for our products and/or are unable to secure sufficient ingredients or raw materials including, but not limited to, aluminum cans, aluminum Cap Cans, sleek aluminum cans, aluminum cans with re-sealable ends, PET plastic bottles, glass, labels, flavors, juice concentrates, dietary ingredients, other ingredients and certain sweeteners, and/or procure adequate packing arrangements and/or obtain adequate or timely shipment of our products, we might not be able to satisfy demand on a short-term basis. In this regard, due to a shortage in available retort capacity, we were unable to fulfill demand in full for our Java Monster and Muscle Monster products during the latter half of 2016. (See “Part I, Item 1A – Risk Factors”).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Our production arrangements are generally of short duration or are terminable upon request. For certain of our products, including our Monster Energy® brand energy drinks, our Java Monster® product line, our Muscle Monster® product line, our Punch Monster® product line and certain of our other products, there are limited co-packing facilities in our domestic and international markets with adequate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capacity and/or suitable equipment to package our products. We believe a short disruption or delay in production would not significantly affect our revenues; however, as alternative co-packing facilities in our domestic and international markets with adequate long-term capacity may not be available for such products, either at commercially reasonable rates and/or within a reasonably short time period, if at all, a lengthy disruption or delay in production of any of such products could significantly affect our revenues.</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continue to actively seek alternative and/or additional co-packing facilities around the world (including in Africa, Asia, Australia, Central and South America, China, Europe, India, Mexico, the Middle East and the United States) with adequate capacity and capability for the production of our various products to minimize transportation costs and transportation-related damages as well as to mitigate the risk of a disruption in production and/or importation.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Distribution Agreements</w:t>
      </w:r>
    </w:p>
    <w:p>
      <w:pPr>
        <w:spacing w:after="0" w:line="23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During 2016, we continued to expand distribution of our products in both our domestic and international markets, due in part to the TCCC Transaction.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Monster Energy</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 xml:space="preserve"> Distribution Agreements</w:t>
      </w:r>
    </w:p>
    <w:p>
      <w:pPr>
        <w:spacing w:after="0" w:line="23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We have entered into agreements with various distributors providing for the distribution of our products during initial terms of up to twenty years, which may be renewed thereafter for additional terms ranging from one to five years. Such agreements remain in effect for their then-current term as long as our products are being distributed, but are subject to specified termination rights held by each party, which may include by way of example, and depending on the form of agreement, termination upon: mutual agreement; material breach of the agreement by, or an insolvency of, either party; deadlock; change of control; changes in legal or regulatory conditions and termination of certain related agreements. Additionally, we are entitled to terminate certain distribution agreements at any time without cause upon payment of a termination fee, including the distribution agreements with select Anheuser-Busch distributors (the “AB Distributors”) and certain distribution agreements with TCCC network bottlers that were entered into prior to 2015.</w:t>
      </w:r>
    </w:p>
    <w:p>
      <w:pPr>
        <w:spacing w:after="0" w:line="20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Certain of our material distribution arrangements for our Monster Energy® brand energy drinks, as amended from time to time, are described below:</w:t>
      </w:r>
    </w:p>
    <w:p>
      <w:pPr>
        <w:spacing w:after="0" w:line="173" w:lineRule="exact"/>
        <w:rPr>
          <w:sz w:val="20"/>
          <w:szCs w:val="20"/>
          <w:color w:val="auto"/>
        </w:rPr>
      </w:pPr>
    </w:p>
    <w:p>
      <w:pPr>
        <w:jc w:val="both"/>
        <w:ind w:left="660" w:hanging="490"/>
        <w:spacing w:after="0" w:line="249" w:lineRule="auto"/>
        <w:tabs>
          <w:tab w:leader="none" w:pos="66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Amended and Restated Distribution Coordination Agreement with TCCC, pursuant to which we have designated, and in the future may designate, subject to TCCC’s approval, territories in Canada and the United States in which bottlers from TCCC’s network of wholly or partially-owned and independent bottlers will distribute and sell, or continue to distribute and sell, our Monster Energy® brand energy drinks.</w:t>
      </w:r>
    </w:p>
    <w:p>
      <w:pPr>
        <w:sectPr>
          <w:pgSz w:w="11900" w:h="16838" w:orient="portrait"/>
          <w:cols w:equalWidth="0" w:num="1">
            <w:col w:w="11420"/>
          </w:cols>
          <w:pgMar w:left="240" w:top="118" w:right="239" w:bottom="49" w:gutter="0" w:footer="0" w:header="0"/>
        </w:sectPr>
      </w:pPr>
    </w:p>
    <w:bookmarkStart w:id="7" w:name="page8"/>
    <w:bookmarkEnd w:id="7"/>
    <w:p>
      <w:pPr>
        <w:spacing w:after="0" w:line="66" w:lineRule="exact"/>
        <w:rPr>
          <w:sz w:val="20"/>
          <w:szCs w:val="20"/>
          <w:color w:val="auto"/>
        </w:rPr>
      </w:pPr>
    </w:p>
    <w:p>
      <w:pPr>
        <w:ind w:left="660" w:hanging="490"/>
        <w:spacing w:after="0" w:line="268" w:lineRule="auto"/>
        <w:tabs>
          <w:tab w:leader="none" w:pos="79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Amended and Restated Distribution Agreement with Coca-Cola Refreshments (“CCR”), pursuant to which CCR distributes, directly and through certain sub-distributors, our Monster Energy® brand energy drinks in a large portion of the United States.</w:t>
      </w:r>
    </w:p>
    <w:p>
      <w:pPr>
        <w:spacing w:after="0" w:line="174" w:lineRule="exact"/>
        <w:rPr>
          <w:rFonts w:ascii="Times New Roman" w:cs="Times New Roman" w:eastAsia="Times New Roman" w:hAnsi="Times New Roman"/>
          <w:sz w:val="20"/>
          <w:szCs w:val="20"/>
          <w:color w:val="auto"/>
        </w:rPr>
      </w:pPr>
    </w:p>
    <w:p>
      <w:pPr>
        <w:jc w:val="both"/>
        <w:ind w:left="660" w:hanging="490"/>
        <w:spacing w:after="0" w:line="254" w:lineRule="auto"/>
        <w:tabs>
          <w:tab w:leader="none" w:pos="70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Amended and Restated International Distribution Coordination Agreement with TCCC, pursuant to which we have designated, and in the future may designate, countries in which we wish to appoint TCCC network bottlers to distribute and sell our Monster Energy® brand energy drinks, subject to TCCC’s approval.</w:t>
      </w:r>
    </w:p>
    <w:p>
      <w:pPr>
        <w:spacing w:after="0" w:line="188" w:lineRule="exact"/>
        <w:rPr>
          <w:rFonts w:ascii="Times New Roman" w:cs="Times New Roman" w:eastAsia="Times New Roman" w:hAnsi="Times New Roman"/>
          <w:sz w:val="20"/>
          <w:szCs w:val="20"/>
          <w:color w:val="auto"/>
        </w:rPr>
      </w:pPr>
    </w:p>
    <w:p>
      <w:pPr>
        <w:ind w:left="660" w:hanging="490"/>
        <w:spacing w:after="0" w:line="269" w:lineRule="auto"/>
        <w:tabs>
          <w:tab w:leader="none" w:pos="75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Additionally, we have entered into distribution agreements for certain of our Monster Energy® products with various TCCC network bottlers, both in the United States and internationally.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Strategic Brands Distribution Agreements</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On June 12, 2015, in connection with the closing of the TCCC Transaction, TCCC transferred to the Company all of its rights in and to TCCC’s worldwide energy drink business including: NOS®, Full Throttle®, Burn®, Mother®, Play®, Power Play®, Relentless®, Nalu® and other brands (the “Strategic Brands”).</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have entered into distribution coordination agreements with TCCC pursuant to which we have designated, and in the future may designate, subject to TCCC’s approval, territories in which TCCC network bottlers will distribute our Strategic Brands energy drinks.</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have entered into agreements with various TCCC network bottlers, both in the United States and internationally, providing for the distribution and sale of our Strategic Brands energy drinks.</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Distribution levels vary by product and geographic location. Gross sales outside the United States accounted for $888.7 million, $713.2 million and $657.9 million for the years ended December 31, 2016, 2015 and 2014,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Raw Materials and Suppliers</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principal raw materials used in the manufacturing of our products are aluminum cans, aluminum Cap Cans, sleek aluminum cans, aluminum cans with re-sealable ends, PET plastic bottles as well as flavors, juice concentrates, glucose, sugar, sucralose, milk, cream, protein, dietary ingredients and other packaging materials, the costs of which are subject to fluctuations.</w:t>
      </w:r>
    </w:p>
    <w:p>
      <w:pPr>
        <w:spacing w:after="0" w:line="18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AFF Transaction brought our primary flavor supplier in-house, secured the intellectual property of our most important flavors for our Monster Energy® brand energy drinks in perpetuity and further enhanced our flavor development and global flavor footprint capabilities. We also purchase flavors from other suppliers as well as juices, dietary ingredients, glucose, sugar, sucralose, other sweeteners and other ingredients from independent suppliers located in the United States and abroad.</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For our Strategic Brands energy drinks, we purchase concentrates and/or beverage bases from TCCC in the United States and abroad, and may purchase certain other ingredients from independent suppliers located in the United States. As part of the TCCC Transaction, we acquired ownership of the flavor formulas for the Strategic Brands, with some limited exceptions.</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With regard to our Java Monster® and Muscle Monster® product lines, the dairy and protein industries are subject to shortages and increased demand from time to time, which may result in production disruption and/or higher prices.</w:t>
      </w:r>
    </w:p>
    <w:p>
      <w:pPr>
        <w:spacing w:after="0" w:line="17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For certain flavors purchased from third-party suppliers and used in a limited number of our Monster Energy® brand energy drinks and/or our Strategic Brands energy drinks, these third-party flavor suppliers own the proprietary rights to certain of their flavor formulas. We do not have possession of the list of such flavor ingredients or formulas used in the production of certain of our products and certain of our blended concentrates, and we may be unable to obtain comparable flavors or concentrates from alternative suppliers on short notice. Our third-party flavor suppliers generally do not make such flavors and/or blended concentrates available to other third parties. We have identified alternative suppliers for many of the ingredients contained in many of our beverages. However, industry-wide shortages of certain fruits and fruit juices, coffee, tea, dairy-based products, dietary ingredients and sweeteners have been, and could from time to time in the future be, encountered, which could interfere with and/or delay production of certain of our products.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We continually endeavor to develop back-up sources of supply for certain of our flavors and concentrates purchased from third-party suppliers, as well as negotiate arrangements with suppliers, which would enable us to obtain access to certain of such concentrates or flavor formulas under certain circumstances. We have been partially successful in these endeavors. Additionally, in a limited number of cases, contractual restrictions and/or the necessity to obtain regulatory approvals and licenses may limit our ability to enter into agreements with alternative suppliers, manufacturers and/or distributors.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3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beverage industry is highly competitive. The principal areas of competition are pricing, packaging, development of new products and flavors as well as promotional and marketing strategies. Our products compete with a wide range of drinks produced by a relatively large</w:t>
      </w:r>
    </w:p>
    <w:p>
      <w:pPr>
        <w:sectPr>
          <w:pgSz w:w="11900" w:h="16904" w:orient="portrait"/>
          <w:cols w:equalWidth="0" w:num="1">
            <w:col w:w="11420"/>
          </w:cols>
          <w:pgMar w:left="240" w:top="118" w:right="239" w:bottom="0" w:gutter="0" w:footer="0" w:header="0"/>
        </w:sectPr>
      </w:pPr>
    </w:p>
    <w:bookmarkStart w:id="8" w:name="page9"/>
    <w:bookmarkEnd w:id="8"/>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number of companies, many of which have substantially greater financial, marketing and distribution resources than we do.</w:t>
      </w:r>
    </w:p>
    <w:p>
      <w:pPr>
        <w:spacing w:after="0" w:line="22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Important factors affecting our ability to compete successfully include taste and flavor of products, trade and consumer promotions, rapid and effective development of new and unique cutting edge products, attractive and different packaging, brand exposure and marketing as well as pricing. We also compete for distributors who will give our products more focus than those of our competitors, provide stable and reliable distribution and secure adequate shelf space in retail outlets. Competitive pressures in the “alternative”, energy, coffee and “functional” beverage categories could cause our products to be unable to gain or to lose market share or we could experience price erosion, which could have a material adverse effect on our business and results of operations.</w:t>
      </w:r>
    </w:p>
    <w:p>
      <w:pPr>
        <w:spacing w:after="0" w:line="19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We have experienced and continue to experience competition from new entrants in the energy drink and energy shot categories. A number of companies who market and distribute iced teas, juice cocktails and enhanced waters in larger volume packages, such as 16- and 20-ounce glass and plastic bottles (including Sobe, Sobe Life Water, BODYARMOR, Vitamin Water, Snapple, Arizona, Fuse, Ocean Spray, Honest Tea, Gold Peak Tea) and 12- and 16-ounce cans (such as Mountain Dew Kickstart) have added dietary ingredients to their products with a view to marketing their products as “functional” or energy beverages or as having “functional” benefits. We believe that many of those products contain lower levels of dietary ingredients, principally deliver refreshment and are positioned differently from our energy or “functional” drinks.</w:t>
      </w:r>
    </w:p>
    <w:p>
      <w:pPr>
        <w:spacing w:after="0" w:line="200"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We are also subject to increasing levels of regulatory issues particularly in relation to the registration and taxation of our products in certain new international markets, which may put us at a competitive disadvantage. (See “Government Regulation” below for additional information).</w:t>
      </w:r>
    </w:p>
    <w:p>
      <w:pPr>
        <w:spacing w:after="0" w:line="18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We compete not only for consumer preference, but also for maximum marketing and sales efforts by multi-brand licensed bottlers, brokers and distributors, many of which have a principal affiliation with competing companies and brands. Our products compete with all liquid refreshments and in many cases with products of much larger and in some cases better financed competitors, including the products of numerous nationally and internationally known producers such as TCCC, PepsiCo, Inc. (“PepsiCo”), The Dr. Pepper Snapple Group, Inc. (the “DPS Group”) and Red Bull Gmbh. We also compete with companies that are smaller or primarily local in operation. Our products also compete with private-label brands such as those carried by grocery store chains, convenience store chains and club stores.</w:t>
      </w:r>
    </w:p>
    <w:p>
      <w:pPr>
        <w:spacing w:after="0" w:line="19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Domestically, our energy drinks compete directly with Red Bull, Rockstar, No Fear, Amp, Adrenaline Rush, Venom, VPX Redline, Rip It, Xenergy, 5-Hour Energy Shots, MiO Energy, Stacker 2, VPX Redline Energy Shots, and many other brands. PepsiCo also markets and/or distributes additional products in that market segment such as Pepsi Max, Mountain Dew, Mountain Dew MDX and Mountain Dew Kickstart. Internationally, our energy drinks compete with Red Bull, Rockstar, V-Energy, Lucozade, Adrenaline Rush and numerous local and private-label brands that usually differ from country to country, such as Hell, Shock, Tiger, Boost, TNT, Shark, Dragon, Score, Sting, Hot 6, Battery, Bullit, Flash Up, Black, Non-Stop, Bomba, Semtex, Vive 100, Dark Dog, Speed, Guaraná, M-150, Lipovitan, Bacchus, Volt, Mr. Big and a host of other international brands.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Our Java Monster® product line competes directly with Starbucks Frappuccino, Starbucks Double Shot, Starbucks Double Shot Energy Plus Coffee and other Starbucks coffee drinks, Rockstar Roasted, Seattle’s Best and illy issimo coffee.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Our Muscle Monster® product line competes directly with Muscle Milk, Core Power, ABB Pure Pro and Gatorade Recover Protein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Shake.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Our Mutant® Super Soda product line competes directly with Mountain Dew, Mountain Dew MDX and Mountain Dew Kickstart.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23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Our sales and marketing strategy for all our beverages is to focus our efforts on developing brand awareness through image-enhancing programs and product sampling. We use our branded vehicles and other promotional vehicles at events where we offer samples of our products to consumers. We utilize “push-pull” methods to enhance shelf and display space exposure in sales outlets (including racks, coolers and barrel coolers), advertising, in-store promotions and in-store placement of point-of-sale materials to encourage demand from consumers for our products. We also support our brands with prize promotions, price promotions, competitions, endorsements from selected public and sports figures, personality endorsements (including from television and other well-known sports personalities), sampling and sponsorship of selected athletes, teams, series, bands, esports, causes and events. In-store posters, outdoor posters, print, radio and television advertising (directly and through our sponsorships and endorsements) and coupons may also be used to promote our brands.</w:t>
      </w:r>
    </w:p>
    <w:p>
      <w:pPr>
        <w:spacing w:after="0" w:line="20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We believe that one of the keys to success in the beverage industry is differentiation, making our brands and products visually appealing and distinctive from other beverages on the shelves of retailers. We review our products and packaging on an ongoing basis and, where practical, endeavor to make them different, better and unique. The labels and graphics for many of our products are redesigned from time to time to maximize their visibility and identification, wherever they may be placed in stores, which we will continue to reevaluate from time to time.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 appropriate, we partner with our retailers and wholesalers to assist our marketing efforts.</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increased expenditures for our sales and marketing programs by approximately 16.8% in 2016 compared to 2015. As of December 31, 2016, we employed 1,836 employees in sales and marketing activities, of which 1,108 were employed on a full-time basis.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Customers</w:t>
      </w:r>
    </w:p>
    <w:p>
      <w:pPr>
        <w:sectPr>
          <w:pgSz w:w="11900" w:h="16844" w:orient="portrait"/>
          <w:cols w:equalWidth="0" w:num="1">
            <w:col w:w="11420"/>
          </w:cols>
          <w:pgMar w:left="240" w:top="118" w:right="239" w:bottom="0" w:gutter="0" w:footer="0" w:header="0"/>
        </w:sectPr>
      </w:pPr>
    </w:p>
    <w:bookmarkStart w:id="9" w:name="page10"/>
    <w:bookmarkEnd w:id="9"/>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Our customers are primarily full service beverage bottlers/distributors, retail grocery and specialty chains, wholesalers, club stores, mass merchandisers, convenience chains, food service customers and the military. Percentages of our gross sales to our various customer types for the years ended December 31, 2016, 2015 and 2014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740" w:type="dxa"/>
            <w:vAlign w:val="bottom"/>
            <w:vMerge w:val="restart"/>
          </w:tcPr>
          <w:p>
            <w:pPr>
              <w:jc w:val="center"/>
              <w:ind w:right="41"/>
              <w:spacing w:after="0"/>
              <w:rPr>
                <w:sz w:val="20"/>
                <w:szCs w:val="20"/>
                <w:color w:val="auto"/>
              </w:rPr>
            </w:pPr>
            <w:r>
              <w:rPr>
                <w:rFonts w:ascii="Times New Roman" w:cs="Times New Roman" w:eastAsia="Times New Roman" w:hAnsi="Times New Roman"/>
                <w:sz w:val="20"/>
                <w:szCs w:val="20"/>
                <w:color w:val="auto"/>
                <w:w w:val="99"/>
              </w:rPr>
              <w:t>2016</w:t>
            </w: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2015</w:t>
            </w: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2014</w:t>
            </w:r>
          </w:p>
        </w:tc>
        <w:tc>
          <w:tcPr>
            <w:tcW w:w="0" w:type="dxa"/>
            <w:vAlign w:val="bottom"/>
          </w:tcPr>
          <w:p>
            <w:pPr>
              <w:spacing w:after="0" w:line="20" w:lineRule="exact"/>
              <w:rPr>
                <w:sz w:val="1"/>
                <w:szCs w:val="1"/>
                <w:color w:val="auto"/>
              </w:rPr>
            </w:pPr>
          </w:p>
        </w:tc>
      </w:tr>
      <w:tr>
        <w:trPr>
          <w:trHeight w:val="485"/>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U.S. full service bottlers/distributors</w:t>
            </w:r>
          </w:p>
        </w:tc>
        <w:tc>
          <w:tcPr>
            <w:tcW w:w="1740" w:type="dxa"/>
            <w:vAlign w:val="bottom"/>
            <w:tcBorders>
              <w:bottom w:val="single" w:sz="8" w:color="auto"/>
            </w:tcBorders>
            <w:vMerge w:val="continue"/>
          </w:tcPr>
          <w:p>
            <w:pPr>
              <w:spacing w:after="0"/>
              <w:rPr>
                <w:sz w:val="24"/>
                <w:szCs w:val="24"/>
                <w:color w:val="auto"/>
              </w:rPr>
            </w:pPr>
          </w:p>
        </w:tc>
        <w:tc>
          <w:tcPr>
            <w:tcW w:w="1880" w:type="dxa"/>
            <w:vAlign w:val="bottom"/>
            <w:tcBorders>
              <w:bottom w:val="single" w:sz="8" w:color="auto"/>
            </w:tcBorders>
            <w:vMerge w:val="continue"/>
          </w:tcPr>
          <w:p>
            <w:pPr>
              <w:spacing w:after="0"/>
              <w:rPr>
                <w:sz w:val="24"/>
                <w:szCs w:val="24"/>
                <w:color w:val="auto"/>
              </w:rPr>
            </w:pPr>
          </w:p>
        </w:tc>
        <w:tc>
          <w:tcPr>
            <w:tcW w:w="18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960" w:type="dxa"/>
            <w:vAlign w:val="bottom"/>
            <w:gridSpan w:val="2"/>
            <w:vMerge w:val="continue"/>
          </w:tcPr>
          <w:p>
            <w:pPr>
              <w:spacing w:after="0"/>
              <w:rPr>
                <w:sz w:val="17"/>
                <w:szCs w:val="17"/>
                <w:color w:val="auto"/>
              </w:rPr>
            </w:pPr>
          </w:p>
        </w:tc>
        <w:tc>
          <w:tcPr>
            <w:tcW w:w="1740" w:type="dxa"/>
            <w:vAlign w:val="bottom"/>
          </w:tcPr>
          <w:p>
            <w:pPr>
              <w:jc w:val="center"/>
              <w:ind w:right="41"/>
              <w:spacing w:after="0" w:line="200" w:lineRule="exact"/>
              <w:rPr>
                <w:sz w:val="20"/>
                <w:szCs w:val="20"/>
                <w:color w:val="auto"/>
              </w:rPr>
            </w:pPr>
            <w:r>
              <w:rPr>
                <w:rFonts w:ascii="Times New Roman" w:cs="Times New Roman" w:eastAsia="Times New Roman" w:hAnsi="Times New Roman"/>
                <w:sz w:val="20"/>
                <w:szCs w:val="20"/>
                <w:color w:val="auto"/>
                <w:w w:val="98"/>
              </w:rPr>
              <w:t>65%</w:t>
            </w:r>
          </w:p>
        </w:tc>
        <w:tc>
          <w:tcPr>
            <w:tcW w:w="18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65%</w:t>
            </w:r>
          </w:p>
        </w:tc>
        <w:tc>
          <w:tcPr>
            <w:tcW w:w="184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62%</w:t>
            </w: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Club stores and mass merchandisers</w:t>
            </w:r>
          </w:p>
        </w:tc>
        <w:tc>
          <w:tcPr>
            <w:tcW w:w="174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rPr>
              <w:t>8%</w:t>
            </w: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9%</w:t>
            </w:r>
          </w:p>
        </w:tc>
        <w:tc>
          <w:tcPr>
            <w:tcW w:w="1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9%</w:t>
            </w: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International full service bottlers/distributors</w:t>
            </w:r>
          </w:p>
        </w:tc>
        <w:tc>
          <w:tcPr>
            <w:tcW w:w="174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98"/>
              </w:rPr>
              <w:t>25%</w:t>
            </w: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23%</w:t>
            </w:r>
          </w:p>
        </w:tc>
        <w:tc>
          <w:tcPr>
            <w:tcW w:w="1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23%</w:t>
            </w: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Retail grocery, specialty chains and wholesalers</w:t>
            </w:r>
          </w:p>
        </w:tc>
        <w:tc>
          <w:tcPr>
            <w:tcW w:w="174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rPr>
              <w:t>1%</w:t>
            </w: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w:t>
            </w:r>
          </w:p>
        </w:tc>
        <w:tc>
          <w:tcPr>
            <w:tcW w:w="1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4%</w:t>
            </w:r>
          </w:p>
        </w:tc>
        <w:tc>
          <w:tcPr>
            <w:tcW w:w="0" w:type="dxa"/>
            <w:vAlign w:val="bottom"/>
          </w:tcPr>
          <w:p>
            <w:pPr>
              <w:spacing w:after="0"/>
              <w:rPr>
                <w:sz w:val="1"/>
                <w:szCs w:val="1"/>
                <w:color w:val="auto"/>
              </w:rPr>
            </w:pPr>
          </w:p>
        </w:tc>
      </w:tr>
      <w:tr>
        <w:trPr>
          <w:trHeight w:val="258"/>
        </w:trPr>
        <w:tc>
          <w:tcPr>
            <w:tcW w:w="5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w:t>
            </w:r>
          </w:p>
        </w:tc>
        <w:tc>
          <w:tcPr>
            <w:tcW w:w="174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rPr>
              <w:t>1%</w:t>
            </w: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w:t>
            </w:r>
          </w:p>
        </w:tc>
        <w:tc>
          <w:tcPr>
            <w:tcW w:w="1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Our customers include CCR, Coca-Cola Bottling Company, CCBCC Operations, LLC, United Bottling Contracts Company, LLC, and certain other TCCC independent bottlers (collectively the “TCCC North American Bottlers”), Coca-Cola European Partners, Coca-Cola Hellenic, Coca-Cola FEMSA, Coca-Cola Amatil, Swire Coca-Cola group in China, COFCO Coca-Cola group in China, Asahi, Kalil Bottling Group, Wal-Mart, Inc. (including Sam’s Club), Costco and select Anheuser-Busch distributors (the “AB Distributors”). In February 2015, in accordance with our then existing agreements with the applicable AB Distributors, we sent notices of termination to the majority of the AB Distributors in the United States for the termination of their respective distribution agreements. The associated distribution rights relating to such terminated distribution agreements have been transitioned to TCCC’s network of owned or controlled bottlers/distributors and independent bottlers/distributors as of the effective date of termination of the affected AB Distributors’ rights in the applicable territories. As of March 1, 2017, distribution rights in the U.S. representing approximately 94% of the target case sales have been transitioned to TCCC’s distribution network. TCCC, through certain wholly-owned subsidiaries (the “TCCC Subsidiaries”), accounted for approximately 41%, 43% and 29% of our net sales for the years ended December 31, 2016, 2015 and 2014, respectively. A decision by any large customer to decrease amounts purchased from us or to cease carrying our products could have a material negative effect on our financial condition and consolidated results of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23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Sales of ready-to-drink beverages are somewhat seasonal, with the second and third calendar quarters accounting for the highest sales volumes. We believe that the volume of sales in the beverage industry are affected by weather conditions. However, the energy drink category appears to be less seasonal than traditional beverages. Quarterly fluctuations may also be affected by other factors including the introduction of new products, the opening of new markets, particularly internationally, where temperature fluctuations may be more pronounced, the addition of new bottlers and distributors, changes in the mix of the sales of our finished products and increased or decreased advertising and promotional expenses.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3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We presently have more than 8,000 registered trademarks and pending applications in various countries worldwide, and we apply for new trademarks on an ongoing basis. We regard our trademarks, service marks, copyrights, domain names, trade dress and other intellectual property as very important to our business. We consider Monster® (registered outside of the United States in certain jurisdictions), Monster</w:t>
      </w:r>
    </w:p>
    <w:p>
      <w:pPr>
        <w:spacing w:after="0" w:line="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Energy®, </w:t>
      </w:r>
      <w:r>
        <w:rPr>
          <w:sz w:val="1"/>
          <w:szCs w:val="1"/>
          <w:color w:val="auto"/>
        </w:rPr>
        <w:drawing>
          <wp:inline distT="0" distB="0" distL="0" distR="0">
            <wp:extent cx="102870" cy="1371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137160"/>
                    </a:xfrm>
                    <a:prstGeom prst="rect">
                      <a:avLst/>
                    </a:prstGeom>
                    <a:noFill/>
                    <a:ln>
                      <a:noFill/>
                    </a:ln>
                  </pic:spPr>
                </pic:pic>
              </a:graphicData>
            </a:graphic>
          </wp:inline>
        </w:drawing>
      </w:r>
      <w:r>
        <w:rPr>
          <w:rFonts w:ascii="Times New Roman" w:cs="Times New Roman" w:eastAsia="Times New Roman" w:hAnsi="Times New Roman"/>
          <w:sz w:val="20"/>
          <w:szCs w:val="20"/>
          <w:color w:val="auto"/>
        </w:rPr>
        <w:t>®, M Monster Energy®, Monster Rehab®, Java Monster®, Muscle Monster®, Punch Monster®, Juice Monster®, Unleash the Beast®, Monster Energy Extra Strength Nitrous Technology®, BU®, Nalu®, NOS®, Full Throttle®, Burn®, Mother®, Ultra®, Play® and Power Play®, Gladiator®, Relentless®, Samurai® and BPM® to be our core trademarks. In addition, as a result of the AFF Transaction, we secured the intellectual property of our most important flavors for certain of our Monster Energy® Brand energy drinks in perpetuity.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We protect our trademarks by applying for registrations and registering our trademarks with the United States Patent and Trademark Office and with government agencies in other countries around the world, particularly where our products are distributed and sold. We assert copyright ownership of the statements, graphics and content appearing on the packaging of our products and in our marketing materials. We aggressively pursue individuals and/or entities seeking to profit from the unauthorized use of our trademarks and copyrights, including, without limitation, wholesalers, street vendors, retailers, online auction site sellers and website operators. In addition to initiating civil actions against these individuals and entities, we work with law enforcement officials where appropriate.</w:t>
      </w:r>
    </w:p>
    <w:p>
      <w:pPr>
        <w:spacing w:after="0" w:line="19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Depending upon the jurisdiction, trademarks are valid as long as they are in use and/or their registrations are properly maintained and they have not been found to have become generic. Registrations of trademarks can generally be renewed as long as the trademarks are in use.</w:t>
      </w:r>
    </w:p>
    <w:p>
      <w:pPr>
        <w:spacing w:after="0" w:line="17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We also enforce and protect our trademark rights against third parties infringing or disparaging our trademarks by opposing registration of conflicting trademarks and initiating litigation as necessary.</w:t>
      </w:r>
    </w:p>
    <w:p>
      <w:pPr>
        <w:sectPr>
          <w:pgSz w:w="11900" w:h="16838" w:orient="portrait"/>
          <w:cols w:equalWidth="0" w:num="1">
            <w:col w:w="11420"/>
          </w:cols>
          <w:pgMar w:left="240" w:top="346" w:right="239" w:bottom="0" w:gutter="0" w:footer="0" w:header="0"/>
        </w:sectPr>
      </w:pPr>
    </w:p>
    <w:bookmarkStart w:id="10" w:name="page11"/>
    <w:bookmarkEnd w:id="10"/>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3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The production, distribution and sale in the United States of many of our products are subject to various U.S. federal and state regulations, including but not limited to: the Federal Food, Drug and Cosmetic Act (“FD&amp;C Act”); the Occupational Safety and Health Act; various environmental statutes; California Proposition 65 and a number of other federal, state and local statutes and regulations applicable to the production, transportation, sale, safety, advertising, marketing, labeling and ingredients of such products. Outside the United States, the production, distribution and sale of many of our products are also subject to numerous statutes and regulations.</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also may in the future be affected by other existing, proposed and potential future regulations or regulatory actions, including those described below, any of which could adversely affect our business, financial condition and results of operations. See “Part I, Item 1A – Risk Factors – Changes in government regulation, or failure to comply with existing regulations, could adversely affect our business, financial condition and results of operations” below for additional information.</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Furthermore, legislation may be introduced in the United States and other countries at the federal, state and municipal level in respect of each of the subject areas discussed below. Public health officials and health advocates are increasingly focused on the public health consequences associated with obesity, especially as it affects children, and are seeking legislative change to reduce the consumption of sweetened beverages. There also has been an increased focus on caffeine content in beverages, as discussed below.</w:t>
      </w:r>
    </w:p>
    <w:p>
      <w:pPr>
        <w:spacing w:after="0" w:line="19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Product Labeling and Advertising. </w:t>
      </w:r>
      <w:r>
        <w:rPr>
          <w:rFonts w:ascii="Times New Roman" w:cs="Times New Roman" w:eastAsia="Times New Roman" w:hAnsi="Times New Roman"/>
          <w:sz w:val="20"/>
          <w:szCs w:val="20"/>
          <w:color w:val="auto"/>
        </w:rPr>
        <w:t>We are subject to Proposition 65 in California, a law which requires that a specified warning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provided before exposing California consumers to any product that contains in excess of threshold amounts of a substance listed by California as having been found to cause cancer or reproductive toxicity. Proposition 65 does not require a warning if the manufacturer of a product can demonstrate that the use of the product in question exposes consumers to an average daily quantity of a listed substance that is below that threshold amount, which is determined either by scientific criteria set forth in applicable regulations or via a “safe harbor” threshold that may be established by the state, or the substance is naturally occurring, is the result of necessary cooking, or is subject to another applicable exception.</w:t>
      </w:r>
    </w:p>
    <w:p>
      <w:pPr>
        <w:spacing w:after="0" w:line="19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In May 2015, bisphenol-A (BPA), a food-grade chemical commonly used in the coating of the interiors of aluminum cans, was added to the Proposition 65 list, but California has not yet established a “safe harbor” threshold for exposure to BPA by ingestion. If we are required to add warning labels to any of our products or place warnings in certain locations where our products are sold, it will be difficult to predict whether, or to what extent, such a warning would have an impact on sales of our products in those locations or elsewhere. Certain of our aluminum cans suppliers are now evaluating alternative BPA non-intent coating for consideration.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In addition, in May 2016, the U.S. Food and Drug Administration (the “FDA”) revised regulations with respect to serving size information and nutrition labeling on food and beverage products, including a new requirement to disclose the amount of added sugars in such products. We may incur significant costs to alter our existing packaging materials to comply with this and other new regulations, which are scheduled to go into effect on July 26, 2018. Additionally, the new regulations may impact, reduce and/or otherwise affect the purchase and consumption of our products by consumers.</w:t>
      </w:r>
    </w:p>
    <w:p>
      <w:pPr>
        <w:spacing w:after="0" w:line="194"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Further, the City of San Francisco recently enacted an ordinance that would require health warnings on advertisements for certain sugar-sweetened beverages, though enforcement has been delayed due to a lawsuit challenging the ordinance.</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July 2012, we received a subpoena from the Attorney General for the State of New York in connection with an investigation relating to the advertising, marketing, promotion, ingredients, usage and sale of our Monster Energy® brand energy drinks. We cannot predict the outcome of this inquiry and what effect, if any, it may have on our business, financial condition or results of operations.</w:t>
      </w:r>
    </w:p>
    <w:p>
      <w:pPr>
        <w:spacing w:after="0" w:line="18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In October 2012, we received a written request for information from the City Attorney for the City and County of San Francisco concerning the Company’s advertising and marketing of its Monster Energy® brand energy drinks and specifically concerning the safety of its products for consumption by adolescents. In 2013, the City Attorney filed an initial complaint against the Company, which was amended over the course of the legal proceedings. In 2017, the City Attorney and the Company settled the action on terms acceptable to the Company. See “Part I, Item 3 – Legal Proceedings” below for additional information.</w:t>
      </w:r>
    </w:p>
    <w:p>
      <w:pPr>
        <w:spacing w:after="0" w:line="19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Other countries, such as Kuwait, Qatar, Saudi Arabia, Bahrain, Oman, Yemen and the United Arab Emirates, are also considering labeling requirements, which may require us to amend our labels and warning statements.</w:t>
      </w:r>
    </w:p>
    <w:p>
      <w:pPr>
        <w:spacing w:after="0" w:line="16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Age and Other Restrictions on Energy Drink Products. </w:t>
      </w:r>
      <w:r>
        <w:rPr>
          <w:rFonts w:ascii="Times New Roman" w:cs="Times New Roman" w:eastAsia="Times New Roman" w:hAnsi="Times New Roman"/>
          <w:sz w:val="20"/>
          <w:szCs w:val="20"/>
          <w:color w:val="auto"/>
        </w:rPr>
        <w:t>Proposals to limit or restrict the sale of energy drinks to minors and/or persons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below a specified age, and/or restrict the venues in which energy drinks can be sold and/or to restrict the use of the Supplemental Nutrition Assistance Program (formerly food stamps) to purchase energy drinks have been raised and/or enacted in certain U.S. states, counties, municipalities and/or in certain foreign countries. For example, Lithuania prohibits the sale of energy drinks to persons under the age of 18, and Latvia restricts advertising of energy drinks, prohibits sales in educational establishments and prohibits the sale to persons under the age of 18 of energy drinks containing certain ingredients (such as taurine).</w:t>
      </w:r>
    </w:p>
    <w:p>
      <w:pPr>
        <w:spacing w:after="0" w:line="19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Excise Taxes on Energy Drinks. </w:t>
      </w:r>
      <w:r>
        <w:rPr>
          <w:rFonts w:ascii="Times New Roman" w:cs="Times New Roman" w:eastAsia="Times New Roman" w:hAnsi="Times New Roman"/>
          <w:sz w:val="20"/>
          <w:szCs w:val="20"/>
          <w:color w:val="auto"/>
        </w:rPr>
        <w:t>Legislation that would impose an excise tax on sweetened beverages has been proposed in Congress,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some state legislatures (including Connecticut, Hawaii, Massachusetts, Nebraska, Oregon, Rhode Island and Texas) and by some local governments, with excise taxes generally ranging between $0.01 and $0.02 per ounce of sweetened beverage. Berkeley, California became the first jurisdiction to pass such a measure, and a general tax of $0.01 per ounce on certain sweetened drinks, including energy drinks, became effective on January 1, 2015. Five other U.S. jurisdictions (Albany, Oakland and San Francisco, California; Boulder, Colorado and</w:t>
      </w:r>
    </w:p>
    <w:p>
      <w:pPr>
        <w:sectPr>
          <w:pgSz w:w="11900" w:h="16884" w:orient="portrait"/>
          <w:cols w:equalWidth="0" w:num="1">
            <w:col w:w="11420"/>
          </w:cols>
          <w:pgMar w:left="240" w:top="342" w:right="239" w:bottom="0" w:gutter="0" w:footer="0" w:header="0"/>
        </w:sectPr>
      </w:pPr>
    </w:p>
    <w:bookmarkStart w:id="11" w:name="page12"/>
    <w:bookmarkEnd w:id="11"/>
    <w:p>
      <w:pPr>
        <w:spacing w:after="0" w:line="1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Philadelphia, Pennsylvania) passed similar measures in 2016. The imposition of such taxes on our products would increase the cost of certain of our products or, to the extent levied directly on consumers, make certain of our products less affordable. Excise taxes on sweetened beverages already are in effect in certain foreign countries where we do business. For example, Mexico instituted a 25% excise tax on certain energy drinks, to which our products are currently not subject and Mexico has also enacted a $1 MXN tax per liter on sugar-sweetened beverages. In addition, legislation has been proposed that would specifically impose excise taxes on energy drinks. For example, Estonia and Ukraine are considering proposals that would impose an excise tax on energy drinks. Such targeted legislation has been passed in other countries. For instance, Hungary has instituted an excise tax to which our products are subject. Saudi Arabia has indicated that it will begin applying a selective tax of 100% on energy drinks as early as the second quarter of 2017, and there are indications that similar measures may be enacted in other Gulf Cooperation Council countries.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i w:val="1"/>
          <w:iCs w:val="1"/>
          <w:color w:val="auto"/>
        </w:rPr>
        <w:t>Limits on Caffeine Content</w:t>
      </w:r>
      <w:r>
        <w:rPr>
          <w:rFonts w:ascii="Times New Roman" w:cs="Times New Roman" w:eastAsia="Times New Roman" w:hAnsi="Times New Roman"/>
          <w:sz w:val="19"/>
          <w:szCs w:val="19"/>
          <w:color w:val="auto"/>
        </w:rPr>
        <w:t>. Legislation has been proposed to limit the amount of caffeine that may be contained in beverages,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including energy drinks. Some jurisdictions where we do business have prescribed limited caffeine content for beverages. For example, on January 1, 2013, regulations took effect in Canada that limit the amount of caffeine contained in any beverage in a single-serving can or bottle to less than 180 milligrams. We adjusted the caffeine levels in certain of our Monster Energy® products that are sold in Canada to address these regulations, although the majority of our products were unaffected. Caffeine limit restrictions or restrictions on combining caffeine with other ingredients have also been implemented or proposed in other jurisdictions, including India. Such restrictions could require reformulations of certain of our products. However, we may not be able to satisfactorily reformulate our products in all jurisdictions that adopt similar legislation.</w:t>
      </w:r>
    </w:p>
    <w:p>
      <w:pPr>
        <w:spacing w:after="0" w:line="1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Limitations on Container Size. </w:t>
      </w:r>
      <w:r>
        <w:rPr>
          <w:rFonts w:ascii="Times New Roman" w:cs="Times New Roman" w:eastAsia="Times New Roman" w:hAnsi="Times New Roman"/>
          <w:sz w:val="20"/>
          <w:szCs w:val="20"/>
          <w:color w:val="auto"/>
        </w:rPr>
        <w:t>We package our products in a variety of different package types and sizes including, for certain of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Monster Energy® brand energy drinks, aluminum cans larger than 16 fluid ounces. Certain jurisdictions, such as the member states of the Gulf Corporation Council as well as Yemen are considering container size limitations on energy drinks which may require us to change the size of our products sold in these countries.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Compliance with Environmental Laws</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Our facilities in the United States are subject to federal, state and local environmental laws and regulations. Our operations in other countries are subject to similar laws and regulations that may be applicable in such countries. Compliance with these provisions has not had, nor do we expect such compliance to have, any material adverse effect upon our capital expenditures, net income or competitive position.</w:t>
      </w:r>
    </w:p>
    <w:p>
      <w:pPr>
        <w:spacing w:after="0" w:line="184"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9"/>
          <w:szCs w:val="19"/>
          <w:i w:val="1"/>
          <w:iCs w:val="1"/>
          <w:color w:val="auto"/>
        </w:rPr>
        <w:t xml:space="preserve">Container Deposits. </w:t>
      </w:r>
      <w:r>
        <w:rPr>
          <w:rFonts w:ascii="Times New Roman" w:cs="Times New Roman" w:eastAsia="Times New Roman" w:hAnsi="Times New Roman"/>
          <w:sz w:val="19"/>
          <w:szCs w:val="19"/>
          <w:color w:val="auto"/>
        </w:rPr>
        <w:t>Various municipalities, states and foreign countries require that a deposit be charged for certain non-refillable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beverage containers. The precise requirements imposed by these measures vary by jurisdiction. Other deposit, recycling or product stewardship proposals have been, and may in the future be, introduced in certain U.S. states, counties, municipalities and in certain foreign countries.</w:t>
      </w:r>
    </w:p>
    <w:p>
      <w:pPr>
        <w:spacing w:after="0" w:line="16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In California, we are required to collect redemption values from our customers and to remit such redemption values to the State of California Department of Resources Recycling and Recovery based upon the number of cans and bottles of certain carbonated and non-carbonated products sold. In certain other states and countries where our products are sold, we are also required to collect deposits from our customers and to remit such deposits to the respective jurisdictions based upon the number of cans and bottles of certain carbonated and non-carbonated products sold in such states.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w:t>
      </w:r>
    </w:p>
    <w:p>
      <w:pPr>
        <w:spacing w:after="0" w:line="23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As of December 31, 2016, we employed a total of 2,646 employees, of which 1,910 were employed on a full-time basis. Of our 2,646 employees, we employed 810 in administrative and operational capacities and 1,836 persons in sales and marketing capacities.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3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As a public company, we are required to file our annual reports on Form 10-K, quarterly reports on Form 10-Q, current reports on Form 8-K, proxy statements on Schedule 14A and other information (including any amendments) with the Securities and Exchange Commission (the “SEC”). You may read and copy such material at the SEC’s Public Reference Room located at 100 F Street, N.E., Washington, D.C. 20549. You may obtain information on the operation of the Public Reference Room by calling the SEC at 1-800-SEC-0330. You can also find the Company’s SEC filings at the SEC’s website, which contains reports, proxy and information statements, and other information regarding issuers that file electronically with the SEC, at http://www.sec.gov.</w:t>
      </w:r>
    </w:p>
    <w:p>
      <w:pPr>
        <w:spacing w:after="0" w:line="19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Our Internet address is </w:t>
      </w:r>
      <w:r>
        <w:rPr>
          <w:rFonts w:ascii="Times New Roman" w:cs="Times New Roman" w:eastAsia="Times New Roman" w:hAnsi="Times New Roman"/>
          <w:sz w:val="20"/>
          <w:szCs w:val="20"/>
          <w:u w:val="single" w:color="auto"/>
          <w:color w:val="auto"/>
        </w:rPr>
        <w:t>www.monsterbevcorp.com</w:t>
      </w:r>
      <w:r>
        <w:rPr>
          <w:rFonts w:ascii="Times New Roman" w:cs="Times New Roman" w:eastAsia="Times New Roman" w:hAnsi="Times New Roman"/>
          <w:sz w:val="20"/>
          <w:szCs w:val="20"/>
          <w:color w:val="auto"/>
        </w:rPr>
        <w:t xml:space="preserve">. Information contained on our website is not part of this annual report on Form 10-K. Our SEC filings (including any amendments) will be made available free of charge on </w:t>
      </w:r>
      <w:r>
        <w:rPr>
          <w:rFonts w:ascii="Times New Roman" w:cs="Times New Roman" w:eastAsia="Times New Roman" w:hAnsi="Times New Roman"/>
          <w:sz w:val="20"/>
          <w:szCs w:val="20"/>
          <w:u w:val="single" w:color="auto"/>
          <w:color w:val="auto"/>
        </w:rPr>
        <w:t>www.monsterbevcorp.com</w:t>
      </w:r>
      <w:r>
        <w:rPr>
          <w:rFonts w:ascii="Times New Roman" w:cs="Times New Roman" w:eastAsia="Times New Roman" w:hAnsi="Times New Roman"/>
          <w:sz w:val="20"/>
          <w:szCs w:val="20"/>
          <w:color w:val="auto"/>
        </w:rPr>
        <w:t>, as soon as reasonably practicable after we electronically file such material with, or furnish it to, the SEC. In addition, you may request a copy of these filings (excluding exhibits) at no cost by writing to, or telephoning us, at the following address or telephone number: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Monster Beverage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 Monster Way</w:t>
      </w:r>
    </w:p>
    <w:p>
      <w:pPr>
        <w:jc w:val="center"/>
        <w:spacing w:after="0"/>
        <w:rPr>
          <w:sz w:val="20"/>
          <w:szCs w:val="20"/>
          <w:color w:val="auto"/>
        </w:rPr>
      </w:pPr>
      <w:r>
        <w:rPr>
          <w:rFonts w:ascii="Times New Roman" w:cs="Times New Roman" w:eastAsia="Times New Roman" w:hAnsi="Times New Roman"/>
          <w:sz w:val="20"/>
          <w:szCs w:val="20"/>
          <w:color w:val="auto"/>
        </w:rPr>
        <w:t>Corona, CA 92879</w:t>
      </w:r>
    </w:p>
    <w:p>
      <w:pPr>
        <w:jc w:val="center"/>
        <w:spacing w:after="0"/>
        <w:rPr>
          <w:sz w:val="20"/>
          <w:szCs w:val="20"/>
          <w:color w:val="auto"/>
        </w:rPr>
      </w:pPr>
      <w:r>
        <w:rPr>
          <w:rFonts w:ascii="Times New Roman" w:cs="Times New Roman" w:eastAsia="Times New Roman" w:hAnsi="Times New Roman"/>
          <w:sz w:val="20"/>
          <w:szCs w:val="20"/>
          <w:color w:val="auto"/>
        </w:rPr>
        <w:t>(951) 739-6200</w:t>
      </w:r>
    </w:p>
    <w:p>
      <w:pPr>
        <w:sectPr>
          <w:pgSz w:w="11900" w:h="16856" w:orient="portrait"/>
          <w:cols w:equalWidth="0" w:num="1">
            <w:col w:w="11420"/>
          </w:cols>
          <w:pgMar w:left="240" w:top="118" w:right="239" w:bottom="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0"/>
          <w:szCs w:val="20"/>
          <w:color w:val="auto"/>
        </w:rPr>
        <w:t>(800) 426-7367</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2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addition to the other information in this report, you should carefully consider the following risks. If any of the following risks actually occur, our business, financial condition and/or operating results could be materially adversely affected. The risk factors summarized below are not the only risks we face. Additional risks and uncertainties not currently known to us or that we currently deem to be immaterial may also materially adversely affect our business, financial condition and/or operating results.</w:t>
      </w:r>
    </w:p>
    <w:p>
      <w:pPr>
        <w:spacing w:after="0" w:line="19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Following the TCCC Transaction, the Company and TCCC have extensive commercial arrangements and, as a result, the Company’s future performance is substantially dependent on the success of its relationship with TCCC.</w:t>
      </w:r>
    </w:p>
    <w:p>
      <w:pPr>
        <w:spacing w:after="0" w:line="17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In connection with the TCCC Transaction and the accompanying amended distribution coordination agreements entered into with TCCC, we have transitioned third parties’ rights to distribute the Company’s products in most territories in the U.S. to members of TCCC’s distribution network, which consists of owned or controlled bottlers/distributors and independent bottlers/distributors. In addition, TCCC has become our preferred distribution partner globally with members of TCCC’s network distributing our products internationally in countries throughout, but not limited to, Africa, Asia, Central and South America, Europe, Mexico and the Middle East. As we continue our international expansion, TCCC’s distribution network will continue its role as our preferred distribution partner globally. As a result, we will be reducing our distributor diversification and will be substantially dependent on TCCC’s domestic and international distribution platforms.</w:t>
      </w:r>
    </w:p>
    <w:p>
      <w:pPr>
        <w:spacing w:after="0" w:line="20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Also in connection with the TCCC Transaction, TCCC made a substantial equity investment in the Company and has agreed, subject to certain exceptions, not to compete in the energy drink category. While we believe that this will incentivize TCCC to take steps to assure that our products receive the appropriate attention in the TCCC distribution system, there can be no assurance of this as TCCC is a much larger company with many strategic priorities. In addition, TCCC does not control all members of its distribution system, many of which are independent companies that make their own business decisions that may not always align with TCCC’s interests. Moreover, it is also possible that we may fail to recognize the expected benefits of the new distribution arrangements regardless of TCCC’s priorities or the priorities of the members of TCCC’s distribution system. In any such case, our operating results could suffer and the value of the Company’s common shares could be adversely affected.</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Following the TCCC Transaction, the Company no longer competes with TCCC in the non-energy drink category. As a result, we now derive virtually all of our revenues from energy drinks, and competitive pressure in the energy drink category could adversely affect our business and operating results.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Under the terms of the TCCC Transaction, we have agreed, subject to certain exceptions, not to compete with TCCC in the non-energy drink category. As a result, our focus is in the energy drink category, and our business has become more vulnerable to adverse changes impacting the energy drink category and business, which could adversely impact our business and the trading price of our common stock.</w:t>
      </w:r>
    </w:p>
    <w:p>
      <w:pPr>
        <w:spacing w:after="0" w:line="18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Following the TCCC Transaction, virtually all of our sales are derived from our energy drinks, including, in particular, our Monster Energy® brand energy drinks. Our Monster Energy® brand energy drinks represented 90.1% of net sales for the year ended December 31, 2016. Any decrease in the sales of our Monster Energy® brand and other energy drinks could significantly adversely affect our future revenues and net income. Historically, we have experienced substantial competition from new entrants in the energy drink category as well as from the energy shot category. Domestically, our energy drinks compete directly with Red Bull, Rockstar, No Fear, Amp, Adrenaline Rush, Venom, VPX Redline, Xenergy, MiO Energy, Rip It, Starbucks Double Shot, Starbucks Double Shot Energy Plus Coffee, Rockstar Roasted, 5-Hour Energy Shots, Stacker 2, VPX Redline Energy Shots and many other brands.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 addition, certain large companies, such as PepsiCo, market and/or distribute products in that market segment, such as Pepsi Max, Mountain Dew, Mountain Dew MDX and Mountain Dew Kickstart. Internationally, our energy drinks compete with Red Bull, Rockstar, V-Energy, Lucozade, Adrenaline Rush and numerous local and private-label brands that usually differ from country to country, such as Hell, Shock, Tiger, Boost, Speed, TNT, Shark, Hot 6, Shark Energy, Dragon, Score, Sting, Battery, Bullit, Flash Up, Black, Non-Stop, Bomba, Semtex, Vive 100, Dark Dog, Speed, Guaraná, M-150, Lipovitan, Bacchus, Bolt, Mr. Big and a host of other international brands. Our Java Monster® product line competes directly with Starbucks Frappuccino, Starbucks Double Shot, Starbucks Double Shot Energy Plus Coffee and other Starbucks coffee drinks, Rockstar Roasted, Seattle’s Best and illy issimo coffee drinks. Our Muscle Monster® product line competes directly with Muscle Milk, Core Power, ABB Pure Pro and Gatorade Recover Protein Shake. In addition, our Mutant® Super Soda product line competes directly with Mountain Dew, Mountain Dew MDX and Mountain Dew Kickstart. Competitive pressures in the energy drink category could impact our revenues, cause price erosion and/or lower market share, any of which could have a material adverse effect on our business and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Following the TCCC Transaction, in certain markets the Company owns multiple potentially competing brands in the energy drink category.</w:t>
      </w:r>
    </w:p>
    <w:p>
      <w:pPr>
        <w:spacing w:after="0" w:line="23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19"/>
          <w:szCs w:val="19"/>
          <w:color w:val="auto"/>
        </w:rPr>
        <w:t>As a result of the TCCC Transaction, we have acquired additional brands in the energy drink category in certain markets. These brands comprise the Strategic Brands segment which represents 8.9% of consolidated net sales for the year ended December 31, 2016. Although we</w:t>
      </w:r>
    </w:p>
    <w:p>
      <w:pPr>
        <w:sectPr>
          <w:pgSz w:w="11900" w:h="16838" w:orient="portrait"/>
          <w:cols w:equalWidth="0" w:num="1">
            <w:col w:w="11420"/>
          </w:cols>
          <w:pgMar w:left="240" w:top="118" w:right="239" w:bottom="0" w:gutter="0" w:footer="0" w:header="0"/>
        </w:sectPr>
      </w:pPr>
    </w:p>
    <w:bookmarkStart w:id="13" w:name="page14"/>
    <w:bookmarkEnd w:id="13"/>
    <w:p>
      <w:pPr>
        <w:jc w:val="both"/>
        <w:spacing w:after="0" w:line="268" w:lineRule="auto"/>
        <w:rPr>
          <w:sz w:val="20"/>
          <w:szCs w:val="20"/>
          <w:color w:val="auto"/>
        </w:rPr>
      </w:pPr>
      <w:r>
        <w:rPr>
          <w:rFonts w:ascii="Times New Roman" w:cs="Times New Roman" w:eastAsia="Times New Roman" w:hAnsi="Times New Roman"/>
          <w:sz w:val="20"/>
          <w:szCs w:val="20"/>
          <w:color w:val="auto"/>
        </w:rPr>
        <w:t>continue to integrate these brands with our broader energy drink portfolio, we may encounter difficulties managing different and potentially competing brands in such shared markets, which could adversely impact our business and the trading price of our common stock.</w:t>
      </w:r>
    </w:p>
    <w:p>
      <w:pPr>
        <w:spacing w:after="0" w:line="170"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20"/>
          <w:szCs w:val="20"/>
          <w:i w:val="1"/>
          <w:iCs w:val="1"/>
          <w:color w:val="auto"/>
        </w:rPr>
        <w:t>TCCC is a significant shareholder of the Company and may have interests that are different from the Company’s other shareholders (including current shareholders of the Company).</w:t>
      </w:r>
    </w:p>
    <w:p>
      <w:pPr>
        <w:spacing w:after="0" w:line="17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As of February 10, 2017, TCCC owned common shares of the Company representing approximately 18.0% of the total number of the Company’s outstanding common shares. TCCC also nominated two directors to the Company’s board of directors. The number of directors that TCCC is entitled to nominate is subject to reduction in certain circumstances.</w:t>
      </w:r>
    </w:p>
    <w:p>
      <w:pPr>
        <w:spacing w:after="0" w:line="18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TCCC’s ownership could also have an effect on the Company’s ability to engage in a change in control transaction. TCCC is obligated for a period of time to vote all of its common shares of the Company in excess of 20% of the outstanding common shares in the same proportion as all common shares not owned by TCCC with respect to a proposal for a change of control. However, if TCCC were to oppose such a change-in-control transaction, a bidder would be required to secure the support of holders of 62.5% of the Company’s common shares not owned by TCCC (assuming that TCCC increased its ownership to 20% of the Company’s common shares) to achieve a vote of a majority of the Company’s outstanding shares for a change-in-control transaction. In addition, TCCC would have a bidding advantage if the Company’s board of directors were to seek to sell the Company in the future because TCCC would not need to pay a control premium on the shares it owns at such time. TCCC and the Company would also be permitted to terminate TCCC’s distribution coordination agreements with the Company after a change in control of the Company. In such event, TCCC would receive a termination fee if TCCC terminated the distribution coordination agreements following a change in control of the Company involving certain TCCC competitors, or if the Company terminated following a change in control of the Company involving any third-party.</w:t>
      </w:r>
    </w:p>
    <w:p>
      <w:pPr>
        <w:spacing w:after="0" w:line="20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interests of TCCC may be different from or conflict with the interests of the Company’s other shareholders and, as a result, TCCC’s influence may result in the delay or prevention of potential actions or transactions, including a potential change of management or control of the Company, even if such action or transaction may be beneficial to the Company’s other shareholders. Moreover, TCCC’s ownership of a significant amount of the Company’s outstanding common shares could result in downward pressure on the trading price of the Company’s common shares if TCCC were to sell a large portion of its shares (when permitted to sell) or as a result of the perception that such a sale might occur.</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Changes in government regulation, or failure to comply with existing regulations, could adversely affect our business, financial condition and results of operations.</w:t>
      </w:r>
    </w:p>
    <w:p>
      <w:pPr>
        <w:spacing w:after="0" w:line="17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Legislation has been proposed and/or adopted at the U.S. federal, state and/or municipal level and proposed and/or adopted in certain foreign jurisdictions to restrict the sale of energy drinks (including, prohibiting the sale of energy drinks at certain establishments or pursuant to certain governmental programs), limit caffeine content in beverages, require certain product labeling disclosures and/or warnings, impose excise taxes, limit product size or impose age restrictions for the sale of energy drinks. For a discussion of certain of such legislation, see “Part I, Item 1 – Business – Government Regulation.” Furthermore, additional legislation may be introduced in the United States and other countries at the federal, state, local and municipal level in respect of each of the foregoing subject areas. Public health officials and health advocates are increasingly focused on the public health consequences associated with obesity, especially as it affects children, and are seeking legislative change to reduce the consumption of sweetened beverages. There also has been an increased focus on caffeine content in beverages. To the extent any such legislation is enacted in one or more jurisdictions where a significant amount of our products are sold individually or in the aggregate, it could result in a reduction in demand for, or availability of, our energy drinks, and adversely affect our business, financial condition and results of operations.</w:t>
      </w:r>
    </w:p>
    <w:p>
      <w:pPr>
        <w:spacing w:after="0" w:line="20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production, distribution and sale in the United States of many of our products are also currently subject to various federal and state regulations, including, but not limited to: the FD&amp;C Act, as amended by the Dietary Supplement Health and Education Act of 1994; the Occupational Safety and Health Act; various environmental statutes; California Proposition 65; and various other federal, state and local statutes and regulations applicable to the production, transportation, sale, safety, advertising, labeling and ingredients of such products. Outside the United States, the production, distribution and sale of many of our products are also subject to numerous statutes and regulations. If a regulatory authority finds that a current or future product or production run is not in compliance with any of these regulations, we may be fined, or such products may have to be recalled, reformulated and/or have the packaging changed, which could adversely affect our business, financial condition and results of operations.</w:t>
      </w:r>
    </w:p>
    <w:p>
      <w:pPr>
        <w:spacing w:after="0" w:line="19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We cannot predict the effect of inquiries from and/or actions by attorneys general, other government agencies and/or quasi-government agencies into the production, advertising, marketing, promotion, ingredients, usage and/or sale of our energy drink products.</w:t>
      </w:r>
    </w:p>
    <w:p>
      <w:pPr>
        <w:spacing w:after="0" w:line="17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We are subject to the risks of investigations and/or enforcement actions by state attorneys general and/or other government and/or quasi-governmental agencies relating to the advertising, marketing, promotion, ingredients, usage and/or sale of our energy drinks. In July 2012, we received a subpoena from a state attorney general in connection with an investigation relating to the advertising, marketing, promotion, ingredients, usage and sale of our Monster Energy® brand energy drinks. We cannot predict the outcome of this inquiry and what, if any, effect it may have on our business, financial condition or results of operations. If an inquiry by a state attorney general or other government or quasi-government agency finds that our products and/or the advertising, marketing, promotion, ingredients, usage and/or sale of such products are not in compliance with applicable laws or regulations, we may become subject to fines, product reformulations, container changes, changes in the usage or sale of our energy drink products and/or changes in our advertising, marketing and promotion practices, each of which could have an adverse effect on our business, financial condition or results of operations.</w:t>
      </w:r>
    </w:p>
    <w:p>
      <w:pPr>
        <w:sectPr>
          <w:pgSz w:w="11900" w:h="16838" w:orient="portrait"/>
          <w:cols w:equalWidth="0" w:num="1">
            <w:col w:w="11420"/>
          </w:cols>
          <w:pgMar w:left="240" w:top="118" w:right="239" w:bottom="56" w:gutter="0" w:footer="0" w:header="0"/>
        </w:sectPr>
      </w:pPr>
    </w:p>
    <w:bookmarkStart w:id="14" w:name="page15"/>
    <w:bookmarkEnd w:id="14"/>
    <w:p>
      <w:pPr>
        <w:spacing w:after="0" w:line="6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From time to time, government and/or quasi-governmental agencies may investigate the safety of caffeine and energy drinks. For instance, in January 2013, the FDA announced that it would be investigating the safety of caffeine in food products, particularly its effects on children and adolescents.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Also in January 2013, we received a letter from Representative Edward J. Markey, Senator Richard J. Durbin and Senator Richard Blumenthal requesting information from us to enable them to better understand a number of issues relating, in part, to an investigation they said had been launched by the FDA examining energy drinks and potential health risks, particularly for groups of vulnerable individuals, including young people and those with pre-existing cardiac conditions. We provided a response to their letter. The Congressmen issued a report and recommendations in April 2013, most of which we had already implemented. The Congressmen released a follow-up report in January 2015, recommending, inter alia, that the energy drink industry not market to consumers under the age of 18 and not market their products for hydration, and that the FDA develop and release definitions and guidance for this market sector. In addition, other organizations, such as the European Food Safety Authority, have also published reports, studies, articles and opinions on caffeine and energy drinks.</w:t>
      </w:r>
    </w:p>
    <w:p>
      <w:pPr>
        <w:spacing w:after="0" w:line="19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Litigation regarding our products, and related unfavorable media attention, could expose us to significant liabilities and reduce demand for our products.</w:t>
      </w:r>
    </w:p>
    <w:p>
      <w:pPr>
        <w:spacing w:after="0" w:line="17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have been named as a defendant in product liability lawsuits which allege that consumption of our products has been responsible for wrongful deaths and/or injuries. We do not believe that our products are responsible for such wrongful deaths and/or injuries, and intend to vigorously defend any such lawsuits. We believe that each of these lawsuits is without merit and would not have a material adverse effect on our financial position or results of operations in the event any damages were to be awarded.</w:t>
      </w:r>
    </w:p>
    <w:p>
      <w:pPr>
        <w:spacing w:after="0" w:line="194" w:lineRule="exact"/>
        <w:rPr>
          <w:sz w:val="20"/>
          <w:szCs w:val="20"/>
          <w:color w:val="auto"/>
        </w:rPr>
      </w:pPr>
    </w:p>
    <w:p>
      <w:pPr>
        <w:jc w:val="both"/>
        <w:ind w:firstLine="694"/>
        <w:spacing w:after="0" w:line="254" w:lineRule="auto"/>
        <w:rPr>
          <w:sz w:val="20"/>
          <w:szCs w:val="20"/>
          <w:color w:val="auto"/>
        </w:rPr>
      </w:pPr>
      <w:r>
        <w:rPr>
          <w:rFonts w:ascii="Times New Roman" w:cs="Times New Roman" w:eastAsia="Times New Roman" w:hAnsi="Times New Roman"/>
          <w:sz w:val="20"/>
          <w:szCs w:val="20"/>
          <w:color w:val="auto"/>
        </w:rPr>
        <w:t>In July 2012, the Company received a subpoena from the Attorney General for the State of New York in connection with its investigation concerning the Company’s advertising, marketing, promotion, ingredients, usage and sale of its Monster Energy® brand energy drinks. Production of documents pursuant to that subpoena was completed in approximately May 2014.</w:t>
      </w:r>
    </w:p>
    <w:p>
      <w:pPr>
        <w:spacing w:after="0" w:line="18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On August 6, 2014, the Attorney General for the State of New York issued a second subpoena seeking additional documents and the deposition of a Company employee. On September 8, 2014, the Company moved to quash the second subpoena in the Supreme Court, New York County. The motion was fully briefed and was argued on March 17, 2015. On January 13, 2017, the Court issued an opinion in which it agreed with certain Company arguments regarding the scope of the subpoena and the Attorney General’s investigation, but denied the motion to quash and granted the Attorney General’s cross-motion to compel compliance. It is unknown what, if any, action the state Attorney General may take against the Company, the relief which may be sought in the event of any such proceeding or whether such proceeding could have a material adverse effect on the Company’s business, financial condition or results of operations.</w:t>
      </w:r>
    </w:p>
    <w:p>
      <w:pPr>
        <w:spacing w:after="0" w:line="20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Several other lawsuits have been filed against us claiming that certain statements made in our advertisements and/or on the labels of our products were false and/or misleading in nature and/or that our products are not safe. Putative class action lawsuits have also recently been filed against certain of our competitors asserting that certain claims in their advertisements amount to false advertising. We do not believe any statements made by us in our promotional materials or set forth on our product labels are false or misleading or that our products are in any way unsafe and intend to vigorously defend these lawsuits.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Any of the foregoing matters or other product-related litigation, the threat thereof, or unfavorable media attention arising from pending or threatened product-related litigation could consume significant financial and managerial resources and result in decreased demand for our products, significant monetary awards against us and injury to our reputation.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Criticism of our energy drink products and/or criticism or a negative perception of energy drinks generally, could adversely affect us.</w:t>
      </w:r>
    </w:p>
    <w:p>
      <w:pPr>
        <w:spacing w:after="0" w:line="23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An unfavorable report on the health effects of caffeine, or criticism or negative publicity regarding the caffeine content and/or any other ingredients in our products or energy drinks generally, could have an adverse effect on our business, financial condition and results of operations. Articles critical of the caffeine content and/or other ingredients in energy drinks and/or articles indicating certain health risks of energy drinks have been published in recent years. We believe the overall growth of the energy drink market in the U.S. may have been negatively impacted by the ongoing negative publicity and comments that continue to appear in the media questioning the safety of energy drinks, and suggesting limitations on their ingredients (including caffeine), and/or the levels thereof, and/or imposing minimum age restrictions for consumers. If reports, studies or articles critical of caffeine and/or energy drinks continue to be published or are published in the future, they could adversely affect the demand for our products.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Increased competition could hurt our business.</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beverage industry is highly competitive. The principal areas of competition are pricing, packaging, development of new products, flavors, product positioning as well as promotion and marketing strategies. Our products compete with a wide range of drinks produced by a relatively large number of manufacturers, some of which have substantially greater financial, marketing and distribution resources than we do.</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Important factors affecting our ability to compete successfully include the taste and flavor of our products, trade and consumer promotions, rapid and effective development of new and unique cutting edge products, attractive and different packaging, branded product</w:t>
      </w:r>
    </w:p>
    <w:p>
      <w:pPr>
        <w:sectPr>
          <w:pgSz w:w="11900" w:h="16904" w:orient="portrait"/>
          <w:cols w:equalWidth="0" w:num="1">
            <w:col w:w="11420"/>
          </w:cols>
          <w:pgMar w:left="240" w:top="118" w:right="239" w:bottom="0" w:gutter="0" w:footer="0" w:header="0"/>
        </w:sectPr>
      </w:pPr>
    </w:p>
    <w:bookmarkStart w:id="15" w:name="page16"/>
    <w:bookmarkEnd w:id="15"/>
    <w:p>
      <w:pPr>
        <w:jc w:val="both"/>
        <w:spacing w:after="0" w:line="249" w:lineRule="auto"/>
        <w:rPr>
          <w:sz w:val="20"/>
          <w:szCs w:val="20"/>
          <w:color w:val="auto"/>
        </w:rPr>
      </w:pPr>
      <w:r>
        <w:rPr>
          <w:rFonts w:ascii="Times New Roman" w:cs="Times New Roman" w:eastAsia="Times New Roman" w:hAnsi="Times New Roman"/>
          <w:sz w:val="20"/>
          <w:szCs w:val="20"/>
          <w:color w:val="auto"/>
        </w:rPr>
        <w:t>advertising and pricing. Our products compete with all liquid refreshments and in some cases with products of much larger and substantially better financed competitors, including the products of numerous nationally and internationally known producers such as TCCC, PepsiCo, Red Bull Gmbh and the DPS Group. We also compete with companies that are smaller or primarily national or local in operations. Our products also compete with private-label brands such as those carried by grocery store chains, convenience store chains and club stores.</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Due to competition in the beverage industry, there can be no assurance that we will not encounter difficulties in maintaining our current revenues, market share or position in the beverage industry. If our revenues decline, our business, financial condition and results of operations could be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inability to innovate successfully and to provide new cutting edge products could adversely affect our business and financial results.</w:t>
      </w:r>
    </w:p>
    <w:p>
      <w:pPr>
        <w:spacing w:after="0" w:line="2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Our ability to compete in the highly competitive beverage industry and to achieve our business growth objectives depends, in part, on our ability to develop new flavors, products and packaging. The success of our innovation, in turn, depends on our ability to identify consumer trends and cater to consumer preferences. If we are not successful in our innovation activities, our business, financial condition and results of operation could be adversely affected.</w:t>
      </w:r>
    </w:p>
    <w:p>
      <w:pPr>
        <w:spacing w:after="0" w:line="19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Uncertainty in the financial markets and other adverse changes in general economic or political conditions in any of the major countries in which we do business could adversely affect our industry, business and results of operations.</w:t>
      </w:r>
    </w:p>
    <w:p>
      <w:pPr>
        <w:spacing w:after="0" w:line="17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Global economic uncertainties affect businesses such as ours in a number of ways, making it difficult to accurately forecast and plan our future business activities. There can be no assurance that economic improvements will occur, or that they would be sustainable, or that they would enhance conditions in markets relevant to us. In addition, we cannot predict the duration and severity of disruptions in any of our markets or the impact they may have on our customers or business, as our expansion outside of the United States has increased our exposure to any developments or crisis in African, Asian, European and other international markets. If economic conditions deteriorate, our industry, business and results of operations could be materially and adversely affected.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Changes in consumer preferences may reduce demand for some of our products.</w:t>
      </w:r>
    </w:p>
    <w:p>
      <w:pPr>
        <w:spacing w:after="0" w:line="2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beverage industry is subject to changing consumer preferences and shifts in consumer preferences may adversely affect us. There is increasing awareness of and concern for the health consequences of obesity. This may reduce demand for our non-diet beverages, which could reduce our revenues and adversely affect our results of operations. Recently, concerns have emerged regarding diet sodas and in particular, aspartame, which is contained in certain of our Strategic Brands energy drinks.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Consumers are seeking greater variety in their beverages. Our future success will depend, in part, upon our continued ability to develop and introduce different and innovative beverages that appeal to consumers. In order to retain and expand our market share, we must continue to develop and introduce different and innovative beverages and be competitive in the areas of taste, quality and price, although there can be no assurance of our ability to do so. There is no assurance that consumers will continue to purchase our products in the future. Product lifecycles for some beverage brands, products and/or packages may be limited to a few years before consumers’ preferences change. The beverages we currently market are in varying stages of their product lifecycles, and there can be no assurance that such beverages will become or remain profitable for us. We may be unable to achieve volume growth through product and packaging initiatives. We may also be unable to penetrate new markets. If our revenues decline, our business, financial condition and results of operations could be adversely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continued expansion outside of the United States exposes us to uncertain conditions and other risks in international markets.</w:t>
      </w:r>
    </w:p>
    <w:p>
      <w:pPr>
        <w:spacing w:after="0" w:line="23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We have continued expanding our operations internationally into a variety of new markets, including launches in China and various African and Middle Eastern countries. Our gross sales to customers outside of the United States were approximately 25%, 23% and 23% of consolidated gross sales for the years ended December 31, 2016, 2015 and 2014, respectively. As our growth strategy includes further expanding our international business, if we are unable to continue to expand distribution of our products outside the United States, our growth rate could be adversely affected. In many international markets, we have limited operating experience and in some areas we have no operating experience. It is costly to establish, develop and maintain international operations and develop and promote our brands in international markets. Our percentage gross profit margins in many international markets are expected to be less than the comparable percentage gross profit margins obtained in the United States. We face and will continue to face substantial risks associated with having foreign operations, including: economic and/or political instability in our international markets; restrictions on or costs relating to the repatriation of foreign profits to the United States, including possible taxes and/or withholding obligations on any repatriations; and tariffs and/or trade restrictions. These risks could have a significant impact on our ability to sell our products on a competitive basis in international markets and could have a material adverse effect on our business, financial condition and results of operations. Also, our operations outside of the United States are subject to risks relating to appropriate compliance with legal and regulatory requirements in local jurisdictions, potential difficulties in staffing and managing local operations, higher product damages, particularly when products are shipped long distances, potentially higher incidence of fraud and/or corruption, credit risk of local customers and distributors and potentially adverse tax consequences.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Global or regional catastrophic events could impact our operations and affect our ability to grow our business.</w:t>
      </w:r>
    </w:p>
    <w:p>
      <w:pPr>
        <w:spacing w:after="0" w:line="233" w:lineRule="exact"/>
        <w:rPr>
          <w:sz w:val="20"/>
          <w:szCs w:val="20"/>
          <w:color w:val="auto"/>
        </w:rPr>
      </w:pPr>
    </w:p>
    <w:p>
      <w:pPr>
        <w:jc w:val="both"/>
        <w:ind w:firstLine="651"/>
        <w:spacing w:after="0" w:line="266" w:lineRule="auto"/>
        <w:rPr>
          <w:sz w:val="20"/>
          <w:szCs w:val="20"/>
          <w:color w:val="auto"/>
        </w:rPr>
      </w:pPr>
      <w:r>
        <w:rPr>
          <w:rFonts w:ascii="Times New Roman" w:cs="Times New Roman" w:eastAsia="Times New Roman" w:hAnsi="Times New Roman"/>
          <w:sz w:val="19"/>
          <w:szCs w:val="19"/>
          <w:color w:val="auto"/>
        </w:rPr>
        <w:t>Because of our increasingly global presence, our business could be affected by unstable political conditions, civil unrest, large-scale terrorist acts, especially those directed against the United States or other major industrialized countries where our products are distributed, the outbreak or escalation of armed hostilities, major natural disasters or widespread outbreaks of infectious diseases. Such events could impact the production and/or distribution of our products. In addition, such events could disrupt global or regional economic activity, which could affect</w:t>
      </w:r>
    </w:p>
    <w:p>
      <w:pPr>
        <w:sectPr>
          <w:pgSz w:w="11900" w:h="16838" w:orient="portrait"/>
          <w:cols w:equalWidth="0" w:num="1">
            <w:col w:w="11420"/>
          </w:cols>
          <w:pgMar w:left="240" w:top="118" w:right="239" w:bottom="0" w:gutter="0" w:footer="0" w:header="0"/>
        </w:sectPr>
      </w:pPr>
    </w:p>
    <w:bookmarkStart w:id="16" w:name="page17"/>
    <w:bookmarkEnd w:id="16"/>
    <w:p>
      <w:pPr>
        <w:spacing w:after="0" w:line="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consumer purchasing power, thereby reducing demand for our products. If we are unable to grow our business internationally as a result of these factors, our growth rate could decline.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Fluctuations in foreign currency exchange rates may adversely affect our operating results.</w:t>
      </w:r>
    </w:p>
    <w:p>
      <w:pPr>
        <w:spacing w:after="0" w:line="23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We are exposed to foreign currency exchange rate risk with respect to our sales, expenses, profits, assets and liabilities denominated in currencies other than the U.S. dollar. We may enter into forward currency exchange contracts with financial institutions to create an economic hedge to specifically manage a portion of the foreign exchange risk exposure associated with certain consolidated subsidiaries’ non-functional currency denominated assets and liabilities. We have not used instruments to hedge against all foreign currency risks and are therefore not protected against all foreign currency fluctuations. As a result, our reported earnings may be affected by changes in foreign currency exchange rates. Moreover, any favorable impacts to profit margins or financial results from fluctuations in foreign currency exchange rates are likely to be unsustainable over time. Foreign currency transaction losses were $9.7 million and $5.5 million for the years ended December 31, 2016 and 2015, respectively.</w:t>
      </w:r>
    </w:p>
    <w:p>
      <w:pPr>
        <w:spacing w:after="0" w:line="199"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We rely on bottlers and other contract packers to manufacture our products. If we are unable to maintain good relationships with our bottlers and contract packers and/or their ability to manufacture our products becomes constrained or unavailable to us, our business could suffer.</w:t>
      </w:r>
    </w:p>
    <w:p>
      <w:pPr>
        <w:spacing w:after="0" w:line="17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Our acquisition of AFF brought our primary flavor supplier in-house for the majority of our Monster Energy® brand energy drinks. We also procure flavors from other flavor suppliers. We outsource manufacturing of our finished goods to bottlers and other contract packers. As a result, in the event of a disruption and/or delay, we may be unable to procure alternative packing facilities at commercially reasonable rates and/or within a reasonably short time period. In addition, there are limited alternative packing facilities in our domestic and international markets with adequate capacity and/or suitable equipment for many of our products, including our Monster Energy® brand energy drinks, our Muscle Monster® product line, our Java Monster® product line and certain of our other products. For example, sales of our Java Monster® and Muscle Monster® product lines have been impacted by production capacity constraints resulting from production and maintenance issues with certain of our co-packers. While we believe a short-term disruption or delay in production would not significantly affect our revenue, a lengthy disruption or delay in the production of any of such products could significantly adversely affect our revenues from such products because alternative co-packing facilities in the United States and abroad with adequate long-term capacity may not be available for such products either at commercially reasonable rates and/or costs and/or within a reasonably short time period, if at all.</w:t>
      </w:r>
    </w:p>
    <w:p>
      <w:pPr>
        <w:spacing w:after="0" w:line="20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We rely on bottlers and distributors to distribute our products. If we are unable to maintain good relationships with our existing bottlers and distributors and/or secure such bottlers and distributors, our business could suffer.</w:t>
      </w:r>
    </w:p>
    <w:p>
      <w:pPr>
        <w:spacing w:after="0" w:line="17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Many of our bottlers/distributors are affiliated with and manufacture and/or distribute other soda, carbonated and non-carbonated brands and other beverage products (both alcoholic and non-alcoholic). In many cases, such products compete directly with our products.</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Unilateral decisions could be taken by our bottlers/distributors, convenience and gas chains, grocery chains, specialty chain stores, club stores and other customers, to discontinue carrying certain or all of our products that they are carrying at any time, which could cause our business to suffer.</w:t>
      </w:r>
    </w:p>
    <w:p>
      <w:pPr>
        <w:spacing w:after="0" w:line="18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The TCCC North American Bottlers, Coca-Cola European Partners, Coca-Cola Hellenic and Coca-Cola FEMSA are our primary domestic and international distributors of our products. As a result, if we are unable to maintain good relationships with the TCCC North American Bottlers, Coca-Cola European Partners, Coca-Cola Hellenic and/or Coca-Cola FEMSA, or if the TCCC North American Bottlers, Coca-Cola European Partners, Coca-Cola Hellenic and/or Coca-Cola FEMSA do not effectively focus on marketing, promoting, selling and distributing our products, sales of our products could be adversely affected.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TCCC, through the TCCC Subsidiaries, accounted for approximately 41%, 43% and 29% of our net sales for the years ended December 31, 2016, 2015 and 2014, respectively. A decision by the TCCC Subsidiaries, Coca-Cola European Refreshments, Coca-Cola Hellenic, Coca-Cola FEMSA, Wal-Mart, Inc. (including Sam’s Club), or any other large customer to decrease the amount purchased from us or to cease carrying our products could have a material adverse effect on our financial condition and consolidated results of operations.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marketing efforts of our distributors are important for our success. If our brands prove to be less attractive to our existing bottlers and distributors, if we fail to attract additional bottlers and distributors, and/or our bottlers and/or distributors do not market, promote and distribute our products effectively, our business, financial condition and results of operations could be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Increases in costs and/or shortages of raw materials and/or ingredients and/or fuel and/or costs of co-packing could harm our business.</w:t>
      </w:r>
    </w:p>
    <w:p>
      <w:pPr>
        <w:spacing w:after="0" w:line="23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The principal raw materials used by us are aluminum cans, sleek aluminum cans, aluminum Cap Cans, aluminum cans with re-sealable ends, PET plastic bottles, flavors, juice concentrates, glucose, sugar, sucralose, milk, cream, protein, dietary ingredients and other packaging materials, the costs and availability of which are subject to fluctuations. In addition, certain of our co-packing arrangements allow such co-packers to increase their charges based on certain of their own cost increases. We are uncertain whether the prices of any of the above or any other raw materials or ingredients, certain of which have recently risen, will continue to rise or may rise in the future. We are unsure whether we will be able to pass any of such increases on to our customers. We generally do not use hedging agreements or alternative instruments to</w:t>
      </w:r>
    </w:p>
    <w:p>
      <w:pPr>
        <w:sectPr>
          <w:pgSz w:w="11900" w:h="16890" w:orient="portrait"/>
          <w:cols w:equalWidth="0" w:num="1">
            <w:col w:w="11420"/>
          </w:cols>
          <w:pgMar w:left="240" w:top="118" w:right="239" w:bottom="0" w:gutter="0" w:footer="0" w:header="0"/>
        </w:sectPr>
      </w:pPr>
    </w:p>
    <w:bookmarkStart w:id="17" w:name="page18"/>
    <w:bookmarkEnd w:id="17"/>
    <w:p>
      <w:pPr>
        <w:jc w:val="both"/>
        <w:spacing w:after="0" w:line="253" w:lineRule="auto"/>
        <w:rPr>
          <w:sz w:val="20"/>
          <w:szCs w:val="20"/>
          <w:color w:val="auto"/>
        </w:rPr>
      </w:pPr>
      <w:r>
        <w:rPr>
          <w:rFonts w:ascii="Times New Roman" w:cs="Times New Roman" w:eastAsia="Times New Roman" w:hAnsi="Times New Roman"/>
          <w:sz w:val="20"/>
          <w:szCs w:val="20"/>
          <w:color w:val="auto"/>
        </w:rPr>
        <w:t>manage the risks associated with securing sufficient ingredients or raw materials, although we do, from time to time, enter into purchase agreements for a significant portion of our annual anticipated requirements for certain raw materials such as aluminum cans, apple juice, glucose, sugar and sucralose.</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addition, some of these raw materials, including certain sizes of cans, are available from a limited number of suppliers.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failure to accurately estimate demand for our products could adversely affect our business and financial results.</w:t>
      </w:r>
    </w:p>
    <w:p>
      <w:pPr>
        <w:spacing w:after="0" w:line="23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We may not correctly estimate demand for our existing products and/or new products. Our ability to estimate demand for our products is imprecise, particularly with regard to new products, and may be less precise during periods of rapid growth, particularly in new markets. If we materially underestimate demand for our products or are unable to secure sufficient ingredients or raw materials including, but not limited to, aluminum cans, aluminum Cap Cans, sleek aluminum cans, aluminum cans with re-sealable ends, PET plastic bottles, glass bottles, labels, sucralose, flavors, dietary ingredients, juice concentrates, certain sweeteners, coffee, tea, protein and packaging materials or experience difficulties with our co-packing arrangements, including production shortages or quality issues, we might not be able to satisfy demand on a short-term basis. Moreover, industry-wide shortages of certain juice concentrates, dietary ingredients and sweeteners have been and could, from time to time in the future, be experienced, resulting in production fluctuations and/or shortages. We generally do not use hedging agreements or alternative instruments to manage this risk. Such shortages could interfere with and/or delay production of certain of our products and could have a material adverse effect on our business and financial results.</w:t>
      </w:r>
    </w:p>
    <w:p>
      <w:pPr>
        <w:spacing w:after="0" w:line="20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If we do not maintain sufficient inventory levels, if we are unable to deliver our products to our customers in sufficient quantities, and/or if our customers’ or retailers’ inventory levels are too high, our operating results could be adversely affected.</w:t>
      </w:r>
    </w:p>
    <w:p>
      <w:pPr>
        <w:spacing w:after="0" w:line="17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If we do not accurately anticipate the future demand for a particular product or the time it will take to obtain new inventory, our inventory levels may be inadequate and our results of operations may be negatively impacted. If we fail to meet our shipping schedules, we could damage our relationships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with distributors and/or retailers, increase our distribution costs and/or cause sales opportunities to be delayed or lost. In order to be able to deliver our products on a timely basis, we need to maintain adequate inventory levels of the desired products. If the inventory of our products held by our distributors and/or retailers is too high, they will not place orders for additional products, which could unfavorably impact our future sales and adversely affect our operating results.</w:t>
      </w:r>
    </w:p>
    <w:p>
      <w:pPr>
        <w:spacing w:after="0" w:line="19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The costs of packaging supplies are subject to price increases from time to time, and we may be unable to pass all or some of such increased costs on to our customers.</w:t>
      </w:r>
    </w:p>
    <w:p>
      <w:pPr>
        <w:spacing w:after="0" w:line="17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Many of our packaging supply contracts allow our suppliers to alter the costs they charge us for packaging supplies based on changes in the costs of the underlying commodities that are used to produce those packaging supplies, such as aluminum for cans and pulp and paper for cartons and/or trays. These changes in the prices we pay for our packaging supplies occur at certain predetermined times that vary by product and supplier. In some cases, we are able to fix the prices of certain packaging supplies and/or commodities for a reasonable period. In other cases, we bear the risk of increases in the costs of these packaging supplies, including the underlying costs of the commodities that comprise these packaging supplies. We do not use derivative instruments to manage this risk. If the costs of these packaging supplies increase, we may be unable to pass these costs along to our customers through corresponding adjustments to the prices we charge, which could have a material adverse effect on our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intellectual property rights are critical to our success, and the loss of such rights could materially adversely affect our business.</w:t>
      </w:r>
    </w:p>
    <w:p>
      <w:pPr>
        <w:spacing w:after="0" w:line="23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We own numerous trademarks that are very important to our business. We also own the copyright in, and to, a portion of the content on the packaging of our products. We regard our trademarks, copyrights, and similar intellectual property as critical to our success and attempt to protect such intellectual property through registration and enforcement actions. However, there can be no assurance that other parties will not infringe or misappropriate our trademarks, copyrights and similar proprietary rights. If we lose some or all of our intellectual property rights, our business may be materially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If we are unable to maintain our brand image or product quality, our business may suffer.</w:t>
      </w:r>
    </w:p>
    <w:p>
      <w:pPr>
        <w:spacing w:after="0" w:line="2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Our success depends on our ability to build and maintain the brand image for our existing products, new products and brand extensions. There can be no assurance that our advertising, marketing and promotional programs will have the desired impact on our products’ brand image and on consumer preference and demand. Product quality and/or ingredient content issues, efficacy or lack thereof, (real or imagined), or allegations of product contamination, even if false or unfounded, could tarnish the image of the affected brands and may cause consumers to choose other products. Furthermore, our brand image or perceived product quality could be adversely affected by litigation, unfavorable reports in the media (internet or elsewhere), studies in general and regulatory or other governmental inquiries, (in each case whether involving our products or those of our competitors) and proposed or new legislation affecting our industry.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If we encounter product recalls, our business may suffer and we may incur material losses.</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may be required from time to time to recall products entirely or from specific co-packers, markets or batches if such products become contaminated, damaged, mislabeled or otherwise materially non-compliant with applicable regulatory requirements. Material product recalls could adversely affect our profitability and our brand image. We do not maintain recall insurance.</w:t>
      </w:r>
    </w:p>
    <w:p>
      <w:pPr>
        <w:sectPr>
          <w:pgSz w:w="11900" w:h="16838" w:orient="portrait"/>
          <w:cols w:equalWidth="0" w:num="1">
            <w:col w:w="11420"/>
          </w:cols>
          <w:pgMar w:left="240" w:top="118" w:right="239" w:bottom="0" w:gutter="0" w:footer="0" w:header="0"/>
        </w:sectPr>
      </w:pPr>
    </w:p>
    <w:bookmarkStart w:id="18" w:name="page19"/>
    <w:bookmarkEnd w:id="18"/>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If we are not able to retain the full-time services of senior management there may be an adverse effect on our operations and/or our operating performance until we find suitable replacements.</w:t>
      </w:r>
    </w:p>
    <w:p>
      <w:pPr>
        <w:spacing w:after="0" w:line="17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Our business is dependent, to a large extent, upon the services of our senior management. We do not maintain key person life insurance on any members of our senior management. The loss of services of either Mr. Sacks, Chairman and Chief Executive Officer, Mr. Schlosberg, President and Chief Financial Officer, or any other key members of our senior management could adversely affect our business until suitable replacements can be found. There may be a limited number of personnel with the requisite skills to serve in these positions, and we may be unable to locate or employ such qualified personnel on acceptable terms.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Climate change may negatively affect our business.</w:t>
      </w:r>
    </w:p>
    <w:p>
      <w:pPr>
        <w:spacing w:after="0" w:line="23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There is concern that a gradual increase in global average temperatures could cause significant changes in weather patterns around the globe and an increase in the frequency and severity of natural disasters. While warmer weather has historically been associated with increased sales of our products, changing weather patterns could result in decreased agricultural productivity in certain regions, which may limit availability and/or increase the cost of certain key ingredients, juice concentrates and dietary ingredients used in our products. Increased frequency or duration of extreme weather conditions could also impair production capabilities, disrupt our supply chain (including, without limitation, the availability of, and/or result in higher prices for, juice concentrates, natural flavors and dietary ingredients) and/or impact demand for our products. In addition, public expectations for reductions in greenhouse gas emissions could result in increased energy, transportation and raw material costs, and may require us to make additional investments in facilities and equipment. As a result, the effects of climate change could have a long-term adverse impact on our business and results of operations. Sales of our products may also be influenced to some extent by weather conditions in the markets in which we operate. Weather conditions may influence consumer demand for certain of our beverages, which could have an adverse effect on our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Potential changes in accounting standards or practices and/or taxation may adversely affect our financial results.</w:t>
      </w:r>
    </w:p>
    <w:p>
      <w:pPr>
        <w:spacing w:after="0" w:line="23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We cannot predict the impact that future changes in accounting standards or practices may have on our financial results. New accounting standards could be issued that change the way we record revenues, expenses, assets and liabilities. These changes in accounting standards could adversely affect our reported earnings. Increases in direct and indirect income tax rates could affect after-tax income. Equally, increases in indirect taxes (including environmental taxes pertaining to the disposal of beverage containers and/or indirect taxes on beverages generally or energy drinks in particular) could affect our products’ affordability and reduce our sales.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Fluctuations in our effective tax rate could adversely affect our financial condition and results of operations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are subject to income taxes in both the U.S. and certain foreign jurisdictions. Therefore, we may be subjected to audits for multiple tax years in various jurisdictions at once. At any given time, events may occur which change our expectation about how the audit will be resolved and thus, there could be variability in our quarterly and/or annual tax rates because these events may change our plans for uncertain tax positions.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Future tax legislation, particularly within the U.S., may affect our effective tax rate. The current U.S. administration has indicated that tax reform is among its top priorities and the U.S. Congress is currently reviewing and/or may in the future review tax legislation proposals. We do not know how such legislation, if enacted, will affect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Volatility of stock price may restrict sale opportunities.</w:t>
      </w:r>
    </w:p>
    <w:p>
      <w:pPr>
        <w:spacing w:after="0" w:line="23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Our stock price is affected by a number of factors, including stockholder expectations, financial results, the introduction of new products by us and our competitors, general economic and market conditions, estimates and projections by the investment community and public comments by other parties as well as many other factors including litigation, many of which are beyond our control. We do not provide guidance on our future performance, including, but not limited to, our revenues, margins, product mix, operating expenses or net income. We may be unable to achieve analysts’ net revenue and/or earnings forecasts, which are based on their own projected revenues, sales volumes and sales mix of many product types and/or new products, certain of which are more profitable than others, as well as their own estimates of gross margin and operating expenses. There can be no assurance that we will achieve any such projected levels or mixes of product sales, revenues, gross margins, operating profits and/or net income. As a result, our stock price is subject to significant volatility, and stockholders may</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not be able to sell our stock at attractive prices. In addition, periods of volatility in the market price of our stock could result in the initiation of securities class action litigation against us. During the fiscal year ended December 31, 2016, our stock price high was $55.50 and our stock price low was $37.69.</w:t>
      </w:r>
    </w:p>
    <w:p>
      <w:pPr>
        <w:spacing w:after="0" w:line="18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Provisions in our organizational documents and control by insiders may prevent changes in control even if such changes would be beneficial to other stockholders.</w:t>
      </w:r>
    </w:p>
    <w:p>
      <w:pPr>
        <w:spacing w:after="0" w:line="17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Our organizational documents may limit changes in control. Furthermore, as of February 10, 2017, Mr. Sacks and Mr. Schlosberg together may be deemed to beneficially own and/or exercise voting control over approximately 9.1% of our outstanding common stock. As of</w:t>
      </w:r>
    </w:p>
    <w:p>
      <w:pPr>
        <w:sectPr>
          <w:pgSz w:w="11900" w:h="16904" w:orient="portrait"/>
          <w:cols w:equalWidth="0" w:num="1">
            <w:col w:w="11420"/>
          </w:cols>
          <w:pgMar w:left="240" w:top="126" w:right="239" w:bottom="0" w:gutter="0" w:footer="0" w:header="0"/>
        </w:sectPr>
      </w:pPr>
    </w:p>
    <w:bookmarkStart w:id="19" w:name="page20"/>
    <w:bookmarkEnd w:id="19"/>
    <w:p>
      <w:pPr>
        <w:spacing w:after="0" w:line="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February 10, 2017, TCCC owned approximately 18.0% of our common stock. Consequently, Mr. Sacks, Mr. Schlosberg and TCCC could exercise significant control over matters submitted to a vote of our stockholders, including electing directors, amending organizational documents and disapproving extraordinary transactions such as a takeover attempt, even though such actions may be favorable to the other common stockholders.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cash flow may not be sufficient to fund our long-term goals.</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Although we currently have sufficient cash to support our planned operating activities in the current year, we may be unable to generate sufficient cash flow to support our capital expenditure plans and general operating activities in the future. In addition, the terms and/or availability of our credit facility and/or the activities of our debtors and/or creditors could affect the financing of our future growth.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investments in marketable securities are subject to risks which may cause losses and affect the liquidity of these investments.</w:t>
      </w:r>
    </w:p>
    <w:p>
      <w:pPr>
        <w:spacing w:after="0" w:line="23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At December 31, 2016, we had $377.6 million in cash and cash equivalents, $220.6 million in short-term investments and $2.4 million of long-term investments. We have historically invested these amounts in U.S. Treasury bills, certificates of deposit, commercial paper, government agencies and municipal securities (which may have an auction reset feature), variable rate demand notes and money market funds meeting certain criteria. Certain of these investments are subject to general credit, liquidity, market and interest rate risks. These risks associated with our investment portfolio may have an adverse effect on our future results of operations, liquidity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We may be required to record a significant charge to earnings if our goodwill or intangible assets become impaired.</w:t>
      </w:r>
    </w:p>
    <w:p>
      <w:pPr>
        <w:spacing w:after="0" w:line="233" w:lineRule="exact"/>
        <w:rPr>
          <w:sz w:val="20"/>
          <w:szCs w:val="20"/>
          <w:color w:val="auto"/>
        </w:rPr>
      </w:pPr>
    </w:p>
    <w:p>
      <w:pPr>
        <w:jc w:val="both"/>
        <w:ind w:firstLine="363"/>
        <w:spacing w:after="0" w:line="249" w:lineRule="auto"/>
        <w:rPr>
          <w:sz w:val="20"/>
          <w:szCs w:val="20"/>
          <w:color w:val="auto"/>
        </w:rPr>
      </w:pPr>
      <w:r>
        <w:rPr>
          <w:rFonts w:ascii="Times New Roman" w:cs="Times New Roman" w:eastAsia="Times New Roman" w:hAnsi="Times New Roman"/>
          <w:sz w:val="20"/>
          <w:szCs w:val="20"/>
          <w:color w:val="auto"/>
        </w:rPr>
        <w:t>Under GAAP, we are required to review our intangible assets for impairment when events or changes in circumstances indicate the carrying value may not be recoverable. Factors that may be considered a change in circumstances indicating that the carrying value of our intangible assets may not be recoverable include, declining or slower than anticipated growth rates for certain of our existing products, a decline in stock price and market capitalization, and slower growth rates in our industry.</w:t>
      </w:r>
    </w:p>
    <w:p>
      <w:pPr>
        <w:spacing w:after="0" w:line="194" w:lineRule="exact"/>
        <w:rPr>
          <w:sz w:val="20"/>
          <w:szCs w:val="20"/>
          <w:color w:val="auto"/>
        </w:rPr>
      </w:pPr>
    </w:p>
    <w:p>
      <w:pPr>
        <w:jc w:val="both"/>
        <w:ind w:firstLine="363"/>
        <w:spacing w:after="0" w:line="254" w:lineRule="auto"/>
        <w:rPr>
          <w:sz w:val="20"/>
          <w:szCs w:val="20"/>
          <w:color w:val="auto"/>
        </w:rPr>
      </w:pPr>
      <w:r>
        <w:rPr>
          <w:rFonts w:ascii="Times New Roman" w:cs="Times New Roman" w:eastAsia="Times New Roman" w:hAnsi="Times New Roman"/>
          <w:sz w:val="20"/>
          <w:szCs w:val="20"/>
          <w:color w:val="auto"/>
        </w:rPr>
        <w:t>We may be required to record a significant charge to earnings in our financial statements during the period in which we determine that our intangible assets have been impaired. Any such charge would adversely impact our results of operations. As of December 31, 2016, our goodwill totaled approximately $1,331.6 million and our intangible assets totaled approximately $1,032.6 million.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If we fail to maintain effective disclosure controls and procedures and internal control over financial reporting on a consolidated basis, our stock price and investor confidence in the Company could be materially and adversely affected.</w:t>
      </w:r>
    </w:p>
    <w:p>
      <w:pPr>
        <w:spacing w:after="0" w:line="17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are required to maintain both disclosure controls,and procedures and internal control over financial reporting that are effective for the purposes described in “Part II, Item 9A – Controls and Procedures.” If we fail to do so, our business, results of operations, financial condition and/or the value of our stock could be materially harmed.</w:t>
      </w:r>
    </w:p>
    <w:p>
      <w:pPr>
        <w:spacing w:after="0" w:line="18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Litigation, legal proceedings, government and regulatory inquiries and/or proceedings could expose us to significant liabilities and thus negatively affect our financial results.</w:t>
      </w:r>
    </w:p>
    <w:p>
      <w:pPr>
        <w:spacing w:after="0" w:line="17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are a party, from time to time, to various litigation claims and legal proceedings, government and regulatory inquiries and/or proceedings, including, but not limited to, intellectual property, fraud, unfair business practices, false advertising, product liability, breach of contract claims, securities actions and shareholder derivative actions. Material legal proceedings are described more fully in, “Part I, Item 3 – Legal Proceedings” and in “Part II, Item 8, Note 11” to our consolidated financial statements contained in this Form 10-K.</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Defending these proceedings can result in significant ongoing expenditures and the diversion of our management’s time and attention from the operation of our business, which could have a negative effect on our business operations. Our failure to successfully defend or settle any litigation or legal proceedings could result in liabilities that, to the extent not covered by our insurance, could have a material adverse effect on our financial condition, revenue and profitability, and could cause the market value of our common stock to decline.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We must continually maintain, protect and/or upgrade our information technology systems.</w:t>
      </w:r>
    </w:p>
    <w:p>
      <w:pPr>
        <w:spacing w:after="0" w:line="23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Information technology helps us operate efficiently, interface with customers, maintain financial accuracy and efficiency and accurately produce our financial statements. If we do not allocate and effectively manage the resources necessary to build and sustain the proper technology infrastructure, we could be subject to transaction errors, processing inefficiencies, the loss of customers, business disruptions, and/or the loss of and/or damage to intellectual property through security breaches, including cybersecurity attacks. Cybersecurity attacks are evolving and include, but are not limited to, malicious software, attempts to gain unauthorized access to data and other electronic security breaches that could lead to disruptions in systems, an inability to process customer orders and/or lost customer orders, unauthorized release of confidential or otherwise protected information and corruption of data. We believe that we have adopted appropriate measures including a cybersecurity risk assessment to mitigate potential risks to our technology and our operations from these information technology-related disruptions. However, given the unpredictability of the timing, nature and scope of such disruptions, we could potentially be subject to operational interruption, damage to our brand image and private data exposure. Moreover, if our data management systems, including our SAP enterprise resource planning system, do not effectively collect, store, process and report relevant data for the operation of our business (whether due to equipment malfunction or constraints, software deficiencies, cybersecurity attack and/or human error), our ability to effectively plan, forecast and execute our business plan and comply with applicable laws and regulations will be impaired, perhaps materially. Any such impairment could materially and adversely affect our financial condition, results of operations, cash flows and the timeliness with which we report our internal and external operating results.</w:t>
      </w:r>
    </w:p>
    <w:p>
      <w:pPr>
        <w:sectPr>
          <w:pgSz w:w="11900" w:h="16868" w:orient="portrait"/>
          <w:cols w:equalWidth="0" w:num="1">
            <w:col w:w="11420"/>
          </w:cols>
          <w:pgMar w:left="240" w:top="118" w:right="239" w:bottom="0" w:gutter="0" w:footer="0" w:header="0"/>
        </w:sectPr>
      </w:pPr>
    </w:p>
    <w:bookmarkStart w:id="20" w:name="page21"/>
    <w:bookmarkEnd w:id="20"/>
    <w:p>
      <w:pPr>
        <w:spacing w:after="0" w:line="3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PROPERTIES</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Our owned corporate headquarters are located at 1 Monster Way, Corona, California 92879, and consists of an approximately 141,000 square-foot, free-standing, six-story building. As a result of our sustainability efforts, we continue to pursue ENERGY STAR certification for our corporate headquarters.</w:t>
      </w:r>
    </w:p>
    <w:p>
      <w:pPr>
        <w:spacing w:after="0" w:line="18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November 2016, we acquired an approximately 75,426 square foot, free-standing, three-story office building, including the real property thereunder and improvements thereon, located in Corona, CA adjacent to our current corporate headquarters, for a purchase price of approximately $12.6 million. We intend to complete any necessary improvements and occupy the building as an extension of our existing corporate headquarters at some time in the future.</w:t>
      </w:r>
    </w:p>
    <w:p>
      <w:pPr>
        <w:spacing w:after="0" w:line="19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In September 2016, we completed the acquisition of approximately 49 acres of land, located in Rialto, CA, for a purchase price of approximately $39.1 million. We have begun construction of an approximately 1,000,000 square-foot warehouse, which we hope to have LEED certified, to replace our current leased warehouse and distribution facilities located in Corona, CA. We have entered into an approximately $36.8 million guaranteed maximum price construction contract for the construction of the building, of which $33.7 million remained outstanding as of December 31, 2016.</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addition, we lease many smaller office and/or warehouse spaces, both domestically and in certain international locations.</w:t>
      </w:r>
    </w:p>
    <w:p>
      <w:pPr>
        <w:spacing w:after="0" w:line="22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23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The Company has been named a defendant in numerous personal injury lawsuits, claiming that the death or other serious injury of the plaintiffs was caused by consumption of Monster Energy® brand energy drinks. The plaintiffs in these lawsuits allege strict product liability, negligence, fraudulent concealment, breach of implied warranties and wrongful death. The Company believes that each complaint is without merit and plans a vigorous defense. The Company also believes that any damages, if awarded, would not have a material adverse effect on the Company’s financial position or results of operations.</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State Attorney General Inquiry </w:t>
      </w:r>
      <w:r>
        <w:rPr>
          <w:rFonts w:ascii="Times New Roman" w:cs="Times New Roman" w:eastAsia="Times New Roman" w:hAnsi="Times New Roman"/>
          <w:sz w:val="20"/>
          <w:szCs w:val="20"/>
          <w:color w:val="auto"/>
        </w:rPr>
        <w:t>– In July 2012, the Company received a subpoena from the Attorney General for the State of New York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connection with its investigation concerning the Company’s advertising, marketing, promotion, ingredients, usage and sale of its Monster Energy® brand energy drinks. Production of documents pursuant to that subpoena was completed in approximately May 2014.</w:t>
      </w:r>
    </w:p>
    <w:p>
      <w:pPr>
        <w:spacing w:after="0" w:line="18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On August 6, 2014, the Attorney General for the State of New York issued a second subpoena seeking additional documents and the deposition of a Company employee. On September 8, 2014, the Company moved to quash the second subpoena in the Supreme Court, New York County. The motion was fully briefed and was argued on March 17, 2015. On January 13, 2017, the Court issued an opinion in which it agreed with certain Company arguments regarding the scope of the subpoena and the Attorney General’s investigation, but denied the motion to quash and granted the Attorney General’s cross-motion to compel compliance. It is unknown what, if any, action the state Attorney General may take against the Company, the relief which may be sought in the event of any such proceeding or whether such proceeding could have a material adverse effect on the Company’s business, financial condition or results of operations.</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San Francisco City Attorney Litigation </w:t>
      </w:r>
      <w:r>
        <w:rPr>
          <w:rFonts w:ascii="Times New Roman" w:cs="Times New Roman" w:eastAsia="Times New Roman" w:hAnsi="Times New Roman"/>
          <w:sz w:val="20"/>
          <w:szCs w:val="20"/>
          <w:color w:val="auto"/>
        </w:rPr>
        <w:t>– On October 31, 2012, the Company received a written request for information from the City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Attorney for the City and County of San Francisco concerning the Company’s advertising and marketing of its Monster Energy® brand energy drinks and specifically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concerning the safety of its products for consumption by adolescents. In a letter dated March 29, 2013, the San Francisco City Attorney threatened to bring suit against the Company if it did not agree to take the following five steps immediately: (i) “Reformulate its products to lower the caffeine content to safe levels”; (ii) “Provide adequate warning labels”; (iii) “Cease promoting over-consumption in marketing”; (iv) “Cease use of alcohol and drug references in marketing” and (v) “Cease targeting minors.”</w:t>
      </w:r>
    </w:p>
    <w:p>
      <w:pPr>
        <w:spacing w:after="0" w:line="194" w:lineRule="exact"/>
        <w:rPr>
          <w:sz w:val="20"/>
          <w:szCs w:val="20"/>
          <w:color w:val="auto"/>
        </w:rPr>
      </w:pPr>
    </w:p>
    <w:p>
      <w:pPr>
        <w:jc w:val="both"/>
        <w:ind w:firstLine="689"/>
        <w:spacing w:after="0" w:line="257" w:lineRule="auto"/>
        <w:rPr>
          <w:sz w:val="20"/>
          <w:szCs w:val="20"/>
          <w:color w:val="auto"/>
        </w:rPr>
      </w:pPr>
      <w:r>
        <w:rPr>
          <w:rFonts w:ascii="Times New Roman" w:cs="Times New Roman" w:eastAsia="Times New Roman" w:hAnsi="Times New Roman"/>
          <w:sz w:val="19"/>
          <w:szCs w:val="19"/>
          <w:color w:val="auto"/>
        </w:rPr>
        <w:t xml:space="preserve">On May 6, 2013, the San Francisco City Attorney filed a complaint for declaratory and injunctive relief, civil penalties and restitution for alleged violation of California’s Unfair Competition Law, Business &amp; Professions Code sections 17200, </w:t>
      </w:r>
      <w:r>
        <w:rPr>
          <w:rFonts w:ascii="Times New Roman" w:cs="Times New Roman" w:eastAsia="Times New Roman" w:hAnsi="Times New Roman"/>
          <w:sz w:val="19"/>
          <w:szCs w:val="19"/>
          <w:i w:val="1"/>
          <w:iCs w:val="1"/>
          <w:color w:val="auto"/>
        </w:rPr>
        <w:t>et seq.</w:t>
      </w:r>
      <w:r>
        <w:rPr>
          <w:rFonts w:ascii="Times New Roman" w:cs="Times New Roman" w:eastAsia="Times New Roman" w:hAnsi="Times New Roman"/>
          <w:sz w:val="19"/>
          <w:szCs w:val="19"/>
          <w:color w:val="auto"/>
        </w:rPr>
        <w:t xml:space="preserve"> (“UCL”), styled </w:t>
      </w:r>
      <w:r>
        <w:rPr>
          <w:rFonts w:ascii="Times New Roman" w:cs="Times New Roman" w:eastAsia="Times New Roman" w:hAnsi="Times New Roman"/>
          <w:sz w:val="19"/>
          <w:szCs w:val="19"/>
          <w:i w:val="1"/>
          <w:iCs w:val="1"/>
          <w:color w:val="auto"/>
        </w:rPr>
        <w:t>People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The State Of California ex rel. Dennis Herrera, San Francisco City Attorney v. Monster Beverage Corporation</w:t>
      </w:r>
      <w:r>
        <w:rPr>
          <w:rFonts w:ascii="Times New Roman" w:cs="Times New Roman" w:eastAsia="Times New Roman" w:hAnsi="Times New Roman"/>
          <w:sz w:val="19"/>
          <w:szCs w:val="19"/>
          <w:color w:val="auto"/>
        </w:rPr>
        <w:t>, in San Francisco Superior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Court. The City Attorney alleged that the Company (1) mislabeled its products as a dietary supplement, in violation of California’s Sherman Food, Drug, and Cosmetic Law, California Health &amp; Safety Code section 109875, </w:t>
      </w:r>
      <w:r>
        <w:rPr>
          <w:rFonts w:ascii="Times New Roman" w:cs="Times New Roman" w:eastAsia="Times New Roman" w:hAnsi="Times New Roman"/>
          <w:sz w:val="19"/>
          <w:szCs w:val="19"/>
          <w:i w:val="1"/>
          <w:iCs w:val="1"/>
          <w:color w:val="auto"/>
        </w:rPr>
        <w:t>et seq</w:t>
      </w:r>
      <w:r>
        <w:rPr>
          <w:rFonts w:ascii="Times New Roman" w:cs="Times New Roman" w:eastAsia="Times New Roman" w:hAnsi="Times New Roman"/>
          <w:sz w:val="19"/>
          <w:szCs w:val="19"/>
          <w:color w:val="auto"/>
        </w:rPr>
        <w:t>.; (2) is selling an “adulterated” product because caffeine is not generally recognized as safe due to the alleged lack of scientific consensus concerning the safety of the levels of caffeine in the Company’s products; and (3) is engaged in unfair and misleading business practices because its marketing (a) does not disclose the health risks that energy drinks pose for children and teens, (b) fails to warn against and promotes unsafe consumption, (c) implicitly promotes mixing of energy drinks with alcohol or drugs and (d) is deceptive because it includes unsubstantiated claims about the purported special benefits of its</w:t>
      </w:r>
    </w:p>
    <w:p>
      <w:pPr>
        <w:sectPr>
          <w:pgSz w:w="11900" w:h="16873" w:orient="portrait"/>
          <w:cols w:equalWidth="0" w:num="1">
            <w:col w:w="11420"/>
          </w:cols>
          <w:pgMar w:left="240" w:top="342" w:right="239" w:bottom="0" w:gutter="0" w:footer="0" w:header="0"/>
        </w:sectPr>
      </w:pPr>
    </w:p>
    <w:bookmarkStart w:id="21" w:name="page22"/>
    <w:bookmarkEnd w:id="21"/>
    <w:p>
      <w:pPr>
        <w:jc w:val="both"/>
        <w:spacing w:after="0" w:line="253" w:lineRule="auto"/>
        <w:rPr>
          <w:sz w:val="20"/>
          <w:szCs w:val="20"/>
          <w:color w:val="auto"/>
        </w:rPr>
      </w:pPr>
      <w:r>
        <w:rPr>
          <w:rFonts w:ascii="Times New Roman" w:cs="Times New Roman" w:eastAsia="Times New Roman" w:hAnsi="Times New Roman"/>
          <w:sz w:val="20"/>
          <w:szCs w:val="20"/>
          <w:color w:val="auto"/>
        </w:rPr>
        <w:t>“killer” ingredients and “energy blend.” The City Attorney sought a declaration that the Company has engaged in unfair and unlawful business acts and practices in violation of the UCL, an injunction from performing or proposing to perform any acts in violation of the UCL, restitution and civil penalties.</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On September 5, 2014, the City Attorney filed a second amended complaint, adding Monster Energy Company as a defendant. The Company and Monster Energy Company filed answers to the second amended complaint on October 4, 2014 and November 10, 2014, respectively.</w:t>
      </w:r>
    </w:p>
    <w:p>
      <w:pPr>
        <w:spacing w:after="0" w:line="18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City Attorney and the Company settled the action in January 2017, on terms acceptable to the Company. The settlement does not include any penalty or fine under the UCL; any finding or admission of liability or wrongdoing; or any change to the formulation of Monster Energy® drinks or to whom the drinks may be sold. In consideration for a release of claims and dismissal of the action with prejudice, the Company agreed to maintain various current marketing and labeling practices for its energy drink products through December 31, 2018.</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Furthermore, from time to time in the normal course of business, the Company is named in other litigation, including consumer class actions, intellectual property litigation and claims from prior distributors. Although it is not possible to predict the ultimate outcome of such litigation, based on the facts known to the Company, management believes that such litigation in the aggregate will likely not have a material adverse effect on the Company’s financial position or results of operations.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evaluates, on a quarterly basis, developments in legal proceedings and other matters that could cause an increase or decrease in the amount of the liability that is accrued, if any, or in the amount of any related insurance reimbursements recorded. As of December 31, 2016, the Company’s consolidated balance sheet includes accrued loss contingencies of approximately $2.8 million.</w:t>
      </w:r>
    </w:p>
    <w:p>
      <w:pPr>
        <w:spacing w:after="0" w:line="184"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29"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20"/>
          <w:szCs w:val="20"/>
          <w:b w:val="1"/>
          <w:bCs w:val="1"/>
          <w:color w:val="auto"/>
        </w:rPr>
        <w:t>ITEM 5. MARKET FOR THE REGISTRANT’S COMMON EQUITY, RELATED STOCKHOLDER MATTERS AND ISSUER PURCHASES OF EQUITY SECURITIES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Principal Market</w:t>
      </w:r>
    </w:p>
    <w:p>
      <w:pPr>
        <w:spacing w:after="0" w:line="2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The Company’s common stock began trading in the over-the-counter market on November 8, 1990 and was subsequently quoted on the Nasdaq Capital Market under the symbol “HANS”. On July 5, 2007, the Company’s common stock began trading on the Nasdaq Global Select Market under the same symbol, “HANS”. On January 5, 2012, stockholders of the Company approved the Company’s name change from Hansen Natural Corporation to Monster Beverage Corporation. In addition, on January 9, 2012, the Company’s common stock began trading under the symbol “MNST”. As of February 10, 2017, there were 566,619,343 shares of the Company’s common stock outstanding held by approximately 223 holders of record. The holders of record do not include those stockholders whose shares are held of record by banks, brokers and other financial institutions.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Price and Dividend Information</w:t>
      </w:r>
    </w:p>
    <w:p>
      <w:pPr>
        <w:spacing w:after="0" w:line="2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On October 14, 2016, the Company announced a three-for-one stock split of the Company’s common stock to be effected in the form of a 200% stock dividend. The common stock dividend was issued on November 9, 2016 and the Company’s common stock began trading at the split adjusted price on November 10, 2016. (See Note 1 – “Organization and Summary of Significant Accounting Policies” for additional information”).</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sets forth high and low per share sales price of our common stock for the periods indicated: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Year Ended December 31, 2016</w:t>
            </w:r>
          </w:p>
        </w:tc>
        <w:tc>
          <w:tcPr>
            <w:tcW w:w="20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20"/>
                <w:szCs w:val="20"/>
                <w:color w:val="auto"/>
              </w:rPr>
              <w:t>High</w:t>
            </w:r>
          </w:p>
        </w:tc>
        <w:tc>
          <w:tcPr>
            <w:tcW w:w="5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20"/>
                <w:szCs w:val="20"/>
                <w:color w:val="auto"/>
              </w:rPr>
              <w:t>Low</w:t>
            </w:r>
          </w:p>
        </w:tc>
      </w:tr>
      <w:tr>
        <w:trPr>
          <w:trHeight w:val="200"/>
        </w:trPr>
        <w:tc>
          <w:tcPr>
            <w:tcW w:w="42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First Quarter</w:t>
            </w:r>
          </w:p>
        </w:tc>
        <w:tc>
          <w:tcPr>
            <w:tcW w:w="2020" w:type="dxa"/>
            <w:vAlign w:val="bottom"/>
          </w:tcPr>
          <w:p>
            <w:pPr>
              <w:jc w:val="right"/>
              <w:ind w:right="1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49.79</w:t>
            </w:r>
          </w:p>
        </w:tc>
        <w:tc>
          <w:tcPr>
            <w:tcW w:w="500" w:type="dxa"/>
            <w:vAlign w:val="bottom"/>
          </w:tcPr>
          <w:p>
            <w:pPr>
              <w:jc w:val="right"/>
              <w:ind w:right="16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rPr>
              <w:t>37.69</w:t>
            </w: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Second Quarter</w:t>
            </w:r>
          </w:p>
        </w:tc>
        <w:tc>
          <w:tcPr>
            <w:tcW w:w="20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53.62</w:t>
            </w:r>
          </w:p>
        </w:tc>
        <w:tc>
          <w:tcPr>
            <w:tcW w:w="5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40.30</w:t>
            </w: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Third Quarter</w:t>
            </w:r>
          </w:p>
        </w:tc>
        <w:tc>
          <w:tcPr>
            <w:tcW w:w="20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55.50</w:t>
            </w:r>
          </w:p>
        </w:tc>
        <w:tc>
          <w:tcPr>
            <w:tcW w:w="5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47.44</w:t>
            </w:r>
          </w:p>
        </w:tc>
      </w:tr>
      <w:tr>
        <w:trPr>
          <w:trHeight w:val="258"/>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Fourth Quarter</w:t>
            </w:r>
          </w:p>
        </w:tc>
        <w:tc>
          <w:tcPr>
            <w:tcW w:w="20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50.63</w:t>
            </w:r>
          </w:p>
        </w:tc>
        <w:tc>
          <w:tcPr>
            <w:tcW w:w="5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40.64</w:t>
            </w:r>
          </w:p>
        </w:tc>
      </w:tr>
      <w:tr>
        <w:trPr>
          <w:trHeight w:val="440"/>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Year Ended December 31, 2015</w:t>
            </w:r>
          </w:p>
        </w:tc>
        <w:tc>
          <w:tcPr>
            <w:tcW w:w="20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20"/>
                <w:szCs w:val="20"/>
                <w:color w:val="auto"/>
              </w:rPr>
              <w:t>High</w:t>
            </w:r>
          </w:p>
        </w:tc>
        <w:tc>
          <w:tcPr>
            <w:tcW w:w="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20"/>
                <w:szCs w:val="20"/>
                <w:color w:val="auto"/>
              </w:rPr>
              <w:t>Low</w:t>
            </w:r>
          </w:p>
        </w:tc>
      </w:tr>
      <w:tr>
        <w:trPr>
          <w:trHeight w:val="200"/>
        </w:trPr>
        <w:tc>
          <w:tcPr>
            <w:tcW w:w="42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First Quarter</w:t>
            </w:r>
          </w:p>
        </w:tc>
        <w:tc>
          <w:tcPr>
            <w:tcW w:w="2020" w:type="dxa"/>
            <w:vAlign w:val="bottom"/>
          </w:tcPr>
          <w:p>
            <w:pPr>
              <w:jc w:val="right"/>
              <w:ind w:right="1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47.97</w:t>
            </w:r>
          </w:p>
        </w:tc>
        <w:tc>
          <w:tcPr>
            <w:tcW w:w="500" w:type="dxa"/>
            <w:vAlign w:val="bottom"/>
          </w:tcPr>
          <w:p>
            <w:pPr>
              <w:jc w:val="right"/>
              <w:ind w:right="16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rPr>
              <w:t>35.59</w:t>
            </w: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Second Quarter</w:t>
            </w:r>
          </w:p>
        </w:tc>
        <w:tc>
          <w:tcPr>
            <w:tcW w:w="20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48.23</w:t>
            </w:r>
          </w:p>
        </w:tc>
        <w:tc>
          <w:tcPr>
            <w:tcW w:w="5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41.39</w:t>
            </w: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Third Quarter</w:t>
            </w:r>
          </w:p>
        </w:tc>
        <w:tc>
          <w:tcPr>
            <w:tcW w:w="20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51.94</w:t>
            </w:r>
          </w:p>
        </w:tc>
        <w:tc>
          <w:tcPr>
            <w:tcW w:w="5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38.54</w:t>
            </w:r>
          </w:p>
        </w:tc>
      </w:tr>
      <w:tr>
        <w:trPr>
          <w:trHeight w:val="258"/>
        </w:trPr>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Fourth Quarter</w:t>
            </w:r>
          </w:p>
        </w:tc>
        <w:tc>
          <w:tcPr>
            <w:tcW w:w="20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53.50</w:t>
            </w:r>
          </w:p>
        </w:tc>
        <w:tc>
          <w:tcPr>
            <w:tcW w:w="5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42.45</w:t>
            </w:r>
          </w:p>
        </w:tc>
      </w:tr>
    </w:tbl>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per share sales prices of our common stock set forth above represent bid quotations between dealers, do not include retail markups, mark-downs or commissions and bid quotations may not necessarily represent actual transactions and “real time” sale prices. The source of the bid information is the NASDAQ Stock Market, Inc.</w:t>
      </w:r>
    </w:p>
    <w:p>
      <w:pPr>
        <w:sectPr>
          <w:pgSz w:w="11900" w:h="16838" w:orient="portrait"/>
          <w:cols w:equalWidth="0" w:num="1">
            <w:col w:w="11420"/>
          </w:cols>
          <w:pgMar w:left="240" w:top="118" w:right="239" w:bottom="71"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9"/>
          <w:szCs w:val="19"/>
          <w:color w:val="auto"/>
        </w:rPr>
        <w:t>We have not paid cash dividends to our stockholders since our inception and do not anticipate paying cash dividends in the foreseeable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future.</w:t>
      </w:r>
    </w:p>
    <w:p>
      <w:pPr>
        <w:spacing w:after="0" w:line="207" w:lineRule="exact"/>
        <w:rPr>
          <w:sz w:val="20"/>
          <w:szCs w:val="20"/>
          <w:color w:val="auto"/>
        </w:rPr>
      </w:pPr>
    </w:p>
    <w:p>
      <w:pPr>
        <w:jc w:val="both"/>
        <w:ind w:right="40" w:firstLine="648"/>
        <w:spacing w:after="0" w:line="244" w:lineRule="auto"/>
        <w:rPr>
          <w:sz w:val="20"/>
          <w:szCs w:val="20"/>
          <w:color w:val="auto"/>
        </w:rPr>
      </w:pPr>
      <w:r>
        <w:rPr>
          <w:rFonts w:ascii="Times New Roman" w:cs="Times New Roman" w:eastAsia="Times New Roman" w:hAnsi="Times New Roman"/>
          <w:sz w:val="20"/>
          <w:szCs w:val="20"/>
          <w:color w:val="auto"/>
        </w:rPr>
        <w:t>On April 28, 2016, our Board of Directors authorized the Company to commence the Auction Stock Repurchase Tender to repurchase up to $2.0 billion of its outstanding shares of common stock. The Auction Stock Repurchase Tender was authorized under the Company’s existing share repurchase authority and was funded with cash on hand. We commenced this tender offer in May 2016. On June 15, 2016, we accepted for payment an aggregate of 38.5 million shares of common stock at a purchase price of $52.00 per share, for a total amount of $2.0 billion (excluding commissions), which exhausted the availability under all previously authorized share repurchase plans. Such shares of common stock are included in common stock in treasury in the accompanying consolidated balance sheet at December 31, 2016. We incurred $1.6 million in stock repurchase expenses for the year ended December 31, 2016 related to the Auction Stock Repurchase Tender.</w:t>
      </w:r>
    </w:p>
    <w:p>
      <w:pPr>
        <w:spacing w:after="0" w:line="1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right="40" w:firstLine="648"/>
        <w:spacing w:after="0" w:line="247" w:lineRule="auto"/>
        <w:rPr>
          <w:sz w:val="20"/>
          <w:szCs w:val="20"/>
          <w:color w:val="auto"/>
        </w:rPr>
      </w:pPr>
      <w:r>
        <w:rPr>
          <w:rFonts w:ascii="Times New Roman" w:cs="Times New Roman" w:eastAsia="Times New Roman" w:hAnsi="Times New Roman"/>
          <w:sz w:val="20"/>
          <w:szCs w:val="20"/>
          <w:color w:val="auto"/>
        </w:rPr>
        <w:t>On August 2, 2016, our Board of Directors authorized a new share repurchase program for the repurchase of up to $250.0 million of the Company’s outstanding shares of common stock (the “August 2016 Repurchase Plan”). During the year ended December 31, 2016, we purchased 5.8 million shares of common stock at an average purchase price of $43.40 per share, for a total amount of $249.9 million (excluding broker commissions), which exhausted the availability under the August 2016 Repurchase Plan. Such shares of common stock are included in common stock in treasury in the accompanying consolidated balance sheet at December 31, 2016.</w:t>
      </w:r>
    </w:p>
    <w:p>
      <w:pPr>
        <w:spacing w:after="0" w:line="194" w:lineRule="exact"/>
        <w:rPr>
          <w:sz w:val="20"/>
          <w:szCs w:val="20"/>
          <w:color w:val="auto"/>
        </w:rPr>
      </w:pPr>
    </w:p>
    <w:p>
      <w:pPr>
        <w:jc w:val="both"/>
        <w:ind w:right="40" w:firstLine="648"/>
        <w:spacing w:after="0" w:line="249" w:lineRule="auto"/>
        <w:rPr>
          <w:sz w:val="20"/>
          <w:szCs w:val="20"/>
          <w:color w:val="auto"/>
        </w:rPr>
      </w:pPr>
      <w:r>
        <w:rPr>
          <w:rFonts w:ascii="Times New Roman" w:cs="Times New Roman" w:eastAsia="Times New Roman" w:hAnsi="Times New Roman"/>
          <w:sz w:val="20"/>
          <w:szCs w:val="20"/>
          <w:color w:val="auto"/>
        </w:rPr>
        <w:t>During the year ended December 31, 2016, 56,820 shares of common stock were purchased from employees in lieu of cash payments for options exercised or withholding taxes due for a total amount of $2.6 million. While such purchases are considered common stock repurchases, they are not counted as purchases against our authorized share repurchase programs. Such shares are included in common stock in treasury in the accompanying consolidated balance sheet at December 31, 2016.</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tabular summary reflects the Company’s repurchase activity during the quarter ended December 31, 2016:</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500" w:type="dxa"/>
            <w:vAlign w:val="bottom"/>
            <w:gridSpan w:val="2"/>
          </w:tcPr>
          <w:p>
            <w:pPr>
              <w:jc w:val="center"/>
              <w:ind w:right="1"/>
              <w:spacing w:after="0"/>
              <w:rPr>
                <w:sz w:val="20"/>
                <w:szCs w:val="20"/>
                <w:color w:val="auto"/>
              </w:rPr>
            </w:pPr>
            <w:r>
              <w:rPr>
                <w:rFonts w:ascii="Times New Roman" w:cs="Times New Roman" w:eastAsia="Times New Roman" w:hAnsi="Times New Roman"/>
                <w:sz w:val="20"/>
                <w:szCs w:val="20"/>
                <w:color w:val="auto"/>
                <w:w w:val="98"/>
              </w:rPr>
              <w:t>Maximum Number (or</w:t>
            </w:r>
          </w:p>
        </w:tc>
      </w:tr>
      <w:tr>
        <w:trPr>
          <w:trHeight w:val="230"/>
        </w:trPr>
        <w:tc>
          <w:tcPr>
            <w:tcW w:w="23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500" w:type="dxa"/>
            <w:vAlign w:val="bottom"/>
            <w:gridSpan w:val="2"/>
          </w:tcPr>
          <w:p>
            <w:pPr>
              <w:jc w:val="center"/>
              <w:ind w:right="1"/>
              <w:spacing w:after="0"/>
              <w:rPr>
                <w:sz w:val="20"/>
                <w:szCs w:val="20"/>
                <w:color w:val="auto"/>
              </w:rPr>
            </w:pPr>
            <w:r>
              <w:rPr>
                <w:rFonts w:ascii="Times New Roman" w:cs="Times New Roman" w:eastAsia="Times New Roman" w:hAnsi="Times New Roman"/>
                <w:sz w:val="20"/>
                <w:szCs w:val="20"/>
                <w:color w:val="auto"/>
                <w:w w:val="98"/>
              </w:rPr>
              <w:t>Approximate Dollar</w:t>
            </w:r>
          </w:p>
        </w:tc>
      </w:tr>
      <w:tr>
        <w:trPr>
          <w:trHeight w:val="230"/>
        </w:trPr>
        <w:tc>
          <w:tcPr>
            <w:tcW w:w="23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8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96"/>
              </w:rPr>
              <w:t>Total Number of</w:t>
            </w:r>
          </w:p>
        </w:tc>
        <w:tc>
          <w:tcPr>
            <w:tcW w:w="2500" w:type="dxa"/>
            <w:vAlign w:val="bottom"/>
            <w:gridSpan w:val="2"/>
          </w:tcPr>
          <w:p>
            <w:pPr>
              <w:jc w:val="center"/>
              <w:ind w:right="21"/>
              <w:spacing w:after="0"/>
              <w:rPr>
                <w:sz w:val="20"/>
                <w:szCs w:val="20"/>
                <w:color w:val="auto"/>
              </w:rPr>
            </w:pPr>
            <w:r>
              <w:rPr>
                <w:rFonts w:ascii="Times New Roman" w:cs="Times New Roman" w:eastAsia="Times New Roman" w:hAnsi="Times New Roman"/>
                <w:sz w:val="20"/>
                <w:szCs w:val="20"/>
                <w:color w:val="auto"/>
                <w:w w:val="97"/>
              </w:rPr>
              <w:t>Value) of Shares that</w:t>
            </w:r>
          </w:p>
        </w:tc>
      </w:tr>
      <w:tr>
        <w:trPr>
          <w:trHeight w:val="230"/>
        </w:trPr>
        <w:tc>
          <w:tcPr>
            <w:tcW w:w="23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8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98"/>
              </w:rPr>
              <w:t>Shares Purchased</w:t>
            </w:r>
          </w:p>
        </w:tc>
        <w:tc>
          <w:tcPr>
            <w:tcW w:w="2500" w:type="dxa"/>
            <w:vAlign w:val="bottom"/>
            <w:gridSpan w:val="2"/>
          </w:tcPr>
          <w:p>
            <w:pPr>
              <w:jc w:val="center"/>
              <w:ind w:right="1"/>
              <w:spacing w:after="0"/>
              <w:rPr>
                <w:sz w:val="20"/>
                <w:szCs w:val="20"/>
                <w:color w:val="auto"/>
              </w:rPr>
            </w:pPr>
            <w:r>
              <w:rPr>
                <w:rFonts w:ascii="Times New Roman" w:cs="Times New Roman" w:eastAsia="Times New Roman" w:hAnsi="Times New Roman"/>
                <w:sz w:val="20"/>
                <w:szCs w:val="20"/>
                <w:color w:val="auto"/>
                <w:w w:val="97"/>
              </w:rPr>
              <w:t>May Yet Be Purchased</w:t>
            </w:r>
          </w:p>
        </w:tc>
      </w:tr>
      <w:tr>
        <w:trPr>
          <w:trHeight w:val="230"/>
        </w:trPr>
        <w:tc>
          <w:tcPr>
            <w:tcW w:w="234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Total Number</w:t>
            </w: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8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99"/>
              </w:rPr>
              <w:t>as Part of Publicly</w:t>
            </w:r>
          </w:p>
        </w:tc>
        <w:tc>
          <w:tcPr>
            <w:tcW w:w="2500" w:type="dxa"/>
            <w:vAlign w:val="bottom"/>
            <w:gridSpan w:val="2"/>
          </w:tcPr>
          <w:p>
            <w:pPr>
              <w:jc w:val="center"/>
              <w:ind w:right="1"/>
              <w:spacing w:after="0"/>
              <w:rPr>
                <w:sz w:val="20"/>
                <w:szCs w:val="20"/>
                <w:color w:val="auto"/>
              </w:rPr>
            </w:pPr>
            <w:r>
              <w:rPr>
                <w:rFonts w:ascii="Times New Roman" w:cs="Times New Roman" w:eastAsia="Times New Roman" w:hAnsi="Times New Roman"/>
                <w:sz w:val="20"/>
                <w:szCs w:val="20"/>
                <w:color w:val="auto"/>
                <w:w w:val="99"/>
              </w:rPr>
              <w:t>Under the Plans or</w:t>
            </w:r>
          </w:p>
        </w:tc>
      </w:tr>
      <w:tr>
        <w:trPr>
          <w:trHeight w:val="230"/>
        </w:trPr>
        <w:tc>
          <w:tcPr>
            <w:tcW w:w="234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of Shares</w:t>
            </w:r>
          </w:p>
        </w:tc>
        <w:tc>
          <w:tcPr>
            <w:tcW w:w="1840" w:type="dxa"/>
            <w:vAlign w:val="bottom"/>
            <w:gridSpan w:val="2"/>
          </w:tcPr>
          <w:p>
            <w:pPr>
              <w:jc w:val="right"/>
              <w:ind w:right="341"/>
              <w:spacing w:after="0"/>
              <w:rPr>
                <w:sz w:val="20"/>
                <w:szCs w:val="20"/>
                <w:color w:val="auto"/>
              </w:rPr>
            </w:pPr>
            <w:r>
              <w:rPr>
                <w:rFonts w:ascii="Times New Roman" w:cs="Times New Roman" w:eastAsia="Times New Roman" w:hAnsi="Times New Roman"/>
                <w:sz w:val="20"/>
                <w:szCs w:val="20"/>
                <w:color w:val="auto"/>
              </w:rPr>
              <w:t>Average Price</w:t>
            </w:r>
          </w:p>
        </w:tc>
        <w:tc>
          <w:tcPr>
            <w:tcW w:w="248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98"/>
              </w:rPr>
              <w:t>Announced Plans</w:t>
            </w:r>
          </w:p>
        </w:tc>
        <w:tc>
          <w:tcPr>
            <w:tcW w:w="600" w:type="dxa"/>
            <w:vAlign w:val="bottom"/>
          </w:tcPr>
          <w:p>
            <w:pPr>
              <w:spacing w:after="0"/>
              <w:rPr>
                <w:sz w:val="19"/>
                <w:szCs w:val="19"/>
                <w:color w:val="auto"/>
              </w:rPr>
            </w:pPr>
          </w:p>
        </w:tc>
        <w:tc>
          <w:tcPr>
            <w:tcW w:w="1900" w:type="dxa"/>
            <w:vAlign w:val="bottom"/>
          </w:tcPr>
          <w:p>
            <w:pPr>
              <w:jc w:val="center"/>
              <w:ind w:right="601"/>
              <w:spacing w:after="0"/>
              <w:rPr>
                <w:sz w:val="20"/>
                <w:szCs w:val="20"/>
                <w:color w:val="auto"/>
              </w:rPr>
            </w:pPr>
            <w:r>
              <w:rPr>
                <w:rFonts w:ascii="Times New Roman" w:cs="Times New Roman" w:eastAsia="Times New Roman" w:hAnsi="Times New Roman"/>
                <w:sz w:val="20"/>
                <w:szCs w:val="20"/>
                <w:color w:val="auto"/>
                <w:w w:val="99"/>
              </w:rPr>
              <w:t>Programs (In</w:t>
            </w:r>
          </w:p>
        </w:tc>
      </w:tr>
      <w:tr>
        <w:trPr>
          <w:trHeight w:val="252"/>
        </w:trPr>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Period</w:t>
            </w: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Purchased</w:t>
            </w:r>
          </w:p>
        </w:tc>
        <w:tc>
          <w:tcPr>
            <w:tcW w:w="1840" w:type="dxa"/>
            <w:vAlign w:val="bottom"/>
            <w:tcBorders>
              <w:bottom w:val="single" w:sz="8" w:color="auto"/>
            </w:tcBorders>
            <w:gridSpan w:val="2"/>
          </w:tcPr>
          <w:p>
            <w:pPr>
              <w:jc w:val="right"/>
              <w:ind w:right="481"/>
              <w:spacing w:after="0"/>
              <w:rPr>
                <w:sz w:val="20"/>
                <w:szCs w:val="20"/>
                <w:color w:val="auto"/>
              </w:rPr>
            </w:pPr>
            <w:r>
              <w:rPr>
                <w:rFonts w:ascii="Times New Roman" w:cs="Times New Roman" w:eastAsia="Times New Roman" w:hAnsi="Times New Roman"/>
                <w:sz w:val="20"/>
                <w:szCs w:val="20"/>
                <w:color w:val="auto"/>
              </w:rPr>
              <w:t>per Share¹</w:t>
            </w:r>
          </w:p>
        </w:tc>
        <w:tc>
          <w:tcPr>
            <w:tcW w:w="24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20"/>
                <w:szCs w:val="20"/>
                <w:color w:val="auto"/>
                <w:w w:val="99"/>
              </w:rPr>
              <w:t>or Programs</w:t>
            </w:r>
          </w:p>
        </w:tc>
        <w:tc>
          <w:tcPr>
            <w:tcW w:w="6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center"/>
              <w:ind w:right="601"/>
              <w:spacing w:after="0"/>
              <w:rPr>
                <w:sz w:val="20"/>
                <w:szCs w:val="20"/>
                <w:color w:val="auto"/>
              </w:rPr>
            </w:pPr>
            <w:r>
              <w:rPr>
                <w:rFonts w:ascii="Times New Roman" w:cs="Times New Roman" w:eastAsia="Times New Roman" w:hAnsi="Times New Roman"/>
                <w:sz w:val="20"/>
                <w:szCs w:val="20"/>
                <w:color w:val="auto"/>
                <w:w w:val="99"/>
              </w:rPr>
              <w:t>thousands)²</w:t>
            </w:r>
          </w:p>
        </w:tc>
      </w:tr>
      <w:tr>
        <w:trPr>
          <w:trHeight w:val="200"/>
        </w:trPr>
        <w:tc>
          <w:tcPr>
            <w:tcW w:w="23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Oct 1 – Oct 31, 2016</w:t>
            </w:r>
          </w:p>
        </w:tc>
        <w:tc>
          <w:tcPr>
            <w:tcW w:w="2260" w:type="dxa"/>
            <w:vAlign w:val="bottom"/>
          </w:tcPr>
          <w:p>
            <w:pPr>
              <w:jc w:val="right"/>
              <w:ind w:right="181"/>
              <w:spacing w:after="0" w:line="200" w:lineRule="exact"/>
              <w:rPr>
                <w:sz w:val="20"/>
                <w:szCs w:val="20"/>
                <w:color w:val="auto"/>
              </w:rPr>
            </w:pPr>
            <w:r>
              <w:rPr>
                <w:rFonts w:ascii="Times New Roman" w:cs="Times New Roman" w:eastAsia="Times New Roman" w:hAnsi="Times New Roman"/>
                <w:sz w:val="20"/>
                <w:szCs w:val="20"/>
                <w:color w:val="auto"/>
              </w:rPr>
              <w:t>385,401</w:t>
            </w:r>
          </w:p>
        </w:tc>
        <w:tc>
          <w:tcPr>
            <w:tcW w:w="780" w:type="dxa"/>
            <w:vAlign w:val="bottom"/>
          </w:tcPr>
          <w:p>
            <w:pPr>
              <w:jc w:val="right"/>
              <w:ind w:right="6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341"/>
              <w:spacing w:after="0" w:line="200" w:lineRule="exact"/>
              <w:rPr>
                <w:sz w:val="20"/>
                <w:szCs w:val="20"/>
                <w:color w:val="auto"/>
              </w:rPr>
            </w:pPr>
            <w:r>
              <w:rPr>
                <w:rFonts w:ascii="Times New Roman" w:cs="Times New Roman" w:eastAsia="Times New Roman" w:hAnsi="Times New Roman"/>
                <w:sz w:val="20"/>
                <w:szCs w:val="20"/>
                <w:color w:val="auto"/>
              </w:rPr>
              <w:t>47.61</w:t>
            </w:r>
          </w:p>
        </w:tc>
        <w:tc>
          <w:tcPr>
            <w:tcW w:w="2480" w:type="dxa"/>
            <w:vAlign w:val="bottom"/>
          </w:tcPr>
          <w:p>
            <w:pPr>
              <w:jc w:val="right"/>
              <w:ind w:right="181"/>
              <w:spacing w:after="0" w:line="200" w:lineRule="exact"/>
              <w:rPr>
                <w:sz w:val="20"/>
                <w:szCs w:val="20"/>
                <w:color w:val="auto"/>
              </w:rPr>
            </w:pPr>
            <w:r>
              <w:rPr>
                <w:rFonts w:ascii="Times New Roman" w:cs="Times New Roman" w:eastAsia="Times New Roman" w:hAnsi="Times New Roman"/>
                <w:sz w:val="20"/>
                <w:szCs w:val="20"/>
                <w:color w:val="auto"/>
              </w:rPr>
              <w:t>385,401</w:t>
            </w:r>
          </w:p>
        </w:tc>
        <w:tc>
          <w:tcPr>
            <w:tcW w:w="6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900" w:type="dxa"/>
            <w:vAlign w:val="bottom"/>
          </w:tcPr>
          <w:p>
            <w:pPr>
              <w:jc w:val="right"/>
              <w:ind w:right="161"/>
              <w:spacing w:after="0" w:line="200" w:lineRule="exact"/>
              <w:rPr>
                <w:sz w:val="20"/>
                <w:szCs w:val="20"/>
                <w:color w:val="auto"/>
              </w:rPr>
            </w:pPr>
            <w:r>
              <w:rPr>
                <w:rFonts w:ascii="Times New Roman" w:cs="Times New Roman" w:eastAsia="Times New Roman" w:hAnsi="Times New Roman"/>
                <w:sz w:val="20"/>
                <w:szCs w:val="20"/>
                <w:color w:val="auto"/>
              </w:rPr>
              <w:t>231,650</w:t>
            </w:r>
          </w:p>
        </w:tc>
      </w:tr>
      <w:tr>
        <w:trPr>
          <w:trHeight w:val="230"/>
        </w:trPr>
        <w:tc>
          <w:tcPr>
            <w:tcW w:w="2340" w:type="dxa"/>
            <w:vAlign w:val="bottom"/>
          </w:tcPr>
          <w:p>
            <w:pPr>
              <w:spacing w:after="0"/>
              <w:rPr>
                <w:sz w:val="20"/>
                <w:szCs w:val="20"/>
                <w:color w:val="auto"/>
              </w:rPr>
            </w:pPr>
            <w:r>
              <w:rPr>
                <w:rFonts w:ascii="Times New Roman" w:cs="Times New Roman" w:eastAsia="Times New Roman" w:hAnsi="Times New Roman"/>
                <w:sz w:val="20"/>
                <w:szCs w:val="20"/>
                <w:color w:val="auto"/>
              </w:rPr>
              <w:t>Nov 1 – Nov 30, 2016</w:t>
            </w:r>
          </w:p>
        </w:tc>
        <w:tc>
          <w:tcPr>
            <w:tcW w:w="226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4,653,071</w:t>
            </w:r>
          </w:p>
        </w:tc>
        <w:tc>
          <w:tcPr>
            <w:tcW w:w="7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42.98</w:t>
            </w:r>
          </w:p>
        </w:tc>
        <w:tc>
          <w:tcPr>
            <w:tcW w:w="248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4,653,071</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9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31,597</w:t>
            </w:r>
          </w:p>
        </w:tc>
      </w:tr>
      <w:tr>
        <w:trPr>
          <w:trHeight w:val="258"/>
        </w:trPr>
        <w:tc>
          <w:tcPr>
            <w:tcW w:w="2340" w:type="dxa"/>
            <w:vAlign w:val="bottom"/>
          </w:tcPr>
          <w:p>
            <w:pPr>
              <w:spacing w:after="0"/>
              <w:rPr>
                <w:sz w:val="20"/>
                <w:szCs w:val="20"/>
                <w:color w:val="auto"/>
              </w:rPr>
            </w:pPr>
            <w:r>
              <w:rPr>
                <w:rFonts w:ascii="Times New Roman" w:cs="Times New Roman" w:eastAsia="Times New Roman" w:hAnsi="Times New Roman"/>
                <w:sz w:val="20"/>
                <w:szCs w:val="20"/>
                <w:color w:val="auto"/>
              </w:rPr>
              <w:t>Dec 1 – Dec 31, 2016</w:t>
            </w:r>
          </w:p>
        </w:tc>
        <w:tc>
          <w:tcPr>
            <w:tcW w:w="226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720,620</w:t>
            </w:r>
          </w:p>
        </w:tc>
        <w:tc>
          <w:tcPr>
            <w:tcW w:w="7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43.83</w:t>
            </w:r>
          </w:p>
        </w:tc>
        <w:tc>
          <w:tcPr>
            <w:tcW w:w="248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720,620</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9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r>
    </w:tbl>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¹Excluding broker commissions paid.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²Net of broker commissions paid.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Compensation Plan Information</w:t>
      </w:r>
    </w:p>
    <w:p>
      <w:pPr>
        <w:spacing w:after="0" w:line="233" w:lineRule="exact"/>
        <w:rPr>
          <w:sz w:val="20"/>
          <w:szCs w:val="20"/>
          <w:color w:val="auto"/>
        </w:rPr>
      </w:pPr>
    </w:p>
    <w:p>
      <w:pPr>
        <w:ind w:right="440" w:firstLine="648"/>
        <w:spacing w:after="0" w:line="269" w:lineRule="auto"/>
        <w:rPr>
          <w:sz w:val="20"/>
          <w:szCs w:val="20"/>
          <w:color w:val="auto"/>
        </w:rPr>
      </w:pPr>
      <w:r>
        <w:rPr>
          <w:rFonts w:ascii="Times New Roman" w:cs="Times New Roman" w:eastAsia="Times New Roman" w:hAnsi="Times New Roman"/>
          <w:sz w:val="20"/>
          <w:szCs w:val="20"/>
          <w:color w:val="auto"/>
        </w:rPr>
        <w:t>The following table sets forth information as of December 31, 2016 with respect to shares of our common stock that may be issued under our equity compensation plans.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74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 securities remaining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rPr>
              <w:t>Number of securities to</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Weighted-average</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available for future issuance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be issued upon exercise</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exercise price of</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under equity compensation plans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rPr>
              <w:t>of outstanding options,</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outstanding options,</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(excluding securities reflected in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warrants and rights</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warrants and rights</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column (a))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9"/>
              </w:rPr>
              <w:t>Plan category</w:t>
            </w:r>
          </w:p>
        </w:tc>
        <w:tc>
          <w:tcPr>
            <w:tcW w:w="3020" w:type="dxa"/>
            <w:vAlign w:val="bottom"/>
            <w:gridSpan w:val="2"/>
          </w:tcPr>
          <w:p>
            <w:pPr>
              <w:spacing w:after="0"/>
              <w:rPr>
                <w:sz w:val="16"/>
                <w:szCs w:val="16"/>
                <w:color w:val="auto"/>
              </w:rPr>
            </w:pPr>
          </w:p>
        </w:tc>
        <w:tc>
          <w:tcPr>
            <w:tcW w:w="2200" w:type="dxa"/>
            <w:vAlign w:val="bottom"/>
          </w:tcPr>
          <w:p>
            <w:pPr>
              <w:jc w:val="center"/>
              <w:ind w:right="71"/>
              <w:spacing w:after="0" w:line="194" w:lineRule="exact"/>
              <w:rPr>
                <w:sz w:val="20"/>
                <w:szCs w:val="20"/>
                <w:color w:val="auto"/>
              </w:rPr>
            </w:pPr>
            <w:r>
              <w:rPr>
                <w:rFonts w:ascii="Times New Roman" w:cs="Times New Roman" w:eastAsia="Times New Roman" w:hAnsi="Times New Roman"/>
                <w:sz w:val="18"/>
                <w:szCs w:val="18"/>
                <w:color w:val="auto"/>
                <w:w w:val="99"/>
              </w:rPr>
              <w:t>(a)</w:t>
            </w:r>
          </w:p>
        </w:tc>
        <w:tc>
          <w:tcPr>
            <w:tcW w:w="2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(b)</w:t>
            </w:r>
          </w:p>
        </w:tc>
        <w:tc>
          <w:tcPr>
            <w:tcW w:w="30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(c)</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Equity compensation plans approved by</w:t>
            </w:r>
          </w:p>
        </w:tc>
        <w:tc>
          <w:tcPr>
            <w:tcW w:w="2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4020" w:type="dxa"/>
            <w:vAlign w:val="bottom"/>
            <w:gridSpan w:val="3"/>
            <w:vMerge w:val="continue"/>
          </w:tcPr>
          <w:p>
            <w:pPr>
              <w:spacing w:after="0"/>
              <w:rPr>
                <w:sz w:val="24"/>
                <w:szCs w:val="24"/>
                <w:color w:val="auto"/>
              </w:rPr>
            </w:pPr>
          </w:p>
        </w:tc>
        <w:tc>
          <w:tcPr>
            <w:tcW w:w="2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220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rPr>
              <w:t>23,199,548</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$23.55</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23,633,600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compensation plans not approved by</w:t>
            </w:r>
          </w:p>
        </w:tc>
        <w:tc>
          <w:tcPr>
            <w:tcW w:w="2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22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0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2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auto"/>
              </w:rPr>
              <w:t>23,199,548</w:t>
            </w: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$23.55</w:t>
            </w:r>
          </w:p>
        </w:tc>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25,633,600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0" w:type="dxa"/>
            <w:vAlign w:val="bottom"/>
          </w:tcPr>
          <w:p>
            <w:pPr>
              <w:jc w:val="right"/>
              <w:ind w:right="331"/>
              <w:spacing w:after="0"/>
              <w:rPr>
                <w:sz w:val="20"/>
                <w:szCs w:val="20"/>
                <w:color w:val="auto"/>
              </w:rPr>
            </w:pPr>
            <w:r>
              <w:rPr>
                <w:rFonts w:ascii="Times New Roman" w:cs="Times New Roman" w:eastAsia="Times New Roman" w:hAnsi="Times New Roman"/>
                <w:sz w:val="16"/>
                <w:szCs w:val="16"/>
                <w:color w:val="auto"/>
              </w:rPr>
              <w:t>34</w:t>
            </w:r>
          </w:p>
        </w:tc>
        <w:tc>
          <w:tcPr>
            <w:tcW w:w="21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10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740" w:type="dxa"/>
            <w:vAlign w:val="bottom"/>
            <w:tcBorders>
              <w:bottom w:val="single" w:sz="8" w:color="808080"/>
            </w:tcBorders>
          </w:tcPr>
          <w:p>
            <w:pPr>
              <w:spacing w:after="0"/>
              <w:rPr>
                <w:sz w:val="11"/>
                <w:szCs w:val="11"/>
                <w:color w:val="auto"/>
              </w:rPr>
            </w:pPr>
          </w:p>
        </w:tc>
        <w:tc>
          <w:tcPr>
            <w:tcW w:w="2200" w:type="dxa"/>
            <w:vAlign w:val="bottom"/>
            <w:tcBorders>
              <w:bottom w:val="single" w:sz="8" w:color="808080"/>
            </w:tcBorders>
          </w:tcPr>
          <w:p>
            <w:pPr>
              <w:spacing w:after="0"/>
              <w:rPr>
                <w:sz w:val="11"/>
                <w:szCs w:val="11"/>
                <w:color w:val="auto"/>
              </w:rPr>
            </w:pPr>
          </w:p>
        </w:tc>
        <w:tc>
          <w:tcPr>
            <w:tcW w:w="2120" w:type="dxa"/>
            <w:vAlign w:val="bottom"/>
            <w:tcBorders>
              <w:bottom w:val="single" w:sz="8" w:color="808080"/>
            </w:tcBorders>
          </w:tcPr>
          <w:p>
            <w:pPr>
              <w:spacing w:after="0"/>
              <w:rPr>
                <w:sz w:val="11"/>
                <w:szCs w:val="11"/>
                <w:color w:val="auto"/>
              </w:rPr>
            </w:pPr>
          </w:p>
        </w:tc>
        <w:tc>
          <w:tcPr>
            <w:tcW w:w="30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020" w:type="dxa"/>
            <w:vAlign w:val="bottom"/>
            <w:gridSpan w:val="3"/>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2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40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Performance Graph</w:t>
            </w:r>
          </w:p>
        </w:tc>
        <w:tc>
          <w:tcPr>
            <w:tcW w:w="2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-674370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-674370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graph shows a five-year comparison of cumulative total returns:</w:t>
      </w:r>
      <w:r>
        <w:rPr>
          <w:rFonts w:ascii="Times New Roman" w:cs="Times New Roman" w:eastAsia="Times New Roman" w:hAnsi="Times New Roman"/>
          <w:sz w:val="12"/>
          <w:szCs w:val="12"/>
          <w:color w:val="auto"/>
        </w:rPr>
        <w:t>1</w:t>
      </w:r>
    </w:p>
    <w:p>
      <w:pPr>
        <w:sectPr>
          <w:pgSz w:w="11900" w:h="16838" w:orient="portrait"/>
          <w:cols w:equalWidth="0" w:num="1">
            <w:col w:w="11460"/>
          </w:cols>
          <w:pgMar w:left="240" w:top="118" w:right="199" w:bottom="45"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1203960</wp:posOffset>
            </wp:positionH>
            <wp:positionV relativeFrom="page">
              <wp:posOffset>88900</wp:posOffset>
            </wp:positionV>
            <wp:extent cx="5162550" cy="3456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5162550" cy="345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Annual return assumes reinvestment of dividends. Cumulative total return assumes an initial investment of $100 on December 31, 2011. The Company’s current self-selected peer group is comprised of TCCC, DPS Group, National Beverage Corporation, Jones Soda Company and Cott Corporation.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SELECTED FINANCIAL DATA</w:t>
      </w:r>
    </w:p>
    <w:p>
      <w:pPr>
        <w:spacing w:after="0" w:line="23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consolidated statements of operations data set forth below with respect to each of the fiscal years ended December 31, 2014 through 2016 and the balance sheet data as of December 31, 2016 and 2015, are derived from our audited consolidated financial statements included herein, and should be read in conjunction with those financial statements and notes thereto, and with Management’s Discussion and Analysis of Financial Condition and Results of Operations included as Part II, Item 7 of this Annual Report on Form 10-K. The consolidated statements of operations data for the fiscal years ended December 31, 2013 and 2012 and the balance sheet data as of December 31, 2014, 2013 and 2012 are derived from the Company’s audited consolidated financial statements not included herein.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 thousands, except</w:t>
            </w:r>
          </w:p>
        </w:tc>
        <w:tc>
          <w:tcPr>
            <w:tcW w:w="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3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per share</w:t>
            </w:r>
          </w:p>
        </w:tc>
        <w:tc>
          <w:tcPr>
            <w:tcW w:w="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6"/>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information)</w:t>
            </w:r>
          </w:p>
        </w:tc>
        <w:tc>
          <w:tcPr>
            <w:tcW w:w="6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2016</w:t>
            </w:r>
          </w:p>
        </w:tc>
        <w:tc>
          <w:tcPr>
            <w:tcW w:w="4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2015</w:t>
            </w:r>
          </w:p>
        </w:tc>
        <w:tc>
          <w:tcPr>
            <w:tcW w:w="4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2014</w:t>
            </w:r>
          </w:p>
        </w:tc>
        <w:tc>
          <w:tcPr>
            <w:tcW w:w="4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2013</w:t>
            </w: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2012</w:t>
            </w:r>
          </w:p>
        </w:tc>
      </w:tr>
      <w:tr>
        <w:trPr>
          <w:trHeight w:val="252"/>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Net sales¹</w:t>
            </w:r>
          </w:p>
        </w:tc>
        <w:tc>
          <w:tcPr>
            <w:tcW w:w="6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3,049,393</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2,722,564</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2,464,867</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2,246,428</w:t>
            </w:r>
          </w:p>
        </w:tc>
        <w:tc>
          <w:tcPr>
            <w:tcW w:w="4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2,060,702</w:t>
            </w:r>
          </w:p>
        </w:tc>
      </w:tr>
      <w:tr>
        <w:trPr>
          <w:trHeight w:val="301"/>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Gross profit¹</w:t>
            </w:r>
          </w:p>
        </w:tc>
        <w:tc>
          <w:tcPr>
            <w:tcW w:w="6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1,942,000</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1,632,301</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1,339,810</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1,172,931</w:t>
            </w:r>
          </w:p>
        </w:tc>
        <w:tc>
          <w:tcPr>
            <w:tcW w:w="4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1,065,656</w:t>
            </w:r>
          </w:p>
        </w:tc>
      </w:tr>
      <w:tr>
        <w:trPr>
          <w:trHeight w:val="295"/>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Gross profit as a percentage to net</w:t>
            </w: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0"/>
        </w:trPr>
        <w:tc>
          <w:tcPr>
            <w:tcW w:w="30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sales</w:t>
            </w:r>
          </w:p>
        </w:tc>
        <w:tc>
          <w:tcPr>
            <w:tcW w:w="60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63.7%</w:t>
            </w:r>
          </w:p>
        </w:tc>
        <w:tc>
          <w:tcPr>
            <w:tcW w:w="44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60.0%</w:t>
            </w:r>
          </w:p>
        </w:tc>
        <w:tc>
          <w:tcPr>
            <w:tcW w:w="44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54.4%</w:t>
            </w:r>
          </w:p>
        </w:tc>
        <w:tc>
          <w:tcPr>
            <w:tcW w:w="44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52.2%</w:t>
            </w:r>
          </w:p>
        </w:tc>
        <w:tc>
          <w:tcPr>
            <w:tcW w:w="4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51.7%</w:t>
            </w:r>
          </w:p>
        </w:tc>
      </w:tr>
      <w:tr>
        <w:trPr>
          <w:trHeight w:val="258"/>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Operating income²</w:t>
            </w:r>
          </w:p>
        </w:tc>
        <w:tc>
          <w:tcPr>
            <w:tcW w:w="6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1,085,338</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893,653</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747,505</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572,916</w:t>
            </w:r>
          </w:p>
        </w:tc>
        <w:tc>
          <w:tcPr>
            <w:tcW w:w="4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550,623</w:t>
            </w:r>
          </w:p>
        </w:tc>
      </w:tr>
      <w:tr>
        <w:trPr>
          <w:trHeight w:val="324"/>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6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712,685</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546,733</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483,185</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338,661</w:t>
            </w:r>
          </w:p>
        </w:tc>
        <w:tc>
          <w:tcPr>
            <w:tcW w:w="4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340,020</w:t>
            </w:r>
          </w:p>
        </w:tc>
      </w:tr>
      <w:tr>
        <w:trPr>
          <w:trHeight w:val="417"/>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Net income per common share:</w:t>
            </w: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0"/>
        </w:trPr>
        <w:tc>
          <w:tcPr>
            <w:tcW w:w="30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Basic</w:t>
            </w:r>
          </w:p>
        </w:tc>
        <w:tc>
          <w:tcPr>
            <w:tcW w:w="6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1.21</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0.97</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0.96</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0.68</w:t>
            </w:r>
          </w:p>
        </w:tc>
        <w:tc>
          <w:tcPr>
            <w:tcW w:w="4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0.65</w:t>
            </w:r>
          </w:p>
        </w:tc>
      </w:tr>
      <w:tr>
        <w:trPr>
          <w:trHeight w:val="258"/>
        </w:trPr>
        <w:tc>
          <w:tcPr>
            <w:tcW w:w="30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Diluted</w:t>
            </w:r>
          </w:p>
        </w:tc>
        <w:tc>
          <w:tcPr>
            <w:tcW w:w="6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1.19</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0.95</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0.92</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0.65</w:t>
            </w:r>
          </w:p>
        </w:tc>
        <w:tc>
          <w:tcPr>
            <w:tcW w:w="4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0.62</w:t>
            </w:r>
          </w:p>
        </w:tc>
      </w:tr>
      <w:tr>
        <w:trPr>
          <w:trHeight w:val="295"/>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Cash, cash equivalents and</w:t>
            </w: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8"/>
        </w:trPr>
        <w:tc>
          <w:tcPr>
            <w:tcW w:w="30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investments</w:t>
            </w:r>
          </w:p>
        </w:tc>
        <w:tc>
          <w:tcPr>
            <w:tcW w:w="6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600,530</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2,935,375</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1,194,397</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623,388</w:t>
            </w:r>
          </w:p>
        </w:tc>
        <w:tc>
          <w:tcPr>
            <w:tcW w:w="4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340,949</w:t>
            </w:r>
          </w:p>
        </w:tc>
      </w:tr>
      <w:tr>
        <w:trPr>
          <w:trHeight w:val="324"/>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Total assets</w:t>
            </w:r>
          </w:p>
        </w:tc>
        <w:tc>
          <w:tcPr>
            <w:tcW w:w="6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4,153,471</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5,571,277</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1,938,875</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1,420,509</w:t>
            </w:r>
          </w:p>
        </w:tc>
        <w:tc>
          <w:tcPr>
            <w:tcW w:w="4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1,043,325</w:t>
            </w:r>
          </w:p>
        </w:tc>
      </w:tr>
      <w:tr>
        <w:trPr>
          <w:trHeight w:val="324"/>
        </w:trPr>
        <w:tc>
          <w:tcPr>
            <w:tcW w:w="3020" w:type="dxa"/>
            <w:vAlign w:val="bottom"/>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6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3,329,709</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4,809,410</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1,515,150</w:t>
            </w:r>
          </w:p>
        </w:tc>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992,279</w:t>
            </w:r>
          </w:p>
        </w:tc>
        <w:tc>
          <w:tcPr>
            <w:tcW w:w="42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644,397</w:t>
            </w:r>
          </w:p>
        </w:tc>
      </w:tr>
    </w:tbl>
    <w:p>
      <w:pPr>
        <w:spacing w:after="0" w:line="181" w:lineRule="exact"/>
        <w:rPr>
          <w:sz w:val="20"/>
          <w:szCs w:val="20"/>
          <w:color w:val="auto"/>
        </w:rPr>
      </w:pPr>
    </w:p>
    <w:p>
      <w:pPr>
        <w:jc w:val="both"/>
        <w:ind w:left="340"/>
        <w:spacing w:after="0" w:line="276" w:lineRule="auto"/>
        <w:rPr>
          <w:sz w:val="20"/>
          <w:szCs w:val="20"/>
          <w:color w:val="auto"/>
        </w:rPr>
      </w:pPr>
      <w:r>
        <w:rPr>
          <w:rFonts w:ascii="Times New Roman" w:cs="Times New Roman" w:eastAsia="Times New Roman" w:hAnsi="Times New Roman"/>
          <w:sz w:val="16"/>
          <w:szCs w:val="16"/>
          <w:i w:val="1"/>
          <w:iCs w:val="1"/>
          <w:color w:val="auto"/>
        </w:rPr>
        <w:t>¹Includes $40.3 million, $62.8 million, $15.0 million, $14.8 million and $13.2 million for the years ended December 31, 2016, 2015, 2014, 2013 and 2012, respectively, related to the recognition of deferred revenue. Included in the $40.3 million and the $62.8 million recognition of deferred revenue for the years ended December 31, 2016 and 2015, respectively, is $5.7 million and $39.8 million related to the accelerated amortization of the deferred revenue balances associated with certain of the Company’s prior distributors who were sent notices of termination during the relevant periods.</w:t>
      </w:r>
    </w:p>
    <w:p>
      <w:pPr>
        <w:spacing w:after="0" w:line="167" w:lineRule="exact"/>
        <w:rPr>
          <w:sz w:val="20"/>
          <w:szCs w:val="20"/>
          <w:color w:val="auto"/>
        </w:rPr>
      </w:pPr>
    </w:p>
    <w:p>
      <w:pPr>
        <w:jc w:val="both"/>
        <w:ind w:left="340" w:right="20"/>
        <w:spacing w:after="0" w:line="301" w:lineRule="auto"/>
        <w:rPr>
          <w:sz w:val="20"/>
          <w:szCs w:val="20"/>
          <w:color w:val="auto"/>
        </w:rPr>
      </w:pPr>
      <w:r>
        <w:rPr>
          <w:rFonts w:ascii="Times New Roman" w:cs="Times New Roman" w:eastAsia="Times New Roman" w:hAnsi="Times New Roman"/>
          <w:sz w:val="16"/>
          <w:szCs w:val="16"/>
          <w:i w:val="1"/>
          <w:iCs w:val="1"/>
          <w:color w:val="auto"/>
        </w:rPr>
        <w:t>²Includes $79.8 million, $224.0 million, ($0.2) million, $10.8 million and $1.5 million for the years ended December 31, 2016, 2015, 2014, 2013 and 2012, respectively, related to expenditures attributable to the costs associated with terminating existing distributors.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40" w:right="239" w:bottom="149" w:gutter="0" w:footer="0" w:header="0"/>
        </w:sectPr>
      </w:pPr>
    </w:p>
    <w:bookmarkStart w:id="24" w:name="page25"/>
    <w:bookmarkEnd w:id="24"/>
    <w:p>
      <w:pPr>
        <w:spacing w:after="0" w:line="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ind w:right="1260"/>
        <w:spacing w:after="0" w:line="273"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7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The following Management’s Discussion and Analysis of Financial Condition and Results of Operations (“MD&amp;A”) is provided as a supplement to – and should be read in conjunction with – our financial statements and the accompanying notes (“Notes”) included in Part II, Item 8 of this Form 10-K. This discussion contains forward-looking statements that are based on management’s current expectations, estimates and projections about our business and operations. Our actual results may differ materially from those currently anticipated and expressed in such forward-looking statements. See “Forward-Looking Statements” and “Part I. Item 1A – Risk Factors.”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overview provides our perspective on the individual sections of MD&amp;A. MD&amp;A includes the following sections:</w:t>
      </w:r>
    </w:p>
    <w:p>
      <w:pPr>
        <w:spacing w:after="0" w:line="225" w:lineRule="exact"/>
        <w:rPr>
          <w:sz w:val="20"/>
          <w:szCs w:val="20"/>
          <w:color w:val="auto"/>
        </w:rPr>
      </w:pPr>
    </w:p>
    <w:p>
      <w:pPr>
        <w:ind w:left="980" w:hanging="324"/>
        <w:spacing w:after="0" w:line="253" w:lineRule="auto"/>
        <w:tabs>
          <w:tab w:leader="none" w:pos="1191"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Our Business </w:t>
      </w:r>
      <w:r>
        <w:rPr>
          <w:rFonts w:ascii="Times New Roman" w:cs="Times New Roman" w:eastAsia="Times New Roman" w:hAnsi="Times New Roman"/>
          <w:sz w:val="20"/>
          <w:szCs w:val="20"/>
          <w:color w:val="auto"/>
        </w:rPr>
        <w:t>– a general description of our business, the value drivers of our business, and opportunities and risks facing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stock repurchases, acquisitions and divestitures;</w:t>
      </w:r>
    </w:p>
    <w:p>
      <w:pPr>
        <w:ind w:left="980" w:hanging="324"/>
        <w:spacing w:after="0" w:line="239" w:lineRule="auto"/>
        <w:tabs>
          <w:tab w:leader="none" w:pos="135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Results of Operations </w:t>
      </w:r>
      <w:r>
        <w:rPr>
          <w:rFonts w:ascii="Times New Roman" w:cs="Times New Roman" w:eastAsia="Times New Roman" w:hAnsi="Times New Roman"/>
          <w:sz w:val="20"/>
          <w:szCs w:val="20"/>
          <w:color w:val="auto"/>
        </w:rPr>
        <w:t>– an analysis of our consolidated results of operations for the three years presented in our financial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statements;</w:t>
      </w:r>
    </w:p>
    <w:p>
      <w:pPr>
        <w:spacing w:after="0" w:line="1"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Sales </w:t>
      </w:r>
      <w:r>
        <w:rPr>
          <w:rFonts w:ascii="Times New Roman" w:cs="Times New Roman" w:eastAsia="Times New Roman" w:hAnsi="Times New Roman"/>
          <w:sz w:val="20"/>
          <w:szCs w:val="20"/>
          <w:color w:val="auto"/>
        </w:rPr>
        <w:t>– details of our sales measured on a quarterly basis in both dollars and cases;</w:t>
      </w:r>
    </w:p>
    <w:p>
      <w:pPr>
        <w:ind w:left="940" w:hanging="284"/>
        <w:spacing w:after="0"/>
        <w:tabs>
          <w:tab w:leader="none" w:pos="9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Inflation </w:t>
      </w:r>
      <w:r>
        <w:rPr>
          <w:rFonts w:ascii="Times New Roman" w:cs="Times New Roman" w:eastAsia="Times New Roman" w:hAnsi="Times New Roman"/>
          <w:sz w:val="20"/>
          <w:szCs w:val="20"/>
          <w:color w:val="auto"/>
        </w:rPr>
        <w:t>– information about the impact that inflation may or may not have on our results;</w:t>
      </w:r>
    </w:p>
    <w:p>
      <w:pPr>
        <w:ind w:left="940" w:hanging="284"/>
        <w:spacing w:after="0"/>
        <w:tabs>
          <w:tab w:leader="none" w:pos="9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Liquidity and Capital Resources </w:t>
      </w:r>
      <w:r>
        <w:rPr>
          <w:rFonts w:ascii="Times New Roman" w:cs="Times New Roman" w:eastAsia="Times New Roman" w:hAnsi="Times New Roman"/>
          <w:sz w:val="20"/>
          <w:szCs w:val="20"/>
          <w:color w:val="auto"/>
        </w:rPr>
        <w:t>– an analysis of our cash flows, sources and uses of cash and contractual obligations;</w:t>
      </w:r>
    </w:p>
    <w:p>
      <w:pPr>
        <w:ind w:left="980" w:hanging="324"/>
        <w:spacing w:after="0" w:line="239" w:lineRule="auto"/>
        <w:tabs>
          <w:tab w:leader="none" w:pos="1286"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Accounting Policies and Pronouncements </w:t>
      </w:r>
      <w:r>
        <w:rPr>
          <w:rFonts w:ascii="Times New Roman" w:cs="Times New Roman" w:eastAsia="Times New Roman" w:hAnsi="Times New Roman"/>
          <w:sz w:val="20"/>
          <w:szCs w:val="20"/>
          <w:color w:val="auto"/>
        </w:rPr>
        <w:t>– a discussion of accounting policies that require critical judgments and estimates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including newly issued accounting pronouncements;</w:t>
      </w:r>
    </w:p>
    <w:p>
      <w:pPr>
        <w:spacing w:after="0" w:line="1" w:lineRule="exact"/>
        <w:rPr>
          <w:rFonts w:ascii="Times New Roman" w:cs="Times New Roman" w:eastAsia="Times New Roman" w:hAnsi="Times New Roman"/>
          <w:sz w:val="20"/>
          <w:szCs w:val="20"/>
          <w:color w:val="auto"/>
        </w:rPr>
      </w:pPr>
    </w:p>
    <w:p>
      <w:pPr>
        <w:jc w:val="both"/>
        <w:ind w:left="980" w:hanging="324"/>
        <w:spacing w:after="0" w:line="239" w:lineRule="auto"/>
        <w:tabs>
          <w:tab w:leader="none" w:pos="117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Forward-Looking Statements </w:t>
      </w:r>
      <w:r>
        <w:rPr>
          <w:rFonts w:ascii="Times New Roman" w:cs="Times New Roman" w:eastAsia="Times New Roman" w:hAnsi="Times New Roman"/>
          <w:sz w:val="20"/>
          <w:szCs w:val="20"/>
          <w:color w:val="auto"/>
        </w:rPr>
        <w:t>– cautionary information about forward-looking statements and a description of certain risks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uncertainties that could cause our actual results to differ materially from the Company’s historical results or our current expectations or projections; and</w:t>
      </w:r>
    </w:p>
    <w:p>
      <w:pPr>
        <w:spacing w:after="0" w:line="1" w:lineRule="exact"/>
        <w:rPr>
          <w:rFonts w:ascii="Times New Roman" w:cs="Times New Roman" w:eastAsia="Times New Roman" w:hAnsi="Times New Roman"/>
          <w:sz w:val="20"/>
          <w:szCs w:val="20"/>
          <w:color w:val="auto"/>
        </w:rPr>
      </w:pPr>
    </w:p>
    <w:p>
      <w:pPr>
        <w:ind w:left="980" w:right="20" w:hanging="324"/>
        <w:spacing w:after="0" w:line="246" w:lineRule="auto"/>
        <w:tabs>
          <w:tab w:leader="none" w:pos="989"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Market Risks </w:t>
      </w:r>
      <w:r>
        <w:rPr>
          <w:rFonts w:ascii="Times New Roman" w:cs="Times New Roman" w:eastAsia="Times New Roman" w:hAnsi="Times New Roman"/>
          <w:sz w:val="20"/>
          <w:szCs w:val="20"/>
          <w:color w:val="auto"/>
        </w:rPr>
        <w:t>– information about market risks and risk management. (See “Forward-Looking Statements” and “Part II, Item 7A –</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Qualitative and Quantitative Disclosures About Market Risks”).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Business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Stock Repurchases</w:t>
      </w:r>
    </w:p>
    <w:p>
      <w:pPr>
        <w:spacing w:after="0" w:line="2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On April 28, 2016, our Board of Directors authorized us to commence a “modified Dutch auction” tender offer to repurchase up to $2.0 billion of our outstanding shares of common stock (the “Auction Stock Repurchase Tender”). The Auction Stock Repurchase Tender was authorized under our existing share repurchase authority and was funded with cash on hand. We commenced this tender offer in May 2016. On June 15, 2016, we accepted for payment an aggregate of 38.5 million shares of common stock at a purchase price of $52.00 per share, for a total amount of $2.0 billion (excluding commissions). Such shares of common stock are included in common stock in treasury in the accompanying consolidated balance sheet at December 31, 2016. We incurred $1.6 million in stock repurchase expenses for the year ended December 31, 2016 related to the Auction Stock Repurchase Tender.</w:t>
      </w:r>
    </w:p>
    <w:p>
      <w:pPr>
        <w:spacing w:after="0" w:line="20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On August 2, 2016, our Board of Directors authorized a new share repurchase program for the repurchase of up to $250.0 million of our outstanding shares of common stock (the “August 2016 Repurchase Plan”). During the year ended December 31, 2016, we purchased 5.8 million shares of common stock at an average purchase price of $43.40 per share, for a total amount of $249.9 million (excluding broker commissions), which exhausted the availability under the August 2016 Repurchase Plan. Such shares of common stock are included in common stock in treasury in the accompanying consolidated balance sheet at December 31, 2016.</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Acquisitions and Divestitures</w:t>
      </w:r>
    </w:p>
    <w:p>
      <w:pPr>
        <w:spacing w:after="0" w:line="2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On April 1, 2016, we completed our acquisition of AFF, in an asset acquisition that brought our primary flavor supplier in-house, secured the intellectual property of our most important flavors in perpetuity and further enhanced our flavor development and global flavor footprint capabilities. Pursuant to the terms of the AFF Transaction, we purchased AFF for $688.5 million in cash after adjustments. We accounted for the AFF Transaction in accordance with FASB ASC No. 805 “Business Combinations”.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Inventory purchased under the AFF Transaction was recorded at fair value. Raw material cost savings from the AFF Transaction were approximately $46.4 million in the year ended December 31, 2016. However, raw material cost savings were not immediately recognized upon the completion of the AFF Transaction as both the Company’s inventory on hand and inventory acquired as part of the AFF Transaction were recorded at fair value. As a result, the cost savings were not recognized through cost of goods sold until the end of the second quarter of 2016.</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incurred $4.5 million in AFF Transaction related expenses for the year ended December 31, 2016.</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On June 12, 2015, we completed the TCCC Transaction which provided for a long-term strategic relationship in the global energy drink category with TCCC. As part of the TCCC Transaction, we transitioned certain distribution rights to TCCC’s distribution network.</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accordance with FASB ASC No. 420 “Exit or Disposal Cost Obligations”, we expense distributor termination costs in the period in which the written notification of termination occurs. We incurred distributor termination costs of $79.8 million, $224.0 million and ($0.2) million for the years ended December 31, 2016, 2015 and 2014, respectively. Such termination costs have been expensed in full and are included in operating expenses for the years ended December 31, 2016, 2015 and 2014. We recognized as income $5.7 million and $39.8</w:t>
      </w:r>
    </w:p>
    <w:p>
      <w:pPr>
        <w:sectPr>
          <w:pgSz w:w="11900" w:h="16843" w:orient="portrait"/>
          <w:cols w:equalWidth="0" w:num="1">
            <w:col w:w="11420"/>
          </w:cols>
          <w:pgMar w:left="240" w:top="121" w:right="239" w:bottom="0" w:gutter="0" w:footer="0" w:header="0"/>
        </w:sectPr>
      </w:pPr>
    </w:p>
    <w:bookmarkStart w:id="25" w:name="page26"/>
    <w:bookmarkEnd w:id="25"/>
    <w:p>
      <w:pPr>
        <w:jc w:val="both"/>
        <w:ind w:right="40"/>
        <w:spacing w:after="0" w:line="253" w:lineRule="auto"/>
        <w:rPr>
          <w:sz w:val="20"/>
          <w:szCs w:val="20"/>
          <w:color w:val="auto"/>
        </w:rPr>
      </w:pPr>
      <w:r>
        <w:rPr>
          <w:rFonts w:ascii="Times New Roman" w:cs="Times New Roman" w:eastAsia="Times New Roman" w:hAnsi="Times New Roman"/>
          <w:sz w:val="20"/>
          <w:szCs w:val="20"/>
          <w:color w:val="auto"/>
        </w:rPr>
        <w:t>million for the years ended December 31, 2016 and 2015, respectively, related to the accelerated amortization of the deferred revenue balances associated with certain of our prior distributors who were sent notices of termination during the relevant periods. No accelerated amortization of deferred revenue was recognized for the year ended December 31, 2014.</w:t>
      </w:r>
    </w:p>
    <w:p>
      <w:pPr>
        <w:spacing w:after="0" w:line="190" w:lineRule="exact"/>
        <w:rPr>
          <w:sz w:val="20"/>
          <w:szCs w:val="20"/>
          <w:color w:val="auto"/>
        </w:rPr>
      </w:pPr>
    </w:p>
    <w:p>
      <w:pPr>
        <w:jc w:val="both"/>
        <w:ind w:right="40" w:firstLine="648"/>
        <w:spacing w:after="0" w:line="269" w:lineRule="auto"/>
        <w:rPr>
          <w:sz w:val="20"/>
          <w:szCs w:val="20"/>
          <w:color w:val="auto"/>
        </w:rPr>
      </w:pPr>
      <w:r>
        <w:rPr>
          <w:rFonts w:ascii="Times New Roman" w:cs="Times New Roman" w:eastAsia="Times New Roman" w:hAnsi="Times New Roman"/>
          <w:sz w:val="20"/>
          <w:szCs w:val="20"/>
          <w:color w:val="auto"/>
        </w:rPr>
        <w:t>We incurred $15.5 million and $4.8 million in TCCC Transaction related expenses for the years ended December 31, 2015 and 2014, respectively. We incurred no TCCC Transaction related expenses for the year ended December 31, 2016.</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Factors Impacting Profitability</w:t>
      </w:r>
    </w:p>
    <w:p>
      <w:pPr>
        <w:spacing w:after="0" w:line="23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The following table summarizes the selected items discussed above for the years ended December 31, 2016, 2015 and 2014:</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gridSpan w:val="3"/>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Income Statement Items (in thousands):</w:t>
            </w:r>
          </w:p>
        </w:tc>
        <w:tc>
          <w:tcPr>
            <w:tcW w:w="380" w:type="dxa"/>
            <w:vAlign w:val="bottom"/>
          </w:tcPr>
          <w:p>
            <w:pPr>
              <w:spacing w:after="0"/>
              <w:rPr>
                <w:sz w:val="24"/>
                <w:szCs w:val="24"/>
                <w:color w:val="auto"/>
              </w:rPr>
            </w:pPr>
          </w:p>
        </w:tc>
        <w:tc>
          <w:tcPr>
            <w:tcW w:w="1080" w:type="dxa"/>
            <w:vAlign w:val="bottom"/>
          </w:tcPr>
          <w:p>
            <w:pPr>
              <w:jc w:val="right"/>
              <w:ind w:right="438"/>
              <w:spacing w:after="0"/>
              <w:rPr>
                <w:sz w:val="20"/>
                <w:szCs w:val="20"/>
                <w:color w:val="auto"/>
              </w:rPr>
            </w:pPr>
            <w:r>
              <w:rPr>
                <w:rFonts w:ascii="Times New Roman" w:cs="Times New Roman" w:eastAsia="Times New Roman" w:hAnsi="Times New Roman"/>
                <w:sz w:val="20"/>
                <w:szCs w:val="20"/>
                <w:color w:val="auto"/>
              </w:rPr>
              <w:t>2016</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jc w:val="right"/>
              <w:ind w:right="498"/>
              <w:spacing w:after="0"/>
              <w:rPr>
                <w:sz w:val="20"/>
                <w:szCs w:val="20"/>
                <w:color w:val="auto"/>
              </w:rPr>
            </w:pPr>
            <w:r>
              <w:rPr>
                <w:rFonts w:ascii="Times New Roman" w:cs="Times New Roman" w:eastAsia="Times New Roman" w:hAnsi="Times New Roman"/>
                <w:sz w:val="20"/>
                <w:szCs w:val="20"/>
                <w:color w:val="auto"/>
              </w:rPr>
              <w:t>2015</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right"/>
              <w:ind w:right="319"/>
              <w:spacing w:after="0"/>
              <w:rPr>
                <w:sz w:val="20"/>
                <w:szCs w:val="20"/>
                <w:color w:val="auto"/>
              </w:rPr>
            </w:pPr>
            <w:r>
              <w:rPr>
                <w:rFonts w:ascii="Times New Roman" w:cs="Times New Roman" w:eastAsia="Times New Roman" w:hAnsi="Times New Roman"/>
                <w:sz w:val="20"/>
                <w:szCs w:val="20"/>
                <w:color w:val="auto"/>
              </w:rPr>
              <w:t>2014</w:t>
            </w:r>
          </w:p>
        </w:tc>
        <w:tc>
          <w:tcPr>
            <w:tcW w:w="0" w:type="dxa"/>
            <w:vAlign w:val="bottom"/>
          </w:tcPr>
          <w:p>
            <w:pPr>
              <w:spacing w:after="0"/>
              <w:rPr>
                <w:sz w:val="1"/>
                <w:szCs w:val="1"/>
                <w:color w:val="auto"/>
              </w:rPr>
            </w:pPr>
          </w:p>
        </w:tc>
      </w:tr>
      <w:tr>
        <w:trPr>
          <w:trHeight w:val="21"/>
        </w:trPr>
        <w:tc>
          <w:tcPr>
            <w:tcW w:w="3380" w:type="dxa"/>
            <w:vAlign w:val="bottom"/>
            <w:tcBorders>
              <w:top w:val="single" w:sz="8" w:color="auto"/>
              <w:bottom w:val="single" w:sz="8" w:color="auto"/>
            </w:tcBorders>
            <w:gridSpan w:val="2"/>
            <w:vMerge w:val="restart"/>
          </w:tcPr>
          <w:p>
            <w:pPr>
              <w:spacing w:after="0"/>
              <w:rPr>
                <w:sz w:val="20"/>
                <w:szCs w:val="20"/>
                <w:color w:val="auto"/>
              </w:rPr>
            </w:pPr>
            <w:r>
              <w:rPr>
                <w:rFonts w:ascii="Times New Roman" w:cs="Times New Roman" w:eastAsia="Times New Roman" w:hAnsi="Times New Roman"/>
                <w:sz w:val="21"/>
                <w:szCs w:val="21"/>
                <w:color w:val="auto"/>
              </w:rPr>
              <w:t>Included in Net Sales:</w:t>
            </w:r>
          </w:p>
        </w:tc>
        <w:tc>
          <w:tcPr>
            <w:tcW w:w="206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3380" w:type="dxa"/>
            <w:vAlign w:val="bottom"/>
            <w:gridSpan w:val="2"/>
            <w:vMerge w:val="continue"/>
          </w:tcPr>
          <w:p>
            <w:pPr>
              <w:spacing w:after="0"/>
              <w:rPr>
                <w:sz w:val="24"/>
                <w:szCs w:val="24"/>
                <w:color w:val="auto"/>
              </w:rPr>
            </w:pPr>
          </w:p>
        </w:tc>
        <w:tc>
          <w:tcPr>
            <w:tcW w:w="20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40" w:type="dxa"/>
            <w:vAlign w:val="bottom"/>
            <w:gridSpan w:val="3"/>
          </w:tcPr>
          <w:p>
            <w:pPr>
              <w:ind w:left="380"/>
              <w:spacing w:after="0"/>
              <w:rPr>
                <w:sz w:val="20"/>
                <w:szCs w:val="20"/>
                <w:color w:val="auto"/>
              </w:rPr>
            </w:pPr>
            <w:r>
              <w:rPr>
                <w:rFonts w:ascii="Times New Roman" w:cs="Times New Roman" w:eastAsia="Times New Roman" w:hAnsi="Times New Roman"/>
                <w:sz w:val="21"/>
                <w:szCs w:val="21"/>
                <w:color w:val="auto"/>
              </w:rPr>
              <w:t>Accelerated recognition of deferred revenue</w:t>
            </w:r>
          </w:p>
        </w:tc>
        <w:tc>
          <w:tcPr>
            <w:tcW w:w="3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5,713</w:t>
            </w:r>
          </w:p>
        </w:tc>
        <w:tc>
          <w:tcPr>
            <w:tcW w:w="260" w:type="dxa"/>
            <w:vAlign w:val="bottom"/>
          </w:tcPr>
          <w:p>
            <w:pPr>
              <w:spacing w:after="0"/>
              <w:rPr>
                <w:sz w:val="23"/>
                <w:szCs w:val="23"/>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18"/>
              <w:spacing w:after="0"/>
              <w:rPr>
                <w:sz w:val="20"/>
                <w:szCs w:val="20"/>
                <w:color w:val="auto"/>
              </w:rPr>
            </w:pPr>
            <w:r>
              <w:rPr>
                <w:rFonts w:ascii="Times New Roman" w:cs="Times New Roman" w:eastAsia="Times New Roman" w:hAnsi="Times New Roman"/>
                <w:sz w:val="21"/>
                <w:szCs w:val="21"/>
                <w:color w:val="auto"/>
              </w:rPr>
              <w:t>39,761</w:t>
            </w:r>
          </w:p>
        </w:tc>
        <w:tc>
          <w:tcPr>
            <w:tcW w:w="260" w:type="dxa"/>
            <w:vAlign w:val="bottom"/>
          </w:tcPr>
          <w:p>
            <w:pPr>
              <w:spacing w:after="0"/>
              <w:rPr>
                <w:sz w:val="23"/>
                <w:szCs w:val="23"/>
                <w:color w:val="auto"/>
              </w:rPr>
            </w:pPr>
          </w:p>
        </w:tc>
        <w:tc>
          <w:tcPr>
            <w:tcW w:w="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432"/>
        </w:trPr>
        <w:tc>
          <w:tcPr>
            <w:tcW w:w="544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Included in Operating Expenses:</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40" w:type="dxa"/>
            <w:vAlign w:val="bottom"/>
            <w:gridSpan w:val="3"/>
          </w:tcPr>
          <w:p>
            <w:pPr>
              <w:ind w:left="380"/>
              <w:spacing w:after="0"/>
              <w:rPr>
                <w:sz w:val="20"/>
                <w:szCs w:val="20"/>
                <w:color w:val="auto"/>
              </w:rPr>
            </w:pPr>
            <w:r>
              <w:rPr>
                <w:rFonts w:ascii="Times New Roman" w:cs="Times New Roman" w:eastAsia="Times New Roman" w:hAnsi="Times New Roman"/>
                <w:sz w:val="21"/>
                <w:szCs w:val="21"/>
                <w:color w:val="auto"/>
              </w:rPr>
              <w:t>Stock Repurchase expenses</w:t>
            </w:r>
          </w:p>
        </w:tc>
        <w:tc>
          <w:tcPr>
            <w:tcW w:w="380" w:type="dxa"/>
            <w:vAlign w:val="bottom"/>
          </w:tcPr>
          <w:p>
            <w:pPr>
              <w:jc w:val="right"/>
              <w:ind w:right="60"/>
              <w:spacing w:after="0"/>
              <w:rPr>
                <w:sz w:val="20"/>
                <w:szCs w:val="20"/>
                <w:color w:val="auto"/>
              </w:rPr>
            </w:pPr>
            <w:r>
              <w:rPr>
                <w:rFonts w:ascii="Times New Roman" w:cs="Times New Roman" w:eastAsia="Times New Roman" w:hAnsi="Times New Roman"/>
                <w:sz w:val="21"/>
                <w:szCs w:val="2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(1,556)</w:t>
            </w:r>
          </w:p>
        </w:tc>
        <w:tc>
          <w:tcPr>
            <w:tcW w:w="260" w:type="dxa"/>
            <w:vAlign w:val="bottom"/>
          </w:tcPr>
          <w:p>
            <w:pPr>
              <w:spacing w:after="0"/>
              <w:rPr>
                <w:sz w:val="21"/>
                <w:szCs w:val="21"/>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18"/>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1"/>
                <w:szCs w:val="21"/>
                <w:color w:val="auto"/>
              </w:rPr>
            </w:pPr>
          </w:p>
        </w:tc>
        <w:tc>
          <w:tcPr>
            <w:tcW w:w="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3"/>
        </w:trPr>
        <w:tc>
          <w:tcPr>
            <w:tcW w:w="5440" w:type="dxa"/>
            <w:vAlign w:val="bottom"/>
            <w:gridSpan w:val="3"/>
          </w:tcPr>
          <w:p>
            <w:pPr>
              <w:ind w:left="380"/>
              <w:spacing w:after="0"/>
              <w:rPr>
                <w:sz w:val="20"/>
                <w:szCs w:val="20"/>
                <w:color w:val="auto"/>
              </w:rPr>
            </w:pPr>
            <w:r>
              <w:rPr>
                <w:rFonts w:ascii="Times New Roman" w:cs="Times New Roman" w:eastAsia="Times New Roman" w:hAnsi="Times New Roman"/>
                <w:sz w:val="21"/>
                <w:szCs w:val="21"/>
                <w:color w:val="auto"/>
              </w:rPr>
              <w:t>AFF Transaction expenses</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(4,483)</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18"/>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3"/>
        </w:trPr>
        <w:tc>
          <w:tcPr>
            <w:tcW w:w="5440" w:type="dxa"/>
            <w:vAlign w:val="bottom"/>
            <w:gridSpan w:val="3"/>
          </w:tcPr>
          <w:p>
            <w:pPr>
              <w:ind w:left="380"/>
              <w:spacing w:after="0"/>
              <w:rPr>
                <w:sz w:val="20"/>
                <w:szCs w:val="20"/>
                <w:color w:val="auto"/>
              </w:rPr>
            </w:pPr>
            <w:r>
              <w:rPr>
                <w:rFonts w:ascii="Times New Roman" w:cs="Times New Roman" w:eastAsia="Times New Roman" w:hAnsi="Times New Roman"/>
                <w:sz w:val="21"/>
                <w:szCs w:val="21"/>
                <w:color w:val="auto"/>
              </w:rPr>
              <w:t>Distributor termination costs</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(79,751)</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18"/>
              <w:spacing w:after="0"/>
              <w:rPr>
                <w:sz w:val="20"/>
                <w:szCs w:val="20"/>
                <w:color w:val="auto"/>
              </w:rPr>
            </w:pPr>
            <w:r>
              <w:rPr>
                <w:rFonts w:ascii="Times New Roman" w:cs="Times New Roman" w:eastAsia="Times New Roman" w:hAnsi="Times New Roman"/>
                <w:sz w:val="21"/>
                <w:szCs w:val="21"/>
                <w:color w:val="auto"/>
              </w:rPr>
              <w:t>(224,000)</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157</w:t>
            </w:r>
          </w:p>
        </w:tc>
        <w:tc>
          <w:tcPr>
            <w:tcW w:w="0" w:type="dxa"/>
            <w:vAlign w:val="bottom"/>
          </w:tcPr>
          <w:p>
            <w:pPr>
              <w:spacing w:after="0"/>
              <w:rPr>
                <w:sz w:val="1"/>
                <w:szCs w:val="1"/>
                <w:color w:val="auto"/>
              </w:rPr>
            </w:pPr>
          </w:p>
        </w:tc>
      </w:tr>
      <w:tr>
        <w:trPr>
          <w:trHeight w:val="270"/>
        </w:trPr>
        <w:tc>
          <w:tcPr>
            <w:tcW w:w="5440" w:type="dxa"/>
            <w:vAlign w:val="bottom"/>
            <w:gridSpan w:val="3"/>
          </w:tcPr>
          <w:p>
            <w:pPr>
              <w:ind w:left="380"/>
              <w:spacing w:after="0"/>
              <w:rPr>
                <w:sz w:val="20"/>
                <w:szCs w:val="20"/>
                <w:color w:val="auto"/>
              </w:rPr>
            </w:pPr>
            <w:r>
              <w:rPr>
                <w:rFonts w:ascii="Times New Roman" w:cs="Times New Roman" w:eastAsia="Times New Roman" w:hAnsi="Times New Roman"/>
                <w:sz w:val="21"/>
                <w:szCs w:val="21"/>
                <w:color w:val="auto"/>
              </w:rPr>
              <w:t>TCCC Transaction expenses</w:t>
            </w: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jc w:val="right"/>
              <w:ind w:right="18"/>
              <w:spacing w:after="0"/>
              <w:rPr>
                <w:sz w:val="20"/>
                <w:szCs w:val="20"/>
                <w:color w:val="auto"/>
              </w:rPr>
            </w:pPr>
            <w:r>
              <w:rPr>
                <w:rFonts w:ascii="Times New Roman" w:cs="Times New Roman" w:eastAsia="Times New Roman" w:hAnsi="Times New Roman"/>
                <w:sz w:val="21"/>
                <w:szCs w:val="21"/>
                <w:color w:val="auto"/>
              </w:rPr>
              <w:t>(15,496)</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(4,824)</w:t>
            </w:r>
          </w:p>
        </w:tc>
        <w:tc>
          <w:tcPr>
            <w:tcW w:w="0" w:type="dxa"/>
            <w:vAlign w:val="bottom"/>
          </w:tcPr>
          <w:p>
            <w:pPr>
              <w:spacing w:after="0"/>
              <w:rPr>
                <w:sz w:val="1"/>
                <w:szCs w:val="1"/>
                <w:color w:val="auto"/>
              </w:rPr>
            </w:pPr>
          </w:p>
        </w:tc>
      </w:tr>
      <w:tr>
        <w:trPr>
          <w:trHeight w:val="459"/>
        </w:trPr>
        <w:tc>
          <w:tcPr>
            <w:tcW w:w="544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Gain on sale of Monster Non-Energy</w:t>
            </w:r>
          </w:p>
        </w:tc>
        <w:tc>
          <w:tcPr>
            <w:tcW w:w="3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4"/>
                <w:szCs w:val="24"/>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21"/>
                <w:szCs w:val="21"/>
                <w:color w:val="auto"/>
              </w:rPr>
              <w:t>$</w:t>
            </w:r>
          </w:p>
        </w:tc>
        <w:tc>
          <w:tcPr>
            <w:tcW w:w="1160" w:type="dxa"/>
            <w:vAlign w:val="bottom"/>
          </w:tcPr>
          <w:p>
            <w:pPr>
              <w:jc w:val="right"/>
              <w:ind w:right="18"/>
              <w:spacing w:after="0"/>
              <w:rPr>
                <w:sz w:val="20"/>
                <w:szCs w:val="20"/>
                <w:color w:val="auto"/>
              </w:rPr>
            </w:pPr>
            <w:r>
              <w:rPr>
                <w:rFonts w:ascii="Times New Roman" w:cs="Times New Roman" w:eastAsia="Times New Roman" w:hAnsi="Times New Roman"/>
                <w:sz w:val="21"/>
                <w:szCs w:val="21"/>
                <w:color w:val="auto"/>
              </w:rPr>
              <w:t>161,470</w:t>
            </w:r>
          </w:p>
        </w:tc>
        <w:tc>
          <w:tcPr>
            <w:tcW w:w="260" w:type="dxa"/>
            <w:vAlign w:val="bottom"/>
          </w:tcPr>
          <w:p>
            <w:pPr>
              <w:spacing w:after="0"/>
              <w:rPr>
                <w:sz w:val="24"/>
                <w:szCs w:val="24"/>
                <w:color w:val="auto"/>
              </w:rPr>
            </w:pPr>
          </w:p>
        </w:tc>
        <w:tc>
          <w:tcPr>
            <w:tcW w:w="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8"/>
        </w:trPr>
        <w:tc>
          <w:tcPr>
            <w:tcW w:w="5440" w:type="dxa"/>
            <w:vAlign w:val="bottom"/>
            <w:gridSpan w:val="3"/>
            <w:vMerge w:val="restart"/>
          </w:tcPr>
          <w:p>
            <w:pPr>
              <w:spacing w:after="0"/>
              <w:rPr>
                <w:sz w:val="20"/>
                <w:szCs w:val="20"/>
                <w:color w:val="auto"/>
              </w:rPr>
            </w:pPr>
            <w:r>
              <w:rPr>
                <w:rFonts w:ascii="Times New Roman" w:cs="Times New Roman" w:eastAsia="Times New Roman" w:hAnsi="Times New Roman"/>
                <w:sz w:val="21"/>
                <w:szCs w:val="21"/>
                <w:color w:val="auto"/>
              </w:rPr>
              <w:t>Net Impact on Operating Income</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40" w:type="dxa"/>
            <w:vAlign w:val="bottom"/>
            <w:gridSpan w:val="3"/>
            <w:vMerge w:val="continue"/>
          </w:tcPr>
          <w:p>
            <w:pPr>
              <w:spacing w:after="0"/>
              <w:rPr>
                <w:sz w:val="20"/>
                <w:szCs w:val="20"/>
                <w:color w:val="auto"/>
              </w:rPr>
            </w:pPr>
          </w:p>
        </w:tc>
        <w:tc>
          <w:tcPr>
            <w:tcW w:w="3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1"/>
                <w:szCs w:val="21"/>
                <w:color w:val="auto"/>
              </w:rPr>
              <w:t>(80,077)</w:t>
            </w:r>
          </w:p>
        </w:tc>
        <w:tc>
          <w:tcPr>
            <w:tcW w:w="260" w:type="dxa"/>
            <w:vAlign w:val="bottom"/>
          </w:tcPr>
          <w:p>
            <w:pPr>
              <w:spacing w:after="0"/>
              <w:rPr>
                <w:sz w:val="20"/>
                <w:szCs w:val="20"/>
                <w:color w:val="auto"/>
              </w:rPr>
            </w:pPr>
          </w:p>
        </w:tc>
        <w:tc>
          <w:tcPr>
            <w:tcW w:w="4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1"/>
                <w:szCs w:val="21"/>
                <w:color w:val="auto"/>
              </w:rPr>
              <w:t>(38,265)</w:t>
            </w:r>
          </w:p>
        </w:tc>
        <w:tc>
          <w:tcPr>
            <w:tcW w:w="260" w:type="dxa"/>
            <w:vAlign w:val="bottom"/>
          </w:tcPr>
          <w:p>
            <w:pPr>
              <w:spacing w:after="0"/>
              <w:rPr>
                <w:sz w:val="20"/>
                <w:szCs w:val="20"/>
                <w:color w:val="auto"/>
              </w:rPr>
            </w:pPr>
          </w:p>
        </w:tc>
        <w:tc>
          <w:tcPr>
            <w:tcW w:w="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1"/>
                <w:szCs w:val="21"/>
                <w:color w:val="auto"/>
              </w:rPr>
              <w:t>(4,667)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233"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We develop, market, sell and distribute energy drink beverages, sodas and/or concentrates for energy drink beverages, primarily under the following brand names: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Energy®</w:t>
            </w:r>
          </w:p>
        </w:tc>
        <w:tc>
          <w:tcPr>
            <w:tcW w:w="112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w:t>
            </w:r>
          </w:p>
        </w:tc>
        <w:tc>
          <w:tcPr>
            <w:tcW w:w="2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Nalu®</w:t>
            </w:r>
          </w:p>
        </w:tc>
      </w:t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Rehab®</w:t>
            </w:r>
          </w:p>
        </w:tc>
        <w:tc>
          <w:tcPr>
            <w:tcW w:w="112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w:t>
            </w:r>
          </w:p>
        </w:tc>
        <w:tc>
          <w:tcPr>
            <w:tcW w:w="2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NOS®</w:t>
            </w:r>
          </w:p>
        </w:tc>
      </w:tr>
      <w:tr>
        <w:trPr>
          <w:trHeight w:val="230"/>
        </w:trPr>
        <w:tc>
          <w:tcPr>
            <w:tcW w:w="5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Monster Energy Extra Strength Nitrous Technology®</w:t>
            </w:r>
          </w:p>
        </w:tc>
        <w:tc>
          <w:tcPr>
            <w:tcW w:w="112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w:t>
            </w:r>
          </w:p>
        </w:tc>
        <w:tc>
          <w:tcPr>
            <w:tcW w:w="2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Full Throttle®</w:t>
            </w:r>
          </w:p>
        </w:tc>
      </w:t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Java Monster®</w:t>
            </w:r>
          </w:p>
        </w:tc>
        <w:tc>
          <w:tcPr>
            <w:tcW w:w="112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w:t>
            </w:r>
          </w:p>
        </w:tc>
        <w:tc>
          <w:tcPr>
            <w:tcW w:w="2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Burn®</w:t>
            </w:r>
          </w:p>
        </w:tc>
      </w:t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Muscle Monster®</w:t>
            </w:r>
          </w:p>
        </w:tc>
        <w:tc>
          <w:tcPr>
            <w:tcW w:w="112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w:t>
            </w:r>
          </w:p>
        </w:tc>
        <w:tc>
          <w:tcPr>
            <w:tcW w:w="2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Mother®</w:t>
            </w:r>
          </w:p>
        </w:tc>
      </w:t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Mega Monster Energy®</w:t>
            </w:r>
          </w:p>
        </w:tc>
        <w:tc>
          <w:tcPr>
            <w:tcW w:w="112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w:t>
            </w:r>
          </w:p>
        </w:tc>
        <w:tc>
          <w:tcPr>
            <w:tcW w:w="2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Ultra®</w:t>
            </w:r>
          </w:p>
        </w:tc>
      </w:t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Punch Monster®</w:t>
            </w:r>
          </w:p>
        </w:tc>
        <w:tc>
          <w:tcPr>
            <w:tcW w:w="3180" w:type="dxa"/>
            <w:vAlign w:val="bottom"/>
            <w:gridSpan w:val="2"/>
          </w:tcPr>
          <w:p>
            <w:pPr>
              <w:ind w:left="960"/>
              <w:spacing w:after="0"/>
              <w:rPr>
                <w:sz w:val="20"/>
                <w:szCs w:val="20"/>
                <w:color w:val="auto"/>
              </w:rPr>
            </w:pPr>
            <w:r>
              <w:rPr>
                <w:rFonts w:ascii="Times New Roman" w:cs="Times New Roman" w:eastAsia="Times New Roman" w:hAnsi="Times New Roman"/>
                <w:sz w:val="20"/>
                <w:szCs w:val="20"/>
                <w:color w:val="auto"/>
              </w:rPr>
              <w:t>·   Play® and Power Play®</w:t>
            </w:r>
          </w:p>
        </w:tc>
      </w:t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Juice Monster®</w:t>
            </w:r>
          </w:p>
        </w:tc>
        <w:tc>
          <w:tcPr>
            <w:tcW w:w="112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w:t>
            </w:r>
          </w:p>
        </w:tc>
        <w:tc>
          <w:tcPr>
            <w:tcW w:w="2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Gladiator®</w:t>
            </w:r>
          </w:p>
        </w:tc>
      </w:t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Übermonster®</w:t>
            </w:r>
          </w:p>
        </w:tc>
        <w:tc>
          <w:tcPr>
            <w:tcW w:w="112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w:t>
            </w:r>
          </w:p>
        </w:tc>
        <w:tc>
          <w:tcPr>
            <w:tcW w:w="2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Relentless®</w:t>
            </w:r>
          </w:p>
        </w:tc>
      </w:t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BU®</w:t>
            </w:r>
          </w:p>
        </w:tc>
        <w:tc>
          <w:tcPr>
            <w:tcW w:w="112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w:t>
            </w:r>
          </w:p>
        </w:tc>
        <w:tc>
          <w:tcPr>
            <w:tcW w:w="2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Samurai®</w:t>
            </w:r>
          </w:p>
        </w:tc>
      </w:tr>
      <w:tr>
        <w:trPr>
          <w:trHeight w:val="258"/>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Mutant® Super Soda</w:t>
            </w:r>
          </w:p>
        </w:tc>
        <w:tc>
          <w:tcPr>
            <w:tcW w:w="112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w:t>
            </w:r>
          </w:p>
        </w:tc>
        <w:tc>
          <w:tcPr>
            <w:tcW w:w="2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BPM®</w:t>
            </w:r>
          </w:p>
        </w:tc>
      </w:tr>
    </w:tbl>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Our Monster Energy® brand energy drinks, which represented 90.1%, 92.5% and 93.9% of our net sales for the years ended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2016, 2015 and 2014, respectively, primarily include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1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Energy®</w:t>
            </w:r>
          </w:p>
        </w:tc>
        <w:tc>
          <w:tcPr>
            <w:tcW w:w="618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   Java Monster® Kona Blend</w:t>
            </w:r>
          </w:p>
        </w:tc>
      </w:t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1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Lo-Carb Monster Energy®</w:t>
            </w:r>
          </w:p>
        </w:tc>
        <w:tc>
          <w:tcPr>
            <w:tcW w:w="618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   Java Monster® Loca Moca®</w:t>
            </w:r>
          </w:p>
        </w:tc>
      </w:t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1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Assault®</w:t>
            </w:r>
          </w:p>
        </w:tc>
        <w:tc>
          <w:tcPr>
            <w:tcW w:w="618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   Java Monster® Mean Bean®</w:t>
            </w:r>
          </w:p>
        </w:tc>
      </w:t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1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Juice Monster® Khaos®</w:t>
            </w:r>
          </w:p>
        </w:tc>
        <w:tc>
          <w:tcPr>
            <w:tcW w:w="618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   Java Monster® Vanilla Light</w:t>
            </w:r>
          </w:p>
        </w:tc>
      </w:t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1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Juice Monster® Ripper®</w:t>
            </w:r>
          </w:p>
        </w:tc>
        <w:tc>
          <w:tcPr>
            <w:tcW w:w="618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   Java Monster® Irish Blend®</w:t>
            </w:r>
          </w:p>
        </w:tc>
      </w:tr>
      <w:tr>
        <w:trPr>
          <w:trHeight w:val="230"/>
        </w:trPr>
        <w:tc>
          <w:tcPr>
            <w:tcW w:w="5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Juice Monster® Pipeline Punch®</w:t>
            </w:r>
          </w:p>
        </w:tc>
        <w:tc>
          <w:tcPr>
            <w:tcW w:w="618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   Java Monster® Salted Caramel</w:t>
            </w:r>
          </w:p>
        </w:tc>
      </w:tr>
      <w:tr>
        <w:trPr>
          <w:trHeight w:val="230"/>
        </w:trPr>
        <w:tc>
          <w:tcPr>
            <w:tcW w:w="5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Monster Energy Absolutely Zero®</w:t>
            </w:r>
          </w:p>
        </w:tc>
        <w:tc>
          <w:tcPr>
            <w:tcW w:w="618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   Mega Monster Energy®</w:t>
            </w:r>
          </w:p>
        </w:tc>
      </w:t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51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Energy® Import</w:t>
            </w:r>
          </w:p>
        </w:tc>
        <w:tc>
          <w:tcPr>
            <w:tcW w:w="618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   Monster Energy Extra Strength Nitrous</w:t>
            </w:r>
          </w:p>
        </w:tc>
      </w:tr>
      <w:tr>
        <w:trPr>
          <w:trHeight w:val="230"/>
        </w:trPr>
        <w:tc>
          <w:tcPr>
            <w:tcW w:w="5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Punch Monster® Baller’s Blend® (formerly Dub Edition)</w:t>
            </w:r>
          </w:p>
        </w:tc>
        <w:tc>
          <w:tcPr>
            <w:tcW w:w="618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Technology® Super Dry™</w:t>
            </w:r>
          </w:p>
        </w:tc>
      </w:tr>
      <w:tr>
        <w:trPr>
          <w:trHeight w:val="230"/>
        </w:trPr>
        <w:tc>
          <w:tcPr>
            <w:tcW w:w="5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Punch Monster® Mad Dog (formerly Dub Edition)</w:t>
            </w:r>
          </w:p>
        </w:tc>
        <w:tc>
          <w:tcPr>
            <w:tcW w:w="618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   Monster Energy Extra Strength Nitrous</w:t>
            </w:r>
          </w:p>
        </w:tc>
      </w:tr>
      <w:tr>
        <w:trPr>
          <w:trHeight w:val="230"/>
        </w:trPr>
        <w:tc>
          <w:tcPr>
            <w:tcW w:w="5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Monster Rehab® Tea + Lemonade + Energy</w:t>
            </w:r>
          </w:p>
        </w:tc>
        <w:tc>
          <w:tcPr>
            <w:tcW w:w="618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Technology® Anti-Gravity®</w:t>
            </w:r>
          </w:p>
        </w:tc>
      </w:tr>
      <w:tr>
        <w:trPr>
          <w:trHeight w:val="230"/>
        </w:trPr>
        <w:tc>
          <w:tcPr>
            <w:tcW w:w="5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Monster Rehab® Raspberry Tea + Energy (formerly Rojo)</w:t>
            </w:r>
          </w:p>
        </w:tc>
        <w:tc>
          <w:tcPr>
            <w:tcW w:w="618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   M3® Monster Energy® Super Concentrate</w:t>
            </w:r>
          </w:p>
        </w:tc>
      </w:tr>
      <w:tr>
        <w:trPr>
          <w:trHeight w:val="230"/>
        </w:trPr>
        <w:tc>
          <w:tcPr>
            <w:tcW w:w="5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Monster Rehab® Green Tea + Energy</w:t>
            </w:r>
          </w:p>
        </w:tc>
        <w:tc>
          <w:tcPr>
            <w:tcW w:w="618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   Monster Energy Zero Ultra®</w:t>
            </w:r>
          </w:p>
        </w:tc>
      </w:tr>
      <w:tr>
        <w:trPr>
          <w:trHeight w:val="230"/>
        </w:trPr>
        <w:tc>
          <w:tcPr>
            <w:tcW w:w="5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Monster Rehab® Tea + Orangeade + Energy</w:t>
            </w:r>
          </w:p>
        </w:tc>
        <w:tc>
          <w:tcPr>
            <w:tcW w:w="618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   Monster Energy Ultra Blue®</w:t>
            </w:r>
          </w:p>
        </w:tc>
      </w:tr>
      <w:tr>
        <w:trPr>
          <w:trHeight w:val="258"/>
        </w:trPr>
        <w:tc>
          <w:tcPr>
            <w:tcW w:w="5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Monster Rehab® Tea + Pink Lemonade + Energy</w:t>
            </w:r>
          </w:p>
        </w:tc>
        <w:tc>
          <w:tcPr>
            <w:tcW w:w="618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   Monster Energy Ultra Red®</w:t>
            </w:r>
          </w:p>
        </w:tc>
      </w:tr>
      <w:tr>
        <w:trPr>
          <w:trHeight w:val="407"/>
        </w:trPr>
        <w:tc>
          <w:tcPr>
            <w:tcW w:w="1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6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39</w:t>
            </w:r>
          </w:p>
        </w:tc>
      </w:tr>
      <w:tr>
        <w:trPr>
          <w:trHeight w:val="138"/>
        </w:trPr>
        <w:tc>
          <w:tcPr>
            <w:tcW w:w="160" w:type="dxa"/>
            <w:vAlign w:val="bottom"/>
            <w:tcBorders>
              <w:bottom w:val="single" w:sz="8" w:color="808080"/>
            </w:tcBorders>
          </w:tcPr>
          <w:p>
            <w:pPr>
              <w:spacing w:after="0"/>
              <w:rPr>
                <w:sz w:val="11"/>
                <w:szCs w:val="11"/>
                <w:color w:val="auto"/>
              </w:rPr>
            </w:pPr>
          </w:p>
        </w:tc>
        <w:tc>
          <w:tcPr>
            <w:tcW w:w="5120" w:type="dxa"/>
            <w:vAlign w:val="bottom"/>
            <w:tcBorders>
              <w:bottom w:val="single" w:sz="8" w:color="808080"/>
            </w:tcBorders>
          </w:tcPr>
          <w:p>
            <w:pPr>
              <w:spacing w:after="0"/>
              <w:rPr>
                <w:sz w:val="11"/>
                <w:szCs w:val="11"/>
                <w:color w:val="auto"/>
              </w:rPr>
            </w:pPr>
          </w:p>
        </w:tc>
        <w:tc>
          <w:tcPr>
            <w:tcW w:w="61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8" w:right="199" w:bottom="0" w:gutter="0" w:footer="0" w:header="0"/>
        </w:sectPr>
      </w:pPr>
    </w:p>
    <w:p>
      <w:pPr>
        <w:spacing w:after="0" w:line="330"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11460"/>
          </w:cols>
          <w:pgMar w:left="240" w:top="118" w:right="199" w:bottom="0" w:gutter="0" w:footer="0" w:header="0"/>
          <w:type w:val="continuous"/>
        </w:sectPr>
      </w:pPr>
    </w:p>
    <w:bookmarkStart w:id="26" w:name="page27"/>
    <w:bookmarkEnd w:id="26"/>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Monster Rehab® Peach Tea + Energy</w:t>
            </w:r>
          </w:p>
        </w:tc>
        <w:tc>
          <w:tcPr>
            <w:tcW w:w="4600" w:type="dxa"/>
            <w:vAlign w:val="bottom"/>
          </w:tcPr>
          <w:p>
            <w:pPr>
              <w:ind w:left="1600"/>
              <w:spacing w:after="0"/>
              <w:rPr>
                <w:sz w:val="20"/>
                <w:szCs w:val="20"/>
                <w:color w:val="auto"/>
              </w:rPr>
            </w:pPr>
            <w:r>
              <w:rPr>
                <w:rFonts w:ascii="Times New Roman" w:cs="Times New Roman" w:eastAsia="Times New Roman" w:hAnsi="Times New Roman"/>
                <w:sz w:val="20"/>
                <w:szCs w:val="20"/>
                <w:color w:val="auto"/>
              </w:rPr>
              <w:t>·   Monster Energy Ultra Black®</w:t>
            </w:r>
          </w:p>
        </w:tc>
      </w:t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Muscle Monster® Vanilla</w:t>
            </w:r>
          </w:p>
        </w:tc>
        <w:tc>
          <w:tcPr>
            <w:tcW w:w="4600" w:type="dxa"/>
            <w:vAlign w:val="bottom"/>
          </w:tcPr>
          <w:p>
            <w:pPr>
              <w:ind w:left="1600"/>
              <w:spacing w:after="0"/>
              <w:rPr>
                <w:sz w:val="20"/>
                <w:szCs w:val="20"/>
                <w:color w:val="auto"/>
              </w:rPr>
            </w:pPr>
            <w:r>
              <w:rPr>
                <w:rFonts w:ascii="Times New Roman" w:cs="Times New Roman" w:eastAsia="Times New Roman" w:hAnsi="Times New Roman"/>
                <w:sz w:val="20"/>
                <w:szCs w:val="20"/>
                <w:color w:val="auto"/>
              </w:rPr>
              <w:t>·   Monster Energy Ultra Sunrise®</w:t>
            </w:r>
          </w:p>
        </w:tc>
      </w:t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Muscle Monster® Chocolate</w:t>
            </w:r>
          </w:p>
        </w:tc>
        <w:tc>
          <w:tcPr>
            <w:tcW w:w="4600" w:type="dxa"/>
            <w:vAlign w:val="bottom"/>
          </w:tcPr>
          <w:p>
            <w:pPr>
              <w:ind w:left="1600"/>
              <w:spacing w:after="0"/>
              <w:rPr>
                <w:sz w:val="20"/>
                <w:szCs w:val="20"/>
                <w:color w:val="auto"/>
              </w:rPr>
            </w:pPr>
            <w:r>
              <w:rPr>
                <w:rFonts w:ascii="Times New Roman" w:cs="Times New Roman" w:eastAsia="Times New Roman" w:hAnsi="Times New Roman"/>
                <w:sz w:val="20"/>
                <w:szCs w:val="20"/>
                <w:color w:val="auto"/>
              </w:rPr>
              <w:t>·   Monster Energy Ultra Citron®</w:t>
            </w:r>
          </w:p>
        </w:tc>
      </w:t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Muscle Monster® Strawberry</w:t>
            </w:r>
          </w:p>
        </w:tc>
        <w:tc>
          <w:tcPr>
            <w:tcW w:w="4600" w:type="dxa"/>
            <w:vAlign w:val="bottom"/>
          </w:tcPr>
          <w:p>
            <w:pPr>
              <w:ind w:left="1600"/>
              <w:spacing w:after="0"/>
              <w:rPr>
                <w:sz w:val="20"/>
                <w:szCs w:val="20"/>
                <w:color w:val="auto"/>
              </w:rPr>
            </w:pPr>
            <w:r>
              <w:rPr>
                <w:rFonts w:ascii="Times New Roman" w:cs="Times New Roman" w:eastAsia="Times New Roman" w:hAnsi="Times New Roman"/>
                <w:sz w:val="20"/>
                <w:szCs w:val="20"/>
                <w:color w:val="auto"/>
              </w:rPr>
              <w:t>·   Monster Energy Ultra Violet™</w:t>
            </w:r>
          </w:p>
        </w:tc>
      </w:tr>
      <w:tr>
        <w:trPr>
          <w:trHeight w:val="230"/>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Muscle Monster® Banana</w:t>
            </w:r>
          </w:p>
        </w:tc>
        <w:tc>
          <w:tcPr>
            <w:tcW w:w="4600" w:type="dxa"/>
            <w:vAlign w:val="bottom"/>
          </w:tcPr>
          <w:p>
            <w:pPr>
              <w:ind w:left="1600"/>
              <w:spacing w:after="0"/>
              <w:rPr>
                <w:sz w:val="20"/>
                <w:szCs w:val="20"/>
                <w:color w:val="auto"/>
              </w:rPr>
            </w:pPr>
            <w:r>
              <w:rPr>
                <w:rFonts w:ascii="Times New Roman" w:cs="Times New Roman" w:eastAsia="Times New Roman" w:hAnsi="Times New Roman"/>
                <w:sz w:val="20"/>
                <w:szCs w:val="20"/>
                <w:color w:val="auto"/>
                <w:w w:val="99"/>
              </w:rPr>
              <w:t>·   Monster Energy® Valentino Rossi</w:t>
            </w:r>
          </w:p>
        </w:tc>
      </w:tr>
      <w:tr>
        <w:trPr>
          <w:trHeight w:val="258"/>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47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Energy® Gronk</w:t>
            </w:r>
          </w:p>
        </w:tc>
        <w:tc>
          <w:tcPr>
            <w:tcW w:w="4600" w:type="dxa"/>
            <w:vAlign w:val="bottom"/>
          </w:tcPr>
          <w:p>
            <w:pPr>
              <w:ind w:left="1600"/>
              <w:spacing w:after="0"/>
              <w:rPr>
                <w:sz w:val="20"/>
                <w:szCs w:val="20"/>
                <w:color w:val="auto"/>
              </w:rPr>
            </w:pPr>
            <w:r>
              <w:rPr>
                <w:rFonts w:ascii="Times New Roman" w:cs="Times New Roman" w:eastAsia="Times New Roman" w:hAnsi="Times New Roman"/>
                <w:sz w:val="20"/>
                <w:szCs w:val="20"/>
                <w:color w:val="auto"/>
              </w:rPr>
              <w:t>·   Übermonster® Energy Brew™</w:t>
            </w:r>
          </w:p>
        </w:tc>
      </w:tr>
    </w:tbl>
    <w:p>
      <w:pPr>
        <w:spacing w:after="0" w:line="20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have three operating and reportable segments, (i) Monster Energy® Drinks segment which is comprised of our Monster Energy® drinks as well as Mutant® Super Soda drinks, (ii) Strategic Brands segment which includes the various energy drink brands acquired from TCCC as a result of the TCCC Transaction and (iii) Other segment (“Other”), the principal products of which include the non-energy brands disposed of as a result of the TCCC Transaction as well as the AFF Third-Party Products.</w:t>
      </w:r>
    </w:p>
    <w:p>
      <w:pPr>
        <w:spacing w:after="0" w:line="19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During 2016, we continued to expand our existing portfolio of drinks and further develop our distribution markets. During 2016, we introduced the following products:</w:t>
      </w:r>
    </w:p>
    <w:p>
      <w:pPr>
        <w:spacing w:after="0" w:line="173" w:lineRule="exact"/>
        <w:rPr>
          <w:sz w:val="20"/>
          <w:szCs w:val="20"/>
          <w:color w:val="auto"/>
        </w:rPr>
      </w:pPr>
    </w:p>
    <w:p>
      <w:pPr>
        <w:ind w:left="600" w:hanging="365"/>
        <w:spacing w:after="0"/>
        <w:tabs>
          <w:tab w:leader="none" w:pos="6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Monster Energy Ultra Violet™ (December 2016).</w:t>
      </w:r>
    </w:p>
    <w:p>
      <w:pPr>
        <w:spacing w:after="0" w:line="21" w:lineRule="exact"/>
        <w:rPr>
          <w:rFonts w:ascii="Times New Roman" w:cs="Times New Roman" w:eastAsia="Times New Roman" w:hAnsi="Times New Roman"/>
          <w:sz w:val="20"/>
          <w:szCs w:val="20"/>
          <w:color w:val="auto"/>
        </w:rPr>
      </w:pPr>
    </w:p>
    <w:p>
      <w:pPr>
        <w:ind w:left="600" w:hanging="365"/>
        <w:spacing w:after="0"/>
        <w:tabs>
          <w:tab w:leader="none" w:pos="6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Mutant® Super Soda (September 2016).</w:t>
      </w:r>
    </w:p>
    <w:p>
      <w:pPr>
        <w:ind w:left="600" w:hanging="365"/>
        <w:spacing w:after="0"/>
        <w:tabs>
          <w:tab w:leader="none" w:pos="6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Monster Energy® Gronk (February 2016).</w:t>
      </w:r>
    </w:p>
    <w:p>
      <w:pPr>
        <w:ind w:left="600" w:hanging="365"/>
        <w:spacing w:after="0"/>
        <w:tabs>
          <w:tab w:leader="none" w:pos="6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Java Monster® Salted Caramel (January 2016).</w:t>
      </w:r>
    </w:p>
    <w:p>
      <w:pPr>
        <w:spacing w:after="0" w:line="207"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In the normal course of business we discontinue certain products and/or product lines. Those products or product lines discontinued in 2016, either individually or in aggregate, did not have a material adverse impact on our financial position, results of operations or liquidity.</w:t>
      </w:r>
    </w:p>
    <w:p>
      <w:pPr>
        <w:spacing w:after="0" w:line="17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Our net sales of $3,049.4 million for the year ended December 31, 2016 represented record annual net sales. The vast majority of our net sales are derived from our Monster Energy® brand energy drinks. Net sales of our Monster Energy® brand energy drinks were $2,747.9 million for the year ended December 31, 2016, an increase of $229.4 million, or 70.2% of our overall increase in net sales for the year ended December 31, 2016. Any decrease in net sales of our Monster Energy® brand energy drinks could have a significant adverse effect on our future revenues and net income. Competitive pressure in the energy drink category could also adversely affect our operating results. Net sales of our Strategic Brands acquired as part of the TCCC Transaction were $272.5 million for the year ended December 31, 2016.</w:t>
      </w:r>
    </w:p>
    <w:p>
      <w:pPr>
        <w:spacing w:after="0" w:line="19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Net changes in foreign currency exchange rates had an unfavorable impact on net sales in the Monster Energy® Drinks segment of approximately $17.6 million for the year ended December 31, 2016, primarily due to our operations in Europe, Mexico, Canada and South Africa, partially offset by our operations in Japan. Net changes in foreign currency exchange rates had an unfavorable impact on net sales in the Strategic Brands segment of approximately $4.7 million for the year ended December 31, 2016, primarily due to our operations in Europe.</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Our growth strategy includes expanding our international business. Gross sales to customers outside the United States amounted to $888.7 million, $713.2 million and $657.9 million for the years ended December 31, 2016, 2015 and 2014, respectively. Such sales were approximately 25%, 23% and 23% of gross sales for the years ended December 31, 2016, 2015 and 2014, respectively. Net changes in foreign currency exchange rates had an unfavorable impact on gross sales to customers outside the United States of approximately 3%, 14% and 1% for the years ended December 31, 2016, 2015, and 2014, respectively, primarily due to our operations in Europe, Mexico, Canada and South Africa, partially offset by our operations in Japan.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Our customers are primarily full service beverage bottlers/distributors, retail grocery and specialty chains, wholesalers, club stores, mass merchandisers, convenience chains, food service customers and the military. Percentages of our gross sales to our various customer types for the years ended December 31, 2016, 2015 and 2014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U.S. full service bottlers/distributors</w:t>
            </w:r>
          </w:p>
        </w:tc>
        <w:tc>
          <w:tcPr>
            <w:tcW w:w="152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20"/>
                <w:szCs w:val="20"/>
                <w:color w:val="auto"/>
                <w:w w:val="94"/>
              </w:rPr>
              <w:t>2016</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2015</w:t>
            </w: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4"/>
              </w:rPr>
              <w:t>2014</w:t>
            </w:r>
          </w:p>
        </w:tc>
        <w:tc>
          <w:tcPr>
            <w:tcW w:w="0" w:type="dxa"/>
            <w:vAlign w:val="bottom"/>
          </w:tcPr>
          <w:p>
            <w:pPr>
              <w:spacing w:after="0"/>
              <w:rPr>
                <w:sz w:val="1"/>
                <w:szCs w:val="1"/>
                <w:color w:val="auto"/>
              </w:rPr>
            </w:pPr>
          </w:p>
        </w:tc>
      </w:tr>
      <w:tr>
        <w:trPr>
          <w:trHeight w:val="200"/>
        </w:trPr>
        <w:tc>
          <w:tcPr>
            <w:tcW w:w="6640" w:type="dxa"/>
            <w:vAlign w:val="bottom"/>
            <w:vMerge w:val="continue"/>
          </w:tcPr>
          <w:p>
            <w:pPr>
              <w:spacing w:after="0"/>
              <w:rPr>
                <w:sz w:val="17"/>
                <w:szCs w:val="17"/>
                <w:color w:val="auto"/>
              </w:rPr>
            </w:pPr>
          </w:p>
        </w:tc>
        <w:tc>
          <w:tcPr>
            <w:tcW w:w="1520" w:type="dxa"/>
            <w:vAlign w:val="bottom"/>
          </w:tcPr>
          <w:p>
            <w:pPr>
              <w:jc w:val="center"/>
              <w:ind w:right="61"/>
              <w:spacing w:after="0" w:line="200" w:lineRule="exact"/>
              <w:rPr>
                <w:sz w:val="20"/>
                <w:szCs w:val="20"/>
                <w:color w:val="auto"/>
              </w:rPr>
            </w:pPr>
            <w:r>
              <w:rPr>
                <w:rFonts w:ascii="Times New Roman" w:cs="Times New Roman" w:eastAsia="Times New Roman" w:hAnsi="Times New Roman"/>
                <w:sz w:val="20"/>
                <w:szCs w:val="20"/>
                <w:color w:val="auto"/>
                <w:w w:val="98"/>
              </w:rPr>
              <w:t>65%</w:t>
            </w:r>
          </w:p>
        </w:tc>
        <w:tc>
          <w:tcPr>
            <w:tcW w:w="164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65%</w:t>
            </w:r>
          </w:p>
        </w:tc>
        <w:tc>
          <w:tcPr>
            <w:tcW w:w="16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rPr>
              <w:t>62%</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Club stores and mass merchandisers</w:t>
            </w:r>
          </w:p>
        </w:tc>
        <w:tc>
          <w:tcPr>
            <w:tcW w:w="152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97"/>
              </w:rPr>
              <w:t>8%</w:t>
            </w: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9%</w:t>
            </w: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9%</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International full service bottlers/distributors</w:t>
            </w:r>
          </w:p>
        </w:tc>
        <w:tc>
          <w:tcPr>
            <w:tcW w:w="1520" w:type="dxa"/>
            <w:vAlign w:val="bottom"/>
          </w:tcPr>
          <w:p>
            <w:pPr>
              <w:jc w:val="center"/>
              <w:ind w:right="61"/>
              <w:spacing w:after="0"/>
              <w:rPr>
                <w:sz w:val="20"/>
                <w:szCs w:val="20"/>
                <w:color w:val="auto"/>
              </w:rPr>
            </w:pPr>
            <w:r>
              <w:rPr>
                <w:rFonts w:ascii="Times New Roman" w:cs="Times New Roman" w:eastAsia="Times New Roman" w:hAnsi="Times New Roman"/>
                <w:sz w:val="20"/>
                <w:szCs w:val="20"/>
                <w:color w:val="auto"/>
                <w:w w:val="98"/>
              </w:rPr>
              <w:t>25%</w:t>
            </w: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23%</w:t>
            </w: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23%</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Retail grocery, specialty chains and wholesalers</w:t>
            </w:r>
          </w:p>
        </w:tc>
        <w:tc>
          <w:tcPr>
            <w:tcW w:w="152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97"/>
              </w:rPr>
              <w:t>1%</w:t>
            </w: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w:t>
            </w: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4%</w:t>
            </w:r>
          </w:p>
        </w:tc>
        <w:tc>
          <w:tcPr>
            <w:tcW w:w="0" w:type="dxa"/>
            <w:vAlign w:val="bottom"/>
          </w:tcPr>
          <w:p>
            <w:pPr>
              <w:spacing w:after="0"/>
              <w:rPr>
                <w:sz w:val="1"/>
                <w:szCs w:val="1"/>
                <w:color w:val="auto"/>
              </w:rPr>
            </w:pPr>
          </w:p>
        </w:tc>
      </w:tr>
      <w:tr>
        <w:trPr>
          <w:trHeight w:val="258"/>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152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97"/>
              </w:rPr>
              <w:t>1%</w:t>
            </w: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w:t>
            </w: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9"/>
          <w:szCs w:val="19"/>
          <w:color w:val="auto"/>
        </w:rPr>
        <w:t>Our customers include the TCCC North American Bottlers, Coca-Cola European Partners, Coca-Cola Hellenic, Coca-Cola FEMSA, Coca-Cola Amatil, Swire Coca-Cola group in China, COFCO Coca-Cola group in China, Asahi, Kalil Bottling Group, Wal-Mart, Inc. (including Sam’s Club), Costco and select Anheuser-Busch distributors (the “AB Distributors”). In February 2015, in accordance with our then existing agreements with the applicable AB Distributors, we sent notices of termination to the majority of the AB Distributors in the United States for the termination of their respective distribution agreements. The associated distribution rights relating to such terminated distribution agreements have been transitioned to TCCC’s network of owned or controlled bottlers/distributors and independent bottlers/distributors as of the effective date of termination of the affected AB Distributors’ rights in the applicable territories. As of March 1, 2017, distribution rights in the U.S. representing approximately 94% of the target case sales have been transitioned to TCCC’s distribution network. A decision by any large customer to decrease amounts purchased from us or to cease carrying our products could have a material negative effect on our financial</w:t>
      </w:r>
    </w:p>
    <w:p>
      <w:pPr>
        <w:sectPr>
          <w:pgSz w:w="11900" w:h="16846" w:orient="portrait"/>
          <w:cols w:equalWidth="0" w:num="1">
            <w:col w:w="11420"/>
          </w:cols>
          <w:pgMar w:left="240" w:top="332" w:right="239" w:bottom="0" w:gutter="0" w:footer="0" w:header="0"/>
        </w:sectPr>
      </w:pPr>
    </w:p>
    <w:bookmarkStart w:id="27" w:name="page28"/>
    <w:bookmarkEnd w:id="27"/>
    <w:p>
      <w:pPr>
        <w:spacing w:after="0" w:line="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condition and consolidated results of operations. TCCC, through certain wholly-owned subsidiaries (the “TCCC Subsidiaries”), accounted for approximately 41%, 43% and 29% of our net sales for the years ended December 31, 2016, 2015 and 2014, respectively.</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continue to incur expenditures in connection with the development and introduction of new products and flavors.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Value Drivers of our Business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believe that the key value drivers of our business include the following:</w:t>
      </w:r>
    </w:p>
    <w:p>
      <w:pPr>
        <w:spacing w:after="0" w:line="225" w:lineRule="exact"/>
        <w:rPr>
          <w:sz w:val="20"/>
          <w:szCs w:val="20"/>
          <w:color w:val="auto"/>
        </w:rPr>
      </w:pPr>
    </w:p>
    <w:p>
      <w:pPr>
        <w:jc w:val="both"/>
        <w:ind w:left="980" w:hanging="324"/>
        <w:spacing w:after="0" w:line="246" w:lineRule="auto"/>
        <w:tabs>
          <w:tab w:leader="none" w:pos="1029"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International Growth </w:t>
      </w:r>
      <w:r>
        <w:rPr>
          <w:rFonts w:ascii="Times New Roman" w:cs="Times New Roman" w:eastAsia="Times New Roman" w:hAnsi="Times New Roman"/>
          <w:sz w:val="20"/>
          <w:szCs w:val="20"/>
          <w:color w:val="auto"/>
        </w:rPr>
        <w:t>– The introduction, development and sustained profitability of our Monster Energy® brand internationally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remains a key value driver for our corporate growth. The TCCC Transaction is expected to secure fully aligned access to TCCC’s leading global distribution system, which we anticipate will accelerate our international performance. In addition, we anticipate that the TCCC Transaction will provide scale and platform synergies in a range of international geographies where we currently have limited presence, which is expected to increase our energy business in a number of international markets and establish a strong presence in additional countries for our Monster Energy® drinks brand.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jc w:val="both"/>
        <w:ind w:left="980" w:hanging="324"/>
        <w:spacing w:after="0" w:line="245" w:lineRule="auto"/>
        <w:tabs>
          <w:tab w:leader="none" w:pos="975"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Profitable Growth </w:t>
      </w:r>
      <w:r>
        <w:rPr>
          <w:rFonts w:ascii="Times New Roman" w:cs="Times New Roman" w:eastAsia="Times New Roman" w:hAnsi="Times New Roman"/>
          <w:sz w:val="20"/>
          <w:szCs w:val="20"/>
          <w:color w:val="auto"/>
        </w:rPr>
        <w:t>– We believe “functional” value-added brands supported by marketing and innovation and targeted to a diverse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consumer base, drive profitable growth. We continue to broaden our family of products. In particular, we have expanded our range of energy drinks, including through the addition of TCCC’s existing energy product lines in connection with the TCCC Transaction, to provide more alternatives to consumers. We are focused on increasing the profit margins for both our Monster Energy® Drinks segment and our Strategic Brands segment, and believe that tailored branding, packaging, pricing and distribution channel strategies help achieve profitable growth. We are implementing these strategies with a view to continuing profitable growth.</w:t>
      </w:r>
    </w:p>
    <w:p>
      <w:pPr>
        <w:spacing w:after="0" w:line="193" w:lineRule="exact"/>
        <w:rPr>
          <w:rFonts w:ascii="Times New Roman" w:cs="Times New Roman" w:eastAsia="Times New Roman" w:hAnsi="Times New Roman"/>
          <w:sz w:val="20"/>
          <w:szCs w:val="20"/>
          <w:color w:val="auto"/>
        </w:rPr>
      </w:pPr>
    </w:p>
    <w:p>
      <w:pPr>
        <w:jc w:val="both"/>
        <w:ind w:left="980" w:hanging="324"/>
        <w:spacing w:after="0" w:line="268" w:lineRule="auto"/>
        <w:tabs>
          <w:tab w:leader="none" w:pos="1047"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Cost Management </w:t>
      </w:r>
      <w:r>
        <w:rPr>
          <w:rFonts w:ascii="Times New Roman" w:cs="Times New Roman" w:eastAsia="Times New Roman" w:hAnsi="Times New Roman"/>
          <w:sz w:val="19"/>
          <w:szCs w:val="19"/>
          <w:color w:val="auto"/>
        </w:rPr>
        <w:t>– The principal focus of cost management will continue to be on reducing input procurement and production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costs on a per-case basis, including raw material costs and co-packing fees, as well as reducing freight costs by securing additional co-packing facilities strategically localized. Another key area of focus is to decrease promotional allowances, selling and general and administrative costs, including sponsorships, sampling, promotional and marketing expenses, as a percentage of net sales.</w:t>
      </w:r>
    </w:p>
    <w:p>
      <w:pPr>
        <w:spacing w:after="0" w:line="172" w:lineRule="exact"/>
        <w:rPr>
          <w:rFonts w:ascii="Times New Roman" w:cs="Times New Roman" w:eastAsia="Times New Roman" w:hAnsi="Times New Roman"/>
          <w:sz w:val="19"/>
          <w:szCs w:val="19"/>
          <w:color w:val="auto"/>
        </w:rPr>
      </w:pPr>
    </w:p>
    <w:p>
      <w:pPr>
        <w:jc w:val="both"/>
        <w:ind w:left="980" w:hanging="324"/>
        <w:spacing w:after="0" w:line="250" w:lineRule="auto"/>
        <w:tabs>
          <w:tab w:leader="none" w:pos="989"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Efficient Capital Structure </w:t>
      </w:r>
      <w:r>
        <w:rPr>
          <w:rFonts w:ascii="Times New Roman" w:cs="Times New Roman" w:eastAsia="Times New Roman" w:hAnsi="Times New Roman"/>
          <w:sz w:val="20"/>
          <w:szCs w:val="20"/>
          <w:color w:val="auto"/>
        </w:rPr>
        <w:t>– Our capital structure is designed to optimize our working capital in order to finance expansion, both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domestically and internationally. We believe that with our strong capital position, our ability to raise funds, if necessary, at a relatively low effective cost of borrowings, provides a competitive advantage. The reduction of accounts receivable and inventory days on hand will remain an area of focus.</w:t>
      </w:r>
    </w:p>
    <w:p>
      <w:pPr>
        <w:spacing w:after="0" w:line="19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We believe that, subject to increases in the costs of certain raw materials being contained, these value drivers, when properly implemented in the United States and internationally, will result in: (1) improving or maintaining our product gross profit margins;</w:t>
      </w:r>
    </w:p>
    <w:p>
      <w:pPr>
        <w:ind w:firstLine="8"/>
        <w:spacing w:after="0" w:line="246" w:lineRule="auto"/>
        <w:tabs>
          <w:tab w:leader="none" w:pos="287"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additional leverage over time through reduced expenses as a percentage of net operating revenues; and (3) enhancing our cost of capital. The ultimate measure of success is and will be reflected in our current and future results of operations.</w:t>
      </w:r>
    </w:p>
    <w:p>
      <w:pPr>
        <w:spacing w:after="0" w:line="1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Gross and net sales, gross profit, operating income, net income and net income per share represent key measurements of the above value drivers. These measurements will continue to be a key management focus in 2017 and beyond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See “Part II, Item 7 – Results of Operations – Results of Operations for the Year Ended December 31, 2016 Compared to the Year Ended December 31, 2015”).</w:t>
      </w:r>
    </w:p>
    <w:p>
      <w:pPr>
        <w:spacing w:after="0" w:line="18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As of December 31, 2016, the Company had working capital of $961.7 million compared to $3,189.2 million as of December 31, 2015. The decrease in working capital was primarily the result of the $2.0 billion Auction Stock Repurchase Tender and the AFF Transaction. For the year ended December 31, 2016, our net cash provided by operating activities was approximately $701.4 million as compared to $522.7 million for the year ended December 31, 2015. Principal uses of cash flows in 2016 (other than the Auction Stock Repurchase Tender and the AFF Transaction), were purchases of investments, development of our Monster Energy® brand internationally and acquisition of property and equipment. These principal uses of cash flows are expected to be and remain our principal recurring use of cash and working capital funds in the future (See “Part II, Item 7 – Liquidity and Capital Resources”).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Opportunities, Challenges and Risks</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Looking forward, our management has identified certain challenges and risks for the beverage industry and the Company, including our significant commercial relationship with TCCC and TCCC’s status as a significant shareholder of the Company, in each case as described above under “Part I, Item 1A – Risk Factors.”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In addition, legislation has been proposed and/or adopted at the U.S., state, county and/or municipal level and proposed and/or adopted in certain foreign jurisdictions to restrict the sale of energy drinks (including prohibiting the sale of energy drinks at certain establishments or pursuant to certain governmental programs), limit caffeine content in beverages, require certain product labeling disclosures and/or warnings, impose taxes, limit product sizes or impose age restrictions for the sale of energy drinks. In addition, articles critical of the caffeine content in energy drinks and their perceived benefits and articles indicating certain health risks of energy drinks have been published. The proposal and/or</w:t>
      </w:r>
    </w:p>
    <w:p>
      <w:pPr>
        <w:sectPr>
          <w:pgSz w:w="11900" w:h="16843" w:orient="portrait"/>
          <w:cols w:equalWidth="0" w:num="1">
            <w:col w:w="11420"/>
          </w:cols>
          <w:pgMar w:left="240" w:top="118" w:right="239" w:bottom="0" w:gutter="0" w:footer="0" w:header="0"/>
        </w:sectPr>
      </w:pPr>
    </w:p>
    <w:bookmarkStart w:id="28" w:name="page29"/>
    <w:bookmarkEnd w:id="28"/>
    <w:p>
      <w:pPr>
        <w:jc w:val="both"/>
        <w:spacing w:after="0" w:line="243" w:lineRule="auto"/>
        <w:rPr>
          <w:sz w:val="20"/>
          <w:szCs w:val="20"/>
          <w:color w:val="auto"/>
        </w:rPr>
      </w:pPr>
      <w:r>
        <w:rPr>
          <w:rFonts w:ascii="Times New Roman" w:cs="Times New Roman" w:eastAsia="Times New Roman" w:hAnsi="Times New Roman"/>
          <w:sz w:val="20"/>
          <w:szCs w:val="20"/>
          <w:color w:val="auto"/>
        </w:rPr>
        <w:t>adoption of such legislation and the publication of such articles, or the future proposal and/or adoption of similar legislation or publication of similar articles, may adversely affect our Company. In addition, uncertainty and/or volatility in our domestic and/or our international economic markets could negatively affect both the stability of our industry and our Company. Furthermore, our growth strategy includes expanding our international business, which exposes us to risks inherent in conducting international operations, including the risks associated with foreign currency exchange rate fluctuations. Consumer discretionary spending also represents a challenge to the successful marketing and sale of our products. Increases in consumer and regulatory awareness of the health problems arising from obesity and inactive lifestyles continue to represent a challenge. We recognize that obesity is a complex and serious public health problem. Our commitment to consumers begins with our broad product line and a wide selection of diet, light and low calorie beverages within our energy drink product line. We continuously strive to meet changing consumer needs through beverage innovation, choice and variety. (See “Part I, Item 1A – Risk Factors”).</w:t>
      </w:r>
    </w:p>
    <w:p>
      <w:pPr>
        <w:spacing w:after="0" w:line="19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Our historical success is attributable, in part, to our introduction of different and innovative beverages which have been positively accepted by consumers. Our future success will depend, in part, upon our continued ability to develop and introduce different and innovative beverages that meet consumer preferences, although there can be no assurance of our ability to do so. In order to retain and expand our market share, we must continue to develop and introduce different and innovative beverages and be competitive in the areas of price, quality, method of distribution, brand image and intellectual property protection. The beverage industry is subject to changing consumer preferences that may adversely affect us if we misjudge such preferences.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addition, other key challenges and risks that could impact our Company’s future financial results include, but are not limited to:</w:t>
      </w:r>
    </w:p>
    <w:p>
      <w:pPr>
        <w:spacing w:after="0" w:line="229" w:lineRule="exact"/>
        <w:rPr>
          <w:sz w:val="20"/>
          <w:szCs w:val="20"/>
          <w:color w:val="auto"/>
        </w:rPr>
      </w:pPr>
    </w:p>
    <w:p>
      <w:pPr>
        <w:ind w:left="1120" w:right="20" w:hanging="464"/>
        <w:spacing w:after="0" w:line="251" w:lineRule="auto"/>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risks associated with the realization of benefits from the TCCC Transaction, including the continued transition of the distribution of our products to TCCC’s distribution network;</w:t>
      </w:r>
    </w:p>
    <w:p>
      <w:pPr>
        <w:ind w:left="1120" w:hanging="464"/>
        <w:spacing w:after="0"/>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changes in consumer preferences and demand for our products;</w:t>
      </w:r>
    </w:p>
    <w:p>
      <w:pPr>
        <w:ind w:left="1120" w:hanging="464"/>
        <w:spacing w:after="0"/>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economic uncertainty in the United States, Europe and other countries in which we operate;</w:t>
      </w:r>
    </w:p>
    <w:p>
      <w:pPr>
        <w:ind w:left="1120" w:hanging="464"/>
        <w:spacing w:after="0"/>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risks associated with foreign currency exchange rate fluctuations;</w:t>
      </w:r>
    </w:p>
    <w:p>
      <w:pPr>
        <w:ind w:left="1120" w:hanging="464"/>
        <w:spacing w:after="0"/>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maintenance of our brand image and product quality;</w:t>
      </w:r>
    </w:p>
    <w:p>
      <w:pPr>
        <w:ind w:left="1120" w:hanging="464"/>
        <w:spacing w:after="0" w:line="239" w:lineRule="auto"/>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increasing concern over various health matters, including obesity, caffeine consumption and energy drinks generally, and changes in regulation and consumer preferences in response to those concerns;</w:t>
      </w:r>
    </w:p>
    <w:p>
      <w:pPr>
        <w:spacing w:after="0" w:line="1" w:lineRule="exact"/>
        <w:rPr>
          <w:rFonts w:ascii="Times New Roman" w:cs="Times New Roman" w:eastAsia="Times New Roman" w:hAnsi="Times New Roman"/>
          <w:sz w:val="18"/>
          <w:szCs w:val="18"/>
          <w:color w:val="auto"/>
        </w:rPr>
      </w:pPr>
    </w:p>
    <w:p>
      <w:pPr>
        <w:ind w:left="1120" w:right="20" w:hanging="464"/>
        <w:spacing w:after="0" w:line="239" w:lineRule="auto"/>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profitable expansion and growth of our family of brands in the competitive market place (See “Part I, Item 1 – Business – Competition” and “Part I, Item 1 – Business – Sales and Marketing”);</w:t>
      </w:r>
    </w:p>
    <w:p>
      <w:pPr>
        <w:spacing w:after="0" w:line="1" w:lineRule="exact"/>
        <w:rPr>
          <w:rFonts w:ascii="Times New Roman" w:cs="Times New Roman" w:eastAsia="Times New Roman" w:hAnsi="Times New Roman"/>
          <w:sz w:val="18"/>
          <w:szCs w:val="18"/>
          <w:color w:val="auto"/>
        </w:rPr>
      </w:pPr>
    </w:p>
    <w:p>
      <w:pPr>
        <w:ind w:left="1120" w:hanging="464"/>
        <w:spacing w:after="0"/>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costs of establishing and promoting our brands internationally;</w:t>
      </w:r>
    </w:p>
    <w:p>
      <w:pPr>
        <w:ind w:left="1120" w:hanging="464"/>
        <w:spacing w:after="0" w:line="239" w:lineRule="auto"/>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restrictions on imports and sources of supply, duties or tariffs, changes in related government regulations and disruptions in the timely import or export of our products and/or ingredients due to port strikes and related labor issues;</w:t>
      </w:r>
    </w:p>
    <w:p>
      <w:pPr>
        <w:spacing w:after="0" w:line="1" w:lineRule="exact"/>
        <w:rPr>
          <w:rFonts w:ascii="Times New Roman" w:cs="Times New Roman" w:eastAsia="Times New Roman" w:hAnsi="Times New Roman"/>
          <w:sz w:val="18"/>
          <w:szCs w:val="18"/>
          <w:color w:val="auto"/>
        </w:rPr>
      </w:pPr>
    </w:p>
    <w:p>
      <w:pPr>
        <w:ind w:left="1120" w:hanging="464"/>
        <w:spacing w:after="0" w:line="239" w:lineRule="auto"/>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protection of our existing intellectual property portfolio of trademarks and copyrights and the continuous pursuit to develop and protect new and innovative trademarks and copyrights for our expanding product lines;</w:t>
      </w:r>
    </w:p>
    <w:p>
      <w:pPr>
        <w:spacing w:after="0" w:line="1" w:lineRule="exact"/>
        <w:rPr>
          <w:rFonts w:ascii="Times New Roman" w:cs="Times New Roman" w:eastAsia="Times New Roman" w:hAnsi="Times New Roman"/>
          <w:sz w:val="18"/>
          <w:szCs w:val="18"/>
          <w:color w:val="auto"/>
        </w:rPr>
      </w:pPr>
    </w:p>
    <w:p>
      <w:pPr>
        <w:ind w:left="1120" w:hanging="464"/>
        <w:spacing w:after="0"/>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limitations on available quantities of certain package containers such as the 24-ounce cap-can;</w:t>
      </w:r>
    </w:p>
    <w:p>
      <w:pPr>
        <w:ind w:left="1120" w:hanging="464"/>
        <w:spacing w:after="0"/>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limitations on co-packing availability, particularly for retort production; and</w:t>
      </w:r>
    </w:p>
    <w:p>
      <w:pPr>
        <w:jc w:val="both"/>
        <w:ind w:left="1120" w:hanging="464"/>
        <w:spacing w:after="0" w:line="242" w:lineRule="auto"/>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imposition of additional regulation, including regulation restricting the sale of energy drinks, limiting caffeine content in beverages, requiring product labeling and/or warnings, imposing excise taxes and/or sales taxes, and/or limiting product size and/or age restrictions.</w:t>
      </w:r>
    </w:p>
    <w:p>
      <w:pPr>
        <w:spacing w:after="0" w:line="18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See “Part I, Item 1A – Risk Factors” for additional information about risks and uncertainties facing our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believe that the following opportunities exist for us:</w:t>
      </w:r>
    </w:p>
    <w:p>
      <w:pPr>
        <w:spacing w:after="0" w:line="229" w:lineRule="exact"/>
        <w:rPr>
          <w:sz w:val="20"/>
          <w:szCs w:val="20"/>
          <w:color w:val="auto"/>
        </w:rPr>
      </w:pPr>
    </w:p>
    <w:p>
      <w:pPr>
        <w:ind w:left="980" w:hanging="324"/>
        <w:spacing w:after="0" w:line="251" w:lineRule="auto"/>
        <w:tabs>
          <w:tab w:leader="none" w:pos="989"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domestic and international growth potential of our products due to our continued transition to a leading global distribution network and the scale and platform synergies expected in connection with the TCCC Transaction;</w:t>
      </w:r>
    </w:p>
    <w:p>
      <w:pPr>
        <w:ind w:left="940" w:hanging="284"/>
        <w:spacing w:after="0"/>
        <w:tabs>
          <w:tab w:leader="none" w:pos="9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growth potential of the energy drink category, both domestically and internationally;</w:t>
      </w:r>
    </w:p>
    <w:p>
      <w:pPr>
        <w:ind w:left="980" w:right="20" w:hanging="324"/>
        <w:spacing w:after="0" w:line="239" w:lineRule="auto"/>
        <w:tabs>
          <w:tab w:leader="none" w:pos="1043"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planned and future new product and product line introductions with the objective of increasing sales and/or contributing to higher profitability;</w:t>
      </w:r>
    </w:p>
    <w:p>
      <w:pPr>
        <w:spacing w:after="0" w:line="1"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introduction of premium and/or new packages designed to generate strong revenue growth;</w:t>
      </w:r>
    </w:p>
    <w:p>
      <w:pPr>
        <w:ind w:left="940" w:hanging="284"/>
        <w:spacing w:after="0"/>
        <w:tabs>
          <w:tab w:leader="none" w:pos="9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redesign, repackaging and repositioning of our Strategic Brands;</w:t>
      </w:r>
    </w:p>
    <w:p>
      <w:pPr>
        <w:ind w:left="940" w:hanging="284"/>
        <w:spacing w:after="0"/>
        <w:tabs>
          <w:tab w:leader="none" w:pos="9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package, pricing and channel opportunities to increase profitable growth;</w:t>
      </w:r>
    </w:p>
    <w:p>
      <w:pPr>
        <w:ind w:left="940" w:hanging="284"/>
        <w:spacing w:after="0"/>
        <w:tabs>
          <w:tab w:leader="none" w:pos="9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strategic positioning to capitalize on industry growth;</w:t>
      </w:r>
    </w:p>
    <w:p>
      <w:pPr>
        <w:ind w:left="940" w:hanging="284"/>
        <w:spacing w:after="0"/>
        <w:tabs>
          <w:tab w:leader="none" w:pos="9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broadening distribution/expansion opportunities in both domestic and international markets;</w:t>
      </w:r>
    </w:p>
    <w:p>
      <w:pPr>
        <w:ind w:left="940" w:hanging="284"/>
        <w:spacing w:after="0"/>
        <w:tabs>
          <w:tab w:leader="none" w:pos="9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launching and/or relaunching our products into new geographic markets such as India and additional markets in China; and</w:t>
      </w:r>
    </w:p>
    <w:p>
      <w:pPr>
        <w:ind w:left="940" w:hanging="284"/>
        <w:spacing w:after="0"/>
        <w:tabs>
          <w:tab w:leader="none" w:pos="9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continued focus on reducing our cost base.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sets forth key statistics for the years ended December 31, 2016, 2015 and 2014, respectively.</w:t>
      </w:r>
    </w:p>
    <w:p>
      <w:pPr>
        <w:sectPr>
          <w:pgSz w:w="11900" w:h="16838" w:orient="portrait"/>
          <w:cols w:equalWidth="0" w:num="1">
            <w:col w:w="11420"/>
          </w:cols>
          <w:pgMar w:left="240" w:top="118" w:right="239" w:bottom="0" w:gutter="0" w:footer="0" w:header="0"/>
        </w:sectPr>
      </w:pPr>
    </w:p>
    <w:p>
      <w:pPr>
        <w:spacing w:after="0" w:line="216" w:lineRule="exact"/>
        <w:rPr>
          <w:sz w:val="20"/>
          <w:szCs w:val="20"/>
          <w:color w:val="auto"/>
        </w:rPr>
      </w:pPr>
    </w:p>
    <w:p>
      <w:pPr>
        <w:spacing w:after="0"/>
        <w:tabs>
          <w:tab w:leader="none" w:pos="9000" w:val="left"/>
          <w:tab w:leader="none" w:pos="10300" w:val="left"/>
        </w:tabs>
        <w:rPr>
          <w:sz w:val="20"/>
          <w:szCs w:val="20"/>
          <w:color w:val="auto"/>
        </w:rPr>
      </w:pPr>
      <w:r>
        <w:rPr>
          <w:rFonts w:ascii="Times New Roman" w:cs="Times New Roman" w:eastAsia="Times New Roman" w:hAnsi="Times New Roman"/>
          <w:sz w:val="18"/>
          <w:szCs w:val="18"/>
          <w:color w:val="auto"/>
        </w:rPr>
        <w:t>(In thousands, except per share</w:t>
      </w:r>
      <w:r>
        <w:rPr>
          <w:sz w:val="20"/>
          <w:szCs w:val="20"/>
          <w:color w:val="auto"/>
        </w:rPr>
        <w:tab/>
      </w:r>
      <w:r>
        <w:rPr>
          <w:rFonts w:ascii="Times New Roman" w:cs="Times New Roman" w:eastAsia="Times New Roman" w:hAnsi="Times New Roman"/>
          <w:sz w:val="18"/>
          <w:szCs w:val="18"/>
          <w:b w:val="1"/>
          <w:bCs w:val="1"/>
          <w:color w:val="auto"/>
        </w:rPr>
        <w:t>Percentage</w:t>
      </w:r>
      <w:r>
        <w:rPr>
          <w:sz w:val="20"/>
          <w:szCs w:val="20"/>
          <w:color w:val="auto"/>
        </w:rPr>
        <w:tab/>
      </w:r>
      <w:r>
        <w:rPr>
          <w:rFonts w:ascii="Times New Roman" w:cs="Times New Roman" w:eastAsia="Times New Roman" w:hAnsi="Times New Roman"/>
          <w:sz w:val="17"/>
          <w:szCs w:val="17"/>
          <w:b w:val="1"/>
          <w:bCs w:val="1"/>
          <w:color w:val="auto"/>
        </w:rPr>
        <w:t>Percentage</w:t>
      </w:r>
    </w:p>
    <w:p>
      <w:pPr>
        <w:sectPr>
          <w:pgSz w:w="11900" w:h="16838" w:orient="portrait"/>
          <w:cols w:equalWidth="0" w:num="1">
            <w:col w:w="11420"/>
          </w:cols>
          <w:pgMar w:left="240" w:top="118" w:right="239" w:bottom="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amounts)</w:t>
            </w:r>
          </w:p>
        </w:tc>
        <w:tc>
          <w:tcPr>
            <w:tcW w:w="320" w:type="dxa"/>
            <w:vAlign w:val="bottom"/>
          </w:tcPr>
          <w:p>
            <w:pPr>
              <w:spacing w:after="0"/>
              <w:rPr>
                <w:sz w:val="20"/>
                <w:szCs w:val="20"/>
                <w:color w:val="auto"/>
              </w:rPr>
            </w:pPr>
          </w:p>
        </w:tc>
        <w:tc>
          <w:tcPr>
            <w:tcW w:w="9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60" w:type="dxa"/>
            <w:vAlign w:val="bottom"/>
          </w:tcPr>
          <w:p>
            <w:pPr>
              <w:spacing w:after="0"/>
              <w:rPr>
                <w:sz w:val="20"/>
                <w:szCs w:val="20"/>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sales¹</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16 vs. 15</w:t>
            </w:r>
          </w:p>
        </w:tc>
        <w:tc>
          <w:tcPr>
            <w:tcW w:w="16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15 vs. 14</w:t>
            </w:r>
          </w:p>
        </w:tc>
        <w:tc>
          <w:tcPr>
            <w:tcW w:w="0" w:type="dxa"/>
            <w:vAlign w:val="bottom"/>
          </w:tcPr>
          <w:p>
            <w:pPr>
              <w:spacing w:after="0"/>
              <w:rPr>
                <w:sz w:val="1"/>
                <w:szCs w:val="1"/>
                <w:color w:val="auto"/>
              </w:rPr>
            </w:pPr>
          </w:p>
        </w:tc>
      </w:tr>
      <w:tr>
        <w:trPr>
          <w:trHeight w:val="228"/>
        </w:trPr>
        <w:tc>
          <w:tcPr>
            <w:tcW w:w="4580" w:type="dxa"/>
            <w:vAlign w:val="bottom"/>
            <w:vMerge w:val="continue"/>
          </w:tcPr>
          <w:p>
            <w:pPr>
              <w:spacing w:after="0"/>
              <w:rPr>
                <w:sz w:val="19"/>
                <w:szCs w:val="19"/>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3,049,393</w:t>
            </w:r>
          </w:p>
        </w:tc>
        <w:tc>
          <w:tcPr>
            <w:tcW w:w="180" w:type="dxa"/>
            <w:vAlign w:val="bottom"/>
          </w:tcPr>
          <w:p>
            <w:pPr>
              <w:spacing w:after="0"/>
              <w:rPr>
                <w:sz w:val="19"/>
                <w:szCs w:val="19"/>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2,722,564</w:t>
            </w:r>
          </w:p>
        </w:tc>
        <w:tc>
          <w:tcPr>
            <w:tcW w:w="180" w:type="dxa"/>
            <w:vAlign w:val="bottom"/>
          </w:tcPr>
          <w:p>
            <w:pPr>
              <w:spacing w:after="0"/>
              <w:rPr>
                <w:sz w:val="19"/>
                <w:szCs w:val="19"/>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2,464,867</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33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1,107,393</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1,090,263</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1,125,057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1"/>
        </w:trPr>
        <w:tc>
          <w:tcPr>
            <w:tcW w:w="4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Gross profit*¹</w:t>
            </w:r>
          </w:p>
        </w:tc>
        <w:tc>
          <w:tcPr>
            <w:tcW w:w="320" w:type="dxa"/>
            <w:vAlign w:val="bottom"/>
          </w:tcPr>
          <w:p>
            <w:pPr>
              <w:spacing w:after="0"/>
              <w:rPr>
                <w:sz w:val="16"/>
                <w:szCs w:val="16"/>
                <w:color w:val="auto"/>
              </w:rPr>
            </w:pPr>
          </w:p>
        </w:tc>
        <w:tc>
          <w:tcPr>
            <w:tcW w:w="9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1,942,000</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1,632,301</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1,339,810</w:t>
            </w:r>
          </w:p>
        </w:tc>
        <w:tc>
          <w:tcPr>
            <w:tcW w:w="130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19.0%</w:t>
            </w:r>
          </w:p>
        </w:tc>
        <w:tc>
          <w:tcPr>
            <w:tcW w:w="16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as a percentage of net sales¹</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expenses²</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856,662</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900,118</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592,305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 as a percentage of net sales</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Monster Non-Energy</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161,470</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income¹‚²</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1,085,338</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893,653</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747,505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as a percentage of net sales</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42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taxes¹‚²</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1,079,685</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891,548</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745,788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432"/>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367,000</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344,815</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262,603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30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as a percentage of income before taxes</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income¹‚²</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712,685</w:t>
            </w:r>
          </w:p>
        </w:tc>
        <w:tc>
          <w:tcPr>
            <w:tcW w:w="180" w:type="dxa"/>
            <w:vAlign w:val="bottom"/>
          </w:tcPr>
          <w:p>
            <w:pPr>
              <w:spacing w:after="0"/>
              <w:rPr>
                <w:sz w:val="24"/>
                <w:szCs w:val="24"/>
                <w:color w:val="auto"/>
              </w:rPr>
            </w:pP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546,733</w:t>
            </w:r>
          </w:p>
        </w:tc>
        <w:tc>
          <w:tcPr>
            <w:tcW w:w="180" w:type="dxa"/>
            <w:vAlign w:val="bottom"/>
          </w:tcPr>
          <w:p>
            <w:pPr>
              <w:spacing w:after="0"/>
              <w:rPr>
                <w:sz w:val="24"/>
                <w:szCs w:val="24"/>
                <w:color w:val="auto"/>
              </w:rPr>
            </w:pP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483,185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as a percentage of net sales</w:t>
            </w: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5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tcPr>
          <w:p>
            <w:pPr>
              <w:spacing w:after="0"/>
              <w:rPr>
                <w:sz w:val="18"/>
                <w:szCs w:val="18"/>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80" w:type="dxa"/>
            <w:vAlign w:val="bottom"/>
          </w:tcPr>
          <w:p>
            <w:pPr>
              <w:spacing w:after="0"/>
              <w:rPr>
                <w:sz w:val="18"/>
                <w:szCs w:val="18"/>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4"/>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tcPr>
          <w:p>
            <w:pPr>
              <w:spacing w:after="0"/>
              <w:rPr>
                <w:sz w:val="20"/>
                <w:szCs w:val="20"/>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80" w:type="dxa"/>
            <w:vAlign w:val="bottom"/>
          </w:tcPr>
          <w:p>
            <w:pPr>
              <w:spacing w:after="0"/>
              <w:rPr>
                <w:sz w:val="20"/>
                <w:szCs w:val="20"/>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41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Case sales (in thousands)</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 192-ounce case equivalents)</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320,960</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274,621</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238,280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¹</w:t>
      </w:r>
      <w:r>
        <w:rPr>
          <w:rFonts w:ascii="Times New Roman" w:cs="Times New Roman" w:eastAsia="Times New Roman" w:hAnsi="Times New Roman"/>
          <w:sz w:val="16"/>
          <w:szCs w:val="16"/>
          <w:i w:val="1"/>
          <w:iCs w:val="1"/>
          <w:color w:val="auto"/>
        </w:rPr>
        <w:t>Includes $40.3 million, $62.8 million and $15.0 million for the years ended December 31, 2016, 2015 and 2014, respectively, related to the recognition of deferred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6"/>
          <w:szCs w:val="16"/>
          <w:i w:val="1"/>
          <w:iCs w:val="1"/>
          <w:color w:val="auto"/>
        </w:rPr>
        <w:t>Included in the $40.3 million and the $62.8 million recognition of deferred revenue for the years ended December 31, 2016 and 2015, respectively, is $5.7 million and $39.8 million related to the accelerated amortization of the deferred revenue balances associated with certain of the Company’s prior distributors who were sent notices of termination during the relevant periods.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²Includes $79.8 million, $224.0 million and ($0.2) million for the years ended December 31, 2016, 2015 and 2014, respectively, related to distributor termination costs.</w:t>
      </w:r>
    </w:p>
    <w:p>
      <w:pPr>
        <w:spacing w:after="0" w:line="2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Results of Operations for the Year Ended December 31, 2016 Compared to the Year Ended December 31, 2015.</w:t>
      </w:r>
    </w:p>
    <w:p>
      <w:pPr>
        <w:spacing w:after="0" w:line="22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Net Sales. </w:t>
      </w:r>
      <w:r>
        <w:rPr>
          <w:rFonts w:ascii="Times New Roman" w:cs="Times New Roman" w:eastAsia="Times New Roman" w:hAnsi="Times New Roman"/>
          <w:sz w:val="20"/>
          <w:szCs w:val="20"/>
          <w:color w:val="auto"/>
        </w:rPr>
        <w:t>Net sales were $3,049.4 million for the year ended December 31, 2016, an increase of approximately $326.8 million,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12.0% higher than net sales of $2,722.6 million for the year ended December 31, 2015. The increase in net sales of our Monster Energy® brand energy drinks represented approximately $229.4 million of the overall increase in net sales. Net sales of our Monster Energy® brand energy drinks increased partially due to increased sales by volume as a result of increased domestic and international consumer demand. Net sales of our Strategic Brands were $272.5 million for the year ended December 31, 2016, as compared with $143.3 million for the year ended December 31, 2015 (effectively from June 13, 2015 to December 31, 2015). There were no net sales during the year ended December 31, 2016 for the non-energy brands disposed of as a result of the TCCC Transaction on June 12, 2015, which resulted in a decrease in net sales of $60.8 million from the year ended December 31, 2015. Net sales of our AFF Third- Party Products were $17.0 million for the year ended December 31, 2016. There were no net sales of our AFF Third-Party Products for the year ended December 31, 2015. Net sales included $5.7 million and $39.8 million for the years ended December 31, 2016 and 2015, respectively, related to the acceleration of deferred revenue balances associated with certain of the Company’s prior distributors. No other individual product line contributed either a material increase or decrease to net sales for the year ended December 31, 2016.</w:t>
      </w:r>
    </w:p>
    <w:p>
      <w:pPr>
        <w:spacing w:after="0" w:line="20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Net changes in foreign currency exchange rates had an unfavorable impact on net sales in the Monster Energy® Drinks segment of approximately $17.6 million for the year ended December 31, 2016, primarily due to our operations in Europe, Mexico, Canada and South Africa, partially offset by our operations in Japan. Net changes in foreign currency exchange rates had an unfavorable impact on net sales in the Strategic Brands segment of approximately $4.7 million for the year ended December 31, 2016, primarily due to our operations in Europe.</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Case sales, in 192-ounce case equivalents, were 321.0 million cases for the year ended December 31, 2016, an increase of approximately 46.3 million cases or 16.9% higher than case sales of 274.6 million cases for the year ended December 31, 2015. The overall average net sales per case (excluding AFF Third-Party Products’ net sales of $17.0 million, as these sales do not have unit case equivalents) decreased to $9.45 for the year ended December 31, 2016, which was 4.7% lower than the average net sales per case of $9.91 for the year</w:t>
      </w:r>
    </w:p>
    <w:p>
      <w:pPr>
        <w:sectPr>
          <w:pgSz w:w="11900" w:h="16838" w:orient="portrait"/>
          <w:cols w:equalWidth="0" w:num="1">
            <w:col w:w="11420"/>
          </w:cols>
          <w:pgMar w:left="240" w:top="117" w:right="239" w:bottom="0" w:gutter="0" w:footer="0" w:header="0"/>
        </w:sectPr>
      </w:pPr>
    </w:p>
    <w:bookmarkStart w:id="30" w:name="page31"/>
    <w:bookmarkEnd w:id="30"/>
    <w:p>
      <w:pPr>
        <w:jc w:val="both"/>
        <w:spacing w:after="0" w:line="268" w:lineRule="auto"/>
        <w:rPr>
          <w:sz w:val="20"/>
          <w:szCs w:val="20"/>
          <w:color w:val="auto"/>
        </w:rPr>
      </w:pPr>
      <w:r>
        <w:rPr>
          <w:rFonts w:ascii="Times New Roman" w:cs="Times New Roman" w:eastAsia="Times New Roman" w:hAnsi="Times New Roman"/>
          <w:sz w:val="20"/>
          <w:szCs w:val="20"/>
          <w:color w:val="auto"/>
        </w:rPr>
        <w:t>ended December 31, 2015. The lower net sales per case was primarily attributable to sales of concentrates and/or beverage bases in the Strategic Brands segment, which generally generate lower net operating revenues than products within the Monster Energy® Drinks segment.</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Net sales for the Monster Energy® Drinks segment were $2,759.9 million for the year ended December 31, 2016, an increase of approximately $241.4 million, or 9.6% higher than net sales of $2,518.5 million for the year ended December 31, 2015. No other individual product line contributed either a material increase or decrease to net sales for the year ended December 31, 2016.</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Net sales for the Strategic Brands segment were $272.5 million for the year ended December 31, 2016, an increase of approximately $129.2 million, or 90.2% higher than net sales of $143.3 million for the year ended December 31, 2015 (effectively from June 13, 2015 to December 31, 2015).</w:t>
      </w:r>
    </w:p>
    <w:p>
      <w:pPr>
        <w:spacing w:after="0" w:line="18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Net sales for the Other segment were $17.0 million for the year ended December 31, 2016, a decrease of approximately $43.8 million, or 72.0% lower than net sales of $60.8 million for the year ended December 31, 2015. Net sales for the Other segment for the year ended December 31, 2016 are comprised of sales of the AFF Third-Party Products. Net sales for the Other segment for the year ended December 31, 2015 are comprised of sales of the non-energy brands disposed of as a result of the TCCC Transaction on June 12, 2015 (effectively from January 1, 2015 to June 12, 2015).</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Gross Profit. </w:t>
      </w:r>
      <w:r>
        <w:rPr>
          <w:rFonts w:ascii="Times New Roman" w:cs="Times New Roman" w:eastAsia="Times New Roman" w:hAnsi="Times New Roman"/>
          <w:sz w:val="20"/>
          <w:szCs w:val="20"/>
          <w:color w:val="auto"/>
        </w:rPr>
        <w:t>Gross profit was $1,942.0 million for the year ended December 31, 2016, an increase of approximately $309.7 million,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19.0% higher than the gross profit of $1,632.3 million for the year ended December 31, 2015. Gross profit as a percentage of net sales increased to 63.7% for the year ended December 31, 2016 from 60.0% for the year ended December 31, 2015. The increase in gross profit dollars was primarily the result of the $229.4 million and $129.2 million increase in net sales of our Monster Energy® brand energy drinks and our Strategic Brands, respectively. The increase in gross profit as a percentage of net sales was primarily attributable to (i) the Strategic Brands segment, which generally has higher gross margins than the Monster Energy® Drinks segment, (ii) no sales in the year ended December 31, 2016 for the non-energy brands disposed of as a result of the TCCC Transaction on June 12, 2015, which generally had lower gross margins than the Monster Energy® Drinks segment, (iii) lower costs of certain raw materials, (iv) the raw material cost savings resulting from the AFF Transaction and (v) changes in product sales mix.</w:t>
      </w:r>
    </w:p>
    <w:p>
      <w:pPr>
        <w:spacing w:after="0" w:line="20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i w:val="1"/>
          <w:iCs w:val="1"/>
          <w:color w:val="auto"/>
        </w:rPr>
        <w:t>Operating Expenses</w:t>
      </w:r>
      <w:r>
        <w:rPr>
          <w:rFonts w:ascii="Times New Roman" w:cs="Times New Roman" w:eastAsia="Times New Roman" w:hAnsi="Times New Roman"/>
          <w:sz w:val="20"/>
          <w:szCs w:val="20"/>
          <w:color w:val="auto"/>
        </w:rPr>
        <w:t>. Total operating expenses were $856.7 million for the year ended December 31, 2016, a decrease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approximately $43.5 million, or 4.8% lower than total operating expenses of $900.1 million for the year ended December 31, 2015. The decrease in operating expenses was primarily due to the $144.2 million decrease in costs associated with distributor terminations. To a lesser extent, the decrease in operating expenses was also due to decreased expenditures of $15.4 million of professional service costs and transaction expenses related to the TCCC Transaction, decreased expenditures of $3.5 million for distribution costs and decreased expenditures of $3.5 million for advertising. The decrease in operating expenses was partially offset by increased payroll expenses of $29.5 million (of which $13.1 million was related to an increase in stock-based compensation), increased expenditures of $27.3 million for sponsorships and endorsements, increased expenditures of $15.7 million for professional service costs (exclusive of expenditures related to the Auction Stock Repurchase Tender, the AFF Transaction and the TCCC Transaction), including legal and accounting fees, increased expenditures of $8.4 million for premiums, increased expenditures of $7.9 million for other marketing expenses, increased expenditures of $6.5 million for commissions, increased intangible asset amortization of $6.6 million and $6.0 million of professional service costs and transaction expenses related to the Auction Stock Repurchase Tender and the AFF Transaction, respectively.</w:t>
      </w:r>
    </w:p>
    <w:p>
      <w:pPr>
        <w:spacing w:after="0" w:line="20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Contribution Margin. </w:t>
      </w:r>
      <w:r>
        <w:rPr>
          <w:rFonts w:ascii="Times New Roman" w:cs="Times New Roman" w:eastAsia="Times New Roman" w:hAnsi="Times New Roman"/>
          <w:sz w:val="20"/>
          <w:szCs w:val="20"/>
          <w:color w:val="auto"/>
        </w:rPr>
        <w:t>Contribution margin for the Monster Energy® Drinks segment was $1,148.4 million for the year ended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December 31, 2016, an increase of approximately $312.4 million, or 37.4% higher than contribution margin of $836.1 million for the year ended December 31, 2015. The increase in contribution margin for the Monster Energy® Drinks segment was primarily the result of the $144.2 million decrease in costs associated with distributor terminations as well as the $229.4 million increase in net sales of our Monster Energy® brand energy drinks. The increase in contribution margin for the Monster Energy® Drinks segment was partially offset by the $39.8 million of accelerated amortization of deferred revenue during the year ended December 31, 2015 related to distributor terminations, as compared to $5.7 million during the year ended December 31, 2016.</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Contribution margin for the Strategic Brands segment was $163.1 million for the year ended December 31, 2016, an increase of approximately $73.3 million, or 81.6% higher than contribution margin of $89.8 million for the year ended December 31, 2015 (effectively from June 13, 2015 to December 31, 2015).</w:t>
      </w:r>
    </w:p>
    <w:p>
      <w:pPr>
        <w:spacing w:after="0" w:line="188"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Contribution margin for the Other segment was $2.3 million for the year ended December 31, 2016, as compared to contribution margin of $165.2 million for the year ended December 31, 2015. Included in contribution margin for the Other segment for the year ended December 31, 2015 was the $161.5 million gain on the sale of the rights in and to our non-energy business (“Monster Non-Energy”) to TCCC.</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Operating Income. </w:t>
      </w:r>
      <w:r>
        <w:rPr>
          <w:rFonts w:ascii="Times New Roman" w:cs="Times New Roman" w:eastAsia="Times New Roman" w:hAnsi="Times New Roman"/>
          <w:sz w:val="20"/>
          <w:szCs w:val="20"/>
          <w:color w:val="auto"/>
        </w:rPr>
        <w:t>Operating income was $1,085.3 million for the year ended December 31, 2016, an increase of approximately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$191.7 million, or 21.4% higher than operating income of $893.7 million for the year ended December 31, 2015. Operating income as a percentage of net sales increased to 35.6% for the year ended December 31, 2016 from 32.8% for the year ended December 31, 2015. The increase in operating income in dollars was primarily due to the $144.2 million decrease in costs associated with distributor terminations, as well as the $309.7 million increase in gross profit. The increase in operating income was partially offset by the $161.5 million gain on the sale</w:t>
      </w:r>
    </w:p>
    <w:p>
      <w:pPr>
        <w:sectPr>
          <w:pgSz w:w="11900" w:h="16838" w:orient="portrait"/>
          <w:cols w:equalWidth="0" w:num="1">
            <w:col w:w="11420"/>
          </w:cols>
          <w:pgMar w:left="240" w:top="118" w:right="239" w:bottom="0" w:gutter="0" w:footer="0" w:header="0"/>
        </w:sectPr>
      </w:pPr>
    </w:p>
    <w:bookmarkStart w:id="31" w:name="page32"/>
    <w:bookmarkEnd w:id="31"/>
    <w:p>
      <w:pPr>
        <w:jc w:val="both"/>
        <w:spacing w:after="0" w:line="295" w:lineRule="auto"/>
        <w:rPr>
          <w:sz w:val="20"/>
          <w:szCs w:val="20"/>
          <w:color w:val="auto"/>
        </w:rPr>
      </w:pPr>
      <w:r>
        <w:rPr>
          <w:rFonts w:ascii="Times New Roman" w:cs="Times New Roman" w:eastAsia="Times New Roman" w:hAnsi="Times New Roman"/>
          <w:sz w:val="19"/>
          <w:szCs w:val="19"/>
          <w:color w:val="auto"/>
        </w:rPr>
        <w:t>of Monster Non-Energy for the year ended December 31, 2015. Operating income was $101.7 million and $67.0 million for the year ended December 31, 2016 and 2015, respectively, in relation to our operations in Africa, Asia, Australia, Europe, the Middle East and South America.</w:t>
      </w:r>
    </w:p>
    <w:p>
      <w:pPr>
        <w:spacing w:after="0" w:line="14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Other Expense, net</w:t>
      </w:r>
      <w:r>
        <w:rPr>
          <w:rFonts w:ascii="Times New Roman" w:cs="Times New Roman" w:eastAsia="Times New Roman" w:hAnsi="Times New Roman"/>
          <w:sz w:val="20"/>
          <w:szCs w:val="20"/>
          <w:color w:val="auto"/>
        </w:rPr>
        <w:t>. Other expense, net was $5.7 million for the year ended December 31, 2016, as compared to other expense, net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$2.1 million for the year ended December 31, 2015. Foreign currency transaction losses were $9.7 million and $5.5 million for the years ended December 31, 2016 and 2015, respectively. Interest income was $4.0 million and $3.1 million for the years ended December 31, 2016 and 2015, respectively.</w:t>
      </w:r>
    </w:p>
    <w:p>
      <w:pPr>
        <w:spacing w:after="0" w:line="19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Provision for Income Taxes</w:t>
      </w:r>
      <w:r>
        <w:rPr>
          <w:rFonts w:ascii="Times New Roman" w:cs="Times New Roman" w:eastAsia="Times New Roman" w:hAnsi="Times New Roman"/>
          <w:sz w:val="20"/>
          <w:szCs w:val="20"/>
          <w:color w:val="auto"/>
        </w:rPr>
        <w:t>. Provision for income taxes was $367.0 million for the year ended December 31, 2016, an increase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$22.2 million or 6.4% higher than the provision for income taxes of $344.8 million for the year ended December 31, 2015. The effective combined federal, state and foreign tax rate decreased to 34.0% from 38.7% for the years ended December 31, 2016 and 2015, respectively. The decrease in the effective tax rate was primarily due to the increase in the stock compensation deduction as well as the increase in the domestic production deduction taken in the year ended December 31, 2016. The decrease in the effective tax rate was partially offset by the disallowance of a tax deduction for certain costs related to the TCCC Transaction and the release of the valuation allowance against the deferred tax assets of a certain foreign jurisdiction in the year ended December 31, 2015.</w:t>
      </w:r>
    </w:p>
    <w:p>
      <w:pPr>
        <w:spacing w:after="0" w:line="19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i w:val="1"/>
          <w:iCs w:val="1"/>
          <w:color w:val="auto"/>
        </w:rPr>
        <w:t>Net Income</w:t>
      </w:r>
      <w:r>
        <w:rPr>
          <w:rFonts w:ascii="Times New Roman" w:cs="Times New Roman" w:eastAsia="Times New Roman" w:hAnsi="Times New Roman"/>
          <w:sz w:val="20"/>
          <w:szCs w:val="20"/>
          <w:color w:val="auto"/>
        </w:rPr>
        <w:t>. Net income was $712.7 million for the year ended December 31, 2016, an increase of $165.9 million or 30.4% higher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than net income of $546.7 million for the year ended December 31, 2015. The increase in net income was primarily attributable to the $144.2 million decrease in costs associated with distributor terminations as well as the increase in gross profit of $309.7 million. The increase in net income was partially offset by the $161.5 million gain on the sale of Monster Non-Energy for the year ended December 31, 2015 as well as an increase in the provision for income taxes of $22.2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Results of Operations for the Year Ended December 31, 2015 Compared to the Year Ended December 31, 2014.</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Net Sales. </w:t>
      </w:r>
      <w:r>
        <w:rPr>
          <w:rFonts w:ascii="Times New Roman" w:cs="Times New Roman" w:eastAsia="Times New Roman" w:hAnsi="Times New Roman"/>
          <w:sz w:val="19"/>
          <w:szCs w:val="19"/>
          <w:color w:val="auto"/>
        </w:rPr>
        <w:t>Net sales were $2,722.6 million for the year ended December 31, 2015, an increase of approximately $257.7 million,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10.5% higher than net sales of $2,464.9 million for the year ended December 31, 2014. The increase in net sales of our Monster Energy® brand energy drinks represented approximately $204.0 million of the overall increase in net sales. Net sales of our Monster Energy® brand energy drinks increased partially due to increased sales by volume as a result of increased domestic and international consumer demand. Net sales of our Strategic Brands were $143.3 million for the year ended December 31, 2015. Net sales for the Other segment, the principal products of which include the brands disposed of as a result of the TCCC Transaction on June 12, 2015, decreased $89.6 million for the year ended December 31, 2015 (effectively from January 1, 2015 to June 12, 2015). Net sales for the year ended December 31, 2015 included $39.8 million related to the accelerated amortization of the deferred revenue balances associated with certain of the Company’s prior distributors. No other individual product line contributed either a material increase or decrease to net sales for the year ended December 31, 2015.</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Net changes in foreign currency exchange rates had an unfavorable impact on net sales in the Monster Energy® Drinks segment of approximately $74.1 million for the year ended December 31, 2015, primarily due to our operations in Europe, Japan, Mexico, Canada and South Africa. Net changes in foreign currency exchange rates had an unfavorable impact on net sales in the Strategic Brands segment of approximately $10.2 million for the year ended December 31, 2015, primarily due to our operations in Europe.</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Case sales, in 192-ounce case equivalents, were 274.6 million cases for the year ended December 31, 2015, an increase of approximately 36.3 million cases or 15.3% higher than case sales of 238.3 million cases for the year ended December 31, 2014. The overall average net sales per case decreased to $9.91 for the year ended December 31, 2015, which was 4.2% lower than the average net sales per case of $10.34 for the year ended December 31, 2014. The lower average net sales per case was primarily attributable to sales of concentrates and/or beverage bases in the Strategic Brands segment, which generally generate lower net operating revenues than those products within the Monster Energy® Drinks segment.</w:t>
      </w:r>
    </w:p>
    <w:p>
      <w:pPr>
        <w:spacing w:after="0" w:line="19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Net sales for the Monster Energy® Drinks segment were $2,518.5 million for the year ended December 31, 2015, an increase of approximately $204.0 million, or 8.8% higher than net sales of $2,314.5 million for the year ended December 31, 2014.</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Net sales for the Strategic Brands segment were $143.3 million for the year ended December 31, 2015 (effectively from June 13, 2015 to December 31, 2015). There were no net sales for the Strategic Brands segment for the year ended December 31, 2014.</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Net sales for the Other segment, the principal products of which include the brands disposed of as a result of the TCCC Transaction, were $60.8 million for the year ended December 31, 2015 (effectively from January 1, 2015 to June 12, 2015), a decrease of approximately $89.6 million, or 59.6% lower than net sales of $150.3 million for the year ended December 31, 2014.</w:t>
      </w:r>
    </w:p>
    <w:p>
      <w:pPr>
        <w:spacing w:after="0" w:line="18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Gross Profit. </w:t>
      </w:r>
      <w:r>
        <w:rPr>
          <w:rFonts w:ascii="Times New Roman" w:cs="Times New Roman" w:eastAsia="Times New Roman" w:hAnsi="Times New Roman"/>
          <w:sz w:val="20"/>
          <w:szCs w:val="20"/>
          <w:color w:val="auto"/>
        </w:rPr>
        <w:t>Gross profit was $1,632.3 million for the year ended December 31, 2015, an increase of approximately $292.5 million,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21.8% higher than the gross profit of $1,339.8 million for the year ended December 31, 2014. Gross profit as a percentage of net sales increased to 60.0% for the year ended December 31, 2015 from 54.4% for the year ended December 31, 2014. The increase in gross profit dollars was primarily the result of the $204.0 million increase in net sales of our Monster Energy® brand energy drinks, the $143.3 million of net sales for the Strategic Brands segment as well as the $39.8 million accelerated amortization of the deferred revenue balances associated with certain of the Company’s prior distributors. The increase in gross profit as a percentage of net sales was primarily attributable to the Strategic Brands segment, which generally has higher gross margins than the Monster Energy® Drinks segment, the decrease in the net sales of the Other segment, which generally has lower gross margins than the Monster Energy® Drinks segment, the $39.8 million accelerated amortization of the deferred revenue balances associated with certain of the Company’s prior distributors, changes in product sales mix and lower costs of certain sweeteners and other raw materials.</w:t>
      </w:r>
    </w:p>
    <w:p>
      <w:pPr>
        <w:sectPr>
          <w:pgSz w:w="11900" w:h="16838" w:orient="portrait"/>
          <w:cols w:equalWidth="0" w:num="1">
            <w:col w:w="11420"/>
          </w:cols>
          <w:pgMar w:left="240" w:top="118" w:right="239" w:bottom="0" w:gutter="0" w:footer="0" w:header="0"/>
        </w:sectPr>
      </w:pPr>
    </w:p>
    <w:bookmarkStart w:id="32" w:name="page33"/>
    <w:bookmarkEnd w:id="32"/>
    <w:p>
      <w:pPr>
        <w:jc w:val="both"/>
        <w:ind w:firstLine="648"/>
        <w:spacing w:after="0" w:line="246" w:lineRule="auto"/>
        <w:rPr>
          <w:sz w:val="20"/>
          <w:szCs w:val="20"/>
          <w:color w:val="auto"/>
        </w:rPr>
      </w:pPr>
      <w:r>
        <w:rPr>
          <w:rFonts w:ascii="Times New Roman" w:cs="Times New Roman" w:eastAsia="Times New Roman" w:hAnsi="Times New Roman"/>
          <w:sz w:val="20"/>
          <w:szCs w:val="20"/>
          <w:i w:val="1"/>
          <w:iCs w:val="1"/>
          <w:color w:val="auto"/>
        </w:rPr>
        <w:t>Operating Expenses</w:t>
      </w:r>
      <w:r>
        <w:rPr>
          <w:rFonts w:ascii="Times New Roman" w:cs="Times New Roman" w:eastAsia="Times New Roman" w:hAnsi="Times New Roman"/>
          <w:sz w:val="20"/>
          <w:szCs w:val="20"/>
          <w:color w:val="auto"/>
        </w:rPr>
        <w:t>. Total operating expenses were $900.1 million for the year ended December 31, 2015, an increase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approximately $307.8 million, or 52.0% higher than total operating expenses of $592.3 million for the year ended December 31, 2014. The increase in operating expenses was primarily due to increased costs of $224.2 million associated with terminating certain existing distributors. To a lesser extent, the increase in operating expenses was attributable to increased payroll expenses of $30.0 million (of which $11.9 million was related to payroll taxes in connection with the exercise of certain stock options), increased expenditures of $16.4 million for sponsorships and endorsements and increased expenditures of $10.7 million for transaction expenses related to the TCCC Transaction.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Contribution Margin. </w:t>
      </w:r>
      <w:r>
        <w:rPr>
          <w:rFonts w:ascii="Times New Roman" w:cs="Times New Roman" w:eastAsia="Times New Roman" w:hAnsi="Times New Roman"/>
          <w:sz w:val="20"/>
          <w:szCs w:val="20"/>
          <w:color w:val="auto"/>
        </w:rPr>
        <w:t>Contribution margin for the Monster Energy® Drinks segment was $836.1 million for the year ended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December 31, 2015, a decrease of approximately $68.1 million, or 7.5% lower than contribution margin of $904.2 million for the year ended December 31, 2014. The decrease in the contribution margin for the Monster Energy® Drinks segment was primarily the result of the increased expenditures of $224.2 million relating to the costs associated with terminating certain existing distributors. Contribution margin for the Strategic Brands segment was $89.8 million for the year ended December 31, 2015. There was no contribution margin for the Strategic Brands segment for the year ended December 31, 2014. Contribution margin for the Other segment was $165.2 million for the year ended December 31, 2015 (effectively from January 1 to June 12), as compared to $7.6 million for the year ended December 31, 2014. The increase in contribution margin for the Other segment was primarily the result of the $161.5 million gain on the sale of Monster Non-Energy.</w:t>
      </w:r>
    </w:p>
    <w:p>
      <w:pPr>
        <w:spacing w:after="0" w:line="19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Operating Income. </w:t>
      </w:r>
      <w:r>
        <w:rPr>
          <w:rFonts w:ascii="Times New Roman" w:cs="Times New Roman" w:eastAsia="Times New Roman" w:hAnsi="Times New Roman"/>
          <w:sz w:val="20"/>
          <w:szCs w:val="20"/>
          <w:color w:val="auto"/>
        </w:rPr>
        <w:t>Operating income was $893.7 million for the year ended December 31, 2015, an increase of approximately $146.1</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million, or 19.6% higher than operating income of $747.5 million for the year ended December 31, 2014. Operating income as a percentage of net sales increased to 32.8% for the year ended December 31, 2015 from 30.3% for the year ended December 31, 2014, primarily due to the $292.5 million increase in gross profit as well as the $161.5 million gain on the sale of Monster Non-Energy. The increase in operating income in dollars was offset by increased costs of $224.2 million associated with terminating certain existing distributors as well as the increase in other operating expenses. Operating income was $67.0 million and $46.3 million for the years ended December 31, 2015 and 2014, respectively, in relation to our operations in Africa, Asia, Australia, Europe, the Middle East and South America.</w:t>
      </w:r>
    </w:p>
    <w:p>
      <w:pPr>
        <w:spacing w:after="0" w:line="19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Other Expense, net</w:t>
      </w:r>
      <w:r>
        <w:rPr>
          <w:rFonts w:ascii="Times New Roman" w:cs="Times New Roman" w:eastAsia="Times New Roman" w:hAnsi="Times New Roman"/>
          <w:sz w:val="20"/>
          <w:szCs w:val="20"/>
          <w:color w:val="auto"/>
        </w:rPr>
        <w:t>. Other expense, net was $2.1 million for the year ended December 31, 2015, as compared to other expense, net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$1.7 million for the year ended December 31, 2014. Foreign currency transaction losses were $5.5 million and $3.4 million for the years ended December 31, 2015 and 2014, respectively. Interest income was $3.1 million and $1.1 million for the years ended December 31, 2015 and 2014, respectively.</w:t>
      </w:r>
    </w:p>
    <w:p>
      <w:pPr>
        <w:spacing w:after="0" w:line="19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Provision for Income Taxes</w:t>
      </w:r>
      <w:r>
        <w:rPr>
          <w:rFonts w:ascii="Times New Roman" w:cs="Times New Roman" w:eastAsia="Times New Roman" w:hAnsi="Times New Roman"/>
          <w:sz w:val="20"/>
          <w:szCs w:val="20"/>
          <w:color w:val="auto"/>
        </w:rPr>
        <w:t>. Provision for income taxes was $344.8 million for the year ended December 31, 2015, an increase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$82.2 million or 31.3% higher than the provision for income taxes of $262.6 million for the year ended December 31, 2014. The effective combined federal, state and foreign tax rate increased to 38.7% for the year ended December 31, 2015 from 35.2% for the year ended December 31, 2014. The increase in the effective tax rate was primarily due to the disallowance for tax purposes of certain costs related to the TCCC Transaction, the decrease in tax benefits relating to the domestic production deduction and the establishment of valuation allowances against the deferred tax assets in certain foreign jurisdictions. In addition, the profits, or a portion thereof, earned in certain foreign subsidiaries during the year ended December 31, 2014 had no related tax expense as a result of the prior establishment of valuation allowances on their deferred tax assets. The increase in the effective tax rate for the year ended December 31, 2015 was partially offset by the release of the valuation allowances against the deferred tax assets of certain foreign jurisdictions.</w:t>
      </w:r>
    </w:p>
    <w:p>
      <w:pPr>
        <w:spacing w:after="0" w:line="20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Net Income</w:t>
      </w:r>
      <w:r>
        <w:rPr>
          <w:rFonts w:ascii="Times New Roman" w:cs="Times New Roman" w:eastAsia="Times New Roman" w:hAnsi="Times New Roman"/>
          <w:sz w:val="20"/>
          <w:szCs w:val="20"/>
          <w:color w:val="auto"/>
        </w:rPr>
        <w:t>. Net income was $546.7 million for the year ended December 31, 2015, an increase of $63.5 million or 13.2% higher than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net income of $483.2 million for the year ended December 31, 2014.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2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Gross sales**. </w:t>
      </w:r>
      <w:r>
        <w:rPr>
          <w:rFonts w:ascii="Times New Roman" w:cs="Times New Roman" w:eastAsia="Times New Roman" w:hAnsi="Times New Roman"/>
          <w:sz w:val="20"/>
          <w:szCs w:val="20"/>
          <w:color w:val="auto"/>
        </w:rPr>
        <w:t>Gross sales were $3,485.5 million for the year ended December 31, 2016, an increase of approximately $379.8 million,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12.2% higher than gross sales of $3,105.7 million for the year ended December 31, 2015. The increase in gross sales of our Monster Energy® brand energy drinks represented approximately $300.7 million of the overall increase in gross sales. Gross sales of our Monster Energy® brand energy drinks increased partially due to increased sales by volume as a result of increased domestic and international consumer demand. Gross sales of our Strategic Brands were $294.6 million for the year ended December 31, 2016, as compared with $156.3 million for the year ended December 31, 2015 (effectively from June 13, 2015 to December 31, 2015). There were no gross sales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during the year ended December 31, 2016 for the non-energy brands disposed of as a result of the TCCC Transaction on June 12, 2015, which resulted in a decrease in gross sales of $68.5 million from the year ended December 31, 2015 for the Other segment. Gross sales of our AFF Third-Party Products were $17.2 million for the year ended December 31, 2016. There were no sales of our AFF Third-Party Products for the year ended December 31, 2015. No other individual product line contributed either a material increase or decrease to gross sales for the year ended December 31, 2016.</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Promotional and other allowances, as described in the footnote below, were $436.1 million for the year ended December 31, 2016, an increase of $53.0 million, or 13.8% higher than promotional and other allowances of $383.1 million for the year ended December 31, 2015. Promotional and other allowances as a percentage of gross sales increased to 12.5% for the year ended December 31, 2016 from 12.3% for the year ended December 31, 2015.</w:t>
      </w:r>
    </w:p>
    <w:p>
      <w:pPr>
        <w:sectPr>
          <w:pgSz w:w="11900" w:h="16838" w:orient="portrait"/>
          <w:cols w:equalWidth="0" w:num="1">
            <w:col w:w="11420"/>
          </w:cols>
          <w:pgMar w:left="240" w:top="114" w:right="239" w:bottom="0" w:gutter="0" w:footer="0" w:header="0"/>
        </w:sectPr>
      </w:pPr>
    </w:p>
    <w:bookmarkStart w:id="33" w:name="page34"/>
    <w:bookmarkEnd w:id="33"/>
    <w:p>
      <w:pPr>
        <w:jc w:val="both"/>
        <w:ind w:firstLine="689"/>
        <w:spacing w:after="0" w:line="249" w:lineRule="auto"/>
        <w:rPr>
          <w:sz w:val="20"/>
          <w:szCs w:val="20"/>
          <w:color w:val="auto"/>
        </w:rPr>
      </w:pPr>
      <w:r>
        <w:rPr>
          <w:rFonts w:ascii="Times New Roman" w:cs="Times New Roman" w:eastAsia="Times New Roman" w:hAnsi="Times New Roman"/>
          <w:sz w:val="20"/>
          <w:szCs w:val="20"/>
          <w:color w:val="auto"/>
        </w:rPr>
        <w:t>Net changes in foreign currency exchange rates had an unfavorable impact on gross sales in the Monster Energy® Drinks segment of approximately $26.2 million for the year ended December 31, 2016, primarily due to our operations in Europe, Mexico, Canada and South Africa. Net changes in foreign currency exchange rates had an unfavorable impact on gross sales in the Strategic Brands segment of approximately $4.7 million for the year ended December 31, 2016, primarily due to our operations in Europe.</w:t>
      </w:r>
    </w:p>
    <w:p>
      <w:pPr>
        <w:spacing w:after="0" w:line="18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Gross sales**. </w:t>
      </w:r>
      <w:r>
        <w:rPr>
          <w:rFonts w:ascii="Times New Roman" w:cs="Times New Roman" w:eastAsia="Times New Roman" w:hAnsi="Times New Roman"/>
          <w:sz w:val="20"/>
          <w:szCs w:val="20"/>
          <w:color w:val="auto"/>
        </w:rPr>
        <w:t>Gross sales were $3,105.7 million for the year ended December 31, 2015, an increase of approximately $278.6 million,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9.9% higher than gross sales of $2,827.1 million for the year ended December 31, 2014. The increase in the gross sales of our Monster Energy® brand energy drinks represented approximately $222.1 million, or 79.7%, of the overall increase in gross sales. Gross sales of our Monster Energy® brand energy drinks increased primarily due to increased sales by volume as a result of increased domestic and international consumer demand. Gross sales of our Strategic Brands were $156.3 million for the year ended December 31, 2015. Gross sales for the Other segment, the principal products of which include the brands disposed of as a result of the TCCC Transaction on June 12, 2015, decreased $99.8 million for the year ended December 31, 2015 from the year ended December 31, 2014. Gross sales for the year ended December 31, 2015 included $39.8 million related to the accelerated amortization of the deferred revenue balances associated with certain of the Company’s prior distributors, which represented 14.3% of our overall increase in gross sales. No other individual product line contributed either a material increase or decrease to gross sales for the year ended December 31, 2015.</w:t>
      </w:r>
    </w:p>
    <w:p>
      <w:pPr>
        <w:spacing w:after="0" w:line="20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Promotional and other allowances, as described in the footnote below, were $383.1 million for the year ended December 31, 2015, an increase of $20.9 million, or 5.8% higher than promotional and other allowances of $362.2 million for the year ended December 31, 2014. Promotional and other allowances as a percentage of gross sales decreased to 12.3% for the year ended December 31, 2015 from 12.8% for the year ended December 31, 2014.</w:t>
      </w:r>
    </w:p>
    <w:p>
      <w:pPr>
        <w:spacing w:after="0" w:line="194" w:lineRule="exact"/>
        <w:rPr>
          <w:sz w:val="20"/>
          <w:szCs w:val="20"/>
          <w:color w:val="auto"/>
        </w:rPr>
      </w:pPr>
    </w:p>
    <w:p>
      <w:pPr>
        <w:jc w:val="both"/>
        <w:ind w:firstLine="689"/>
        <w:spacing w:after="0" w:line="249" w:lineRule="auto"/>
        <w:rPr>
          <w:sz w:val="20"/>
          <w:szCs w:val="20"/>
          <w:color w:val="auto"/>
        </w:rPr>
      </w:pPr>
      <w:r>
        <w:rPr>
          <w:rFonts w:ascii="Times New Roman" w:cs="Times New Roman" w:eastAsia="Times New Roman" w:hAnsi="Times New Roman"/>
          <w:sz w:val="20"/>
          <w:szCs w:val="20"/>
          <w:color w:val="auto"/>
        </w:rPr>
        <w:t>Net changes in foreign currency exchange rates had an unfavorable impact on gross sales in the Monster Energy® Drinks segment of approximately $92.2 million for the year ended December 31, 2015, primarily due to our operations in Europe, Japan, Mexico, Canada and South Africa. Net changes in foreign currency exchange rates had an unfavorable impact on gross sales in the Strategic Brands segment of approximately $10.2 million for the year ended December 31, 2015, primarily due to our operations in Europe.</w:t>
      </w:r>
    </w:p>
    <w:p>
      <w:pPr>
        <w:spacing w:after="0" w:line="1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i w:val="1"/>
          <w:iCs w:val="1"/>
          <w:color w:val="auto"/>
        </w:rPr>
        <w:t>**Gross sales is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 measure of our operating performance. Gross sales is not a measure that is recognized under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our internal reporting practices. In addition, gross sales may not be realized in the form of cash receipts as promotional payments and allowances may be deducted from payments received from certain customers.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following table reconciles the non-GAAP financial measure of gross sales with the most directly comparable GAAP financial measure of net sales: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rPr>
              <w:t>Percentage</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Percentage</w:t>
            </w:r>
          </w:p>
        </w:tc>
        <w:tc>
          <w:tcPr>
            <w:tcW w:w="0" w:type="dxa"/>
            <w:vAlign w:val="bottom"/>
          </w:tcPr>
          <w:p>
            <w:pPr>
              <w:spacing w:after="0"/>
              <w:rPr>
                <w:sz w:val="1"/>
                <w:szCs w:val="1"/>
                <w:color w:val="auto"/>
              </w:rPr>
            </w:pPr>
          </w:p>
        </w:tc>
      </w:tr>
      <w:tr>
        <w:trPr>
          <w:trHeight w:val="252"/>
        </w:trPr>
        <w:tc>
          <w:tcPr>
            <w:tcW w:w="3040" w:type="dxa"/>
            <w:vAlign w:val="bottom"/>
          </w:tcPr>
          <w:p>
            <w:pPr>
              <w:spacing w:after="0"/>
              <w:rPr>
                <w:sz w:val="20"/>
                <w:szCs w:val="20"/>
                <w:color w:val="auto"/>
              </w:rPr>
            </w:pPr>
            <w:r>
              <w:rPr>
                <w:rFonts w:ascii="Times New Roman" w:cs="Times New Roman" w:eastAsia="Times New Roman" w:hAnsi="Times New Roman"/>
                <w:sz w:val="20"/>
                <w:szCs w:val="20"/>
                <w:color w:val="auto"/>
              </w:rPr>
              <w:t>In thousands</w:t>
            </w:r>
          </w:p>
        </w:tc>
        <w:tc>
          <w:tcPr>
            <w:tcW w:w="360" w:type="dxa"/>
            <w:vAlign w:val="bottom"/>
          </w:tcPr>
          <w:p>
            <w:pPr>
              <w:spacing w:after="0"/>
              <w:rPr>
                <w:sz w:val="21"/>
                <w:szCs w:val="21"/>
                <w:color w:val="auto"/>
              </w:rPr>
            </w:pPr>
          </w:p>
        </w:tc>
        <w:tc>
          <w:tcPr>
            <w:tcW w:w="1140" w:type="dxa"/>
            <w:vAlign w:val="bottom"/>
            <w:vMerge w:val="restart"/>
          </w:tcPr>
          <w:p>
            <w:pPr>
              <w:jc w:val="right"/>
              <w:ind w:right="461"/>
              <w:spacing w:after="0"/>
              <w:rPr>
                <w:sz w:val="20"/>
                <w:szCs w:val="20"/>
                <w:color w:val="auto"/>
              </w:rPr>
            </w:pPr>
            <w:r>
              <w:rPr>
                <w:rFonts w:ascii="Times New Roman" w:cs="Times New Roman" w:eastAsia="Times New Roman" w:hAnsi="Times New Roman"/>
                <w:sz w:val="20"/>
                <w:szCs w:val="20"/>
                <w:color w:val="auto"/>
              </w:rPr>
              <w:t>2016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vMerge w:val="restart"/>
          </w:tcPr>
          <w:p>
            <w:pPr>
              <w:jc w:val="right"/>
              <w:ind w:right="461"/>
              <w:spacing w:after="0"/>
              <w:rPr>
                <w:sz w:val="20"/>
                <w:szCs w:val="20"/>
                <w:color w:val="auto"/>
              </w:rPr>
            </w:pPr>
            <w:r>
              <w:rPr>
                <w:rFonts w:ascii="Times New Roman" w:cs="Times New Roman" w:eastAsia="Times New Roman" w:hAnsi="Times New Roman"/>
                <w:sz w:val="20"/>
                <w:szCs w:val="20"/>
                <w:color w:val="auto"/>
              </w:rPr>
              <w:t>2015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vMerge w:val="restart"/>
          </w:tcPr>
          <w:p>
            <w:pPr>
              <w:jc w:val="right"/>
              <w:ind w:right="441"/>
              <w:spacing w:after="0"/>
              <w:rPr>
                <w:sz w:val="20"/>
                <w:szCs w:val="20"/>
                <w:color w:val="auto"/>
              </w:rPr>
            </w:pPr>
            <w:r>
              <w:rPr>
                <w:rFonts w:ascii="Times New Roman" w:cs="Times New Roman" w:eastAsia="Times New Roman" w:hAnsi="Times New Roman"/>
                <w:sz w:val="20"/>
                <w:szCs w:val="20"/>
                <w:color w:val="auto"/>
              </w:rPr>
              <w:t>2014</w:t>
            </w: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8"/>
              </w:rPr>
              <w:t>Change</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Change</w:t>
            </w:r>
          </w:p>
        </w:tc>
        <w:tc>
          <w:tcPr>
            <w:tcW w:w="0" w:type="dxa"/>
            <w:vAlign w:val="bottom"/>
          </w:tcPr>
          <w:p>
            <w:pPr>
              <w:spacing w:after="0"/>
              <w:rPr>
                <w:sz w:val="1"/>
                <w:szCs w:val="1"/>
                <w:color w:val="auto"/>
              </w:rPr>
            </w:pPr>
          </w:p>
        </w:tc>
      </w:tr>
      <w:tr>
        <w:trPr>
          <w:trHeight w:val="223"/>
        </w:trPr>
        <w:tc>
          <w:tcPr>
            <w:tcW w:w="3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Gross sales, net of discounts and</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16 vs. 15</w:t>
            </w:r>
          </w:p>
        </w:tc>
        <w:tc>
          <w:tcPr>
            <w:tcW w:w="12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15 vs. 14</w:t>
            </w:r>
          </w:p>
        </w:tc>
        <w:tc>
          <w:tcPr>
            <w:tcW w:w="0" w:type="dxa"/>
            <w:vAlign w:val="bottom"/>
          </w:tcPr>
          <w:p>
            <w:pPr>
              <w:spacing w:after="0"/>
              <w:rPr>
                <w:sz w:val="1"/>
                <w:szCs w:val="1"/>
                <w:color w:val="auto"/>
              </w:rPr>
            </w:pPr>
          </w:p>
        </w:tc>
      </w:tr>
      <w:tr>
        <w:trPr>
          <w:trHeight w:val="187"/>
        </w:trPr>
        <w:tc>
          <w:tcPr>
            <w:tcW w:w="30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returns</w:t>
            </w:r>
          </w:p>
        </w:tc>
        <w:tc>
          <w:tcPr>
            <w:tcW w:w="36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3,485,463</w:t>
            </w:r>
          </w:p>
        </w:tc>
        <w:tc>
          <w:tcPr>
            <w:tcW w:w="120" w:type="dxa"/>
            <w:vAlign w:val="bottom"/>
          </w:tcPr>
          <w:p>
            <w:pPr>
              <w:spacing w:after="0"/>
              <w:rPr>
                <w:sz w:val="19"/>
                <w:szCs w:val="19"/>
                <w:color w:val="auto"/>
              </w:rPr>
            </w:pPr>
          </w:p>
        </w:tc>
        <w:tc>
          <w:tcPr>
            <w:tcW w:w="36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3,105,665</w:t>
            </w:r>
          </w:p>
        </w:tc>
        <w:tc>
          <w:tcPr>
            <w:tcW w:w="100" w:type="dxa"/>
            <w:vAlign w:val="bottom"/>
          </w:tcPr>
          <w:p>
            <w:pPr>
              <w:spacing w:after="0"/>
              <w:rPr>
                <w:sz w:val="19"/>
                <w:szCs w:val="19"/>
                <w:color w:val="auto"/>
              </w:rPr>
            </w:pPr>
          </w:p>
        </w:tc>
        <w:tc>
          <w:tcPr>
            <w:tcW w:w="36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2,827,092</w:t>
            </w:r>
          </w:p>
        </w:tc>
        <w:tc>
          <w:tcPr>
            <w:tcW w:w="1560" w:type="dxa"/>
            <w:vAlign w:val="bottom"/>
            <w:gridSpan w:val="2"/>
          </w:tcPr>
          <w:p>
            <w:pPr>
              <w:jc w:val="center"/>
              <w:ind w:left="21"/>
              <w:spacing w:after="0"/>
              <w:rPr>
                <w:sz w:val="20"/>
                <w:szCs w:val="20"/>
                <w:color w:val="auto"/>
              </w:rPr>
            </w:pPr>
            <w:r>
              <w:rPr>
                <w:rFonts w:ascii="Times New Roman" w:cs="Times New Roman" w:eastAsia="Times New Roman" w:hAnsi="Times New Roman"/>
                <w:sz w:val="20"/>
                <w:szCs w:val="20"/>
                <w:color w:val="auto"/>
              </w:rPr>
              <w:t>12.2%</w:t>
            </w: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9.9%</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r>
              <w:rPr>
                <w:rFonts w:ascii="Times New Roman" w:cs="Times New Roman" w:eastAsia="Times New Roman" w:hAnsi="Times New Roman"/>
                <w:sz w:val="20"/>
                <w:szCs w:val="20"/>
                <w:color w:val="auto"/>
              </w:rPr>
              <w:t>Less: Promotional and other</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allowances***</w:t>
            </w:r>
          </w:p>
        </w:tc>
        <w:tc>
          <w:tcPr>
            <w:tcW w:w="36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436,070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383,101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362,225</w:t>
            </w:r>
          </w:p>
        </w:tc>
        <w:tc>
          <w:tcPr>
            <w:tcW w:w="1560" w:type="dxa"/>
            <w:vAlign w:val="bottom"/>
            <w:gridSpan w:val="2"/>
          </w:tcPr>
          <w:p>
            <w:pPr>
              <w:jc w:val="center"/>
              <w:ind w:left="21"/>
              <w:spacing w:after="0"/>
              <w:rPr>
                <w:sz w:val="20"/>
                <w:szCs w:val="20"/>
                <w:color w:val="auto"/>
              </w:rPr>
            </w:pPr>
            <w:r>
              <w:rPr>
                <w:rFonts w:ascii="Times New Roman" w:cs="Times New Roman" w:eastAsia="Times New Roman" w:hAnsi="Times New Roman"/>
                <w:sz w:val="20"/>
                <w:szCs w:val="20"/>
                <w:color w:val="auto"/>
              </w:rPr>
              <w:t>13.8%</w:t>
            </w: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5.8%</w:t>
            </w:r>
          </w:p>
        </w:tc>
        <w:tc>
          <w:tcPr>
            <w:tcW w:w="0" w:type="dxa"/>
            <w:vAlign w:val="bottom"/>
          </w:tcPr>
          <w:p>
            <w:pPr>
              <w:spacing w:after="0"/>
              <w:rPr>
                <w:sz w:val="1"/>
                <w:szCs w:val="1"/>
                <w:color w:val="auto"/>
              </w:rPr>
            </w:pPr>
          </w:p>
        </w:tc>
      </w:tr>
      <w:tr>
        <w:trPr>
          <w:trHeight w:val="23"/>
        </w:trPr>
        <w:tc>
          <w:tcPr>
            <w:tcW w:w="3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Sales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560" w:type="dxa"/>
            <w:vAlign w:val="bottom"/>
            <w:gridSpan w:val="2"/>
            <w:vMerge w:val="restart"/>
          </w:tcPr>
          <w:p>
            <w:pPr>
              <w:jc w:val="center"/>
              <w:ind w:left="21"/>
              <w:spacing w:after="0"/>
              <w:rPr>
                <w:sz w:val="20"/>
                <w:szCs w:val="20"/>
                <w:color w:val="auto"/>
              </w:rPr>
            </w:pPr>
            <w:r>
              <w:rPr>
                <w:rFonts w:ascii="Times New Roman" w:cs="Times New Roman" w:eastAsia="Times New Roman" w:hAnsi="Times New Roman"/>
                <w:sz w:val="20"/>
                <w:szCs w:val="20"/>
                <w:color w:val="auto"/>
              </w:rPr>
              <w:t>12.0%</w:t>
            </w:r>
          </w:p>
        </w:tc>
        <w:tc>
          <w:tcPr>
            <w:tcW w:w="120" w:type="dxa"/>
            <w:vAlign w:val="bottom"/>
          </w:tcPr>
          <w:p>
            <w:pPr>
              <w:spacing w:after="0" w:line="20" w:lineRule="exact"/>
              <w:rPr>
                <w:sz w:val="1"/>
                <w:szCs w:val="1"/>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10.5%</w:t>
            </w:r>
          </w:p>
        </w:tc>
        <w:tc>
          <w:tcPr>
            <w:tcW w:w="0" w:type="dxa"/>
            <w:vAlign w:val="bottom"/>
          </w:tcPr>
          <w:p>
            <w:pPr>
              <w:spacing w:after="0"/>
              <w:rPr>
                <w:sz w:val="1"/>
                <w:szCs w:val="1"/>
                <w:color w:val="auto"/>
              </w:rPr>
            </w:pPr>
          </w:p>
        </w:tc>
      </w:tr>
      <w:tr>
        <w:trPr>
          <w:trHeight w:val="223"/>
        </w:trPr>
        <w:tc>
          <w:tcPr>
            <w:tcW w:w="3040" w:type="dxa"/>
            <w:vAlign w:val="bottom"/>
            <w:vMerge w:val="continue"/>
          </w:tcPr>
          <w:p>
            <w:pPr>
              <w:spacing w:after="0"/>
              <w:rPr>
                <w:sz w:val="19"/>
                <w:szCs w:val="19"/>
                <w:color w:val="auto"/>
              </w:rPr>
            </w:pPr>
          </w:p>
        </w:tc>
        <w:tc>
          <w:tcPr>
            <w:tcW w:w="36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3,049,393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2,722,564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2,464,867</w:t>
            </w:r>
          </w:p>
        </w:tc>
        <w:tc>
          <w:tcPr>
            <w:tcW w:w="15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i w:val="1"/>
          <w:iCs w:val="1"/>
          <w:color w:val="auto"/>
        </w:rPr>
        <w:t>***Although the expenditures described in this line item are determined in accordance with GAAP and meet GAAP requirements, the presentation thereof does not conform with GAAP presentation requirements. Additionally, our definition of promotional and other allowances may not be comparable to similar items presented by other companies. Promotional and other allowances primarily include consideration given to the Company’s bottlers/distributors or retail customers including, but not limited to, the following:</w:t>
      </w:r>
    </w:p>
    <w:p>
      <w:pPr>
        <w:spacing w:after="0" w:line="1" w:lineRule="exact"/>
        <w:rPr>
          <w:sz w:val="20"/>
          <w:szCs w:val="20"/>
          <w:color w:val="auto"/>
        </w:rPr>
      </w:pPr>
    </w:p>
    <w:p>
      <w:pPr>
        <w:jc w:val="both"/>
        <w:ind w:firstLine="8"/>
        <w:spacing w:after="0" w:line="266" w:lineRule="auto"/>
        <w:tabs>
          <w:tab w:leader="none" w:pos="211" w:val="left"/>
        </w:tabs>
        <w:numPr>
          <w:ilvl w:val="0"/>
          <w:numId w:val="1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discounts granted off list prices to support price promotions to end-consumers by retailers; (ii) reimbursements given to the Company’s bottlers/distributors for agreed portions of their promotional spend with retailers, including slotting, shelf space allowances and other fees for both new and existing products; (iii) the Company’s agreed share of fees given to bottlers/distributors and/or directly to retailers for advertising, in-store marketing and promotional activities; (iv) the Company’s agreed share of slotting, shelf space allowances and other fees given directly to retailers; (v) incentives given to the Company’s bottlers/distributors and/or retailers for achieving or exceeding certain predetermined sales goals; (vi) discounted or free products; (vii) contractual fees given to the Company’s bottlers/distributors related to sales made by the Company direct to certain customers that fall within the bottler’s/distributors’ sales territories; and (viii) commissions paid to our customers.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The Company’s promotional allowance programs with its numerous bottlers/distributors and/or retailers are executed through separate agreements in the ordinary course of business. These agreements generally provide for one or more of the arrangements described above and are of varying durations, ranging from one week to one year. The primary drivers of our promotional and other allowance activities for the years ended December 31, 2016, 2015 and 2014 were (i) to promote trial and increase sales volume, (ii) to address market conditions, and (iii) to secure shelf and display space at retail.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w:t>
      </w:r>
    </w:p>
    <w:p>
      <w:pPr>
        <w:spacing w:after="0" w:line="23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table set forth below discloses selected quarterly data regarding sales for the past five years. Data from any one or more quarters is not necessarily indicative of annual results or continuing trends.</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Sales of beverages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w:t>
      </w:r>
    </w:p>
    <w:p>
      <w:pPr>
        <w:sectPr>
          <w:pgSz w:w="11900" w:h="16838" w:orient="portrait"/>
          <w:cols w:equalWidth="0" w:num="1">
            <w:col w:w="11420"/>
          </w:cols>
          <w:pgMar w:left="240" w:top="118" w:right="239" w:bottom="0" w:gutter="0" w:footer="0" w:header="0"/>
        </w:sectPr>
      </w:pPr>
    </w:p>
    <w:bookmarkStart w:id="34" w:name="page35"/>
    <w:bookmarkEnd w:id="34"/>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Our quarterly results of operations reflect seasonal trends that are primarily the result of increased demand in the warmer months of the year. It has been our experience that beverage sales tend to be lower during the first and fourth quarters of each calendar year. In addition, our experience with our energy drink products suggests they are less seasonal than the seasonality expected from traditional beverages. Quarterly fluctuations may also be affected by other factors including the introduction of new products, the opening of new markets where temperature fluctuations are more pronounced, the addition of new bottlers, distributors and customers, changes in the sales mix of our products and changes in and/or increased advertising and promotional expenses. (See “Part I, Item 1 – Business – Seasonality”).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gridSpan w:val="4"/>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3"/>
            <w:vMerge w:val="restart"/>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rPr>
              <w:t>2016</w:t>
            </w: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vMerge w:val="restart"/>
          </w:tcPr>
          <w:p>
            <w:pPr>
              <w:jc w:val="right"/>
              <w:ind w:right="461"/>
              <w:spacing w:after="0"/>
              <w:rPr>
                <w:sz w:val="20"/>
                <w:szCs w:val="20"/>
                <w:color w:val="auto"/>
              </w:rPr>
            </w:pPr>
            <w:r>
              <w:rPr>
                <w:rFonts w:ascii="Times New Roman" w:cs="Times New Roman" w:eastAsia="Times New Roman" w:hAnsi="Times New Roman"/>
                <w:sz w:val="20"/>
                <w:szCs w:val="20"/>
                <w:b w:val="1"/>
                <w:bCs w:val="1"/>
                <w:color w:val="auto"/>
              </w:rPr>
              <w:t>2015</w:t>
            </w: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vMerge w:val="restart"/>
          </w:tcPr>
          <w:p>
            <w:pPr>
              <w:jc w:val="right"/>
              <w:ind w:right="461"/>
              <w:spacing w:after="0"/>
              <w:rPr>
                <w:sz w:val="20"/>
                <w:szCs w:val="20"/>
                <w:color w:val="auto"/>
              </w:rPr>
            </w:pPr>
            <w:r>
              <w:rPr>
                <w:rFonts w:ascii="Times New Roman" w:cs="Times New Roman" w:eastAsia="Times New Roman" w:hAnsi="Times New Roman"/>
                <w:sz w:val="20"/>
                <w:szCs w:val="20"/>
                <w:b w:val="1"/>
                <w:bCs w:val="1"/>
                <w:color w:val="auto"/>
              </w:rPr>
              <w:t>2014</w:t>
            </w: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vMerge w:val="restart"/>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2013</w:t>
            </w: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vMerge w:val="restart"/>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2012</w:t>
            </w:r>
          </w:p>
        </w:tc>
        <w:tc>
          <w:tcPr>
            <w:tcW w:w="0" w:type="dxa"/>
            <w:vAlign w:val="bottom"/>
          </w:tcPr>
          <w:p>
            <w:pPr>
              <w:spacing w:after="0" w:line="20" w:lineRule="exact"/>
              <w:rPr>
                <w:sz w:val="1"/>
                <w:szCs w:val="1"/>
                <w:color w:val="auto"/>
              </w:rPr>
            </w:pPr>
          </w:p>
        </w:tc>
      </w:tr>
      <w:tr>
        <w:trPr>
          <w:trHeight w:val="466"/>
        </w:trPr>
        <w:tc>
          <w:tcPr>
            <w:tcW w:w="660" w:type="dxa"/>
            <w:vAlign w:val="bottom"/>
          </w:tcPr>
          <w:p>
            <w:pPr>
              <w:spacing w:after="0"/>
              <w:rPr>
                <w:sz w:val="24"/>
                <w:szCs w:val="24"/>
                <w:color w:val="auto"/>
              </w:rPr>
            </w:pPr>
          </w:p>
        </w:tc>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w w:val="98"/>
              </w:rPr>
              <w:t>Net Sales (in Thousands)</w:t>
            </w:r>
          </w:p>
        </w:tc>
        <w:tc>
          <w:tcPr>
            <w:tcW w:w="140" w:type="dxa"/>
            <w:vAlign w:val="bottom"/>
            <w:vMerge w:val="restart"/>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3"/>
            <w:vMerge w:val="continue"/>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60" w:type="dxa"/>
            <w:vAlign w:val="bottom"/>
          </w:tcPr>
          <w:p>
            <w:pPr>
              <w:spacing w:after="0"/>
              <w:rPr>
                <w:sz w:val="14"/>
                <w:szCs w:val="14"/>
                <w:color w:val="auto"/>
              </w:rPr>
            </w:pPr>
          </w:p>
        </w:tc>
        <w:tc>
          <w:tcPr>
            <w:tcW w:w="2000" w:type="dxa"/>
            <w:vAlign w:val="bottom"/>
            <w:tcBorders>
              <w:bottom w:val="single" w:sz="8" w:color="auto"/>
            </w:tcBorders>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00" w:type="dxa"/>
            <w:vAlign w:val="bottom"/>
            <w:vMerge w:val="restart"/>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680,186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vMerge w:val="restart"/>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626,791</w:t>
            </w:r>
          </w:p>
        </w:tc>
        <w:tc>
          <w:tcPr>
            <w:tcW w:w="160" w:type="dxa"/>
            <w:vAlign w:val="bottom"/>
          </w:tcPr>
          <w:p>
            <w:pPr>
              <w:spacing w:after="0"/>
              <w:rPr>
                <w:sz w:val="14"/>
                <w:szCs w:val="14"/>
                <w:color w:val="auto"/>
              </w:rPr>
            </w:pPr>
          </w:p>
        </w:tc>
        <w:tc>
          <w:tcPr>
            <w:tcW w:w="400" w:type="dxa"/>
            <w:vAlign w:val="bottom"/>
            <w:vMerge w:val="restart"/>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536,129</w:t>
            </w:r>
          </w:p>
        </w:tc>
        <w:tc>
          <w:tcPr>
            <w:tcW w:w="160" w:type="dxa"/>
            <w:vAlign w:val="bottom"/>
          </w:tcPr>
          <w:p>
            <w:pPr>
              <w:spacing w:after="0"/>
              <w:rPr>
                <w:sz w:val="14"/>
                <w:szCs w:val="14"/>
                <w:color w:val="auto"/>
              </w:rPr>
            </w:pPr>
          </w:p>
        </w:tc>
        <w:tc>
          <w:tcPr>
            <w:tcW w:w="420" w:type="dxa"/>
            <w:vAlign w:val="bottom"/>
            <w:vMerge w:val="restart"/>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484,223</w:t>
            </w:r>
          </w:p>
        </w:tc>
        <w:tc>
          <w:tcPr>
            <w:tcW w:w="160" w:type="dxa"/>
            <w:vAlign w:val="bottom"/>
          </w:tcPr>
          <w:p>
            <w:pPr>
              <w:spacing w:after="0"/>
              <w:rPr>
                <w:sz w:val="14"/>
                <w:szCs w:val="14"/>
                <w:color w:val="auto"/>
              </w:rPr>
            </w:pPr>
          </w:p>
        </w:tc>
        <w:tc>
          <w:tcPr>
            <w:tcW w:w="420" w:type="dxa"/>
            <w:vAlign w:val="bottom"/>
            <w:vMerge w:val="restart"/>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454,605</w:t>
            </w:r>
          </w:p>
        </w:tc>
        <w:tc>
          <w:tcPr>
            <w:tcW w:w="0" w:type="dxa"/>
            <w:vAlign w:val="bottom"/>
          </w:tcPr>
          <w:p>
            <w:pPr>
              <w:spacing w:after="0"/>
              <w:rPr>
                <w:sz w:val="1"/>
                <w:szCs w:val="1"/>
                <w:color w:val="auto"/>
              </w:rPr>
            </w:pPr>
          </w:p>
        </w:tc>
      </w:tr>
      <w:tr>
        <w:trPr>
          <w:trHeight w:val="227"/>
        </w:trPr>
        <w:tc>
          <w:tcPr>
            <w:tcW w:w="660" w:type="dxa"/>
            <w:vAlign w:val="bottom"/>
          </w:tcPr>
          <w:p>
            <w:pPr>
              <w:spacing w:after="0"/>
              <w:rPr>
                <w:sz w:val="19"/>
                <w:szCs w:val="19"/>
                <w:color w:val="auto"/>
              </w:rPr>
            </w:pPr>
          </w:p>
        </w:tc>
        <w:tc>
          <w:tcPr>
            <w:tcW w:w="214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auto"/>
              </w:rPr>
              <w:t>Quarter 1</w:t>
            </w:r>
          </w:p>
        </w:tc>
        <w:tc>
          <w:tcPr>
            <w:tcW w:w="400" w:type="dxa"/>
            <w:vAlign w:val="bottom"/>
            <w:vMerge w:val="continue"/>
          </w:tcPr>
          <w:p>
            <w:pPr>
              <w:spacing w:after="0"/>
              <w:rPr>
                <w:sz w:val="19"/>
                <w:szCs w:val="19"/>
                <w:color w:val="auto"/>
              </w:rPr>
            </w:pPr>
          </w:p>
        </w:tc>
        <w:tc>
          <w:tcPr>
            <w:tcW w:w="1120" w:type="dxa"/>
            <w:vAlign w:val="bottom"/>
            <w:gridSpan w:val="4"/>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1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Quarter 2</w:t>
            </w:r>
          </w:p>
        </w:tc>
        <w:tc>
          <w:tcPr>
            <w:tcW w:w="400" w:type="dxa"/>
            <w:vAlign w:val="bottom"/>
          </w:tcPr>
          <w:p>
            <w:pPr>
              <w:spacing w:after="0"/>
              <w:rPr>
                <w:sz w:val="19"/>
                <w:szCs w:val="19"/>
                <w:color w:val="auto"/>
              </w:rPr>
            </w:pP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827,488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693,722</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687,199</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630,934</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592,640</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1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Quarter 3</w:t>
            </w:r>
          </w:p>
        </w:tc>
        <w:tc>
          <w:tcPr>
            <w:tcW w:w="400" w:type="dxa"/>
            <w:vAlign w:val="bottom"/>
          </w:tcPr>
          <w:p>
            <w:pPr>
              <w:spacing w:after="0"/>
              <w:rPr>
                <w:sz w:val="19"/>
                <w:szCs w:val="19"/>
                <w:color w:val="auto"/>
              </w:rPr>
            </w:pP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787,954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756,619</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635,972</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590,422</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541,940</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1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Quarter 4</w:t>
            </w:r>
          </w:p>
        </w:tc>
        <w:tc>
          <w:tcPr>
            <w:tcW w:w="400" w:type="dxa"/>
            <w:vAlign w:val="bottom"/>
          </w:tcPr>
          <w:p>
            <w:pPr>
              <w:spacing w:after="0"/>
              <w:rPr>
                <w:sz w:val="19"/>
                <w:szCs w:val="19"/>
                <w:color w:val="auto"/>
              </w:rPr>
            </w:pP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753,765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645,432</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605,567</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540,849</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471,517</w:t>
            </w:r>
          </w:p>
        </w:tc>
        <w:tc>
          <w:tcPr>
            <w:tcW w:w="0" w:type="dxa"/>
            <w:vAlign w:val="bottom"/>
          </w:tcPr>
          <w:p>
            <w:pPr>
              <w:spacing w:after="0"/>
              <w:rPr>
                <w:sz w:val="1"/>
                <w:szCs w:val="1"/>
                <w:color w:val="auto"/>
              </w:rPr>
            </w:pPr>
          </w:p>
        </w:tc>
      </w:tr>
      <w:tr>
        <w:trPr>
          <w:trHeight w:val="23"/>
        </w:trPr>
        <w:tc>
          <w:tcPr>
            <w:tcW w:w="660" w:type="dxa"/>
            <w:vAlign w:val="bottom"/>
            <w:vMerge w:val="restart"/>
          </w:tcPr>
          <w:p>
            <w:pPr>
              <w:spacing w:after="0" w:line="20" w:lineRule="exact"/>
              <w:rPr>
                <w:sz w:val="1"/>
                <w:szCs w:val="1"/>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Total</w:t>
            </w: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60" w:type="dxa"/>
            <w:vAlign w:val="bottom"/>
            <w:vMerge w:val="continue"/>
          </w:tcPr>
          <w:p>
            <w:pPr>
              <w:spacing w:after="0"/>
              <w:rPr>
                <w:sz w:val="19"/>
                <w:szCs w:val="19"/>
                <w:color w:val="auto"/>
              </w:rPr>
            </w:pPr>
          </w:p>
        </w:tc>
        <w:tc>
          <w:tcPr>
            <w:tcW w:w="2140" w:type="dxa"/>
            <w:vAlign w:val="bottom"/>
            <w:gridSpan w:val="3"/>
            <w:vMerge w:val="continue"/>
          </w:tcPr>
          <w:p>
            <w:pPr>
              <w:spacing w:after="0"/>
              <w:rPr>
                <w:sz w:val="19"/>
                <w:szCs w:val="19"/>
                <w:color w:val="auto"/>
              </w:rPr>
            </w:pPr>
          </w:p>
        </w:tc>
        <w:tc>
          <w:tcPr>
            <w:tcW w:w="40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gridSpan w:val="4"/>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3,049,393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2,722,564</w:t>
            </w: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2,464,867</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2,246,428</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2,060,702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60" w:type="dxa"/>
            <w:vAlign w:val="bottom"/>
          </w:tcPr>
          <w:p>
            <w:pPr>
              <w:spacing w:after="0"/>
              <w:rPr>
                <w:sz w:val="24"/>
                <w:szCs w:val="24"/>
                <w:color w:val="auto"/>
              </w:rPr>
            </w:pPr>
          </w:p>
        </w:tc>
        <w:tc>
          <w:tcPr>
            <w:tcW w:w="384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Less: AFF third party net sales (in Thousands)</w:t>
            </w:r>
          </w:p>
        </w:tc>
        <w:tc>
          <w:tcPr>
            <w:tcW w:w="400" w:type="dxa"/>
            <w:vAlign w:val="bottom"/>
            <w:vMerge w:val="restart"/>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c>
          <w:tcPr>
            <w:tcW w:w="400" w:type="dxa"/>
            <w:vAlign w:val="bottom"/>
            <w:vMerge w:val="restart"/>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c>
          <w:tcPr>
            <w:tcW w:w="420" w:type="dxa"/>
            <w:vAlign w:val="bottom"/>
            <w:vMerge w:val="restart"/>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c>
          <w:tcPr>
            <w:tcW w:w="420" w:type="dxa"/>
            <w:vAlign w:val="bottom"/>
            <w:vMerge w:val="restart"/>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7"/>
        </w:trPr>
        <w:tc>
          <w:tcPr>
            <w:tcW w:w="660" w:type="dxa"/>
            <w:vAlign w:val="bottom"/>
          </w:tcPr>
          <w:p>
            <w:pPr>
              <w:spacing w:after="0"/>
              <w:rPr>
                <w:sz w:val="19"/>
                <w:szCs w:val="19"/>
                <w:color w:val="auto"/>
              </w:rPr>
            </w:pPr>
          </w:p>
        </w:tc>
        <w:tc>
          <w:tcPr>
            <w:tcW w:w="2140" w:type="dxa"/>
            <w:vAlign w:val="bottom"/>
            <w:tcBorders>
              <w:top w:val="single" w:sz="8" w:color="auto"/>
            </w:tcBorders>
            <w:gridSpan w:val="3"/>
          </w:tcPr>
          <w:p>
            <w:pPr>
              <w:spacing w:after="0" w:line="228" w:lineRule="exact"/>
              <w:rPr>
                <w:sz w:val="20"/>
                <w:szCs w:val="20"/>
                <w:color w:val="auto"/>
              </w:rPr>
            </w:pPr>
            <w:r>
              <w:rPr>
                <w:rFonts w:ascii="Times New Roman" w:cs="Times New Roman" w:eastAsia="Times New Roman" w:hAnsi="Times New Roman"/>
                <w:sz w:val="20"/>
                <w:szCs w:val="20"/>
                <w:color w:val="auto"/>
              </w:rPr>
              <w:t>Quarter 1</w:t>
            </w:r>
          </w:p>
        </w:tc>
        <w:tc>
          <w:tcPr>
            <w:tcW w:w="400" w:type="dxa"/>
            <w:vAlign w:val="bottom"/>
            <w:tcBorders>
              <w:top w:val="single" w:sz="8" w:color="auto"/>
            </w:tcBorders>
          </w:tcPr>
          <w:p>
            <w:pPr>
              <w:jc w:val="right"/>
              <w:ind w:right="61"/>
              <w:spacing w:after="0" w:line="228"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tcBorders>
            <w:gridSpan w:val="4"/>
          </w:tcPr>
          <w:p>
            <w:pPr>
              <w:jc w:val="right"/>
              <w:ind w:right="60"/>
              <w:spacing w:after="0" w:line="228"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1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Quarter 2</w:t>
            </w:r>
          </w:p>
        </w:tc>
        <w:tc>
          <w:tcPr>
            <w:tcW w:w="400" w:type="dxa"/>
            <w:vAlign w:val="bottom"/>
          </w:tcPr>
          <w:p>
            <w:pPr>
              <w:spacing w:after="0"/>
              <w:rPr>
                <w:sz w:val="19"/>
                <w:szCs w:val="19"/>
                <w:color w:val="auto"/>
              </w:rPr>
            </w:pP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(6,635)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1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Quarter 3</w:t>
            </w:r>
          </w:p>
        </w:tc>
        <w:tc>
          <w:tcPr>
            <w:tcW w:w="400" w:type="dxa"/>
            <w:vAlign w:val="bottom"/>
          </w:tcPr>
          <w:p>
            <w:pPr>
              <w:spacing w:after="0"/>
              <w:rPr>
                <w:sz w:val="19"/>
                <w:szCs w:val="19"/>
                <w:color w:val="auto"/>
              </w:rPr>
            </w:pP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(5,686)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1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Quarter 4</w:t>
            </w:r>
          </w:p>
        </w:tc>
        <w:tc>
          <w:tcPr>
            <w:tcW w:w="400" w:type="dxa"/>
            <w:vAlign w:val="bottom"/>
          </w:tcPr>
          <w:p>
            <w:pPr>
              <w:spacing w:after="0"/>
              <w:rPr>
                <w:sz w:val="19"/>
                <w:szCs w:val="19"/>
                <w:color w:val="auto"/>
              </w:rPr>
            </w:pP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(4,690)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
        </w:trPr>
        <w:tc>
          <w:tcPr>
            <w:tcW w:w="660" w:type="dxa"/>
            <w:vAlign w:val="bottom"/>
            <w:vMerge w:val="restart"/>
          </w:tcPr>
          <w:p>
            <w:pPr>
              <w:spacing w:after="0" w:line="20" w:lineRule="exact"/>
              <w:rPr>
                <w:sz w:val="1"/>
                <w:szCs w:val="1"/>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Total</w:t>
            </w: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60" w:type="dxa"/>
            <w:vAlign w:val="bottom"/>
            <w:vMerge w:val="continue"/>
          </w:tcPr>
          <w:p>
            <w:pPr>
              <w:spacing w:after="0"/>
              <w:rPr>
                <w:sz w:val="19"/>
                <w:szCs w:val="19"/>
                <w:color w:val="auto"/>
              </w:rPr>
            </w:pPr>
          </w:p>
        </w:tc>
        <w:tc>
          <w:tcPr>
            <w:tcW w:w="2140" w:type="dxa"/>
            <w:vAlign w:val="bottom"/>
            <w:gridSpan w:val="3"/>
            <w:vMerge w:val="continue"/>
          </w:tcPr>
          <w:p>
            <w:pPr>
              <w:spacing w:after="0"/>
              <w:rPr>
                <w:sz w:val="19"/>
                <w:szCs w:val="19"/>
                <w:color w:val="auto"/>
              </w:rPr>
            </w:pPr>
          </w:p>
        </w:tc>
        <w:tc>
          <w:tcPr>
            <w:tcW w:w="40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gridSpan w:val="4"/>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(17,011)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60" w:type="dxa"/>
            <w:vAlign w:val="bottom"/>
          </w:tcPr>
          <w:p>
            <w:pPr>
              <w:spacing w:after="0"/>
              <w:rPr>
                <w:sz w:val="24"/>
                <w:szCs w:val="24"/>
                <w:color w:val="auto"/>
              </w:rPr>
            </w:pPr>
          </w:p>
        </w:tc>
        <w:tc>
          <w:tcPr>
            <w:tcW w:w="28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auto"/>
                <w:w w:val="98"/>
              </w:rPr>
              <w:t>Adjusted Net Sales (in Thousands)¹</w:t>
            </w:r>
          </w:p>
        </w:tc>
        <w:tc>
          <w:tcPr>
            <w:tcW w:w="1020" w:type="dxa"/>
            <w:vAlign w:val="bottom"/>
            <w:gridSpan w:val="5"/>
          </w:tcPr>
          <w:p>
            <w:pPr>
              <w:spacing w:after="0"/>
              <w:rPr>
                <w:sz w:val="24"/>
                <w:szCs w:val="24"/>
                <w:color w:val="auto"/>
              </w:rPr>
            </w:pPr>
          </w:p>
        </w:tc>
        <w:tc>
          <w:tcPr>
            <w:tcW w:w="400" w:type="dxa"/>
            <w:vAlign w:val="bottom"/>
            <w:vMerge w:val="restart"/>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626,791</w:t>
            </w:r>
          </w:p>
        </w:tc>
        <w:tc>
          <w:tcPr>
            <w:tcW w:w="160" w:type="dxa"/>
            <w:vAlign w:val="bottom"/>
          </w:tcPr>
          <w:p>
            <w:pPr>
              <w:spacing w:after="0"/>
              <w:rPr>
                <w:sz w:val="24"/>
                <w:szCs w:val="24"/>
                <w:color w:val="auto"/>
              </w:rPr>
            </w:pPr>
          </w:p>
        </w:tc>
        <w:tc>
          <w:tcPr>
            <w:tcW w:w="400" w:type="dxa"/>
            <w:vAlign w:val="bottom"/>
            <w:vMerge w:val="restart"/>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536,129</w:t>
            </w:r>
          </w:p>
        </w:tc>
        <w:tc>
          <w:tcPr>
            <w:tcW w:w="160" w:type="dxa"/>
            <w:vAlign w:val="bottom"/>
          </w:tcPr>
          <w:p>
            <w:pPr>
              <w:spacing w:after="0"/>
              <w:rPr>
                <w:sz w:val="24"/>
                <w:szCs w:val="24"/>
                <w:color w:val="auto"/>
              </w:rPr>
            </w:pPr>
          </w:p>
        </w:tc>
        <w:tc>
          <w:tcPr>
            <w:tcW w:w="420" w:type="dxa"/>
            <w:vAlign w:val="bottom"/>
            <w:vMerge w:val="restart"/>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484,223</w:t>
            </w:r>
          </w:p>
        </w:tc>
        <w:tc>
          <w:tcPr>
            <w:tcW w:w="160" w:type="dxa"/>
            <w:vAlign w:val="bottom"/>
          </w:tcPr>
          <w:p>
            <w:pPr>
              <w:spacing w:after="0"/>
              <w:rPr>
                <w:sz w:val="24"/>
                <w:szCs w:val="24"/>
                <w:color w:val="auto"/>
              </w:rPr>
            </w:pPr>
          </w:p>
        </w:tc>
        <w:tc>
          <w:tcPr>
            <w:tcW w:w="420" w:type="dxa"/>
            <w:vAlign w:val="bottom"/>
            <w:vMerge w:val="restart"/>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454,605</w:t>
            </w:r>
          </w:p>
        </w:tc>
        <w:tc>
          <w:tcPr>
            <w:tcW w:w="0" w:type="dxa"/>
            <w:vAlign w:val="bottom"/>
          </w:tcPr>
          <w:p>
            <w:pPr>
              <w:spacing w:after="0"/>
              <w:rPr>
                <w:sz w:val="1"/>
                <w:szCs w:val="1"/>
                <w:color w:val="auto"/>
              </w:rPr>
            </w:pPr>
          </w:p>
        </w:tc>
      </w:tr>
      <w:tr>
        <w:trPr>
          <w:trHeight w:val="227"/>
        </w:trPr>
        <w:tc>
          <w:tcPr>
            <w:tcW w:w="660" w:type="dxa"/>
            <w:vAlign w:val="bottom"/>
          </w:tcPr>
          <w:p>
            <w:pPr>
              <w:spacing w:after="0"/>
              <w:rPr>
                <w:sz w:val="19"/>
                <w:szCs w:val="19"/>
                <w:color w:val="auto"/>
              </w:rPr>
            </w:pPr>
          </w:p>
        </w:tc>
        <w:tc>
          <w:tcPr>
            <w:tcW w:w="214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auto"/>
              </w:rPr>
              <w:t>Quarter 1</w:t>
            </w:r>
          </w:p>
        </w:tc>
        <w:tc>
          <w:tcPr>
            <w:tcW w:w="400" w:type="dxa"/>
            <w:vAlign w:val="bottom"/>
          </w:tcPr>
          <w:p>
            <w:pPr>
              <w:jc w:val="right"/>
              <w:ind w:right="61"/>
              <w:spacing w:after="0" w:line="228"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4"/>
          </w:tcPr>
          <w:p>
            <w:pPr>
              <w:jc w:val="right"/>
              <w:ind w:right="60"/>
              <w:spacing w:after="0" w:line="228" w:lineRule="exact"/>
              <w:rPr>
                <w:sz w:val="20"/>
                <w:szCs w:val="20"/>
                <w:color w:val="auto"/>
              </w:rPr>
            </w:pPr>
            <w:r>
              <w:rPr>
                <w:rFonts w:ascii="Times New Roman" w:cs="Times New Roman" w:eastAsia="Times New Roman" w:hAnsi="Times New Roman"/>
                <w:sz w:val="20"/>
                <w:szCs w:val="20"/>
                <w:color w:val="auto"/>
              </w:rPr>
              <w:t>680,186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1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Quarter 2</w:t>
            </w:r>
          </w:p>
        </w:tc>
        <w:tc>
          <w:tcPr>
            <w:tcW w:w="400" w:type="dxa"/>
            <w:vAlign w:val="bottom"/>
          </w:tcPr>
          <w:p>
            <w:pPr>
              <w:spacing w:after="0"/>
              <w:rPr>
                <w:sz w:val="19"/>
                <w:szCs w:val="19"/>
                <w:color w:val="auto"/>
              </w:rPr>
            </w:pP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820,853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693,722</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687,199</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630,934</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592,640</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1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Quarter 3</w:t>
            </w:r>
          </w:p>
        </w:tc>
        <w:tc>
          <w:tcPr>
            <w:tcW w:w="400" w:type="dxa"/>
            <w:vAlign w:val="bottom"/>
          </w:tcPr>
          <w:p>
            <w:pPr>
              <w:spacing w:after="0"/>
              <w:rPr>
                <w:sz w:val="19"/>
                <w:szCs w:val="19"/>
                <w:color w:val="auto"/>
              </w:rPr>
            </w:pP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782,268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756,619</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635,972</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590,422</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541,940</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1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Quarter 4</w:t>
            </w:r>
          </w:p>
        </w:tc>
        <w:tc>
          <w:tcPr>
            <w:tcW w:w="400" w:type="dxa"/>
            <w:vAlign w:val="bottom"/>
          </w:tcPr>
          <w:p>
            <w:pPr>
              <w:spacing w:after="0"/>
              <w:rPr>
                <w:sz w:val="19"/>
                <w:szCs w:val="19"/>
                <w:color w:val="auto"/>
              </w:rPr>
            </w:pP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749,075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645,432</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605,567</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540,849</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471,517</w:t>
            </w:r>
          </w:p>
        </w:tc>
        <w:tc>
          <w:tcPr>
            <w:tcW w:w="0" w:type="dxa"/>
            <w:vAlign w:val="bottom"/>
          </w:tcPr>
          <w:p>
            <w:pPr>
              <w:spacing w:after="0"/>
              <w:rPr>
                <w:sz w:val="1"/>
                <w:szCs w:val="1"/>
                <w:color w:val="auto"/>
              </w:rPr>
            </w:pPr>
          </w:p>
        </w:tc>
      </w:tr>
      <w:tr>
        <w:trPr>
          <w:trHeight w:val="23"/>
        </w:trPr>
        <w:tc>
          <w:tcPr>
            <w:tcW w:w="660" w:type="dxa"/>
            <w:vAlign w:val="bottom"/>
            <w:vMerge w:val="restart"/>
          </w:tcPr>
          <w:p>
            <w:pPr>
              <w:spacing w:after="0" w:line="20" w:lineRule="exact"/>
              <w:rPr>
                <w:sz w:val="1"/>
                <w:szCs w:val="1"/>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Total</w:t>
            </w: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60" w:type="dxa"/>
            <w:vAlign w:val="bottom"/>
            <w:vMerge w:val="continue"/>
          </w:tcPr>
          <w:p>
            <w:pPr>
              <w:spacing w:after="0"/>
              <w:rPr>
                <w:sz w:val="19"/>
                <w:szCs w:val="19"/>
                <w:color w:val="auto"/>
              </w:rPr>
            </w:pPr>
          </w:p>
        </w:tc>
        <w:tc>
          <w:tcPr>
            <w:tcW w:w="2140" w:type="dxa"/>
            <w:vAlign w:val="bottom"/>
            <w:gridSpan w:val="3"/>
            <w:vMerge w:val="continue"/>
          </w:tcPr>
          <w:p>
            <w:pPr>
              <w:spacing w:after="0"/>
              <w:rPr>
                <w:sz w:val="19"/>
                <w:szCs w:val="19"/>
                <w:color w:val="auto"/>
              </w:rPr>
            </w:pPr>
          </w:p>
        </w:tc>
        <w:tc>
          <w:tcPr>
            <w:tcW w:w="40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gridSpan w:val="4"/>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3,032,382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2,722,564</w:t>
            </w: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2,464,867</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2,246,428</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2,060,702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60" w:type="dxa"/>
            <w:vAlign w:val="bottom"/>
          </w:tcPr>
          <w:p>
            <w:pPr>
              <w:spacing w:after="0"/>
              <w:rPr>
                <w:sz w:val="24"/>
                <w:szCs w:val="24"/>
                <w:color w:val="auto"/>
              </w:rPr>
            </w:pPr>
          </w:p>
        </w:tc>
        <w:tc>
          <w:tcPr>
            <w:tcW w:w="32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20"/>
                <w:szCs w:val="20"/>
                <w:color w:val="auto"/>
                <w:w w:val="97"/>
              </w:rPr>
              <w:t>Unit Case Volume / Sales (in Thousands)</w:t>
            </w:r>
          </w:p>
        </w:tc>
        <w:tc>
          <w:tcPr>
            <w:tcW w:w="580" w:type="dxa"/>
            <w:vAlign w:val="bottom"/>
            <w:gridSpan w:val="3"/>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57,779</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51,926</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47,749</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44,396</w:t>
            </w:r>
          </w:p>
        </w:tc>
        <w:tc>
          <w:tcPr>
            <w:tcW w:w="0" w:type="dxa"/>
            <w:vAlign w:val="bottom"/>
          </w:tcPr>
          <w:p>
            <w:pPr>
              <w:spacing w:after="0"/>
              <w:rPr>
                <w:sz w:val="1"/>
                <w:szCs w:val="1"/>
                <w:color w:val="auto"/>
              </w:rPr>
            </w:pPr>
          </w:p>
        </w:tc>
      </w:tr>
      <w:tr>
        <w:trPr>
          <w:trHeight w:val="227"/>
        </w:trPr>
        <w:tc>
          <w:tcPr>
            <w:tcW w:w="660" w:type="dxa"/>
            <w:vAlign w:val="bottom"/>
          </w:tcPr>
          <w:p>
            <w:pPr>
              <w:spacing w:after="0"/>
              <w:rPr>
                <w:sz w:val="19"/>
                <w:szCs w:val="19"/>
                <w:color w:val="auto"/>
              </w:rPr>
            </w:pPr>
          </w:p>
        </w:tc>
        <w:tc>
          <w:tcPr>
            <w:tcW w:w="214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auto"/>
              </w:rPr>
              <w:t>Quarter 1</w:t>
            </w:r>
          </w:p>
        </w:tc>
        <w:tc>
          <w:tcPr>
            <w:tcW w:w="400" w:type="dxa"/>
            <w:vAlign w:val="bottom"/>
          </w:tcPr>
          <w:p>
            <w:pPr>
              <w:spacing w:after="0"/>
              <w:rPr>
                <w:sz w:val="19"/>
                <w:szCs w:val="19"/>
                <w:color w:val="auto"/>
              </w:rPr>
            </w:pPr>
          </w:p>
        </w:tc>
        <w:tc>
          <w:tcPr>
            <w:tcW w:w="1120" w:type="dxa"/>
            <w:vAlign w:val="bottom"/>
            <w:gridSpan w:val="4"/>
          </w:tcPr>
          <w:p>
            <w:pPr>
              <w:jc w:val="right"/>
              <w:ind w:right="60"/>
              <w:spacing w:after="0" w:line="228" w:lineRule="exact"/>
              <w:rPr>
                <w:sz w:val="20"/>
                <w:szCs w:val="20"/>
                <w:color w:val="auto"/>
              </w:rPr>
            </w:pPr>
            <w:r>
              <w:rPr>
                <w:rFonts w:ascii="Times New Roman" w:cs="Times New Roman" w:eastAsia="Times New Roman" w:hAnsi="Times New Roman"/>
                <w:sz w:val="20"/>
                <w:szCs w:val="20"/>
                <w:color w:val="auto"/>
              </w:rPr>
              <w:t>72,653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1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Quarter 2</w:t>
            </w:r>
          </w:p>
        </w:tc>
        <w:tc>
          <w:tcPr>
            <w:tcW w:w="400" w:type="dxa"/>
            <w:vAlign w:val="bottom"/>
          </w:tcPr>
          <w:p>
            <w:pPr>
              <w:spacing w:after="0"/>
              <w:rPr>
                <w:sz w:val="19"/>
                <w:szCs w:val="19"/>
                <w:color w:val="auto"/>
              </w:rPr>
            </w:pP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87,574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68,037</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65,587</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61,615</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57,525</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1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Quarter 3</w:t>
            </w:r>
          </w:p>
        </w:tc>
        <w:tc>
          <w:tcPr>
            <w:tcW w:w="400" w:type="dxa"/>
            <w:vAlign w:val="bottom"/>
          </w:tcPr>
          <w:p>
            <w:pPr>
              <w:spacing w:after="0"/>
              <w:rPr>
                <w:sz w:val="19"/>
                <w:szCs w:val="19"/>
                <w:color w:val="auto"/>
              </w:rPr>
            </w:pP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82,767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81,274</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62,204</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59,204</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54,611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1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Quarter 4</w:t>
            </w:r>
          </w:p>
        </w:tc>
        <w:tc>
          <w:tcPr>
            <w:tcW w:w="400" w:type="dxa"/>
            <w:vAlign w:val="bottom"/>
          </w:tcPr>
          <w:p>
            <w:pPr>
              <w:spacing w:after="0"/>
              <w:rPr>
                <w:sz w:val="19"/>
                <w:szCs w:val="19"/>
                <w:color w:val="auto"/>
              </w:rPr>
            </w:pP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77,966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67,531</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58,563</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52,780</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46,386</w:t>
            </w:r>
          </w:p>
        </w:tc>
        <w:tc>
          <w:tcPr>
            <w:tcW w:w="0" w:type="dxa"/>
            <w:vAlign w:val="bottom"/>
          </w:tcPr>
          <w:p>
            <w:pPr>
              <w:spacing w:after="0"/>
              <w:rPr>
                <w:sz w:val="1"/>
                <w:szCs w:val="1"/>
                <w:color w:val="auto"/>
              </w:rPr>
            </w:pPr>
          </w:p>
        </w:tc>
      </w:tr>
      <w:tr>
        <w:trPr>
          <w:trHeight w:val="23"/>
        </w:trPr>
        <w:tc>
          <w:tcPr>
            <w:tcW w:w="660" w:type="dxa"/>
            <w:vAlign w:val="bottom"/>
            <w:vMerge w:val="restart"/>
          </w:tcPr>
          <w:p>
            <w:pPr>
              <w:spacing w:after="0" w:line="20" w:lineRule="exact"/>
              <w:rPr>
                <w:sz w:val="1"/>
                <w:szCs w:val="1"/>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Total</w:t>
            </w: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60" w:type="dxa"/>
            <w:vAlign w:val="bottom"/>
            <w:vMerge w:val="continue"/>
          </w:tcPr>
          <w:p>
            <w:pPr>
              <w:spacing w:after="0"/>
              <w:rPr>
                <w:sz w:val="19"/>
                <w:szCs w:val="19"/>
                <w:color w:val="auto"/>
              </w:rPr>
            </w:pPr>
          </w:p>
        </w:tc>
        <w:tc>
          <w:tcPr>
            <w:tcW w:w="2140" w:type="dxa"/>
            <w:vAlign w:val="bottom"/>
            <w:gridSpan w:val="3"/>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4"/>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320,960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274,621</w:t>
            </w:r>
          </w:p>
        </w:tc>
        <w:tc>
          <w:tcPr>
            <w:tcW w:w="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238,280</w:t>
            </w:r>
          </w:p>
        </w:tc>
        <w:tc>
          <w:tcPr>
            <w:tcW w:w="1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221,348</w:t>
            </w:r>
          </w:p>
        </w:tc>
        <w:tc>
          <w:tcPr>
            <w:tcW w:w="1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202,918</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60" w:type="dxa"/>
            <w:vAlign w:val="bottom"/>
          </w:tcPr>
          <w:p>
            <w:pPr>
              <w:spacing w:after="0"/>
              <w:rPr>
                <w:sz w:val="24"/>
                <w:szCs w:val="24"/>
                <w:color w:val="auto"/>
              </w:rPr>
            </w:pPr>
          </w:p>
        </w:tc>
        <w:tc>
          <w:tcPr>
            <w:tcW w:w="384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Adjusted Average Net Sales Per Case</w:t>
            </w:r>
          </w:p>
        </w:tc>
        <w:tc>
          <w:tcPr>
            <w:tcW w:w="400" w:type="dxa"/>
            <w:vAlign w:val="bottom"/>
            <w:vMerge w:val="restart"/>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10.85</w:t>
            </w:r>
          </w:p>
        </w:tc>
        <w:tc>
          <w:tcPr>
            <w:tcW w:w="160" w:type="dxa"/>
            <w:vAlign w:val="bottom"/>
          </w:tcPr>
          <w:p>
            <w:pPr>
              <w:spacing w:after="0"/>
              <w:rPr>
                <w:sz w:val="24"/>
                <w:szCs w:val="24"/>
                <w:color w:val="auto"/>
              </w:rPr>
            </w:pPr>
          </w:p>
        </w:tc>
        <w:tc>
          <w:tcPr>
            <w:tcW w:w="400" w:type="dxa"/>
            <w:vAlign w:val="bottom"/>
            <w:vMerge w:val="restart"/>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10.32</w:t>
            </w:r>
          </w:p>
        </w:tc>
        <w:tc>
          <w:tcPr>
            <w:tcW w:w="160" w:type="dxa"/>
            <w:vAlign w:val="bottom"/>
          </w:tcPr>
          <w:p>
            <w:pPr>
              <w:spacing w:after="0"/>
              <w:rPr>
                <w:sz w:val="24"/>
                <w:szCs w:val="24"/>
                <w:color w:val="auto"/>
              </w:rPr>
            </w:pPr>
          </w:p>
        </w:tc>
        <w:tc>
          <w:tcPr>
            <w:tcW w:w="420" w:type="dxa"/>
            <w:vAlign w:val="bottom"/>
            <w:vMerge w:val="restart"/>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10.14</w:t>
            </w:r>
          </w:p>
        </w:tc>
        <w:tc>
          <w:tcPr>
            <w:tcW w:w="160" w:type="dxa"/>
            <w:vAlign w:val="bottom"/>
          </w:tcPr>
          <w:p>
            <w:pPr>
              <w:spacing w:after="0"/>
              <w:rPr>
                <w:sz w:val="24"/>
                <w:szCs w:val="24"/>
                <w:color w:val="auto"/>
              </w:rPr>
            </w:pPr>
          </w:p>
        </w:tc>
        <w:tc>
          <w:tcPr>
            <w:tcW w:w="420" w:type="dxa"/>
            <w:vAlign w:val="bottom"/>
            <w:vMerge w:val="restart"/>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10.24</w:t>
            </w:r>
          </w:p>
        </w:tc>
        <w:tc>
          <w:tcPr>
            <w:tcW w:w="0" w:type="dxa"/>
            <w:vAlign w:val="bottom"/>
          </w:tcPr>
          <w:p>
            <w:pPr>
              <w:spacing w:after="0"/>
              <w:rPr>
                <w:sz w:val="1"/>
                <w:szCs w:val="1"/>
                <w:color w:val="auto"/>
              </w:rPr>
            </w:pPr>
          </w:p>
        </w:tc>
      </w:tr>
      <w:tr>
        <w:trPr>
          <w:trHeight w:val="227"/>
        </w:trPr>
        <w:tc>
          <w:tcPr>
            <w:tcW w:w="660" w:type="dxa"/>
            <w:vAlign w:val="bottom"/>
          </w:tcPr>
          <w:p>
            <w:pPr>
              <w:spacing w:after="0"/>
              <w:rPr>
                <w:sz w:val="19"/>
                <w:szCs w:val="19"/>
                <w:color w:val="auto"/>
              </w:rPr>
            </w:pPr>
          </w:p>
        </w:tc>
        <w:tc>
          <w:tcPr>
            <w:tcW w:w="2140" w:type="dxa"/>
            <w:vAlign w:val="bottom"/>
            <w:tcBorders>
              <w:top w:val="single" w:sz="8" w:color="auto"/>
            </w:tcBorders>
            <w:gridSpan w:val="3"/>
          </w:tcPr>
          <w:p>
            <w:pPr>
              <w:spacing w:after="0" w:line="228" w:lineRule="exact"/>
              <w:rPr>
                <w:sz w:val="20"/>
                <w:szCs w:val="20"/>
                <w:color w:val="auto"/>
              </w:rPr>
            </w:pPr>
            <w:r>
              <w:rPr>
                <w:rFonts w:ascii="Times New Roman" w:cs="Times New Roman" w:eastAsia="Times New Roman" w:hAnsi="Times New Roman"/>
                <w:sz w:val="20"/>
                <w:szCs w:val="20"/>
                <w:color w:val="auto"/>
              </w:rPr>
              <w:t>Quarter 1</w:t>
            </w:r>
          </w:p>
        </w:tc>
        <w:tc>
          <w:tcPr>
            <w:tcW w:w="400" w:type="dxa"/>
            <w:vAlign w:val="bottom"/>
            <w:tcBorders>
              <w:top w:val="single" w:sz="8" w:color="auto"/>
            </w:tcBorders>
          </w:tcPr>
          <w:p>
            <w:pPr>
              <w:jc w:val="right"/>
              <w:ind w:right="61"/>
              <w:spacing w:after="0" w:line="228"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top w:val="single" w:sz="8" w:color="auto"/>
            </w:tcBorders>
            <w:gridSpan w:val="2"/>
          </w:tcPr>
          <w:p>
            <w:pPr>
              <w:spacing w:after="0"/>
              <w:rPr>
                <w:sz w:val="19"/>
                <w:szCs w:val="19"/>
                <w:color w:val="auto"/>
              </w:rPr>
            </w:pPr>
          </w:p>
        </w:tc>
        <w:tc>
          <w:tcPr>
            <w:tcW w:w="700" w:type="dxa"/>
            <w:vAlign w:val="bottom"/>
            <w:gridSpan w:val="2"/>
          </w:tcPr>
          <w:p>
            <w:pPr>
              <w:jc w:val="right"/>
              <w:ind w:right="60"/>
              <w:spacing w:after="0" w:line="228" w:lineRule="exact"/>
              <w:rPr>
                <w:sz w:val="20"/>
                <w:szCs w:val="20"/>
                <w:color w:val="auto"/>
              </w:rPr>
            </w:pPr>
            <w:r>
              <w:rPr>
                <w:rFonts w:ascii="Times New Roman" w:cs="Times New Roman" w:eastAsia="Times New Roman" w:hAnsi="Times New Roman"/>
                <w:sz w:val="20"/>
                <w:szCs w:val="20"/>
                <w:color w:val="auto"/>
              </w:rPr>
              <w:t>9.36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1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Quarter 2</w:t>
            </w:r>
          </w:p>
        </w:tc>
        <w:tc>
          <w:tcPr>
            <w:tcW w:w="400" w:type="dxa"/>
            <w:vAlign w:val="bottom"/>
          </w:tcPr>
          <w:p>
            <w:pPr>
              <w:spacing w:after="0"/>
              <w:rPr>
                <w:sz w:val="19"/>
                <w:szCs w:val="19"/>
                <w:color w:val="auto"/>
              </w:rPr>
            </w:pP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9.37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10.20</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10.48</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10.24</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10.30</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1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Quarter 3</w:t>
            </w:r>
          </w:p>
        </w:tc>
        <w:tc>
          <w:tcPr>
            <w:tcW w:w="400" w:type="dxa"/>
            <w:vAlign w:val="bottom"/>
          </w:tcPr>
          <w:p>
            <w:pPr>
              <w:spacing w:after="0"/>
              <w:rPr>
                <w:sz w:val="19"/>
                <w:szCs w:val="19"/>
                <w:color w:val="auto"/>
              </w:rPr>
            </w:pP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9.45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9.31</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10.22</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9.97</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9.92</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1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Quarter 4</w:t>
            </w:r>
          </w:p>
        </w:tc>
        <w:tc>
          <w:tcPr>
            <w:tcW w:w="400" w:type="dxa"/>
            <w:vAlign w:val="bottom"/>
          </w:tcPr>
          <w:p>
            <w:pPr>
              <w:spacing w:after="0"/>
              <w:rPr>
                <w:sz w:val="19"/>
                <w:szCs w:val="19"/>
                <w:color w:val="auto"/>
              </w:rPr>
            </w:pP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9.61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9.56</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10.34</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10.25</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10.17</w:t>
            </w:r>
          </w:p>
        </w:tc>
        <w:tc>
          <w:tcPr>
            <w:tcW w:w="0" w:type="dxa"/>
            <w:vAlign w:val="bottom"/>
          </w:tcPr>
          <w:p>
            <w:pPr>
              <w:spacing w:after="0"/>
              <w:rPr>
                <w:sz w:val="1"/>
                <w:szCs w:val="1"/>
                <w:color w:val="auto"/>
              </w:rPr>
            </w:pPr>
          </w:p>
        </w:tc>
      </w:tr>
      <w:tr>
        <w:trPr>
          <w:trHeight w:val="23"/>
        </w:trPr>
        <w:tc>
          <w:tcPr>
            <w:tcW w:w="660" w:type="dxa"/>
            <w:vAlign w:val="bottom"/>
            <w:vMerge w:val="restart"/>
          </w:tcPr>
          <w:p>
            <w:pPr>
              <w:spacing w:after="0" w:line="20" w:lineRule="exact"/>
              <w:rPr>
                <w:sz w:val="1"/>
                <w:szCs w:val="1"/>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Total</w:t>
            </w: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60" w:type="dxa"/>
            <w:vAlign w:val="bottom"/>
            <w:vMerge w:val="continue"/>
          </w:tcPr>
          <w:p>
            <w:pPr>
              <w:spacing w:after="0"/>
              <w:rPr>
                <w:sz w:val="19"/>
                <w:szCs w:val="19"/>
                <w:color w:val="auto"/>
              </w:rPr>
            </w:pPr>
          </w:p>
        </w:tc>
        <w:tc>
          <w:tcPr>
            <w:tcW w:w="2140" w:type="dxa"/>
            <w:vAlign w:val="bottom"/>
            <w:gridSpan w:val="3"/>
            <w:vMerge w:val="continue"/>
          </w:tcPr>
          <w:p>
            <w:pPr>
              <w:spacing w:after="0"/>
              <w:rPr>
                <w:sz w:val="19"/>
                <w:szCs w:val="19"/>
                <w:color w:val="auto"/>
              </w:rPr>
            </w:pPr>
          </w:p>
        </w:tc>
        <w:tc>
          <w:tcPr>
            <w:tcW w:w="40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gridSpan w:val="4"/>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9.45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9.91</w:t>
            </w: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10.34</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10.15</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10.16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1"/>
          <w:szCs w:val="21"/>
          <w:i w:val="1"/>
          <w:iCs w:val="1"/>
          <w:color w:val="auto"/>
          <w:vertAlign w:val="superscript"/>
        </w:rPr>
        <w:t>1</w:t>
      </w:r>
      <w:r>
        <w:rPr>
          <w:rFonts w:ascii="Times New Roman" w:cs="Times New Roman" w:eastAsia="Times New Roman" w:hAnsi="Times New Roman"/>
          <w:sz w:val="16"/>
          <w:szCs w:val="16"/>
          <w:i w:val="1"/>
          <w:iCs w:val="1"/>
          <w:color w:val="auto"/>
        </w:rPr>
        <w:t>Excludes Other segment net sales of $6.6 million, $5.7 million and $4.7 million for the three-months ended June 30, 2016, September 30, 2016 and December 31, 2016, respectively, comprised of sales of our AFF Third-Party Products to independent third parties as these sales do not have unit case equivalents.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represents case sales by segment for the years ended December 31: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 except average</w:t>
            </w: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sales per case)</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vMerge w:val="restart"/>
          </w:tcPr>
          <w:p>
            <w:pPr>
              <w:jc w:val="right"/>
              <w:ind w:right="502"/>
              <w:spacing w:after="0"/>
              <w:rPr>
                <w:sz w:val="20"/>
                <w:szCs w:val="20"/>
                <w:color w:val="auto"/>
              </w:rPr>
            </w:pPr>
            <w:r>
              <w:rPr>
                <w:rFonts w:ascii="Times New Roman" w:cs="Times New Roman" w:eastAsia="Times New Roman" w:hAnsi="Times New Roman"/>
                <w:sz w:val="18"/>
                <w:szCs w:val="18"/>
                <w:color w:val="auto"/>
              </w:rPr>
              <w:t>2016</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vMerge w:val="restart"/>
          </w:tcPr>
          <w:p>
            <w:pPr>
              <w:jc w:val="right"/>
              <w:ind w:right="502"/>
              <w:spacing w:after="0"/>
              <w:rPr>
                <w:sz w:val="20"/>
                <w:szCs w:val="20"/>
                <w:color w:val="auto"/>
              </w:rPr>
            </w:pPr>
            <w:r>
              <w:rPr>
                <w:rFonts w:ascii="Times New Roman" w:cs="Times New Roman" w:eastAsia="Times New Roman" w:hAnsi="Times New Roman"/>
                <w:sz w:val="18"/>
                <w:szCs w:val="18"/>
                <w:color w:val="auto"/>
              </w:rPr>
              <w:t>2015</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vMerge w:val="restart"/>
          </w:tcPr>
          <w:p>
            <w:pPr>
              <w:jc w:val="right"/>
              <w:ind w:right="502"/>
              <w:spacing w:after="0"/>
              <w:rPr>
                <w:sz w:val="20"/>
                <w:szCs w:val="20"/>
                <w:color w:val="auto"/>
              </w:rPr>
            </w:pPr>
            <w:r>
              <w:rPr>
                <w:rFonts w:ascii="Times New Roman" w:cs="Times New Roman" w:eastAsia="Times New Roman" w:hAnsi="Times New Roman"/>
                <w:sz w:val="18"/>
                <w:szCs w:val="18"/>
                <w:color w:val="auto"/>
              </w:rPr>
              <w:t>2014</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vMerge w:val="restart"/>
          </w:tcPr>
          <w:p>
            <w:pPr>
              <w:jc w:val="right"/>
              <w:ind w:right="482"/>
              <w:spacing w:after="0"/>
              <w:rPr>
                <w:sz w:val="20"/>
                <w:szCs w:val="20"/>
                <w:color w:val="auto"/>
              </w:rPr>
            </w:pPr>
            <w:r>
              <w:rPr>
                <w:rFonts w:ascii="Times New Roman" w:cs="Times New Roman" w:eastAsia="Times New Roman" w:hAnsi="Times New Roman"/>
                <w:sz w:val="18"/>
                <w:szCs w:val="18"/>
                <w:color w:val="auto"/>
              </w:rPr>
              <w:t>2013</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vMerge w:val="restart"/>
          </w:tcPr>
          <w:p>
            <w:pPr>
              <w:jc w:val="right"/>
              <w:ind w:right="502"/>
              <w:spacing w:after="0"/>
              <w:rPr>
                <w:sz w:val="20"/>
                <w:szCs w:val="20"/>
                <w:color w:val="auto"/>
              </w:rPr>
            </w:pPr>
            <w:r>
              <w:rPr>
                <w:rFonts w:ascii="Times New Roman" w:cs="Times New Roman" w:eastAsia="Times New Roman" w:hAnsi="Times New Roman"/>
                <w:sz w:val="18"/>
                <w:szCs w:val="18"/>
                <w:color w:val="auto"/>
              </w:rPr>
              <w:t>2012</w:t>
            </w:r>
          </w:p>
        </w:tc>
        <w:tc>
          <w:tcPr>
            <w:tcW w:w="0" w:type="dxa"/>
            <w:vAlign w:val="bottom"/>
          </w:tcPr>
          <w:p>
            <w:pPr>
              <w:spacing w:after="0"/>
              <w:rPr>
                <w:sz w:val="1"/>
                <w:szCs w:val="1"/>
                <w:color w:val="auto"/>
              </w:rPr>
            </w:pPr>
          </w:p>
        </w:tc>
      </w:tr>
      <w:tr>
        <w:trPr>
          <w:trHeight w:val="196"/>
        </w:trPr>
        <w:tc>
          <w:tcPr>
            <w:tcW w:w="29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Net sales</w:t>
            </w: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920" w:type="dxa"/>
            <w:vAlign w:val="bottom"/>
            <w:gridSpan w:val="2"/>
            <w:vMerge w:val="continue"/>
          </w:tcPr>
          <w:p>
            <w:pPr>
              <w:spacing w:after="0"/>
              <w:rPr>
                <w:sz w:val="17"/>
                <w:szCs w:val="17"/>
                <w:color w:val="auto"/>
              </w:rPr>
            </w:pPr>
          </w:p>
        </w:tc>
        <w:tc>
          <w:tcPr>
            <w:tcW w:w="400" w:type="dxa"/>
            <w:vAlign w:val="bottom"/>
          </w:tcPr>
          <w:p>
            <w:pPr>
              <w:jc w:val="right"/>
              <w:ind w:right="10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3,049,393</w:t>
            </w:r>
          </w:p>
        </w:tc>
        <w:tc>
          <w:tcPr>
            <w:tcW w:w="180" w:type="dxa"/>
            <w:vAlign w:val="bottom"/>
          </w:tcPr>
          <w:p>
            <w:pPr>
              <w:spacing w:after="0"/>
              <w:rPr>
                <w:sz w:val="17"/>
                <w:szCs w:val="17"/>
                <w:color w:val="auto"/>
              </w:rPr>
            </w:pPr>
          </w:p>
        </w:tc>
        <w:tc>
          <w:tcPr>
            <w:tcW w:w="400" w:type="dxa"/>
            <w:vAlign w:val="bottom"/>
          </w:tcPr>
          <w:p>
            <w:pPr>
              <w:jc w:val="right"/>
              <w:ind w:right="10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2,722,564</w:t>
            </w:r>
          </w:p>
        </w:tc>
        <w:tc>
          <w:tcPr>
            <w:tcW w:w="180" w:type="dxa"/>
            <w:vAlign w:val="bottom"/>
          </w:tcPr>
          <w:p>
            <w:pPr>
              <w:spacing w:after="0"/>
              <w:rPr>
                <w:sz w:val="17"/>
                <w:szCs w:val="17"/>
                <w:color w:val="auto"/>
              </w:rPr>
            </w:pPr>
          </w:p>
        </w:tc>
        <w:tc>
          <w:tcPr>
            <w:tcW w:w="400" w:type="dxa"/>
            <w:vAlign w:val="bottom"/>
          </w:tcPr>
          <w:p>
            <w:pPr>
              <w:jc w:val="right"/>
              <w:ind w:right="10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2,464,867</w:t>
            </w:r>
          </w:p>
        </w:tc>
        <w:tc>
          <w:tcPr>
            <w:tcW w:w="160" w:type="dxa"/>
            <w:vAlign w:val="bottom"/>
          </w:tcPr>
          <w:p>
            <w:pPr>
              <w:spacing w:after="0"/>
              <w:rPr>
                <w:sz w:val="17"/>
                <w:szCs w:val="17"/>
                <w:color w:val="auto"/>
              </w:rPr>
            </w:pPr>
          </w:p>
        </w:tc>
        <w:tc>
          <w:tcPr>
            <w:tcW w:w="400" w:type="dxa"/>
            <w:vAlign w:val="bottom"/>
          </w:tcPr>
          <w:p>
            <w:pPr>
              <w:jc w:val="right"/>
              <w:ind w:right="10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2,246,428</w:t>
            </w:r>
          </w:p>
        </w:tc>
        <w:tc>
          <w:tcPr>
            <w:tcW w:w="160" w:type="dxa"/>
            <w:vAlign w:val="bottom"/>
          </w:tcPr>
          <w:p>
            <w:pPr>
              <w:spacing w:after="0"/>
              <w:rPr>
                <w:sz w:val="17"/>
                <w:szCs w:val="17"/>
                <w:color w:val="auto"/>
              </w:rPr>
            </w:pPr>
          </w:p>
        </w:tc>
        <w:tc>
          <w:tcPr>
            <w:tcW w:w="400" w:type="dxa"/>
            <w:vAlign w:val="bottom"/>
          </w:tcPr>
          <w:p>
            <w:pPr>
              <w:jc w:val="right"/>
              <w:ind w:right="10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2,060,702</w:t>
            </w:r>
          </w:p>
        </w:tc>
        <w:tc>
          <w:tcPr>
            <w:tcW w:w="0" w:type="dxa"/>
            <w:vAlign w:val="bottom"/>
          </w:tcPr>
          <w:p>
            <w:pPr>
              <w:spacing w:after="0"/>
              <w:rPr>
                <w:sz w:val="1"/>
                <w:szCs w:val="1"/>
                <w:color w:val="auto"/>
              </w:rPr>
            </w:pPr>
          </w:p>
        </w:tc>
      </w:tr>
      <w:tr>
        <w:trPr>
          <w:trHeight w:val="230"/>
        </w:trPr>
        <w:tc>
          <w:tcPr>
            <w:tcW w:w="2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Less: AFF third-party sales</w:t>
            </w:r>
          </w:p>
        </w:tc>
        <w:tc>
          <w:tcPr>
            <w:tcW w:w="4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(17,011)</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
        </w:trPr>
        <w:tc>
          <w:tcPr>
            <w:tcW w:w="29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Adjusted net sales¹</w:t>
            </w: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920" w:type="dxa"/>
            <w:vAlign w:val="bottom"/>
            <w:gridSpan w:val="2"/>
            <w:vMerge w:val="continue"/>
          </w:tcPr>
          <w:p>
            <w:pPr>
              <w:spacing w:after="0"/>
              <w:rPr>
                <w:sz w:val="19"/>
                <w:szCs w:val="19"/>
                <w:color w:val="auto"/>
              </w:rPr>
            </w:pPr>
          </w:p>
        </w:tc>
        <w:tc>
          <w:tcPr>
            <w:tcW w:w="400" w:type="dxa"/>
            <w:vAlign w:val="bottom"/>
            <w:tcBorders>
              <w:bottom w:val="single" w:sz="8" w:color="auto"/>
            </w:tcBorders>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3,032,382</w:t>
            </w:r>
          </w:p>
        </w:tc>
        <w:tc>
          <w:tcPr>
            <w:tcW w:w="180" w:type="dxa"/>
            <w:vAlign w:val="bottom"/>
          </w:tcPr>
          <w:p>
            <w:pPr>
              <w:spacing w:after="0"/>
              <w:rPr>
                <w:sz w:val="19"/>
                <w:szCs w:val="19"/>
                <w:color w:val="auto"/>
              </w:rPr>
            </w:pPr>
          </w:p>
        </w:tc>
        <w:tc>
          <w:tcPr>
            <w:tcW w:w="400" w:type="dxa"/>
            <w:vAlign w:val="bottom"/>
            <w:tcBorders>
              <w:bottom w:val="single" w:sz="8" w:color="auto"/>
            </w:tcBorders>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2,722,564</w:t>
            </w:r>
          </w:p>
        </w:tc>
        <w:tc>
          <w:tcPr>
            <w:tcW w:w="180" w:type="dxa"/>
            <w:vAlign w:val="bottom"/>
          </w:tcPr>
          <w:p>
            <w:pPr>
              <w:spacing w:after="0"/>
              <w:rPr>
                <w:sz w:val="19"/>
                <w:szCs w:val="19"/>
                <w:color w:val="auto"/>
              </w:rPr>
            </w:pPr>
          </w:p>
        </w:tc>
        <w:tc>
          <w:tcPr>
            <w:tcW w:w="400" w:type="dxa"/>
            <w:vAlign w:val="bottom"/>
            <w:tcBorders>
              <w:bottom w:val="single" w:sz="8" w:color="auto"/>
            </w:tcBorders>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2,464,867</w:t>
            </w: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2,246,428</w:t>
            </w: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2,060,702</w:t>
            </w:r>
          </w:p>
        </w:tc>
        <w:tc>
          <w:tcPr>
            <w:tcW w:w="0" w:type="dxa"/>
            <w:vAlign w:val="bottom"/>
          </w:tcPr>
          <w:p>
            <w:pPr>
              <w:spacing w:after="0"/>
              <w:rPr>
                <w:sz w:val="1"/>
                <w:szCs w:val="1"/>
                <w:color w:val="auto"/>
              </w:rPr>
            </w:pPr>
          </w:p>
        </w:tc>
      </w:tr>
      <w:tr>
        <w:trPr>
          <w:trHeight w:val="20"/>
        </w:trPr>
        <w:tc>
          <w:tcPr>
            <w:tcW w:w="29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Case sales by segment:</w:t>
            </w: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292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Monster Energy® Drinks</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256,323</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228,628</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210,444</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191,830</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173,766</w:t>
            </w:r>
          </w:p>
        </w:tc>
        <w:tc>
          <w:tcPr>
            <w:tcW w:w="0" w:type="dxa"/>
            <w:vAlign w:val="bottom"/>
          </w:tcPr>
          <w:p>
            <w:pPr>
              <w:spacing w:after="0"/>
              <w:rPr>
                <w:sz w:val="1"/>
                <w:szCs w:val="1"/>
                <w:color w:val="auto"/>
              </w:rPr>
            </w:pPr>
          </w:p>
        </w:tc>
      </w:tr>
      <w:tr>
        <w:trPr>
          <w:trHeight w:val="230"/>
        </w:trPr>
        <w:tc>
          <w:tcPr>
            <w:tcW w:w="29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Strategic Brands</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64,637</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34,791</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29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Other</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11,202</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27,836</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29,518</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29,152</w:t>
            </w:r>
          </w:p>
        </w:tc>
        <w:tc>
          <w:tcPr>
            <w:tcW w:w="0" w:type="dxa"/>
            <w:vAlign w:val="bottom"/>
          </w:tcPr>
          <w:p>
            <w:pPr>
              <w:spacing w:after="0"/>
              <w:rPr>
                <w:sz w:val="1"/>
                <w:szCs w:val="1"/>
                <w:color w:val="auto"/>
              </w:rPr>
            </w:pPr>
          </w:p>
        </w:tc>
      </w:tr>
      <w:tr>
        <w:trPr>
          <w:trHeight w:val="23"/>
        </w:trPr>
        <w:tc>
          <w:tcPr>
            <w:tcW w:w="29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Total case sales</w:t>
            </w: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920" w:type="dxa"/>
            <w:vAlign w:val="bottom"/>
            <w:gridSpan w:val="2"/>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320,960</w:t>
            </w:r>
          </w:p>
        </w:tc>
        <w:tc>
          <w:tcPr>
            <w:tcW w:w="1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274,621</w:t>
            </w:r>
          </w:p>
        </w:tc>
        <w:tc>
          <w:tcPr>
            <w:tcW w:w="1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238,280</w:t>
            </w:r>
          </w:p>
        </w:tc>
        <w:tc>
          <w:tcPr>
            <w:tcW w:w="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221,348</w:t>
            </w:r>
          </w:p>
        </w:tc>
        <w:tc>
          <w:tcPr>
            <w:tcW w:w="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202,918</w:t>
            </w:r>
          </w:p>
        </w:tc>
        <w:tc>
          <w:tcPr>
            <w:tcW w:w="0" w:type="dxa"/>
            <w:vAlign w:val="bottom"/>
          </w:tcPr>
          <w:p>
            <w:pPr>
              <w:spacing w:after="0"/>
              <w:rPr>
                <w:sz w:val="1"/>
                <w:szCs w:val="1"/>
                <w:color w:val="auto"/>
              </w:rPr>
            </w:pPr>
          </w:p>
        </w:tc>
      </w:tr>
    </w:tbl>
    <w:p>
      <w:pPr>
        <w:sectPr>
          <w:pgSz w:w="11900" w:h="16838" w:orient="portrait"/>
          <w:cols w:equalWidth="0" w:num="1">
            <w:col w:w="11420"/>
          </w:cols>
          <w:pgMar w:left="240" w:top="346" w:right="239" w:bottom="0" w:gutter="0" w:footer="0" w:header="0"/>
        </w:sectPr>
      </w:pPr>
    </w:p>
    <w:bookmarkStart w:id="35" w:name="page36"/>
    <w:bookmarkEnd w:id="35"/>
    <w:p>
      <w:pPr>
        <w:spacing w:after="0" w:line="5" w:lineRule="exact"/>
        <w:rPr>
          <w:sz w:val="20"/>
          <w:szCs w:val="20"/>
          <w:color w:val="auto"/>
        </w:rPr>
      </w:pPr>
    </w:p>
    <w:p>
      <w:pPr>
        <w:spacing w:after="0"/>
        <w:tabs>
          <w:tab w:leader="none" w:pos="3000" w:val="left"/>
          <w:tab w:leader="none" w:pos="4040" w:val="left"/>
          <w:tab w:leader="none" w:pos="4740" w:val="left"/>
          <w:tab w:leader="none" w:pos="5780" w:val="left"/>
          <w:tab w:leader="none" w:pos="6480" w:val="left"/>
          <w:tab w:leader="none" w:pos="7400" w:val="left"/>
          <w:tab w:leader="none" w:pos="8180" w:val="left"/>
          <w:tab w:leader="none" w:pos="9100" w:val="left"/>
          <w:tab w:leader="none" w:pos="9860" w:val="left"/>
          <w:tab w:leader="none" w:pos="10780" w:val="left"/>
        </w:tabs>
        <w:rPr>
          <w:sz w:val="20"/>
          <w:szCs w:val="20"/>
          <w:color w:val="auto"/>
        </w:rPr>
      </w:pPr>
      <w:r>
        <w:rPr>
          <w:rFonts w:ascii="Times New Roman" w:cs="Times New Roman" w:eastAsia="Times New Roman" w:hAnsi="Times New Roman"/>
          <w:sz w:val="20"/>
          <w:szCs w:val="20"/>
          <w:color w:val="auto"/>
        </w:rPr>
        <w:t>Average net sales per case</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9.45</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9.91</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10.34</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10.15</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13970</wp:posOffset>
            </wp:positionV>
            <wp:extent cx="532574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25745" cy="26035"/>
                    </a:xfrm>
                    <a:prstGeom prst="rect">
                      <a:avLst/>
                    </a:prstGeom>
                    <a:noFill/>
                  </pic:spPr>
                </pic:pic>
              </a:graphicData>
            </a:graphic>
          </wp:anchor>
        </w:drawing>
      </w:r>
    </w:p>
    <w:p>
      <w:pPr>
        <w:spacing w:after="0" w:line="23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i w:val="1"/>
          <w:iCs w:val="1"/>
          <w:color w:val="auto"/>
        </w:rPr>
        <w:t>Excludes Other segment net sales of $17.0 million for the year ended December 31, 2016, comprised of sales of our AFF Third-Party Products to independent third parties as these sales do not have unit case equivalents.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Inflation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do not believe that inflation had a significant impact on our results of operations for the years ended December 31, 2016, 2015 or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2014.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Cash flows provided by operating activities. </w:t>
      </w:r>
      <w:r>
        <w:rPr>
          <w:rFonts w:ascii="Times New Roman" w:cs="Times New Roman" w:eastAsia="Times New Roman" w:hAnsi="Times New Roman"/>
          <w:sz w:val="20"/>
          <w:szCs w:val="20"/>
          <w:color w:val="auto"/>
        </w:rPr>
        <w:t>Cash provided by operating activities was $701.4 million for the year ended December 31,</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2016, as compared with cash provided by operating activities of $522.7 million for the year ended December 31, 2015.</w:t>
      </w:r>
    </w:p>
    <w:p>
      <w:pPr>
        <w:spacing w:after="0" w:line="17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For the year ended December 31, 2016, cash provided by operating activities was primarily attributable to net income earned of $712.7 million and adjustments for certain non-cash expenses, consisting of $45.8 million of stock-based compensation and $40.8 million of depreciation and other amortization. For the year ended December 31, 2016, cash provided by operating activities also increased due to a $45.3 million increase in accounts payable, a $20.9 million decrease in inventories, a $13.8 million increase in deferred revenue, an $8.1 million increase in accrued compensation and a $4.4 million increase in income taxes payable. For the year ended December 31, 2016, cash used in operating activities was due to an $86.4 million increase in accounts receivable, a $48.0 million increase in prepaid income taxes, a $20.0 million increase in distributor receivables, a $19.1 million change in deferred income taxes, a $6.7 million increase in prepaid expenses and other current assets, a $3.9 million decrease in accrued promotional allowances, a $3.3 million decrease in accrued distributor terminations and a $2.9 million decrease in accrued liabilities.</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color w:val="auto"/>
        </w:rPr>
        <w:t>For the year ended December 31, 2015, cash provided by operating activities was primarily attributable to net income earned of $546.7 million and adjustments for certain non-cash expenses, consisting of $32.7 million of stock-based compensation and $30.9 million of depreciation and other amortization. For the year ended December 31, 2015, cash provided by operating activities also increased due to a $311.5 million increase in income taxes payable, a $20.9 million increase in accounts payable, a $43.3 million increase in accrued liabilities, a $7.0 million increase in accrued promotional allowances, an $11.2 million increase in accrued distributor terminations and a $4.5 million increase in accrued compensation. For the year ended December 31, 2015, cash used in operating activities was due to a $181.6 million change in deferred income taxes, a $77.3 million increase in accounts receivable, a $38.6 million decrease in deferred revenue, an $11.0 million increase in prepaid income taxes, a $7.1 million increase in inventories and a $9.7 million increase in prepaid expenses and other current assets.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Cash flows (used in) provided by investing activities. </w:t>
      </w:r>
      <w:r>
        <w:rPr>
          <w:rFonts w:ascii="Times New Roman" w:cs="Times New Roman" w:eastAsia="Times New Roman" w:hAnsi="Times New Roman"/>
          <w:sz w:val="20"/>
          <w:szCs w:val="20"/>
          <w:color w:val="auto"/>
        </w:rPr>
        <w:t>Net cash used in investing activities was $256.2 million for the year ended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December 31, 2016 as compared to cash provided by investing activities of $400.1 million for the year ended December 31, 2015.</w:t>
      </w:r>
    </w:p>
    <w:p>
      <w:pPr>
        <w:spacing w:after="0" w:line="17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For the year ended December 31, 2016, cash used in investing activities was primarily attributable to the purchase of AFF, purchases of available-for-sale and held-to-maturity investments, purchases of property and equipment, and additions to intangibles. For the year ended December 31, 2015, cash used in investing activities was primarily attributable to purchases of held-to-maturity investments and to purchases of property and equipment. For both the years ended December 31, 2016 and 2015, cash provided by investing activities was attributable to maturities of held-to-maturity investments and sales of available-for-sale investments. For the year ended December 31, 2015, cash provided by investing activities included $198.0 million from the sale of Monster Non-Energy and $179.7 million from the transfer of distribution rights pursuant to the TCCC Transaction. For both the years ended December 31, 2016 and 2015,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and equipment used for sales and administrative activities, as well as certain leasehold improvements. We expect to continue to use a portion of our cash in excess of our requirements for operations for purchasing short-term and long-term investments,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to develop our brand in international markets and for other corporate purposes. From time to time, we may also purchase additional real property related to our beverage business and/or acquire compatible businesses as a use of cash in excess of our requirements for operations.</w:t>
      </w:r>
    </w:p>
    <w:p>
      <w:pPr>
        <w:spacing w:after="0" w:line="205"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9"/>
          <w:szCs w:val="19"/>
          <w:i w:val="1"/>
          <w:iCs w:val="1"/>
          <w:color w:val="auto"/>
        </w:rPr>
        <w:t xml:space="preserve">Cash flows (used in) provided by financing activities. </w:t>
      </w:r>
      <w:r>
        <w:rPr>
          <w:rFonts w:ascii="Times New Roman" w:cs="Times New Roman" w:eastAsia="Times New Roman" w:hAnsi="Times New Roman"/>
          <w:sz w:val="19"/>
          <w:szCs w:val="19"/>
          <w:color w:val="auto"/>
        </w:rPr>
        <w:t>Cash used in financing activities was $2,238.4 million for the year ended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December 31, 2016 as compared to cash provided by financing activities of $887.6 million for the year ended December 31, 2015. The increase in cash flows used in financing activities was primarily the result of purchases of our common stock during the year ended December 31, 2016.</w:t>
      </w:r>
    </w:p>
    <w:p>
      <w:pPr>
        <w:spacing w:after="0" w:line="16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Purchases of inventories, increases in accounts receivable and other assets, acquisition of property and equipment (including real property and coolers), leasehold improvements, construction of our new warehouse, build out of our recently purchased offices, acquisition and maintenance of trademarks, payments of accounts payable, income taxes payable and purchases of our common stock are expected to remain our principal recurring use of cash.</w:t>
      </w:r>
    </w:p>
    <w:p>
      <w:pPr>
        <w:spacing w:after="0" w:line="19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i w:val="1"/>
          <w:iCs w:val="1"/>
          <w:color w:val="auto"/>
        </w:rPr>
        <w:t xml:space="preserve">Cash and cash equivalents, short-term and long-term investments – </w:t>
      </w:r>
      <w:r>
        <w:rPr>
          <w:rFonts w:ascii="Times New Roman" w:cs="Times New Roman" w:eastAsia="Times New Roman" w:hAnsi="Times New Roman"/>
          <w:sz w:val="19"/>
          <w:szCs w:val="19"/>
          <w:color w:val="auto"/>
        </w:rPr>
        <w:t>As of December 31, 2016, we had $377.6 million in cash and cash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equivalents and $222.9 million in short-term and long-term investments. We have historically invested these amounts in U.S. Treasury bills, U.S. government agency securities and municipal securities (which may have an auction reset feature), certificates of deposit, commercial paper, variable rate demand notes and money market funds meeting certain criteria. We maintain our investments for cash management purposes and not for purposes of speculation. Our risk management policies emphasize credit quality (primarily based on short-term ratings by</w:t>
      </w:r>
    </w:p>
    <w:p>
      <w:pPr>
        <w:sectPr>
          <w:pgSz w:w="11900" w:h="16843" w:orient="portrait"/>
          <w:cols w:equalWidth="0" w:num="1">
            <w:col w:w="11420"/>
          </w:cols>
          <w:pgMar w:left="240" w:top="118" w:right="239" w:bottom="0" w:gutter="0" w:footer="0" w:header="0"/>
        </w:sectPr>
      </w:pPr>
    </w:p>
    <w:bookmarkStart w:id="36" w:name="page37"/>
    <w:bookmarkEnd w:id="36"/>
    <w:p>
      <w:pPr>
        <w:spacing w:after="0" w:line="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nationally recognized statistical rating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risks associated with our investment portfolio may have an adverse effect on our future results of operations, liquidity and financial condition.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Of our $377.6 million of cash and cash equivalents held at December 31, 2016, $207.5 million was held by our foreign subsidiaries. No short-term or long-term investments were held by our foreign subsidiaries at December 31, 2016. We do not intend, nor do we foresee a need, to repatriate undistributed earnings of our foreign subsidiaries other than to repay certain intercompany debt owed to our U.S. operations. Under current tax laws, if funds in excess of intercompany amounts owed were repatriated to our U.S. operations, we would be required to accrue and pay additional income taxes on such excess funds at the tax rates then in effect.</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We believe that cash available from operations, including our cash resources and our revolving line of credit, will be sufficient for our working capital needs, including purchase commitments for raw materials and inventory, increases in accounts receivable, payments of tax liabilities, expansion and development needs, purchases of shares of our common stock, as well as purchases of capital assets, equipment and properties, through at least the next 12 months. Based on our current plans, at this time we estimate that capital expenditures (exclusive of common stock repurchases) are likely to be approximately $200.0 million through December 31, 2017. However, future business opportunities may cause a change in this estimate.</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represents a summary of the Company’s contractual commitments and related scheduled maturities as of December 31,</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2016:</w:t>
      </w:r>
    </w:p>
    <w:p>
      <w:pPr>
        <w:spacing w:after="0" w:line="18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Payments due by period (in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920" w:type="dxa"/>
            <w:vAlign w:val="bottom"/>
            <w:vMerge w:val="restart"/>
          </w:tcPr>
          <w:p>
            <w:pPr>
              <w:ind w:left="1000"/>
              <w:spacing w:after="0"/>
              <w:rPr>
                <w:sz w:val="20"/>
                <w:szCs w:val="20"/>
                <w:color w:val="auto"/>
              </w:rPr>
            </w:pPr>
            <w:r>
              <w:rPr>
                <w:rFonts w:ascii="Times New Roman" w:cs="Times New Roman" w:eastAsia="Times New Roman" w:hAnsi="Times New Roman"/>
                <w:sz w:val="20"/>
                <w:szCs w:val="20"/>
                <w:color w:val="auto"/>
              </w:rPr>
              <w:t>Obligations</w:t>
            </w:r>
          </w:p>
        </w:tc>
        <w:tc>
          <w:tcPr>
            <w:tcW w:w="4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jc w:val="center"/>
              <w:ind w:right="500"/>
              <w:spacing w:after="0" w:line="200" w:lineRule="exact"/>
              <w:rPr>
                <w:sz w:val="20"/>
                <w:szCs w:val="20"/>
                <w:color w:val="auto"/>
              </w:rPr>
            </w:pPr>
            <w:r>
              <w:rPr>
                <w:rFonts w:ascii="Times New Roman" w:cs="Times New Roman" w:eastAsia="Times New Roman" w:hAnsi="Times New Roman"/>
                <w:sz w:val="20"/>
                <w:szCs w:val="20"/>
                <w:color w:val="auto"/>
                <w:w w:val="97"/>
              </w:rPr>
              <w:t>Less than</w:t>
            </w:r>
          </w:p>
        </w:tc>
        <w:tc>
          <w:tcPr>
            <w:tcW w:w="4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535"/>
              <w:spacing w:after="0" w:line="200" w:lineRule="exact"/>
              <w:rPr>
                <w:sz w:val="20"/>
                <w:szCs w:val="20"/>
                <w:color w:val="auto"/>
              </w:rPr>
            </w:pPr>
            <w:r>
              <w:rPr>
                <w:rFonts w:ascii="Times New Roman" w:cs="Times New Roman" w:eastAsia="Times New Roman" w:hAnsi="Times New Roman"/>
                <w:sz w:val="20"/>
                <w:szCs w:val="20"/>
                <w:color w:val="auto"/>
              </w:rPr>
              <w:t>1-3</w:t>
            </w:r>
          </w:p>
        </w:tc>
        <w:tc>
          <w:tcPr>
            <w:tcW w:w="1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15"/>
              <w:spacing w:after="0" w:line="200" w:lineRule="exact"/>
              <w:rPr>
                <w:sz w:val="20"/>
                <w:szCs w:val="20"/>
                <w:color w:val="auto"/>
              </w:rPr>
            </w:pPr>
            <w:r>
              <w:rPr>
                <w:rFonts w:ascii="Times New Roman" w:cs="Times New Roman" w:eastAsia="Times New Roman" w:hAnsi="Times New Roman"/>
                <w:sz w:val="20"/>
                <w:szCs w:val="20"/>
                <w:color w:val="auto"/>
              </w:rPr>
              <w:t>3-5</w:t>
            </w:r>
          </w:p>
        </w:tc>
        <w:tc>
          <w:tcPr>
            <w:tcW w:w="1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255"/>
              <w:spacing w:after="0" w:line="200" w:lineRule="exact"/>
              <w:rPr>
                <w:sz w:val="20"/>
                <w:szCs w:val="20"/>
                <w:color w:val="auto"/>
              </w:rPr>
            </w:pPr>
            <w:r>
              <w:rPr>
                <w:rFonts w:ascii="Times New Roman" w:cs="Times New Roman" w:eastAsia="Times New Roman" w:hAnsi="Times New Roman"/>
                <w:sz w:val="20"/>
                <w:szCs w:val="20"/>
                <w:color w:val="auto"/>
              </w:rPr>
              <w:t>More than</w:t>
            </w:r>
          </w:p>
        </w:tc>
        <w:tc>
          <w:tcPr>
            <w:tcW w:w="0" w:type="dxa"/>
            <w:vAlign w:val="bottom"/>
          </w:tcPr>
          <w:p>
            <w:pPr>
              <w:spacing w:after="0"/>
              <w:rPr>
                <w:sz w:val="1"/>
                <w:szCs w:val="1"/>
                <w:color w:val="auto"/>
              </w:rPr>
            </w:pPr>
          </w:p>
        </w:tc>
      </w:tr>
      <w:tr>
        <w:trPr>
          <w:trHeight w:val="252"/>
        </w:trPr>
        <w:tc>
          <w:tcPr>
            <w:tcW w:w="292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Total</w:t>
            </w:r>
          </w:p>
        </w:tc>
        <w:tc>
          <w:tcPr>
            <w:tcW w:w="320" w:type="dxa"/>
            <w:vAlign w:val="bottom"/>
          </w:tcPr>
          <w:p>
            <w:pPr>
              <w:spacing w:after="0"/>
              <w:rPr>
                <w:sz w:val="21"/>
                <w:szCs w:val="21"/>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20"/>
                <w:szCs w:val="20"/>
                <w:color w:val="auto"/>
              </w:rPr>
              <w:t>1 year</w:t>
            </w:r>
          </w:p>
        </w:tc>
        <w:tc>
          <w:tcPr>
            <w:tcW w:w="400" w:type="dxa"/>
            <w:vAlign w:val="bottom"/>
          </w:tcPr>
          <w:p>
            <w:pPr>
              <w:spacing w:after="0"/>
              <w:rPr>
                <w:sz w:val="21"/>
                <w:szCs w:val="21"/>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years</w:t>
            </w:r>
          </w:p>
        </w:tc>
        <w:tc>
          <w:tcPr>
            <w:tcW w:w="380" w:type="dxa"/>
            <w:vAlign w:val="bottom"/>
          </w:tcPr>
          <w:p>
            <w:pPr>
              <w:spacing w:after="0"/>
              <w:rPr>
                <w:sz w:val="21"/>
                <w:szCs w:val="21"/>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years</w:t>
            </w:r>
          </w:p>
        </w:tc>
        <w:tc>
          <w:tcPr>
            <w:tcW w:w="300" w:type="dxa"/>
            <w:vAlign w:val="bottom"/>
          </w:tcPr>
          <w:p>
            <w:pPr>
              <w:spacing w:after="0"/>
              <w:rPr>
                <w:sz w:val="21"/>
                <w:szCs w:val="21"/>
                <w:color w:val="auto"/>
              </w:rPr>
            </w:pPr>
          </w:p>
        </w:tc>
        <w:tc>
          <w:tcPr>
            <w:tcW w:w="1240" w:type="dxa"/>
            <w:vAlign w:val="bottom"/>
          </w:tcPr>
          <w:p>
            <w:pPr>
              <w:jc w:val="right"/>
              <w:ind w:right="375"/>
              <w:spacing w:after="0"/>
              <w:rPr>
                <w:sz w:val="20"/>
                <w:szCs w:val="20"/>
                <w:color w:val="auto"/>
              </w:rPr>
            </w:pPr>
            <w:r>
              <w:rPr>
                <w:rFonts w:ascii="Times New Roman" w:cs="Times New Roman" w:eastAsia="Times New Roman" w:hAnsi="Times New Roman"/>
                <w:sz w:val="20"/>
                <w:szCs w:val="20"/>
                <w:color w:val="auto"/>
              </w:rPr>
              <w:t>5 years</w:t>
            </w:r>
          </w:p>
        </w:tc>
        <w:tc>
          <w:tcPr>
            <w:tcW w:w="0" w:type="dxa"/>
            <w:vAlign w:val="bottom"/>
          </w:tcPr>
          <w:p>
            <w:pPr>
              <w:spacing w:after="0"/>
              <w:rPr>
                <w:sz w:val="1"/>
                <w:szCs w:val="1"/>
                <w:color w:val="auto"/>
              </w:rPr>
            </w:pPr>
          </w:p>
        </w:tc>
      </w:tr>
      <w:tr>
        <w:trPr>
          <w:trHeight w:val="452"/>
        </w:trPr>
        <w:tc>
          <w:tcPr>
            <w:tcW w:w="2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Contractual Obligations¹</w:t>
            </w:r>
          </w:p>
        </w:tc>
        <w:tc>
          <w:tcPr>
            <w:tcW w:w="40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1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22"/>
                <w:szCs w:val="22"/>
                <w:color w:val="auto"/>
              </w:rPr>
              <w:t>163,273</w:t>
            </w:r>
          </w:p>
        </w:tc>
        <w:tc>
          <w:tcPr>
            <w:tcW w:w="180" w:type="dxa"/>
            <w:vAlign w:val="bottom"/>
          </w:tcPr>
          <w:p>
            <w:pPr>
              <w:spacing w:after="0"/>
              <w:rPr>
                <w:sz w:val="24"/>
                <w:szCs w:val="24"/>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22"/>
                <w:szCs w:val="22"/>
                <w:color w:val="auto"/>
              </w:rPr>
              <w:t>91,003</w:t>
            </w:r>
          </w:p>
        </w:tc>
        <w:tc>
          <w:tcPr>
            <w:tcW w:w="180" w:type="dxa"/>
            <w:vAlign w:val="bottom"/>
          </w:tcPr>
          <w:p>
            <w:pPr>
              <w:spacing w:after="0"/>
              <w:rPr>
                <w:sz w:val="24"/>
                <w:szCs w:val="24"/>
                <w:color w:val="auto"/>
              </w:rPr>
            </w:pPr>
          </w:p>
        </w:tc>
        <w:tc>
          <w:tcPr>
            <w:tcW w:w="40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1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22"/>
                <w:szCs w:val="22"/>
                <w:color w:val="auto"/>
              </w:rPr>
              <w:t>57,390</w:t>
            </w:r>
          </w:p>
        </w:tc>
        <w:tc>
          <w:tcPr>
            <w:tcW w:w="160" w:type="dxa"/>
            <w:vAlign w:val="bottom"/>
          </w:tcPr>
          <w:p>
            <w:pPr>
              <w:spacing w:after="0"/>
              <w:rPr>
                <w:sz w:val="24"/>
                <w:szCs w:val="24"/>
                <w:color w:val="auto"/>
              </w:rPr>
            </w:pPr>
          </w:p>
        </w:tc>
        <w:tc>
          <w:tcPr>
            <w:tcW w:w="38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22"/>
                <w:szCs w:val="22"/>
                <w:color w:val="auto"/>
              </w:rPr>
              <w:t>14,880</w:t>
            </w:r>
          </w:p>
        </w:tc>
        <w:tc>
          <w:tcPr>
            <w:tcW w:w="160" w:type="dxa"/>
            <w:vAlign w:val="bottom"/>
          </w:tcPr>
          <w:p>
            <w:pPr>
              <w:spacing w:after="0"/>
              <w:rPr>
                <w:sz w:val="24"/>
                <w:szCs w:val="24"/>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2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Capital Leases</w:t>
            </w:r>
          </w:p>
        </w:tc>
        <w:tc>
          <w:tcPr>
            <w:tcW w:w="400" w:type="dxa"/>
            <w:vAlign w:val="bottom"/>
          </w:tcPr>
          <w:p>
            <w:pPr>
              <w:spacing w:after="0"/>
              <w:rPr>
                <w:sz w:val="21"/>
                <w:szCs w:val="21"/>
                <w:color w:val="auto"/>
              </w:rPr>
            </w:pPr>
          </w:p>
        </w:tc>
        <w:tc>
          <w:tcPr>
            <w:tcW w:w="1160" w:type="dxa"/>
            <w:vAlign w:val="bottom"/>
          </w:tcPr>
          <w:p>
            <w:pPr>
              <w:jc w:val="right"/>
              <w:ind w:right="33"/>
              <w:spacing w:after="0" w:line="243" w:lineRule="exact"/>
              <w:rPr>
                <w:sz w:val="20"/>
                <w:szCs w:val="20"/>
                <w:color w:val="auto"/>
              </w:rPr>
            </w:pPr>
            <w:r>
              <w:rPr>
                <w:rFonts w:ascii="Times New Roman" w:cs="Times New Roman" w:eastAsia="Times New Roman" w:hAnsi="Times New Roman"/>
                <w:sz w:val="22"/>
                <w:szCs w:val="22"/>
                <w:color w:val="auto"/>
              </w:rPr>
              <w:t>1,105</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5"/>
              <w:spacing w:after="0" w:line="243" w:lineRule="exact"/>
              <w:rPr>
                <w:sz w:val="20"/>
                <w:szCs w:val="20"/>
                <w:color w:val="auto"/>
              </w:rPr>
            </w:pPr>
            <w:r>
              <w:rPr>
                <w:rFonts w:ascii="Times New Roman" w:cs="Times New Roman" w:eastAsia="Times New Roman" w:hAnsi="Times New Roman"/>
                <w:sz w:val="22"/>
                <w:szCs w:val="22"/>
                <w:color w:val="auto"/>
              </w:rPr>
              <w:t>1,105</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35"/>
              <w:spacing w:after="0" w:line="243" w:lineRule="exact"/>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15"/>
              <w:spacing w:after="0" w:line="243" w:lineRule="exact"/>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35"/>
              <w:spacing w:after="0" w:line="24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2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Operating Leases</w:t>
            </w:r>
          </w:p>
        </w:tc>
        <w:tc>
          <w:tcPr>
            <w:tcW w:w="400" w:type="dxa"/>
            <w:vAlign w:val="bottom"/>
          </w:tcPr>
          <w:p>
            <w:pPr>
              <w:spacing w:after="0"/>
              <w:rPr>
                <w:sz w:val="21"/>
                <w:szCs w:val="21"/>
                <w:color w:val="auto"/>
              </w:rPr>
            </w:pPr>
          </w:p>
        </w:tc>
        <w:tc>
          <w:tcPr>
            <w:tcW w:w="1160" w:type="dxa"/>
            <w:vAlign w:val="bottom"/>
          </w:tcPr>
          <w:p>
            <w:pPr>
              <w:jc w:val="right"/>
              <w:ind w:right="33"/>
              <w:spacing w:after="0" w:line="243" w:lineRule="exact"/>
              <w:rPr>
                <w:sz w:val="20"/>
                <w:szCs w:val="20"/>
                <w:color w:val="auto"/>
              </w:rPr>
            </w:pPr>
            <w:r>
              <w:rPr>
                <w:rFonts w:ascii="Times New Roman" w:cs="Times New Roman" w:eastAsia="Times New Roman" w:hAnsi="Times New Roman"/>
                <w:sz w:val="22"/>
                <w:szCs w:val="22"/>
                <w:color w:val="auto"/>
              </w:rPr>
              <w:t>18,782</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5"/>
              <w:spacing w:after="0" w:line="243" w:lineRule="exact"/>
              <w:rPr>
                <w:sz w:val="20"/>
                <w:szCs w:val="20"/>
                <w:color w:val="auto"/>
              </w:rPr>
            </w:pPr>
            <w:r>
              <w:rPr>
                <w:rFonts w:ascii="Times New Roman" w:cs="Times New Roman" w:eastAsia="Times New Roman" w:hAnsi="Times New Roman"/>
                <w:sz w:val="22"/>
                <w:szCs w:val="22"/>
                <w:color w:val="auto"/>
              </w:rPr>
              <w:t>5,677</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35"/>
              <w:spacing w:after="0" w:line="243" w:lineRule="exact"/>
              <w:rPr>
                <w:sz w:val="20"/>
                <w:szCs w:val="20"/>
                <w:color w:val="auto"/>
              </w:rPr>
            </w:pPr>
            <w:r>
              <w:rPr>
                <w:rFonts w:ascii="Times New Roman" w:cs="Times New Roman" w:eastAsia="Times New Roman" w:hAnsi="Times New Roman"/>
                <w:sz w:val="22"/>
                <w:szCs w:val="22"/>
                <w:color w:val="auto"/>
              </w:rPr>
              <w:t>3,008</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15"/>
              <w:spacing w:after="0" w:line="243" w:lineRule="exact"/>
              <w:rPr>
                <w:sz w:val="20"/>
                <w:szCs w:val="20"/>
                <w:color w:val="auto"/>
              </w:rPr>
            </w:pPr>
            <w:r>
              <w:rPr>
                <w:rFonts w:ascii="Times New Roman" w:cs="Times New Roman" w:eastAsia="Times New Roman" w:hAnsi="Times New Roman"/>
                <w:sz w:val="22"/>
                <w:szCs w:val="22"/>
                <w:color w:val="auto"/>
              </w:rPr>
              <w:t>2,085</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35"/>
              <w:spacing w:after="0" w:line="243" w:lineRule="exact"/>
              <w:rPr>
                <w:sz w:val="20"/>
                <w:szCs w:val="20"/>
                <w:color w:val="auto"/>
              </w:rPr>
            </w:pPr>
            <w:r>
              <w:rPr>
                <w:rFonts w:ascii="Times New Roman" w:cs="Times New Roman" w:eastAsia="Times New Roman" w:hAnsi="Times New Roman"/>
                <w:sz w:val="22"/>
                <w:szCs w:val="22"/>
                <w:color w:val="auto"/>
              </w:rPr>
              <w:t>8,012</w:t>
            </w:r>
          </w:p>
        </w:tc>
        <w:tc>
          <w:tcPr>
            <w:tcW w:w="0" w:type="dxa"/>
            <w:vAlign w:val="bottom"/>
          </w:tcPr>
          <w:p>
            <w:pPr>
              <w:spacing w:after="0"/>
              <w:rPr>
                <w:sz w:val="1"/>
                <w:szCs w:val="1"/>
                <w:color w:val="auto"/>
              </w:rPr>
            </w:pPr>
          </w:p>
        </w:tc>
      </w:tr>
      <w:tr>
        <w:trPr>
          <w:trHeight w:val="271"/>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Purchase Commitments²</w:t>
            </w:r>
          </w:p>
        </w:tc>
        <w:tc>
          <w:tcPr>
            <w:tcW w:w="4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22"/>
                <w:szCs w:val="22"/>
                <w:color w:val="auto"/>
              </w:rPr>
              <w:t>47,033</w:t>
            </w:r>
          </w:p>
        </w:tc>
        <w:tc>
          <w:tcPr>
            <w:tcW w:w="1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22"/>
                <w:szCs w:val="22"/>
                <w:color w:val="auto"/>
              </w:rPr>
              <w:t>47,033</w:t>
            </w:r>
          </w:p>
        </w:tc>
        <w:tc>
          <w:tcPr>
            <w:tcW w:w="18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37"/>
        </w:trPr>
        <w:tc>
          <w:tcPr>
            <w:tcW w:w="2920" w:type="dxa"/>
            <w:vAlign w:val="bottom"/>
          </w:tcPr>
          <w:p>
            <w:pPr>
              <w:spacing w:after="0"/>
              <w:rPr>
                <w:sz w:val="20"/>
                <w:szCs w:val="20"/>
                <w:color w:val="auto"/>
              </w:rPr>
            </w:pPr>
          </w:p>
        </w:tc>
        <w:tc>
          <w:tcPr>
            <w:tcW w:w="400" w:type="dxa"/>
            <w:vAlign w:val="bottom"/>
            <w:tcBorders>
              <w:bottom w:val="single" w:sz="8" w:color="auto"/>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160" w:type="dxa"/>
            <w:vAlign w:val="bottom"/>
            <w:tcBorders>
              <w:bottom w:val="single" w:sz="8" w:color="auto"/>
            </w:tcBorders>
          </w:tcPr>
          <w:p>
            <w:pPr>
              <w:jc w:val="right"/>
              <w:ind w:right="33"/>
              <w:spacing w:after="0" w:line="237" w:lineRule="exact"/>
              <w:rPr>
                <w:sz w:val="20"/>
                <w:szCs w:val="20"/>
                <w:color w:val="auto"/>
              </w:rPr>
            </w:pPr>
            <w:r>
              <w:rPr>
                <w:rFonts w:ascii="Times New Roman" w:cs="Times New Roman" w:eastAsia="Times New Roman" w:hAnsi="Times New Roman"/>
                <w:sz w:val="22"/>
                <w:szCs w:val="22"/>
                <w:color w:val="auto"/>
              </w:rPr>
              <w:t>230,193</w:t>
            </w:r>
          </w:p>
        </w:tc>
        <w:tc>
          <w:tcPr>
            <w:tcW w:w="180" w:type="dxa"/>
            <w:vAlign w:val="bottom"/>
          </w:tcPr>
          <w:p>
            <w:pPr>
              <w:spacing w:after="0"/>
              <w:rPr>
                <w:sz w:val="20"/>
                <w:szCs w:val="20"/>
                <w:color w:val="auto"/>
              </w:rPr>
            </w:pPr>
          </w:p>
        </w:tc>
        <w:tc>
          <w:tcPr>
            <w:tcW w:w="32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tcBorders>
          </w:tcPr>
          <w:p>
            <w:pPr>
              <w:jc w:val="right"/>
              <w:ind w:right="15"/>
              <w:spacing w:after="0" w:line="237" w:lineRule="exact"/>
              <w:rPr>
                <w:sz w:val="20"/>
                <w:szCs w:val="20"/>
                <w:color w:val="auto"/>
              </w:rPr>
            </w:pPr>
            <w:r>
              <w:rPr>
                <w:rFonts w:ascii="Times New Roman" w:cs="Times New Roman" w:eastAsia="Times New Roman" w:hAnsi="Times New Roman"/>
                <w:sz w:val="22"/>
                <w:szCs w:val="22"/>
                <w:color w:val="auto"/>
              </w:rPr>
              <w:t>144,818</w:t>
            </w:r>
          </w:p>
        </w:tc>
        <w:tc>
          <w:tcPr>
            <w:tcW w:w="180" w:type="dxa"/>
            <w:vAlign w:val="bottom"/>
          </w:tcPr>
          <w:p>
            <w:pPr>
              <w:spacing w:after="0"/>
              <w:rPr>
                <w:sz w:val="20"/>
                <w:szCs w:val="20"/>
                <w:color w:val="auto"/>
              </w:rPr>
            </w:pPr>
          </w:p>
        </w:tc>
        <w:tc>
          <w:tcPr>
            <w:tcW w:w="400" w:type="dxa"/>
            <w:vAlign w:val="bottom"/>
            <w:tcBorders>
              <w:bottom w:val="single" w:sz="8" w:color="auto"/>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160" w:type="dxa"/>
            <w:vAlign w:val="bottom"/>
            <w:tcBorders>
              <w:bottom w:val="single" w:sz="8" w:color="auto"/>
            </w:tcBorders>
          </w:tcPr>
          <w:p>
            <w:pPr>
              <w:jc w:val="right"/>
              <w:ind w:right="35"/>
              <w:spacing w:after="0" w:line="237" w:lineRule="exact"/>
              <w:rPr>
                <w:sz w:val="20"/>
                <w:szCs w:val="20"/>
                <w:color w:val="auto"/>
              </w:rPr>
            </w:pPr>
            <w:r>
              <w:rPr>
                <w:rFonts w:ascii="Times New Roman" w:cs="Times New Roman" w:eastAsia="Times New Roman" w:hAnsi="Times New Roman"/>
                <w:sz w:val="22"/>
                <w:szCs w:val="22"/>
                <w:color w:val="auto"/>
              </w:rPr>
              <w:t>60,398</w:t>
            </w:r>
          </w:p>
        </w:tc>
        <w:tc>
          <w:tcPr>
            <w:tcW w:w="160" w:type="dxa"/>
            <w:vAlign w:val="bottom"/>
          </w:tcPr>
          <w:p>
            <w:pPr>
              <w:spacing w:after="0"/>
              <w:rPr>
                <w:sz w:val="20"/>
                <w:szCs w:val="20"/>
                <w:color w:val="auto"/>
              </w:rPr>
            </w:pPr>
          </w:p>
        </w:tc>
        <w:tc>
          <w:tcPr>
            <w:tcW w:w="380" w:type="dxa"/>
            <w:vAlign w:val="bottom"/>
            <w:tcBorders>
              <w:bottom w:val="single" w:sz="8" w:color="auto"/>
            </w:tcBorders>
          </w:tcPr>
          <w:p>
            <w:pPr>
              <w:jc w:val="right"/>
              <w:ind w:right="52"/>
              <w:spacing w:after="0" w:line="237" w:lineRule="exact"/>
              <w:rPr>
                <w:sz w:val="20"/>
                <w:szCs w:val="20"/>
                <w:color w:val="auto"/>
              </w:rPr>
            </w:pPr>
            <w:r>
              <w:rPr>
                <w:rFonts w:ascii="Times New Roman" w:cs="Times New Roman" w:eastAsia="Times New Roman" w:hAnsi="Times New Roman"/>
                <w:sz w:val="22"/>
                <w:szCs w:val="22"/>
                <w:color w:val="auto"/>
              </w:rPr>
              <w:t>$</w:t>
            </w:r>
          </w:p>
        </w:tc>
        <w:tc>
          <w:tcPr>
            <w:tcW w:w="1140" w:type="dxa"/>
            <w:vAlign w:val="bottom"/>
            <w:tcBorders>
              <w:bottom w:val="single" w:sz="8" w:color="auto"/>
            </w:tcBorders>
          </w:tcPr>
          <w:p>
            <w:pPr>
              <w:jc w:val="right"/>
              <w:ind w:right="15"/>
              <w:spacing w:after="0" w:line="237" w:lineRule="exact"/>
              <w:rPr>
                <w:sz w:val="20"/>
                <w:szCs w:val="20"/>
                <w:color w:val="auto"/>
              </w:rPr>
            </w:pPr>
            <w:r>
              <w:rPr>
                <w:rFonts w:ascii="Times New Roman" w:cs="Times New Roman" w:eastAsia="Times New Roman" w:hAnsi="Times New Roman"/>
                <w:sz w:val="22"/>
                <w:szCs w:val="22"/>
                <w:color w:val="auto"/>
              </w:rPr>
              <w:t>16,965</w:t>
            </w:r>
          </w:p>
        </w:tc>
        <w:tc>
          <w:tcPr>
            <w:tcW w:w="160" w:type="dxa"/>
            <w:vAlign w:val="bottom"/>
          </w:tcPr>
          <w:p>
            <w:pPr>
              <w:spacing w:after="0"/>
              <w:rPr>
                <w:sz w:val="20"/>
                <w:szCs w:val="20"/>
                <w:color w:val="auto"/>
              </w:rPr>
            </w:pPr>
          </w:p>
        </w:tc>
        <w:tc>
          <w:tcPr>
            <w:tcW w:w="30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1240" w:type="dxa"/>
            <w:vAlign w:val="bottom"/>
            <w:tcBorders>
              <w:bottom w:val="single" w:sz="8" w:color="auto"/>
            </w:tcBorders>
          </w:tcPr>
          <w:p>
            <w:pPr>
              <w:jc w:val="right"/>
              <w:ind w:right="35"/>
              <w:spacing w:after="0" w:line="237" w:lineRule="exact"/>
              <w:rPr>
                <w:sz w:val="20"/>
                <w:szCs w:val="20"/>
                <w:color w:val="auto"/>
              </w:rPr>
            </w:pPr>
            <w:r>
              <w:rPr>
                <w:rFonts w:ascii="Times New Roman" w:cs="Times New Roman" w:eastAsia="Times New Roman" w:hAnsi="Times New Roman"/>
                <w:sz w:val="22"/>
                <w:szCs w:val="22"/>
                <w:color w:val="auto"/>
              </w:rPr>
              <w:t>8,012</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¹</w:t>
      </w:r>
      <w:r>
        <w:rPr>
          <w:rFonts w:ascii="Times New Roman" w:cs="Times New Roman" w:eastAsia="Times New Roman" w:hAnsi="Times New Roman"/>
          <w:sz w:val="16"/>
          <w:szCs w:val="16"/>
          <w:color w:val="auto"/>
        </w:rPr>
        <w:t>Contractual obligations include our obligations related to sponsorships and other commitments.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²</w:t>
      </w:r>
      <w:r>
        <w:rPr>
          <w:rFonts w:ascii="Times New Roman" w:cs="Times New Roman" w:eastAsia="Times New Roman" w:hAnsi="Times New Roman"/>
          <w:sz w:val="16"/>
          <w:szCs w:val="16"/>
          <w:color w:val="auto"/>
        </w:rPr>
        <w:t>Purchase commitments include obligations made by us and our subsidiaries to various suppliers for raw materials used in the production of our products. These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obligations vary in terms, but are generally satisfied within one year.</w:t>
      </w:r>
    </w:p>
    <w:p>
      <w:pPr>
        <w:spacing w:after="0" w:line="18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In September 2016, the Company completed its acquisition of approximately 49 acres of land, located in Rialto, CA, for a purchase price of approximately $39.1 million. The Company has begun construction of an approximately 1,000,000 square-foot building, which it hopes to have LEED certified, to replace its current leased warehouse and distribution facilities located in Corona, CA. The Company has entered into an approximately $36.8 million guaranteed maximum price construction contract for the construction of the building of which $33.7 million remained outstanding as of December 31, 2016.</w:t>
      </w:r>
    </w:p>
    <w:p>
      <w:pPr>
        <w:spacing w:after="0" w:line="19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In addition, the recognized tax benefits recorded as liabilities as of December 31, 2016 are immaterial. It is expected that any change in the amount of unrecognized tax benefit within the next 12 months will not be significant.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Accounting Policies and Pronouncements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Critical Accounting Policies</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Our consolidated financial statements are prepared in accordance with GAAP. GAAP requires us to make estimates and assumptions that affect the reported amounts in our consolidated financial statements. The following summarizes our most significant accounting and reporting policies and practices: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Business Combinations </w:t>
      </w:r>
      <w:r>
        <w:rPr>
          <w:rFonts w:ascii="Times New Roman" w:cs="Times New Roman" w:eastAsia="Times New Roman" w:hAnsi="Times New Roman"/>
          <w:sz w:val="19"/>
          <w:szCs w:val="19"/>
          <w:color w:val="auto"/>
        </w:rPr>
        <w:t>– Business acquisitions are accounted for in accordance with Financial Accounting Standards Board (“FASB”)</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Accounting Standards Codification (“ASC”) 805 “Business Combinations”. FASB ASC 805 requires the reporting entity to identify the acquirer, determine the acquisition date, recognize and measure the identifiable tangible and intangible assets acquired, the liabilities assumed and any non-controlling interest in the acquired entity, and recognize and measure goodwill or a gain from the purchase. The acquiree’s results are included in the Company’s consolidated financial statements from the date of acquisition. Assets acquired and liabilities assumed are recorded at their fair values and the excess of the purchase price over the amounts assigned is recorded as goodwill. Adjustments to fair value assessments are recorded to goodwill over the measurement period (not longer than twelve months). The acquisition method also requires that acquisition-related transaction and post-acquisition restructuring costs be charged to expense and requires the Company to recognize and measure certain assets and liabilities including those arising from contingencies and contingent consideration in a business combination.</w:t>
      </w:r>
    </w:p>
    <w:p>
      <w:pPr>
        <w:sectPr>
          <w:pgSz w:w="11900" w:h="16905" w:orient="portrait"/>
          <w:cols w:equalWidth="0" w:num="1">
            <w:col w:w="11420"/>
          </w:cols>
          <w:pgMar w:left="240" w:top="118" w:right="239" w:bottom="0" w:gutter="0" w:footer="0" w:header="0"/>
        </w:sectPr>
      </w:pPr>
    </w:p>
    <w:bookmarkStart w:id="37" w:name="page38"/>
    <w:bookmarkEnd w:id="37"/>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Cash and Cash Equivalents </w:t>
      </w:r>
      <w:r>
        <w:rPr>
          <w:rFonts w:ascii="Times New Roman" w:cs="Times New Roman" w:eastAsia="Times New Roman" w:hAnsi="Times New Roman"/>
          <w:sz w:val="20"/>
          <w:szCs w:val="20"/>
          <w:color w:val="auto"/>
        </w:rPr>
        <w:t>– The Company considers all highly liquid investments with an original maturity of three months or less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from date of purchase to be cash equivalents. Throughout the year, the Company has had amounts on deposit at financial institutions that exceed the federally insured limits. The Company has not experienced any loss as a result of these deposits and does not expect to incur any losses in the future.</w:t>
      </w:r>
    </w:p>
    <w:p>
      <w:pPr>
        <w:spacing w:after="0" w:line="190" w:lineRule="exact"/>
        <w:rPr>
          <w:sz w:val="20"/>
          <w:szCs w:val="20"/>
          <w:color w:val="auto"/>
        </w:rPr>
      </w:pPr>
    </w:p>
    <w:p>
      <w:pPr>
        <w:jc w:val="both"/>
        <w:ind w:firstLine="689"/>
        <w:spacing w:after="0" w:line="241" w:lineRule="auto"/>
        <w:rPr>
          <w:sz w:val="20"/>
          <w:szCs w:val="20"/>
          <w:color w:val="auto"/>
        </w:rPr>
      </w:pPr>
      <w:r>
        <w:rPr>
          <w:rFonts w:ascii="Times New Roman" w:cs="Times New Roman" w:eastAsia="Times New Roman" w:hAnsi="Times New Roman"/>
          <w:sz w:val="20"/>
          <w:szCs w:val="20"/>
          <w:i w:val="1"/>
          <w:iCs w:val="1"/>
          <w:color w:val="auto"/>
        </w:rPr>
        <w:t xml:space="preserve">Investments </w:t>
      </w:r>
      <w:r>
        <w:rPr>
          <w:rFonts w:ascii="Times New Roman" w:cs="Times New Roman" w:eastAsia="Times New Roman" w:hAnsi="Times New Roman"/>
          <w:sz w:val="20"/>
          <w:szCs w:val="20"/>
          <w:color w:val="auto"/>
        </w:rPr>
        <w:t>– The Company’s investments in debt securities are classified as either held-to-maturity, available-for-sale or trading,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accordance with FASB ASC 320. Held-to-maturity securities are those securities that the Company has the positive intent and ability to hold until maturity. Trading securities are those securities that the Company intends to sell in the near term. All other securities not included in the held-to-maturity or trading category are classified as available-for-sale. Held-to-maturity securities are recorded at amortized cost which approximates fair market value. Trading securities are carried at fair value with unrealized gains and losses charged to earnings. Available-for-sale securities are carried at fair value with unrealized gains and losses recorded within accumulated other comprehensive loss as a separate component of stockholders’ equity. FASB ASC 820 defines fair value as the price that would be received to sell an asset or paid to transfer a liability in an orderly transaction between market participants at the measurement date. FASB ASC 820 also establishes a fair value hierarchy which requires an entity to maximize the use of observable inputs, where available. Under FASB ASC 320-10-35, a security is considered to be other-than-temporarily impaired if the present value of cash flows expected to be collected are less than the security’s amortized cost basis (the difference being defined as the “Credit Loss”) or if the fair value of the security is less than the security’s amortized cost basis and the investor intends, or will be required, to sell the security before recovery of the security’s amortized cost basis. If an other-than-temporary impairment exists, the charge to earnings is limited to the amount of Credit Loss if the investor does not intend to sell the security, and will not be required to sell the security, before recovery of the security’s amortized cost basis. Any remaining difference between fair value and amortized cost is recognized in other comprehensive loss, net of applicable taxes. The Company evaluates whether the decline in fair value of its investments is other-than-temporary at each quarter-end. This evaluation consists of a review by management, and includes market pricing information and maturity dates for the securities held, market and economic trends in the industry and information on the issuer’s financial condition and, if applicable, information on the guarantors’ financial condition. Factors considered in determining whether a loss is temporary include the length of time and extent to which the investment’s fair value has been less than its cost basis, the financial condition and near-term prospects of the issuer and guarantors, including any specific events which may influence the operations of the issuer and our intent and ability to retain the investment for a reasonable period of time sufficient to allow for any anticipated recovery of fair value.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Accounts Receivable – </w:t>
      </w:r>
      <w:r>
        <w:rPr>
          <w:rFonts w:ascii="Times New Roman" w:cs="Times New Roman" w:eastAsia="Times New Roman" w:hAnsi="Times New Roman"/>
          <w:sz w:val="20"/>
          <w:szCs w:val="20"/>
          <w:color w:val="auto"/>
        </w:rPr>
        <w:t>The Company evaluates the collectability of its trade accounts receivable based on a number of factors.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circumstances where the Company becomes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 debts, bad debt charges are recorded based on the Company’s recent loss history and an overall assessment of past due trade accounts receivable outstanding. In accordance with FASB ASC 210-20-45, in its consolidated balance sheets, the Company has presented accounts receivable, net of promotional allowances, only for those customers that it allows net settlement. All other accounts receivable and related promotional allowances are shown on a gross basis.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Inventories </w:t>
      </w:r>
      <w:r>
        <w:rPr>
          <w:rFonts w:ascii="Times New Roman" w:cs="Times New Roman" w:eastAsia="Times New Roman" w:hAnsi="Times New Roman"/>
          <w:sz w:val="20"/>
          <w:szCs w:val="20"/>
          <w:color w:val="auto"/>
        </w:rPr>
        <w:t>– Inventories are valued at the lower of first-in, first-out, cost or market value (net realizable value).</w:t>
      </w:r>
    </w:p>
    <w:p>
      <w:pPr>
        <w:spacing w:after="0" w:line="22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Property and Equipment </w:t>
      </w:r>
      <w:r>
        <w:rPr>
          <w:rFonts w:ascii="Times New Roman" w:cs="Times New Roman" w:eastAsia="Times New Roman" w:hAnsi="Times New Roman"/>
          <w:sz w:val="20"/>
          <w:szCs w:val="20"/>
          <w:color w:val="auto"/>
        </w:rPr>
        <w:t>– Property and equipment are stated at cost. Depreciation of furniture and fixtures, office and computer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equipment, computer software, equipment, and vehicles is based on their estimated useful lives (three to ten years) and is calculated using the straight-line method. Amortization of leasehold improvements is based on the lesser of their estimated useful lives or the terms of the related leases and is calculated using the straight-line method. Normal repairs and maintenance costs are expensed as incurred. Expenditures that materially increase values or extend useful lives are capitalized. The related costs and accumulated depreciation of disposed assets are eliminated and any resulting gain or loss on disposition is included in net income.</w:t>
      </w:r>
    </w:p>
    <w:p>
      <w:pPr>
        <w:spacing w:after="0" w:line="19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Goodwill </w:t>
      </w:r>
      <w:r>
        <w:rPr>
          <w:rFonts w:ascii="Times New Roman" w:cs="Times New Roman" w:eastAsia="Times New Roman" w:hAnsi="Times New Roman"/>
          <w:sz w:val="20"/>
          <w:szCs w:val="20"/>
          <w:color w:val="auto"/>
        </w:rPr>
        <w:t>– The Company records goodwill when the consideration paid for an acquisition exceeds the fair value of net tangible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intangible assets acquired, including related tax effects. Goodwill is not amortized; instead goodwill is tested for impairment on an annual basis, or more frequently if the Company believes indicators of impairment exist. The Company first assesses qualitative factors to determine whether it is more-likely-than-not that the fair value of a reporting unit is less than its carrying value. If the Company determines that the fair value is less than the carrying value, the Company will use a two-step process to determine the amount of goodwill impairment. The first step requires comparing the fair value of the reporting unit to its net book value, including goodwill. A potential impairment exists if the fair value of the reporting unit is lower than its net book value. The second step of the process, performed only if a potential impairment exists, involves determining the difference between the fair value of the reporting unit’s net assets, other than goodwill, and the fair value of the reporting unit. An impairment charge is recognized for the excess of the carrying value of goodwill over its implied fair value. For the fiscal years ended December 31, 2016, 2015 and 2014 there were no impairments recorded.</w:t>
      </w:r>
    </w:p>
    <w:p>
      <w:pPr>
        <w:spacing w:after="0" w:line="19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Other Intangibles </w:t>
      </w:r>
      <w:r>
        <w:rPr>
          <w:rFonts w:ascii="Times New Roman" w:cs="Times New Roman" w:eastAsia="Times New Roman" w:hAnsi="Times New Roman"/>
          <w:sz w:val="20"/>
          <w:szCs w:val="20"/>
          <w:color w:val="auto"/>
        </w:rPr>
        <w:t>– Other Intangibles are comprised of trademarks that represent the Company’s exclusive ownership of the Monster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Energy®, </w:t>
      </w:r>
      <w:r>
        <w:rPr>
          <w:sz w:val="1"/>
          <w:szCs w:val="1"/>
          <w:color w:val="auto"/>
        </w:rPr>
        <w:drawing>
          <wp:inline distT="0" distB="0" distL="0" distR="0">
            <wp:extent cx="102870" cy="1371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870" cy="137160"/>
                    </a:xfrm>
                    <a:prstGeom prst="rect">
                      <a:avLst/>
                    </a:prstGeom>
                    <a:noFill/>
                    <a:ln>
                      <a:noFill/>
                    </a:ln>
                  </pic:spPr>
                </pic:pic>
              </a:graphicData>
            </a:graphic>
          </wp:inline>
        </w:drawing>
      </w:r>
      <w:r>
        <w:rPr>
          <w:rFonts w:ascii="Times New Roman" w:cs="Times New Roman" w:eastAsia="Times New Roman" w:hAnsi="Times New Roman"/>
          <w:sz w:val="20"/>
          <w:szCs w:val="20"/>
          <w:color w:val="auto"/>
        </w:rPr>
        <w:t>®, Monster Rehab®, Java Monster®, Unleash the Beast®, Monster Energy Extra Strength Nitrous Technology®, Muscle Monster®, Mega Monster Energy®, Punch Monster®, Juice Monster®, M3®, Ubermonster®, BU®, Nalu®, NOS®, Full Throttle®, Burn®, Mother®, Ultra®, Play® and Power Play®, Gladiator®, Relentless®, Samurai® and BPM® trademarks, all used in connection with the manufacture, sale and distribution of beverages. The Company also owns in its own right a number of other trademarks in the United States, as well as in a number of countries around the world. In addition, as a result of the AFF Transaction, we secured the intellectual property of our most important flavors for certain of our Monster Energy® Brand energy drinks in perpetuity. In accordance with FASB ASC 350, intangible assets with indefinite lives are not amortized but instead are measured for impairment at least annually, or when events indicate that an impairment exists. The Company calculates impairment as the excess of the carrying value of its indefinite-lived assets over their estimated fair value. If the carrying value exceeds the estimate of fair value a write-down is recorded. The Company amortizes its intangibles with finite</w:t>
      </w:r>
    </w:p>
    <w:p>
      <w:pPr>
        <w:sectPr>
          <w:pgSz w:w="11900" w:h="16838" w:orient="portrait"/>
          <w:cols w:equalWidth="0" w:num="1">
            <w:col w:w="11420"/>
          </w:cols>
          <w:pgMar w:left="240" w:top="342" w:right="239" w:bottom="0" w:gutter="0" w:footer="0" w:header="0"/>
        </w:sectPr>
      </w:pPr>
    </w:p>
    <w:bookmarkStart w:id="38" w:name="page39"/>
    <w:bookmarkEnd w:id="38"/>
    <w:p>
      <w:pPr>
        <w:jc w:val="both"/>
        <w:spacing w:after="0" w:line="268" w:lineRule="auto"/>
        <w:rPr>
          <w:sz w:val="20"/>
          <w:szCs w:val="20"/>
          <w:color w:val="auto"/>
        </w:rPr>
      </w:pPr>
      <w:r>
        <w:rPr>
          <w:rFonts w:ascii="Times New Roman" w:cs="Times New Roman" w:eastAsia="Times New Roman" w:hAnsi="Times New Roman"/>
          <w:sz w:val="20"/>
          <w:szCs w:val="20"/>
          <w:color w:val="auto"/>
        </w:rPr>
        <w:t>useful lives over their respective useful lives. For the fiscal years ended December 31, 2016, 2015 and 2014 there were no impairments recorded.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Long-Lived Assets </w:t>
      </w:r>
      <w:r>
        <w:rPr>
          <w:rFonts w:ascii="Times New Roman" w:cs="Times New Roman" w:eastAsia="Times New Roman" w:hAnsi="Times New Roman"/>
          <w:sz w:val="19"/>
          <w:szCs w:val="19"/>
          <w:color w:val="auto"/>
        </w:rPr>
        <w:t>– Management regularly reviews property and equipment and other long-lived assets, including certain definite-lived intangible assets, for possible impairment. This review occurs annually, or more frequently if events or changes in circumstances indicate the carrying amount of the asset may not be recoverable. If there is indication of impairment, management then prepares an estimate of future cash flows (undiscounted and without interest charges) expected to result from the use of the asset and its eventual disposition. If these cash flows are less than the carrying amount of the asset, an impairment loss is recognized to write down the asset to its estimated fair value. The fair value is estimated using the present value of the future cash flows discounted at a rate commensurate with management’s estimates of the business risks. Preparation of estimated expected future cash flows is inherently subjective and is based on management’s best estimate of assumptions concerning expected future conditions. For the fiscal years ended December 31, 2016, 2015 and 2014, there were no impairment indicators identified. Long-lived assets held for sale are recorded at the lower of their carrying amount or fair value less cost to sell.</w:t>
      </w:r>
    </w:p>
    <w:p>
      <w:pPr>
        <w:spacing w:after="0" w:line="18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Foreign Currency Translation and Transactions </w:t>
      </w:r>
      <w:r>
        <w:rPr>
          <w:rFonts w:ascii="Times New Roman" w:cs="Times New Roman" w:eastAsia="Times New Roman" w:hAnsi="Times New Roman"/>
          <w:sz w:val="20"/>
          <w:szCs w:val="20"/>
          <w:color w:val="auto"/>
        </w:rPr>
        <w:t>– The accounts of the Company’s foreign subsidiaries are translated in accordance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FASB ASC 830. Foreign currency transaction gains and losses are recognized in other expense, net, at the time they occur. Net foreign currency exchange gains or losses resulting from the translation of assets and liabilities of foreign subsidiaries whose functional currency is not the U.S. dollar are recorded as a part of accumulated other comprehensive loss in stockholders’ equity. Unrealized foreign currency exchange gains and losses on certain intercompany transactions that are of a long-term investment nature (i.e., settlement is not planned or anticipated in the foreseeable future) are also recorded in accumulated other comprehensive loss in stockholders’ equity. During the years ended December 31, 2016, 2015 and 2014, we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outstanding as of December 31, 2016 have terms of one month or less. We do not enter into forward currency exchange contracts for speculation or trading purposes.</w:t>
      </w:r>
    </w:p>
    <w:p>
      <w:pPr>
        <w:spacing w:after="0" w:line="19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Revenue Recognition </w:t>
      </w:r>
      <w:r>
        <w:rPr>
          <w:rFonts w:ascii="Times New Roman" w:cs="Times New Roman" w:eastAsia="Times New Roman" w:hAnsi="Times New Roman"/>
          <w:sz w:val="20"/>
          <w:szCs w:val="20"/>
          <w:color w:val="auto"/>
        </w:rPr>
        <w:t>– The Company recognizes revenue when persuasive evidence of an arrangement exists, delivery has occurred,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sales price is fixed or determinable and collectability is reasonably assured.</w:t>
      </w:r>
    </w:p>
    <w:p>
      <w:pPr>
        <w:spacing w:after="0" w:line="17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Generally, ownership of, and title to, the Company’s finished products passes to customers upon delivery of the products to customers. Certain of the Company’s distributors may also perform a separate function as a co-packer on the Company’s behalf. In such cases, ownership of and title to the Company’s products that are co-packed on the Company’s behalf by those co-packers who are also distributors, passes to such distributors when the Company is notified by them that they have taken transfer or possession of the relevant portion of the Company’s finished goods.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Revenue for the Strategic Brands segment is generally recognized when title to the concentrate is transferred to the customer. In particular, title to the concentrate usually passes upon shipment to the customers’ locations, as determined by the specific sales terms of the transactions.</w:t>
      </w:r>
    </w:p>
    <w:p>
      <w:pPr>
        <w:spacing w:after="0" w:line="18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Net sales have been determined after deduction of promotional and other allowances in accordance with FASB ASC 605-50. The Company’s promotional and other allowances are calculated based on various programs with its distributors and retail customers, and accruals are established during the year for the anticipated liabilities. These accruals are based on agreed upon terms as well as the Company’s historical experience with similar programs and require management’s judgment with respect to estimating consumer participation and/or distributor and retail customer performance levels.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Differences between such estimated expenses and actual expenses for promotional and other allowance costs have historically been insignificant and are recognized in earnings in the period such differences are determined. Amounts received pursuant to new and/or amended distribution agreements entered into with certain distributors, relating to the costs associated with terminating the Company’s prior distributors, are accounted for as revenue ratably over the anticipated life of the respective distribution agreement, generally 20 years.</w:t>
      </w:r>
    </w:p>
    <w:p>
      <w:pPr>
        <w:spacing w:after="0" w:line="19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Management believes that adequate provision has been made for cash discounts, returns and spoilage based on the Company’s historical experience.</w:t>
      </w:r>
    </w:p>
    <w:p>
      <w:pPr>
        <w:spacing w:after="0" w:line="169" w:lineRule="exact"/>
        <w:rPr>
          <w:sz w:val="20"/>
          <w:szCs w:val="20"/>
          <w:color w:val="auto"/>
        </w:rPr>
      </w:pPr>
    </w:p>
    <w:p>
      <w:pPr>
        <w:jc w:val="both"/>
        <w:ind w:firstLine="689"/>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Cost of Sales </w:t>
      </w:r>
      <w:r>
        <w:rPr>
          <w:rFonts w:ascii="Times New Roman" w:cs="Times New Roman" w:eastAsia="Times New Roman" w:hAnsi="Times New Roman"/>
          <w:sz w:val="20"/>
          <w:szCs w:val="20"/>
          <w:color w:val="auto"/>
        </w:rPr>
        <w:t>– Cost of sales consists of the costs of concentrates and/or beverage bases, the costs of raw materials utilized in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manufacture of products, co-packing fees, repacking fees, in-bound freight charges, as well as certain internal transfer costs, warehouse expenses incurred prior to the manufacture of the Company’s finished products and certain quality control costs. Raw materials account for the largest portion of the cost of sales. Raw materials include cans, bottles, other containers, flavors, ingredients and packaging materials.</w:t>
      </w:r>
    </w:p>
    <w:p>
      <w:pPr>
        <w:spacing w:after="0" w:line="19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Operating Expenses </w:t>
      </w:r>
      <w:r>
        <w:rPr>
          <w:rFonts w:ascii="Times New Roman" w:cs="Times New Roman" w:eastAsia="Times New Roman" w:hAnsi="Times New Roman"/>
          <w:sz w:val="20"/>
          <w:szCs w:val="20"/>
          <w:color w:val="auto"/>
        </w:rPr>
        <w:t>– Operating expenses include selling expenses such as distribution expenses to transport products to customers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warehousing expenses after manufacture, as well as expenses for advertising, sampling and in-store demonstration costs, costs for merchandise displays, point-of-sale materials and premium items, sponsorship expenses, other marketing expenses and design expenses. Operating expenses also include such costs as payroll costs, travel costs, professional service fees (including legal fees), termination payments made to certain of the Company’s prior distributors, depreciation and other general and administrative costs.</w:t>
      </w:r>
    </w:p>
    <w:p>
      <w:pPr>
        <w:sectPr>
          <w:pgSz w:w="11900" w:h="16838" w:orient="portrait"/>
          <w:cols w:equalWidth="0" w:num="1">
            <w:col w:w="11420"/>
          </w:cols>
          <w:pgMar w:left="240" w:top="118" w:right="239" w:bottom="0" w:gutter="0" w:footer="0" w:header="0"/>
        </w:sectPr>
      </w:pPr>
    </w:p>
    <w:bookmarkStart w:id="39" w:name="page40"/>
    <w:bookmarkEnd w:id="39"/>
    <w:p>
      <w:pPr>
        <w:jc w:val="both"/>
        <w:ind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Income Taxes </w:t>
      </w:r>
      <w:r>
        <w:rPr>
          <w:rFonts w:ascii="Times New Roman" w:cs="Times New Roman" w:eastAsia="Times New Roman" w:hAnsi="Times New Roman"/>
          <w:sz w:val="20"/>
          <w:szCs w:val="20"/>
          <w:color w:val="auto"/>
        </w:rPr>
        <w:t>– The Company utilizes the liability method of accounting for income taxes as set forth in FASB ASC 740. Under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liability method, deferred taxes are determined based on the temporary differences between the financial statement and tax basis of assets and liabilities using tax rates expected to be in effect during the years in which the basis differences reverse. A valuation allowance is recorded when it is more likely than not that some of the deferred tax assets will not be realized. In determining the need for valuation allowances the Company considers projected future taxable income and the availability of tax planning strategies. If in the future the Company determines that it would not be able to realize its recorded deferred tax assets, an increase in the valuation allowance would be recorded, decreasing earnings in the period in which such determination is made.</w:t>
      </w:r>
    </w:p>
    <w:p>
      <w:pPr>
        <w:spacing w:after="0" w:line="19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The Company assesses its income tax positions and records tax benefits for all years subject to examination based upon the Company’s evaluation of the facts, circumstances and information available at the reporting date. For those tax positions where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there is less than 50% likelihood that a tax benefit will be sustained, no tax benefit has been recognized in the financial statements.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See “Part II, Item 8 – Financial Statements and Supplementary Data – Note 1 – Organization and Summary of Significant Accounting Policies – Recent Accounting Pronouncements” for a full description of recent accounting pronouncements including the respective expected dates of adoption and expected effects on the Company’s consolidated financial position, results of operations or liquidity.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The Private Securities Litigation Reform Act of 1995 (the “Act”) provides a safe harbor for forward-looking statements made by or on behalf of the Company. Certain statements made in this report may constitute forward-looking statements (within the meaning of Section 27A of the Securities Act of 1933, as amended, and Section 21E of the Exchange Act, as amended) regarding our expectations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Act. Without limiting the foregoing, the words “believes,” “thinks,” “anticipates,” “plans,” “expects,” “estimates,” and similar expressions are intended to identify forward-looking statements.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p>
      <w:pPr>
        <w:spacing w:after="0" w:line="188"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recognize any and/or all of the benefits from the TCCC Transaction and the AFF Transaction;</w:t>
      </w:r>
    </w:p>
    <w:p>
      <w:pPr>
        <w:spacing w:after="0" w:line="21"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our extensive commercial arrangements with TCCC on our future performance;</w:t>
      </w:r>
    </w:p>
    <w:p>
      <w:pPr>
        <w:ind w:left="460" w:hanging="452"/>
        <w:spacing w:after="0" w:line="239" w:lineRule="auto"/>
        <w:tabs>
          <w:tab w:leader="none" w:pos="4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TCCC becoming one of our significant shareholders and the potential divergence of TCCC’s interests from those of our other shareholders;</w:t>
      </w:r>
    </w:p>
    <w:p>
      <w:pPr>
        <w:spacing w:after="0" w:line="1" w:lineRule="exact"/>
        <w:rPr>
          <w:rFonts w:ascii="Times New Roman" w:cs="Times New Roman" w:eastAsia="Times New Roman" w:hAnsi="Times New Roman"/>
          <w:sz w:val="20"/>
          <w:szCs w:val="20"/>
          <w:color w:val="auto"/>
        </w:rPr>
      </w:pPr>
    </w:p>
    <w:p>
      <w:pPr>
        <w:ind w:left="460" w:hanging="452"/>
        <w:spacing w:after="0" w:line="239" w:lineRule="auto"/>
        <w:tabs>
          <w:tab w:leader="none" w:pos="4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transfer the distribution of our Monster Energy® brand energy drinks in certain existing domestic and international territories to bottlers/distributors within the TCCC distribution system on terms beneficial to us;</w:t>
      </w:r>
    </w:p>
    <w:p>
      <w:pPr>
        <w:spacing w:after="0" w:line="1" w:lineRule="exact"/>
        <w:rPr>
          <w:rFonts w:ascii="Times New Roman" w:cs="Times New Roman" w:eastAsia="Times New Roman" w:hAnsi="Times New Roman"/>
          <w:sz w:val="20"/>
          <w:szCs w:val="20"/>
          <w:color w:val="auto"/>
        </w:rPr>
      </w:pPr>
    </w:p>
    <w:p>
      <w:pPr>
        <w:ind w:left="460" w:hanging="452"/>
        <w:spacing w:after="0" w:line="239" w:lineRule="auto"/>
        <w:tabs>
          <w:tab w:leader="none" w:pos="4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enter into new distribution agreements with bottlers/distributors within the TCCC distribution system for new international territories;</w:t>
      </w:r>
    </w:p>
    <w:p>
      <w:pPr>
        <w:spacing w:after="0" w:line="1"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slowing of and/or decline in the sales growth rates of the energy drink category;</w:t>
      </w:r>
    </w:p>
    <w:p>
      <w:pPr>
        <w:ind w:left="460" w:hanging="452"/>
        <w:spacing w:after="0" w:line="239" w:lineRule="auto"/>
        <w:tabs>
          <w:tab w:leader="none" w:pos="4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 in distribution or sales and/or decline in sales due to the termination and/or appointment of existing and/or new domestic and/or international distributors;</w:t>
      </w:r>
    </w:p>
    <w:p>
      <w:pPr>
        <w:spacing w:after="0" w:line="1"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Lack of anticipated demand for our products in domestic and/or international markets;</w:t>
      </w:r>
    </w:p>
    <w:p>
      <w:pPr>
        <w:ind w:left="460" w:right="20" w:hanging="452"/>
        <w:spacing w:after="0" w:line="239" w:lineRule="auto"/>
        <w:tabs>
          <w:tab w:leader="none" w:pos="4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Unfavorable regulations, including taxation requirements, product registration requirements, tariffs, trade restrictions, container size limitations and/or ingredient restrictions;</w:t>
      </w:r>
    </w:p>
    <w:p>
      <w:pPr>
        <w:spacing w:after="0" w:line="1" w:lineRule="exact"/>
        <w:rPr>
          <w:rFonts w:ascii="Times New Roman" w:cs="Times New Roman" w:eastAsia="Times New Roman" w:hAnsi="Times New Roman"/>
          <w:sz w:val="20"/>
          <w:szCs w:val="20"/>
          <w:color w:val="auto"/>
        </w:rPr>
      </w:pPr>
    </w:p>
    <w:p>
      <w:pPr>
        <w:jc w:val="both"/>
        <w:ind w:left="460" w:hanging="452"/>
        <w:spacing w:after="0" w:line="239" w:lineRule="auto"/>
        <w:tabs>
          <w:tab w:leader="none" w:pos="4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inquiries from, and/or actions by, state attorneys general, the Federal Trade Commission (the “FTC”), the FDA, municipalities, city attorneys, other government agencies, quasi-government agencies and/or government officials (including members of Congress), into the advertising, marketing, promotion, ingredients, sale and/or consumption of our energy drink products, including voluntary and/or required changes to our business practices;</w:t>
      </w:r>
    </w:p>
    <w:p>
      <w:pPr>
        <w:spacing w:after="0" w:line="2"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achieve profitability from certain of our operations outside the United States;</w:t>
      </w:r>
    </w:p>
    <w:p>
      <w:pPr>
        <w:ind w:left="460" w:hanging="452"/>
        <w:spacing w:after="0" w:line="239" w:lineRule="auto"/>
        <w:tabs>
          <w:tab w:leader="none" w:pos="4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manage legal and regulatory requirements in foreign jurisdictions, potential difficulties in staffing and managing foreign operations and potentially higher incidence of fraud or corruption and credit risk of foreign customers and/or distributors;</w:t>
      </w:r>
    </w:p>
    <w:p>
      <w:pPr>
        <w:spacing w:after="0" w:line="1" w:lineRule="exact"/>
        <w:rPr>
          <w:rFonts w:ascii="Times New Roman" w:cs="Times New Roman" w:eastAsia="Times New Roman" w:hAnsi="Times New Roman"/>
          <w:sz w:val="20"/>
          <w:szCs w:val="20"/>
          <w:color w:val="auto"/>
        </w:rPr>
      </w:pPr>
    </w:p>
    <w:p>
      <w:pPr>
        <w:ind w:left="460" w:hanging="452"/>
        <w:spacing w:after="0" w:line="239" w:lineRule="auto"/>
        <w:tabs>
          <w:tab w:leader="none" w:pos="4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produce our products in international markets in which they are sold, thereby reducing freight costs and/or product damages;</w:t>
      </w:r>
    </w:p>
    <w:p>
      <w:pPr>
        <w:spacing w:after="0" w:line="1"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effectively manage our inventories and/or our accounts receivables;</w:t>
      </w:r>
    </w:p>
    <w:p>
      <w:pPr>
        <w:ind w:left="460" w:hanging="452"/>
        <w:spacing w:after="0" w:line="246" w:lineRule="auto"/>
        <w:tabs>
          <w:tab w:leader="none" w:pos="4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foreign currency exchange rate risk with respect to our sales, expenses, profits, assets and liabilities denominated in currencies other than the U.S. dollar, which will continue to increase as foreign sales increase;</w:t>
      </w:r>
    </w:p>
    <w:p>
      <w:pPr>
        <w:sectPr>
          <w:pgSz w:w="11900" w:h="16838" w:orient="portrait"/>
          <w:cols w:equalWidth="0" w:num="1">
            <w:col w:w="11420"/>
          </w:cols>
          <w:pgMar w:left="240" w:top="114" w:right="239" w:bottom="163"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4" w:right="239" w:bottom="163" w:gutter="0" w:footer="0" w:header="0"/>
          <w:type w:val="continuous"/>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standards may affect our reported profitability;</w:t>
      </w:r>
    </w:p>
    <w:p>
      <w:pPr>
        <w:spacing w:after="0" w:line="21" w:lineRule="exact"/>
        <w:rPr>
          <w:rFonts w:ascii="Times New Roman" w:cs="Times New Roman" w:eastAsia="Times New Roman" w:hAnsi="Times New Roman"/>
          <w:sz w:val="20"/>
          <w:szCs w:val="20"/>
          <w:color w:val="auto"/>
        </w:rPr>
      </w:pPr>
    </w:p>
    <w:p>
      <w:pPr>
        <w:ind w:left="460" w:hanging="452"/>
        <w:spacing w:after="0" w:line="239" w:lineRule="auto"/>
        <w:tabs>
          <w:tab w:leader="none" w:pos="4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proceedings which may be brought against us by the Securities and Exchange Commission (the “SEC”), the FDA, the FTC or other governmental agencies or bodies;</w:t>
      </w:r>
    </w:p>
    <w:p>
      <w:pPr>
        <w:spacing w:after="0" w:line="1" w:lineRule="exact"/>
        <w:rPr>
          <w:rFonts w:ascii="Times New Roman" w:cs="Times New Roman" w:eastAsia="Times New Roman" w:hAnsi="Times New Roman"/>
          <w:sz w:val="20"/>
          <w:szCs w:val="20"/>
          <w:color w:val="auto"/>
        </w:rPr>
      </w:pPr>
    </w:p>
    <w:p>
      <w:pPr>
        <w:ind w:left="460" w:hanging="452"/>
        <w:spacing w:after="0" w:line="239" w:lineRule="auto"/>
        <w:tabs>
          <w:tab w:leader="none" w:pos="4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outcome and/or possibility of future shareholder derivative actions or shareholder securities litigation filed against us and/or against certain of our officers and directors, and the possibility of other private shareholder litigation;</w:t>
      </w:r>
    </w:p>
    <w:p>
      <w:pPr>
        <w:spacing w:after="0" w:line="1" w:lineRule="exact"/>
        <w:rPr>
          <w:rFonts w:ascii="Times New Roman" w:cs="Times New Roman" w:eastAsia="Times New Roman" w:hAnsi="Times New Roman"/>
          <w:sz w:val="20"/>
          <w:szCs w:val="20"/>
          <w:color w:val="auto"/>
        </w:rPr>
      </w:pPr>
    </w:p>
    <w:p>
      <w:pPr>
        <w:jc w:val="both"/>
        <w:ind w:left="460" w:right="20" w:hanging="452"/>
        <w:spacing w:after="0" w:line="239" w:lineRule="auto"/>
        <w:tabs>
          <w:tab w:leader="none" w:pos="4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outcome of product liability litigation and/or class action litigation regarding the safety of our products and/or the ingredients in and/or claims made in connection with our products and/or alleging false advertising, marketing and/or promotion, and the possibility of future product liability and/or class action lawsuits;</w:t>
      </w:r>
    </w:p>
    <w:p>
      <w:pPr>
        <w:spacing w:after="0" w:line="1"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outcome of any other litigation;</w:t>
      </w:r>
    </w:p>
    <w:p>
      <w:pPr>
        <w:ind w:left="460" w:hanging="452"/>
        <w:spacing w:after="0"/>
        <w:tabs>
          <w:tab w:leader="none" w:pos="4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current uncertainty and volatility in the national and global economy;</w:t>
      </w:r>
    </w:p>
    <w:p>
      <w:pPr>
        <w:ind w:left="460" w:hanging="452"/>
        <w:spacing w:after="0"/>
        <w:tabs>
          <w:tab w:leader="none" w:pos="4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address any significant deficiencies or material weakness in our internal controls over financial reporting;</w:t>
      </w:r>
    </w:p>
    <w:p>
      <w:pPr>
        <w:ind w:left="460" w:hanging="452"/>
        <w:spacing w:after="0"/>
        <w:tabs>
          <w:tab w:leader="none" w:pos="4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continue to generate sufficient cash flows to support capital expansion plans and general operating activities;</w:t>
      </w:r>
    </w:p>
    <w:p>
      <w:pPr>
        <w:ind w:left="460" w:hanging="452"/>
        <w:spacing w:after="0" w:line="239" w:lineRule="auto"/>
        <w:tabs>
          <w:tab w:leader="none" w:pos="4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Decreased demand for our products resulting from changes in consumer preferences and/or from decreased consumer discretionary spending power;</w:t>
      </w:r>
    </w:p>
    <w:p>
      <w:pPr>
        <w:spacing w:after="0" w:line="1"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demand that are weather related and/or for other reasons, including changes in product category consumption;</w:t>
      </w:r>
    </w:p>
    <w:p>
      <w:pPr>
        <w:ind w:left="460" w:hanging="452"/>
        <w:spacing w:after="0" w:line="239" w:lineRule="auto"/>
        <w:tabs>
          <w:tab w:leader="none" w:pos="4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Competitive products and pricing pressures and our ability to gain or maintain our share of sales in the marketplace as a result of actions by competitors;</w:t>
      </w:r>
    </w:p>
    <w:p>
      <w:pPr>
        <w:spacing w:after="0" w:line="1"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introduce new products;</w:t>
      </w:r>
    </w:p>
    <w:p>
      <w:pPr>
        <w:ind w:left="460" w:hanging="452"/>
        <w:spacing w:after="0"/>
        <w:tabs>
          <w:tab w:leader="none" w:pos="4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inability to achieve volume growth through product and packaging initiatives;</w:t>
      </w:r>
    </w:p>
    <w:p>
      <w:pPr>
        <w:ind w:left="460" w:hanging="452"/>
        <w:spacing w:after="0" w:line="239" w:lineRule="auto"/>
        <w:tabs>
          <w:tab w:leader="none" w:pos="4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sustain the current level of sales and/or increase the sales of our Monster Energy® brand energy drinks and/or our other products, including the Strategic Brands acquired from TCCC;</w:t>
      </w:r>
    </w:p>
    <w:p>
      <w:pPr>
        <w:spacing w:after="0" w:line="1" w:lineRule="exact"/>
        <w:rPr>
          <w:rFonts w:ascii="Times New Roman" w:cs="Times New Roman" w:eastAsia="Times New Roman" w:hAnsi="Times New Roman"/>
          <w:sz w:val="20"/>
          <w:szCs w:val="20"/>
          <w:color w:val="auto"/>
        </w:rPr>
      </w:pPr>
    </w:p>
    <w:p>
      <w:pPr>
        <w:jc w:val="both"/>
        <w:ind w:left="460" w:hanging="452"/>
        <w:spacing w:after="0" w:line="239" w:lineRule="auto"/>
        <w:tabs>
          <w:tab w:leader="none" w:pos="4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criticism of our energy drink products and/or the energy drink market generally and/or legislation enacted (whether as a result of such criticism or otherwise) that restricts the sale of energy drinks (including prohibiting the sale of energy drinks at certain establishments or pursuant to certain governmental programs), limit caffeine content in beverages, require certain product labeling disclosures and/or warnings, impose excise and/or sales taxes, limit product sizes and/or impose age restrictions for the sale of energy drinks;</w:t>
      </w:r>
    </w:p>
    <w:p>
      <w:pPr>
        <w:spacing w:after="0" w:line="2" w:lineRule="exact"/>
        <w:rPr>
          <w:rFonts w:ascii="Times New Roman" w:cs="Times New Roman" w:eastAsia="Times New Roman" w:hAnsi="Times New Roman"/>
          <w:sz w:val="20"/>
          <w:szCs w:val="20"/>
          <w:color w:val="auto"/>
        </w:rPr>
      </w:pPr>
    </w:p>
    <w:p>
      <w:pPr>
        <w:jc w:val="both"/>
        <w:ind w:left="460" w:hanging="452"/>
        <w:spacing w:after="0" w:line="239" w:lineRule="auto"/>
        <w:tabs>
          <w:tab w:leader="none" w:pos="4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comply with and/or resulting lower consumer demand for energy drinks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sales and/or other taxes on our products and revised tax law interpretations) and environmental laws, as well as the Federal Food Drug &amp; Cosmetic Act, as amended by the Dietary Supplement Health and Education Act, and regulations made thereunder or in connection therewith, as well as changes in any other food, drug or similar laws in the United States and internationally, especially those that may restrict the sale of energy drinks (including prohibiting the sale of energy drinks at certain establishments or pursuant to certain governmental programs), limit caffeine content in beverages, require certain product labeling disclosures and/or warnings, impose excise taxes, impose sugar taxes, limit product sizes, or impose age restrictions for the sale of energy drinks, as well as laws and regulations or rules made or enforced by the FDA, the Bureau of Alcohol, Tobacco and Firearms and Explosives and/or the FTC;</w:t>
      </w:r>
    </w:p>
    <w:p>
      <w:pPr>
        <w:spacing w:after="0" w:line="5" w:lineRule="exact"/>
        <w:rPr>
          <w:rFonts w:ascii="Times New Roman" w:cs="Times New Roman" w:eastAsia="Times New Roman" w:hAnsi="Times New Roman"/>
          <w:sz w:val="20"/>
          <w:szCs w:val="20"/>
          <w:color w:val="auto"/>
        </w:rPr>
      </w:pPr>
    </w:p>
    <w:p>
      <w:pPr>
        <w:jc w:val="both"/>
        <w:ind w:left="460" w:right="20" w:hanging="452"/>
        <w:spacing w:after="0" w:line="239" w:lineRule="auto"/>
        <w:tabs>
          <w:tab w:leader="none" w:pos="4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satisfy all criteria set forth in any model energy drink guidelines, including, without limitation, those adopted by the American Beverage Association, of which the Company is a member, and/or any international beverage association and the impact on the Company of such guidelines;</w:t>
      </w:r>
    </w:p>
    <w:p>
      <w:pPr>
        <w:spacing w:after="0" w:line="1"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Disruptions in the timely import or export of our products and/or ingredients due to port strikes and related labor issues;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unfavorable or adverse public relations, press, articles, comments and/or media attention;</w:t>
      </w:r>
    </w:p>
    <w:p>
      <w:pPr>
        <w:spacing w:after="0" w:line="21" w:lineRule="exact"/>
        <w:rPr>
          <w:rFonts w:ascii="Times New Roman" w:cs="Times New Roman" w:eastAsia="Times New Roman" w:hAnsi="Times New Roman"/>
          <w:sz w:val="20"/>
          <w:szCs w:val="20"/>
          <w:color w:val="auto"/>
        </w:rPr>
      </w:pPr>
    </w:p>
    <w:p>
      <w:pPr>
        <w:jc w:val="both"/>
        <w:ind w:left="460" w:hanging="452"/>
        <w:spacing w:after="0" w:line="239" w:lineRule="auto"/>
        <w:tabs>
          <w:tab w:leader="none" w:pos="4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cost, quality and availability of containers, packaging materials, aluminum, the Midwest and other premiums, raw materials and other ingredients and juice concentrates, and our ability to obtain and/or maintain favorable supply arrangements and relationships and procure timely and/or sufficient production of all or any of our products to meet customer demand;</w:t>
      </w:r>
    </w:p>
    <w:p>
      <w:pPr>
        <w:spacing w:after="0" w:line="1"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shortages that may be experienced in the procurement of containers and/or other raw materials;</w:t>
      </w:r>
    </w:p>
    <w:p>
      <w:pPr>
        <w:ind w:left="460" w:right="20" w:hanging="452"/>
        <w:spacing w:after="0" w:line="239" w:lineRule="auto"/>
        <w:tabs>
          <w:tab w:leader="none" w:pos="4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corporate activity among the limited number of suppliers from whom we purchase certain raw materials on our cost of sales;</w:t>
      </w:r>
    </w:p>
    <w:p>
      <w:pPr>
        <w:spacing w:after="0" w:line="1" w:lineRule="exact"/>
        <w:rPr>
          <w:rFonts w:ascii="Times New Roman" w:cs="Times New Roman" w:eastAsia="Times New Roman" w:hAnsi="Times New Roman"/>
          <w:sz w:val="20"/>
          <w:szCs w:val="20"/>
          <w:color w:val="auto"/>
        </w:rPr>
      </w:pPr>
    </w:p>
    <w:p>
      <w:pPr>
        <w:ind w:left="460" w:right="20" w:hanging="452"/>
        <w:spacing w:after="0" w:line="239" w:lineRule="auto"/>
        <w:tabs>
          <w:tab w:leader="none" w:pos="4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pass on to our customers all or a portion of any increases in the costs of raw materials, ingredients, commodities and/or other cost inputs affecting our business;</w:t>
      </w:r>
    </w:p>
    <w:p>
      <w:pPr>
        <w:spacing w:after="0" w:line="1" w:lineRule="exact"/>
        <w:rPr>
          <w:rFonts w:ascii="Times New Roman" w:cs="Times New Roman" w:eastAsia="Times New Roman" w:hAnsi="Times New Roman"/>
          <w:sz w:val="20"/>
          <w:szCs w:val="20"/>
          <w:color w:val="auto"/>
        </w:rPr>
      </w:pPr>
    </w:p>
    <w:p>
      <w:pPr>
        <w:jc w:val="both"/>
        <w:ind w:left="460" w:hanging="452"/>
        <w:spacing w:after="0" w:line="239" w:lineRule="auto"/>
        <w:tabs>
          <w:tab w:leader="none" w:pos="4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achieve both internal domestic and international forecasts, which may be based on projected volumes and sales of many product types and/or new products, certain of which are more profitable than others; there can be no assurance that we will achieve projected levels of sales as well as forecasted product and/or geographic mixes;</w:t>
      </w:r>
    </w:p>
    <w:p>
      <w:pPr>
        <w:spacing w:after="0" w:line="1" w:lineRule="exact"/>
        <w:rPr>
          <w:rFonts w:ascii="Times New Roman" w:cs="Times New Roman" w:eastAsia="Times New Roman" w:hAnsi="Times New Roman"/>
          <w:sz w:val="20"/>
          <w:szCs w:val="20"/>
          <w:color w:val="auto"/>
        </w:rPr>
      </w:pPr>
    </w:p>
    <w:p>
      <w:pPr>
        <w:ind w:left="460" w:hanging="452"/>
        <w:spacing w:after="0" w:line="239" w:lineRule="auto"/>
        <w:tabs>
          <w:tab w:leader="none" w:pos="4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penetrate new domestic and/or international markets and/or gain approval or mitigate the delay in securing approval for the sale of our products in various countries;</w:t>
      </w:r>
    </w:p>
    <w:p>
      <w:pPr>
        <w:spacing w:after="0" w:line="1"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or political instability in one or more of our international markets;</w:t>
      </w:r>
    </w:p>
    <w:p>
      <w:pPr>
        <w:ind w:left="460" w:hanging="452"/>
        <w:spacing w:after="0" w:line="239" w:lineRule="auto"/>
        <w:tabs>
          <w:tab w:leader="none" w:pos="4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effectiveness of sales and/or marketing efforts by us and/or the distributors of our products, most of whom distribute products that may be regarded as competitive with our products;</w:t>
      </w:r>
    </w:p>
    <w:p>
      <w:pPr>
        <w:spacing w:after="0" w:line="1" w:lineRule="exact"/>
        <w:rPr>
          <w:rFonts w:ascii="Times New Roman" w:cs="Times New Roman" w:eastAsia="Times New Roman" w:hAnsi="Times New Roman"/>
          <w:sz w:val="20"/>
          <w:szCs w:val="20"/>
          <w:color w:val="auto"/>
        </w:rPr>
      </w:pPr>
    </w:p>
    <w:p>
      <w:pPr>
        <w:jc w:val="both"/>
        <w:ind w:left="460" w:hanging="452"/>
        <w:spacing w:after="0" w:line="239" w:lineRule="auto"/>
        <w:tabs>
          <w:tab w:leader="none" w:pos="4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Unilateral decisions by distributors, convenience chains, grocery chains, mass merchandisers, specialty chain stores, club stores and other customers to discontinue carrying all or any of our products that they are carrying at any time, restrict the range of our products they carry and/or devote less resources to the sale of our products;</w:t>
      </w:r>
    </w:p>
    <w:p>
      <w:pPr>
        <w:spacing w:after="0" w:line="1"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and/or effectiveness, now or in the future, of our advertising, marketing and promotional strategies;</w:t>
      </w:r>
    </w:p>
    <w:p>
      <w:pPr>
        <w:ind w:left="460" w:hanging="452"/>
        <w:spacing w:after="0"/>
        <w:tabs>
          <w:tab w:leader="none" w:pos="4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 of our sports marketing endeavors both domestically and internationally;</w:t>
      </w:r>
    </w:p>
    <w:p>
      <w:pPr>
        <w:ind w:left="460" w:hanging="452"/>
        <w:spacing w:after="0"/>
        <w:tabs>
          <w:tab w:leader="none" w:pos="4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Unforeseen economic and political changes;</w:t>
      </w:r>
    </w:p>
    <w:p>
      <w:pPr>
        <w:ind w:left="460" w:hanging="452"/>
        <w:spacing w:after="0"/>
        <w:tabs>
          <w:tab w:leader="none" w:pos="4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Possible recalls of our products and/or defective production;</w:t>
      </w:r>
    </w:p>
    <w:p>
      <w:pPr>
        <w:sectPr>
          <w:pgSz w:w="11900" w:h="16838" w:orient="portrait"/>
          <w:cols w:equalWidth="0" w:num="1">
            <w:col w:w="11420"/>
          </w:cols>
          <w:pgMar w:left="240" w:top="121" w:right="239" w:bottom="0" w:gutter="0" w:footer="0" w:header="0"/>
        </w:sectPr>
      </w:pPr>
    </w:p>
    <w:bookmarkStart w:id="41" w:name="page42"/>
    <w:bookmarkEnd w:id="41"/>
    <w:p>
      <w:pPr>
        <w:spacing w:after="0" w:line="12" w:lineRule="exact"/>
        <w:rPr>
          <w:sz w:val="20"/>
          <w:szCs w:val="20"/>
          <w:color w:val="auto"/>
        </w:rPr>
      </w:pPr>
    </w:p>
    <w:p>
      <w:pPr>
        <w:ind w:left="460" w:hanging="452"/>
        <w:spacing w:after="0" w:line="250" w:lineRule="auto"/>
        <w:tabs>
          <w:tab w:leader="none" w:pos="4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make suitable arrangements for the co-packing of any of our products both domestically and internationally, the timely replacement of discontinued co-packing arrangements and/or limitations on co-packing availability, including for retort production;</w:t>
      </w:r>
    </w:p>
    <w:p>
      <w:pPr>
        <w:spacing w:after="0" w:line="1"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make suitable arrangements for the timely procurement of non-defective raw materials;</w:t>
      </w:r>
    </w:p>
    <w:p>
      <w:pPr>
        <w:ind w:left="460" w:hanging="452"/>
        <w:spacing w:after="0" w:line="239" w:lineRule="auto"/>
        <w:tabs>
          <w:tab w:leader="none" w:pos="4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protect and/or the loss of our intellectual property rights and/or our inability to use our trademarks, trade names or designs and/or trade dress in certain countries;</w:t>
      </w:r>
    </w:p>
    <w:p>
      <w:pPr>
        <w:spacing w:after="0" w:line="1"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Volatility of stock prices which may restrict stock sales, stock purchases or other opportunities;</w:t>
      </w:r>
    </w:p>
    <w:p>
      <w:pPr>
        <w:ind w:left="460" w:right="20" w:hanging="452"/>
        <w:spacing w:after="0" w:line="239" w:lineRule="auto"/>
        <w:tabs>
          <w:tab w:leader="none" w:pos="4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Provisions in our organizational documents and/or control by insiders which may prevent changes in control even if such changes would be beneficial to other stockholders;</w:t>
      </w:r>
    </w:p>
    <w:p>
      <w:pPr>
        <w:spacing w:after="0" w:line="1"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our bottlers and/or contract packers to manufacture our products on a timely basis or at all;</w:t>
      </w:r>
    </w:p>
    <w:p>
      <w:pPr>
        <w:ind w:left="460" w:hanging="452"/>
        <w:spacing w:after="0"/>
        <w:tabs>
          <w:tab w:leader="none" w:pos="4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Exposure to significant liabilities due to litigation, legal or regulatory proceedings;</w:t>
      </w:r>
    </w:p>
    <w:p>
      <w:pPr>
        <w:ind w:left="460" w:hanging="452"/>
        <w:spacing w:after="0" w:line="239" w:lineRule="auto"/>
        <w:tabs>
          <w:tab w:leader="none" w:pos="4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disruption in and/or lack of effectiveness of our information technology systems, including a breach of cyber security, that disrupts our business or negatively impacts customer relationships; and</w:t>
      </w:r>
    </w:p>
    <w:p>
      <w:pPr>
        <w:spacing w:after="0" w:line="1"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Recruitment and retention of senior management, other key employees and our employee base in general.</w:t>
      </w:r>
    </w:p>
    <w:p>
      <w:pPr>
        <w:spacing w:after="0" w:line="20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foregoing list of important factors and other risks detailed from time to time in our reports filed with the Securities and Exchange Commission is not exhaustive. See “Part I, Item 1A – Risk Factors,”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19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ITEM 7A.</w:t>
      </w:r>
      <w:r>
        <w:rPr>
          <w:sz w:val="20"/>
          <w:szCs w:val="20"/>
          <w:color w:val="auto"/>
        </w:rPr>
        <w:tab/>
      </w:r>
      <w:r>
        <w:rPr>
          <w:rFonts w:ascii="Times New Roman" w:cs="Times New Roman" w:eastAsia="Times New Roman" w:hAnsi="Times New Roman"/>
          <w:sz w:val="19"/>
          <w:szCs w:val="19"/>
          <w:b w:val="1"/>
          <w:bCs w:val="1"/>
          <w:color w:val="auto"/>
        </w:rPr>
        <w:t>QUANTITATIVE AND QUALITATIVE DISCLOSURES ABOUT MARKET RISK</w:t>
      </w:r>
    </w:p>
    <w:p>
      <w:pPr>
        <w:spacing w:after="0" w:line="23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In the normal course of business our financial position is routinely subject to a variety of risks. The principal market risks (i.e., the risk of loss arising from adverse changes in market rates and prices) to which we are exposed are fluctuations in commodity and other input prices affecting the costs of our raw materials (including, but not limited to, increases in the costs of juice concentrates, increases in the price of aluminum for cans, as well as sugar and other sweeteners, glucose, sucrose, milk, cream and protein, all of which are used in some or many of our products), fluctuations in energy and fuel prices, and limited availability of certain raw materials. We generally do not use hedging agreements or alternative instruments to manage the risks associated with securing sufficient ingredients or raw materials. We are also subject to market risks with respect to the cost of commodities and other inputs because our ability to recover increased costs through higher pricing is limited by the competitive environment in which we operate.</w:t>
      </w:r>
    </w:p>
    <w:p>
      <w:pPr>
        <w:spacing w:after="0" w:line="20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do not use derivative financial instruments to protect ourselves from fluctuations in interest rates and do not hedge against fluctuations in commodity prices.</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Our gross sales to customers outside of the United States were approximately 25% and 23% of consolidated gross sales for the years ended December 31, 2016 and 2015, respectively. Our growth strategy includes expanding our international business. As a result, we are subject to risks from changes in foreign currency exchange rates. During the year ended December 31, 2016, we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entered into by us as of December 31, 2016 have terms of one month or less. We do not enter into forward currency exchange contracts for speculation or trading purposes.</w:t>
      </w:r>
    </w:p>
    <w:p>
      <w:pPr>
        <w:spacing w:after="0" w:line="20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have not designated our foreign currency exchange contracts as hedge transactions under FASB ASC 815. Therefore, gains and losses on our foreign currency exchange contracts are recognized in other expense, net, in the consolidated statements of income, and are largely offset by the changes in the fair value of the underlying economically hedged item. We do not consider the potential loss resulting from a hypothetical 10% adverse change in quoted foreign currency exchange rates as of December 31, 2016 to be significant.</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As of December 31, 2016, we had $377.6 million in cash and cash equivalents and $222.9 million in short-term and long-term investments including U.S. treasuries, certificates of deposit and municipal securities which may have an auction reset feature. Certain of these investments are subject to general credit, liquidity, market and interest rate risks.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FINANCIAL STATEMENTS AND SUPPLEMENTARY DATA</w:t>
      </w:r>
    </w:p>
    <w:p>
      <w:pPr>
        <w:spacing w:after="0" w:line="23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information required to be furnished in response to this ITEM 8 follows the signature page and Index to Exhibits hereto at pages 70 through 106.</w:t>
      </w:r>
    </w:p>
    <w:p>
      <w:pPr>
        <w:sectPr>
          <w:pgSz w:w="11900" w:h="16850" w:orient="portrait"/>
          <w:cols w:equalWidth="0" w:num="1">
            <w:col w:w="11420"/>
          </w:cols>
          <w:pgMar w:left="240" w:top="118" w:right="239" w:bottom="0" w:gutter="0" w:footer="0" w:header="0"/>
        </w:sectPr>
      </w:pPr>
    </w:p>
    <w:bookmarkStart w:id="42" w:name="page43"/>
    <w:bookmarkEnd w:id="42"/>
    <w:p>
      <w:pPr>
        <w:ind w:right="1040"/>
        <w:spacing w:after="0" w:line="273" w:lineRule="auto"/>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19"/>
          <w:szCs w:val="19"/>
          <w:b w:val="1"/>
          <w:bCs w:val="1"/>
          <w:color w:val="auto"/>
        </w:rPr>
        <w:t>CONTROLS AND PROCEDURES</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9"/>
          <w:szCs w:val="19"/>
          <w:i w:val="1"/>
          <w:iCs w:val="1"/>
          <w:color w:val="auto"/>
        </w:rPr>
        <w:t xml:space="preserve">Evaluation of Disclosure Controls and Procedures </w:t>
      </w:r>
      <w:r>
        <w:rPr>
          <w:rFonts w:ascii="Times New Roman" w:cs="Times New Roman" w:eastAsia="Times New Roman" w:hAnsi="Times New Roman"/>
          <w:sz w:val="19"/>
          <w:szCs w:val="19"/>
          <w:color w:val="auto"/>
        </w:rPr>
        <w:t>– Under the supervision and with the participation of the Company’s management,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effective to ensure that information we are required to disclose in reports that we file or submit under the Exchange Act is</w:t>
      </w:r>
    </w:p>
    <w:p>
      <w:pPr>
        <w:spacing w:after="0" w:line="4" w:lineRule="exact"/>
        <w:rPr>
          <w:sz w:val="20"/>
          <w:szCs w:val="20"/>
          <w:color w:val="auto"/>
        </w:rPr>
      </w:pPr>
    </w:p>
    <w:p>
      <w:pPr>
        <w:jc w:val="both"/>
        <w:ind w:right="20" w:firstLine="8"/>
        <w:spacing w:after="0" w:line="242" w:lineRule="auto"/>
        <w:tabs>
          <w:tab w:leader="none" w:pos="299"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recorded, processed, summarized and reported within the time periods specified in rules and forms of the SEC and (2) accumulated and communicated to our management, including our principal executive and principal financial officers as appropriate to allow timely decisions regarding required disclosures.</w:t>
      </w:r>
    </w:p>
    <w:p>
      <w:pPr>
        <w:spacing w:after="0" w:line="19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Management’s Report on Internal Control Over Financial Reporting </w:t>
      </w:r>
      <w:r>
        <w:rPr>
          <w:rFonts w:ascii="Times New Roman" w:cs="Times New Roman" w:eastAsia="Times New Roman" w:hAnsi="Times New Roman"/>
          <w:sz w:val="20"/>
          <w:szCs w:val="20"/>
          <w:color w:val="auto"/>
        </w:rPr>
        <w:t>– Our management is responsible for establishing and maintaining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adequate internal control over financial reporting, as defined in Exchange Act Rules 13a-15(f) and 15d-15(f). Under the supervision and with the participation of our management, including our Chief Executive Officer and Chief Financial Officer, our management conducted an evaluation of the effectiveness of our internal control over financial reporting as of December 31, 2016, based on the framework in </w:t>
      </w:r>
      <w:r>
        <w:rPr>
          <w:rFonts w:ascii="Times New Roman" w:cs="Times New Roman" w:eastAsia="Times New Roman" w:hAnsi="Times New Roman"/>
          <w:sz w:val="20"/>
          <w:szCs w:val="20"/>
          <w:i w:val="1"/>
          <w:iCs w:val="1"/>
          <w:color w:val="auto"/>
        </w:rPr>
        <w:t>Internal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Control – Integrated Framework (2013) </w:t>
      </w:r>
      <w:r>
        <w:rPr>
          <w:rFonts w:ascii="Times New Roman" w:cs="Times New Roman" w:eastAsia="Times New Roman" w:hAnsi="Times New Roman"/>
          <w:sz w:val="20"/>
          <w:szCs w:val="20"/>
          <w:color w:val="auto"/>
        </w:rPr>
        <w:t>issued by the Committee of Sponsoring Organizations of the Treadway Commission. Based on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management’s evaluation under the framework in </w:t>
      </w:r>
      <w:r>
        <w:rPr>
          <w:rFonts w:ascii="Times New Roman" w:cs="Times New Roman" w:eastAsia="Times New Roman" w:hAnsi="Times New Roman"/>
          <w:sz w:val="20"/>
          <w:szCs w:val="20"/>
          <w:i w:val="1"/>
          <w:iCs w:val="1"/>
          <w:color w:val="auto"/>
        </w:rPr>
        <w:t>Internal Control - Integrated Framework (2013)</w:t>
      </w:r>
      <w:r>
        <w:rPr>
          <w:rFonts w:ascii="Times New Roman" w:cs="Times New Roman" w:eastAsia="Times New Roman" w:hAnsi="Times New Roman"/>
          <w:sz w:val="20"/>
          <w:szCs w:val="20"/>
          <w:color w:val="auto"/>
        </w:rPr>
        <w:t>, our management concluded that our internal control over financial reporting was effective as of December 31, 2016.</w:t>
      </w:r>
    </w:p>
    <w:p>
      <w:pPr>
        <w:spacing w:after="0" w:line="19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Our internal control over financial reporting as of December 31, 2016, has been audited by Deloitte &amp; Touche LLP, an independent registered public accounting firm, as stated in their attestation report, which is included herein.</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Changes in Internal Control Over Financial Reporting </w:t>
      </w:r>
      <w:r>
        <w:rPr>
          <w:rFonts w:ascii="Times New Roman" w:cs="Times New Roman" w:eastAsia="Times New Roman" w:hAnsi="Times New Roman"/>
          <w:sz w:val="20"/>
          <w:szCs w:val="20"/>
          <w:color w:val="auto"/>
        </w:rPr>
        <w:t>– There were no changes in the Company’s internal controls over financial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reporting during the quarter ended December 31, 2016, that have materially affected, or are reasonably likely to materially affect, our internal control over financial reporting.</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REPORT OF INDEPENDENT REGISTERED PUBLIC ACCOUNTING FIRM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Monster Beverage Corporation</w:t>
      </w:r>
    </w:p>
    <w:p>
      <w:pPr>
        <w:spacing w:after="0"/>
        <w:rPr>
          <w:sz w:val="20"/>
          <w:szCs w:val="20"/>
          <w:color w:val="auto"/>
        </w:rPr>
      </w:pPr>
      <w:r>
        <w:rPr>
          <w:rFonts w:ascii="Times New Roman" w:cs="Times New Roman" w:eastAsia="Times New Roman" w:hAnsi="Times New Roman"/>
          <w:sz w:val="19"/>
          <w:szCs w:val="19"/>
          <w:color w:val="auto"/>
        </w:rPr>
        <w:t>Corona, California</w:t>
      </w:r>
    </w:p>
    <w:p>
      <w:pPr>
        <w:spacing w:after="0" w:line="19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 xml:space="preserve">We have audited the internal control over financial reporting of Monster Beverage Corporation and subsidiaries (the “Company”) as of December 31, 2016, based on criteria established in </w:t>
      </w:r>
      <w:r>
        <w:rPr>
          <w:rFonts w:ascii="Times New Roman" w:cs="Times New Roman" w:eastAsia="Times New Roman" w:hAnsi="Times New Roman"/>
          <w:sz w:val="19"/>
          <w:szCs w:val="19"/>
          <w:i w:val="1"/>
          <w:iCs w:val="1"/>
          <w:color w:val="auto"/>
        </w:rPr>
        <w:t>Internal Control — Integrated Framework (2013)</w:t>
      </w:r>
      <w:r>
        <w:rPr>
          <w:rFonts w:ascii="Times New Roman" w:cs="Times New Roman" w:eastAsia="Times New Roman" w:hAnsi="Times New Roman"/>
          <w:sz w:val="19"/>
          <w:szCs w:val="19"/>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8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85"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9"/>
          <w:szCs w:val="19"/>
          <w:color w:val="auto"/>
        </w:rPr>
        <w:t xml:space="preserve">In our opinion, the Company maintained, in all material respects, effective internal control over financial reporting as of December 31, 2016, based on the criteria established in </w:t>
      </w:r>
      <w:r>
        <w:rPr>
          <w:rFonts w:ascii="Times New Roman" w:cs="Times New Roman" w:eastAsia="Times New Roman" w:hAnsi="Times New Roman"/>
          <w:sz w:val="19"/>
          <w:szCs w:val="19"/>
          <w:i w:val="1"/>
          <w:iCs w:val="1"/>
          <w:color w:val="auto"/>
        </w:rPr>
        <w:t>Internal Control — Integrated Framework (2013)</w:t>
      </w:r>
      <w:r>
        <w:rPr>
          <w:rFonts w:ascii="Times New Roman" w:cs="Times New Roman" w:eastAsia="Times New Roman" w:hAnsi="Times New Roman"/>
          <w:sz w:val="19"/>
          <w:szCs w:val="19"/>
          <w:color w:val="auto"/>
        </w:rPr>
        <w:t xml:space="preserve"> issued by the Committee of Sponsoring Organizations of the Treadway Commission.</w:t>
      </w:r>
    </w:p>
    <w:p>
      <w:pPr>
        <w:sectPr>
          <w:pgSz w:w="11900" w:h="16838" w:orient="portrait"/>
          <w:cols w:equalWidth="0" w:num="1">
            <w:col w:w="11420"/>
          </w:cols>
          <w:pgMar w:left="240" w:top="342" w:right="239" w:bottom="0" w:gutter="0" w:footer="0" w:header="0"/>
        </w:sectPr>
      </w:pPr>
    </w:p>
    <w:bookmarkStart w:id="43" w:name="page44"/>
    <w:bookmarkEnd w:id="43"/>
    <w:p>
      <w:pPr>
        <w:jc w:val="both"/>
        <w:ind w:right="20"/>
        <w:spacing w:after="0" w:line="252" w:lineRule="auto"/>
        <w:rPr>
          <w:sz w:val="20"/>
          <w:szCs w:val="20"/>
          <w:color w:val="auto"/>
        </w:rPr>
      </w:pPr>
      <w:r>
        <w:rPr>
          <w:rFonts w:ascii="Times New Roman" w:cs="Times New Roman" w:eastAsia="Times New Roman" w:hAnsi="Times New Roman"/>
          <w:sz w:val="19"/>
          <w:szCs w:val="19"/>
          <w:color w:val="auto"/>
        </w:rPr>
        <w:t>We have also audited, in accordance with the standards of the Public Company Accounting Oversight Board (United States), the consolidated financial statements and financial statement schedule as of and for the year ended December 31, 2016 of the Company and our report dated March 1, 2017 expressed an unqualified opinion on those financial statements and financial statement schedule.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DELOITTE &amp; TOUCHE LLP</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Costa Mesa, California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March 1, 2017</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2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DIRECTORS, EXECUTIVE OFFICERS AND CORPORATE GOVERNANCE</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by this item regarding our directors is included under the caption “Proposal One – Election of Directors” in our Proxy Statement for our 2017 Annual Meeting of Stockholders to be filed with the SEC within 120 days after the end of the fiscal year ended December 31, 2016 (the “2017 Proxy Statement”) and is incorporated herein by reference.</w:t>
      </w:r>
    </w:p>
    <w:p>
      <w:pPr>
        <w:spacing w:after="0" w:line="188"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Information concerning compliance with Section 16(a) of the Exchange Act is included under the caption “Section 16(a) Beneficial Ownership Reporting Compliance” in our 2017 Proxy Statement and is incorporated herein by reference.</w:t>
      </w:r>
    </w:p>
    <w:p>
      <w:pPr>
        <w:spacing w:after="0" w:line="173"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19"/>
          <w:szCs w:val="19"/>
          <w:color w:val="auto"/>
        </w:rPr>
        <w:t>Information concerning the Audit Committee and the Audit Committee Financial expert is reported under the caption “Audit Committee; Report of the Audit Committee; Duties and Responsibilities” in our 2017 Proxy Statement and is incorporated herein by reference.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Code of Business Conduct and Ethics</w:t>
      </w:r>
    </w:p>
    <w:p>
      <w:pPr>
        <w:spacing w:after="0" w:line="23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We have adopted a Code of Business Conduct and Ethics that applies to all our directors, officers (including our principal executive officer, principal financial officer, principal accounting officer and controllers) and employees and is available at </w:t>
      </w:r>
      <w:r>
        <w:rPr>
          <w:rFonts w:ascii="Times New Roman" w:cs="Times New Roman" w:eastAsia="Times New Roman" w:hAnsi="Times New Roman"/>
          <w:sz w:val="20"/>
          <w:szCs w:val="20"/>
          <w:u w:val="single" w:color="auto"/>
          <w:color w:val="0000FF"/>
        </w:rPr>
        <w:t>http://investors.monsterbevcorp.com/governance.cfm</w:t>
      </w:r>
      <w:r>
        <w:rPr>
          <w:rFonts w:ascii="Times New Roman" w:cs="Times New Roman" w:eastAsia="Times New Roman" w:hAnsi="Times New Roman"/>
          <w:sz w:val="20"/>
          <w:szCs w:val="20"/>
          <w:color w:val="000000"/>
        </w:rPr>
        <w:t>. The Code of Business Conduct and Ethics and any amendment thereto, as well as any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waivers that are required to be disclosed by the rules of the SEC or NASDAQ, may be obtained at no cost to you by writing or telephoning us at the following address or telephone number: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Monster Beverage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 Monster Way</w:t>
      </w:r>
    </w:p>
    <w:p>
      <w:pPr>
        <w:jc w:val="center"/>
        <w:spacing w:after="0"/>
        <w:rPr>
          <w:sz w:val="20"/>
          <w:szCs w:val="20"/>
          <w:color w:val="auto"/>
        </w:rPr>
      </w:pPr>
      <w:r>
        <w:rPr>
          <w:rFonts w:ascii="Times New Roman" w:cs="Times New Roman" w:eastAsia="Times New Roman" w:hAnsi="Times New Roman"/>
          <w:sz w:val="20"/>
          <w:szCs w:val="20"/>
          <w:color w:val="auto"/>
        </w:rPr>
        <w:t>Corona, CA 92879</w:t>
      </w:r>
    </w:p>
    <w:p>
      <w:pPr>
        <w:ind w:left="5580" w:hanging="484"/>
        <w:spacing w:after="0"/>
        <w:tabs>
          <w:tab w:leader="none" w:pos="55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739-6200</w:t>
      </w:r>
    </w:p>
    <w:p>
      <w:pPr>
        <w:ind w:left="5580" w:hanging="484"/>
        <w:spacing w:after="0"/>
        <w:tabs>
          <w:tab w:leader="none" w:pos="55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426-7367</w:t>
      </w:r>
    </w:p>
    <w:p>
      <w:pPr>
        <w:spacing w:after="0" w:line="203"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19"/>
          <w:szCs w:val="19"/>
          <w:b w:val="1"/>
          <w:bCs w:val="1"/>
          <w:color w:val="auto"/>
        </w:rPr>
        <w:t>EXECUTIVE COMPENSATION</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Information concerning the compensation of our directors and executive officers and Compensation Committee Interlocks and Insider Participation is reported under the captions “Compensation Discussion and Analysis,” and “Compensation Committee,” respectively, in our 2017 Proxy Statement and is incorporated herein by reference.</w:t>
      </w:r>
    </w:p>
    <w:p>
      <w:pPr>
        <w:spacing w:after="0" w:line="18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7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disclosure set forth in Item 5, “Market for the Registrant’s Common Equity, Related Stockholder Matters and Issuer Repurchases of Equity Securities”, of this report is incorporated herein.</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Information concerning the beneficial ownership of the Company’s Common Stock of (a) those persons known to the Company to be the beneficial owners of more than 5% of the Company’s common stock; (b) each of the Company’s directors and nominees for director; and</w:t>
      </w:r>
    </w:p>
    <w:p>
      <w:pPr>
        <w:ind w:firstLine="8"/>
        <w:spacing w:after="0" w:line="271" w:lineRule="auto"/>
        <w:tabs>
          <w:tab w:leader="none" w:pos="275"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Company’s executive officers and all of the Company’s current directors and executive officers as a group is reported under the caption “Principal Stockholders and Security Ownership of Management” in our 2017 Proxy Statement and is incorporated herein by reference.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19"/>
          <w:szCs w:val="19"/>
          <w:b w:val="1"/>
          <w:bCs w:val="1"/>
          <w:color w:val="auto"/>
        </w:rPr>
        <w:t>CERTAIN RELATIONSHIPS AND RELATED TRANSACTIONS AND DIRECTOR INDEPENDENCE</w:t>
      </w:r>
    </w:p>
    <w:p>
      <w:pPr>
        <w:spacing w:after="0" w:line="233"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Information concerning certain relationships and related transactions is reported under the caption “Certain Relationships and Related Transactions and Director Independence” in our 2017 Proxy Statement and is incorporated herein by reference.</w:t>
      </w:r>
    </w:p>
    <w:p>
      <w:pPr>
        <w:sectPr>
          <w:pgSz w:w="11900" w:h="16838" w:orient="portrait"/>
          <w:cols w:equalWidth="0" w:num="1">
            <w:col w:w="11420"/>
          </w:cols>
          <w:pgMar w:left="240" w:top="112" w:right="239" w:bottom="0" w:gutter="0" w:footer="0" w:header="0"/>
        </w:sectPr>
      </w:pPr>
    </w:p>
    <w:bookmarkStart w:id="44" w:name="page45"/>
    <w:bookmarkEnd w:id="44"/>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19"/>
          <w:szCs w:val="19"/>
          <w:b w:val="1"/>
          <w:bCs w:val="1"/>
          <w:color w:val="auto"/>
        </w:rPr>
        <w:t>PRINCIPAL ACCOUNTING FEES AND SERVICES</w:t>
      </w:r>
    </w:p>
    <w:p>
      <w:pPr>
        <w:spacing w:after="0" w:line="233"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Information concerning our accountant fees and our Audit Committee’s pre-approval of audit and permissible non-audit services of independent auditors is reported under the captions “Principal Accounting Firm Fees” and “Pre-Approval of Audit and Non-Audit Services,” respectively, in our 2017 Proxy Statement and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2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ITEM 15.</w:t>
      </w:r>
      <w:r>
        <w:rPr>
          <w:sz w:val="20"/>
          <w:szCs w:val="20"/>
          <w:color w:val="auto"/>
        </w:rPr>
        <w:tab/>
      </w:r>
      <w:r>
        <w:rPr>
          <w:rFonts w:ascii="Times New Roman" w:cs="Times New Roman" w:eastAsia="Times New Roman" w:hAnsi="Times New Roman"/>
          <w:sz w:val="19"/>
          <w:szCs w:val="19"/>
          <w:b w:val="1"/>
          <w:bCs w:val="1"/>
          <w:color w:val="auto"/>
        </w:rPr>
        <w:t>EXHIBITS AND FINANCIAL STATEMENT SCHEDULES</w:t>
      </w:r>
    </w:p>
    <w:p>
      <w:pPr>
        <w:spacing w:after="0" w:line="220" w:lineRule="exact"/>
        <w:rPr>
          <w:sz w:val="20"/>
          <w:szCs w:val="20"/>
          <w:color w:val="auto"/>
        </w:rPr>
      </w:pPr>
    </w:p>
    <w:tbl>
      <w:tblPr>
        <w:tblLayout w:type="fixed"/>
        <w:tblInd w:w="180" w:type="dxa"/>
        <w:tblCellMar>
          <w:top w:w="0" w:type="dxa"/>
          <w:left w:w="0" w:type="dxa"/>
          <w:bottom w:w="0" w:type="dxa"/>
          <w:right w:w="0" w:type="dxa"/>
        </w:tblCellMar>
      </w:tblPr>
      <w:tr>
        <w:trPr>
          <w:trHeight w:val="25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(a)</w:t>
            </w:r>
          </w:p>
        </w:tc>
        <w:tc>
          <w:tcPr>
            <w:tcW w:w="7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following documents are filed as a part of this Form 10-K:</w:t>
            </w:r>
          </w:p>
        </w:tc>
        <w:tc>
          <w:tcPr>
            <w:tcW w:w="2840" w:type="dxa"/>
            <w:vAlign w:val="bottom"/>
          </w:tcPr>
          <w:p>
            <w:pPr>
              <w:spacing w:after="0"/>
              <w:rPr>
                <w:sz w:val="22"/>
                <w:szCs w:val="22"/>
                <w:color w:val="auto"/>
              </w:rPr>
            </w:pPr>
          </w:p>
        </w:tc>
      </w:tr>
      <w:tr>
        <w:trPr>
          <w:trHeight w:val="413"/>
        </w:trPr>
        <w:tc>
          <w:tcPr>
            <w:tcW w:w="760" w:type="dxa"/>
            <w:vAlign w:val="bottom"/>
          </w:tcPr>
          <w:p>
            <w:pPr>
              <w:spacing w:after="0"/>
              <w:rPr>
                <w:sz w:val="24"/>
                <w:szCs w:val="24"/>
                <w:color w:val="auto"/>
              </w:rPr>
            </w:pPr>
          </w:p>
        </w:tc>
        <w:tc>
          <w:tcPr>
            <w:tcW w:w="4640" w:type="dxa"/>
            <w:vAlign w:val="bottom"/>
            <w:tcBorders>
              <w:bottom w:val="single" w:sz="8" w:color="0000EE"/>
            </w:tcBorders>
          </w:tcPr>
          <w:p>
            <w:pPr>
              <w:spacing w:after="0"/>
              <w:rPr>
                <w:rFonts w:ascii="Times New Roman" w:cs="Times New Roman" w:eastAsia="Times New Roman" w:hAnsi="Times New Roman"/>
                <w:sz w:val="20"/>
                <w:szCs w:val="20"/>
                <w:color w:val="0000EE"/>
                <w:w w:val="98"/>
              </w:rPr>
            </w:pPr>
            <w:hyperlink w:anchor="page47">
              <w:r>
                <w:rPr>
                  <w:rFonts w:ascii="Times New Roman" w:cs="Times New Roman" w:eastAsia="Times New Roman" w:hAnsi="Times New Roman"/>
                  <w:sz w:val="20"/>
                  <w:szCs w:val="20"/>
                  <w:color w:val="0000EE"/>
                  <w:w w:val="98"/>
                </w:rPr>
                <w:t>Report of Independent Registered Public Accounting Firm</w:t>
              </w:r>
            </w:hyperlink>
          </w:p>
        </w:tc>
        <w:tc>
          <w:tcPr>
            <w:tcW w:w="3000" w:type="dxa"/>
            <w:vAlign w:val="bottom"/>
          </w:tcPr>
          <w:p>
            <w:pPr>
              <w:spacing w:after="0"/>
              <w:rPr>
                <w:sz w:val="24"/>
                <w:szCs w:val="24"/>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479"/>
        </w:trPr>
        <w:tc>
          <w:tcPr>
            <w:tcW w:w="760" w:type="dxa"/>
            <w:vAlign w:val="bottom"/>
          </w:tcPr>
          <w:p>
            <w:pPr>
              <w:spacing w:after="0"/>
              <w:rPr>
                <w:sz w:val="24"/>
                <w:szCs w:val="24"/>
                <w:color w:val="auto"/>
              </w:rPr>
            </w:pPr>
          </w:p>
        </w:tc>
        <w:tc>
          <w:tcPr>
            <w:tcW w:w="7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Financial Statements:</w:t>
            </w:r>
          </w:p>
        </w:tc>
        <w:tc>
          <w:tcPr>
            <w:tcW w:w="284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94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5120" w:type="dxa"/>
            <w:vAlign w:val="bottom"/>
            <w:tcBorders>
              <w:bottom w:val="single" w:sz="8" w:color="0000EE"/>
            </w:tcBorders>
            <w:gridSpan w:val="2"/>
          </w:tcPr>
          <w:p>
            <w:pPr>
              <w:spacing w:after="0" w:line="190" w:lineRule="exact"/>
              <w:rPr>
                <w:rFonts w:ascii="Times New Roman" w:cs="Times New Roman" w:eastAsia="Times New Roman" w:hAnsi="Times New Roman"/>
                <w:sz w:val="20"/>
                <w:szCs w:val="20"/>
                <w:color w:val="0000EE"/>
                <w:w w:val="98"/>
              </w:rPr>
            </w:pPr>
            <w:hyperlink w:anchor="page48">
              <w:r>
                <w:rPr>
                  <w:rFonts w:ascii="Times New Roman" w:cs="Times New Roman" w:eastAsia="Times New Roman" w:hAnsi="Times New Roman"/>
                  <w:sz w:val="20"/>
                  <w:szCs w:val="20"/>
                  <w:color w:val="0000EE"/>
                  <w:w w:val="98"/>
                </w:rPr>
                <w:t>Consolidated Balance Sheets as of December 31, 2016 and 2015</w:t>
              </w:r>
            </w:hyperlink>
          </w:p>
        </w:tc>
        <w:tc>
          <w:tcPr>
            <w:tcW w:w="4080" w:type="dxa"/>
            <w:vAlign w:val="bottom"/>
            <w:gridSpan w:val="5"/>
          </w:tcPr>
          <w:p>
            <w:pPr>
              <w:spacing w:after="0"/>
              <w:rPr>
                <w:sz w:val="16"/>
                <w:szCs w:val="16"/>
                <w:color w:val="auto"/>
              </w:rPr>
            </w:pPr>
          </w:p>
        </w:tc>
        <w:tc>
          <w:tcPr>
            <w:tcW w:w="920" w:type="dxa"/>
            <w:vAlign w:val="bottom"/>
          </w:tcPr>
          <w:p>
            <w:pPr>
              <w:jc w:val="right"/>
              <w:spacing w:after="0" w:line="190" w:lineRule="exact"/>
              <w:rPr>
                <w:sz w:val="20"/>
                <w:szCs w:val="20"/>
                <w:color w:val="auto"/>
              </w:rPr>
            </w:pPr>
            <w:r>
              <w:rPr>
                <w:rFonts w:ascii="Times New Roman" w:cs="Times New Roman" w:eastAsia="Times New Roman" w:hAnsi="Times New Roman"/>
                <w:sz w:val="20"/>
                <w:szCs w:val="20"/>
                <w:color w:val="auto"/>
              </w:rPr>
              <w:t>74</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9200" w:type="dxa"/>
            <w:vAlign w:val="bottom"/>
            <w:gridSpan w:val="7"/>
          </w:tcPr>
          <w:p>
            <w:pPr>
              <w:spacing w:after="0" w:line="209" w:lineRule="exact"/>
              <w:rPr>
                <w:rFonts w:ascii="Times New Roman" w:cs="Times New Roman" w:eastAsia="Times New Roman" w:hAnsi="Times New Roman"/>
                <w:sz w:val="20"/>
                <w:szCs w:val="20"/>
                <w:color w:val="0000EE"/>
              </w:rPr>
            </w:pPr>
            <w:hyperlink w:anchor="page49">
              <w:r>
                <w:rPr>
                  <w:rFonts w:ascii="Times New Roman" w:cs="Times New Roman" w:eastAsia="Times New Roman" w:hAnsi="Times New Roman"/>
                  <w:sz w:val="20"/>
                  <w:szCs w:val="20"/>
                  <w:color w:val="0000EE"/>
                </w:rPr>
                <w:t>Consolidated Statements of Income for the years ended December 31, 2016, 2015 and 2014</w:t>
              </w:r>
            </w:hyperlink>
          </w:p>
        </w:tc>
        <w:tc>
          <w:tcPr>
            <w:tcW w:w="9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75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37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8560" w:type="dxa"/>
            <w:vAlign w:val="bottom"/>
            <w:tcBorders>
              <w:bottom w:val="single" w:sz="8" w:color="0000EE"/>
            </w:tcBorders>
            <w:gridSpan w:val="6"/>
          </w:tcPr>
          <w:p>
            <w:pPr>
              <w:spacing w:after="0" w:line="209" w:lineRule="exact"/>
              <w:rPr>
                <w:rFonts w:ascii="Times New Roman" w:cs="Times New Roman" w:eastAsia="Times New Roman" w:hAnsi="Times New Roman"/>
                <w:sz w:val="20"/>
                <w:szCs w:val="20"/>
                <w:color w:val="0000EE"/>
                <w:w w:val="98"/>
              </w:rPr>
            </w:pPr>
            <w:hyperlink w:anchor="page49">
              <w:r>
                <w:rPr>
                  <w:rFonts w:ascii="Times New Roman" w:cs="Times New Roman" w:eastAsia="Times New Roman" w:hAnsi="Times New Roman"/>
                  <w:sz w:val="20"/>
                  <w:szCs w:val="20"/>
                  <w:color w:val="0000EE"/>
                  <w:w w:val="98"/>
                </w:rPr>
                <w:t>Consolidated Statements of Comprehensive Income for the years ended December 31, 2016, 2015 and 2014</w:t>
              </w:r>
            </w:hyperlink>
          </w:p>
        </w:tc>
        <w:tc>
          <w:tcPr>
            <w:tcW w:w="6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9200" w:type="dxa"/>
            <w:vAlign w:val="bottom"/>
            <w:gridSpan w:val="7"/>
          </w:tcPr>
          <w:p>
            <w:pPr>
              <w:spacing w:after="0" w:line="209" w:lineRule="exact"/>
              <w:rPr>
                <w:rFonts w:ascii="Times New Roman" w:cs="Times New Roman" w:eastAsia="Times New Roman" w:hAnsi="Times New Roman"/>
                <w:sz w:val="20"/>
                <w:szCs w:val="20"/>
                <w:color w:val="0000EE"/>
              </w:rPr>
            </w:pPr>
            <w:hyperlink w:anchor="page50">
              <w:r>
                <w:rPr>
                  <w:rFonts w:ascii="Times New Roman" w:cs="Times New Roman" w:eastAsia="Times New Roman" w:hAnsi="Times New Roman"/>
                  <w:sz w:val="20"/>
                  <w:szCs w:val="20"/>
                  <w:color w:val="0000EE"/>
                </w:rPr>
                <w:t>Consolidated Statements of Stockholders’ Equity for the years ended December 31, 2016, 2015 and 2014</w:t>
              </w:r>
            </w:hyperlink>
          </w:p>
        </w:tc>
        <w:tc>
          <w:tcPr>
            <w:tcW w:w="9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77</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7600" w:type="dxa"/>
            <w:vAlign w:val="bottom"/>
            <w:tcBorders>
              <w:top w:val="single" w:sz="8" w:color="0000EE"/>
              <w:bottom w:val="single" w:sz="8" w:color="0000EE"/>
            </w:tcBorders>
            <w:gridSpan w:val="4"/>
          </w:tcPr>
          <w:p>
            <w:pPr>
              <w:spacing w:after="0" w:line="209" w:lineRule="exact"/>
              <w:rPr>
                <w:rFonts w:ascii="Times New Roman" w:cs="Times New Roman" w:eastAsia="Times New Roman" w:hAnsi="Times New Roman"/>
                <w:sz w:val="20"/>
                <w:szCs w:val="20"/>
                <w:color w:val="0000EE"/>
                <w:w w:val="98"/>
              </w:rPr>
            </w:pPr>
            <w:hyperlink w:anchor="page50">
              <w:r>
                <w:rPr>
                  <w:rFonts w:ascii="Times New Roman" w:cs="Times New Roman" w:eastAsia="Times New Roman" w:hAnsi="Times New Roman"/>
                  <w:sz w:val="20"/>
                  <w:szCs w:val="20"/>
                  <w:color w:val="0000EE"/>
                  <w:w w:val="98"/>
                </w:rPr>
                <w:t>Consolidated Statements of Cash Flows for the years ended December 31, 2016, 2015 and 2014</w:t>
              </w:r>
            </w:hyperlink>
          </w:p>
        </w:tc>
        <w:tc>
          <w:tcPr>
            <w:tcW w:w="740" w:type="dxa"/>
            <w:vAlign w:val="bottom"/>
            <w:tcBorders>
              <w:top w:val="single" w:sz="8" w:color="0000EE"/>
            </w:tcBorders>
          </w:tcPr>
          <w:p>
            <w:pPr>
              <w:spacing w:after="0"/>
              <w:rPr>
                <w:sz w:val="18"/>
                <w:szCs w:val="18"/>
                <w:color w:val="auto"/>
              </w:rPr>
            </w:pPr>
          </w:p>
        </w:tc>
        <w:tc>
          <w:tcPr>
            <w:tcW w:w="860" w:type="dxa"/>
            <w:vAlign w:val="bottom"/>
            <w:gridSpan w:val="2"/>
          </w:tcPr>
          <w:p>
            <w:pPr>
              <w:spacing w:after="0"/>
              <w:rPr>
                <w:sz w:val="18"/>
                <w:szCs w:val="18"/>
                <w:color w:val="auto"/>
              </w:rPr>
            </w:pPr>
          </w:p>
        </w:tc>
        <w:tc>
          <w:tcPr>
            <w:tcW w:w="9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78</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9200" w:type="dxa"/>
            <w:vAlign w:val="bottom"/>
            <w:gridSpan w:val="7"/>
          </w:tcPr>
          <w:p>
            <w:pPr>
              <w:spacing w:after="0" w:line="209" w:lineRule="exact"/>
              <w:rPr>
                <w:rFonts w:ascii="Times New Roman" w:cs="Times New Roman" w:eastAsia="Times New Roman" w:hAnsi="Times New Roman"/>
                <w:sz w:val="20"/>
                <w:szCs w:val="20"/>
                <w:color w:val="0000EE"/>
              </w:rPr>
            </w:pPr>
            <w:hyperlink w:anchor="page52">
              <w:r>
                <w:rPr>
                  <w:rFonts w:ascii="Times New Roman" w:cs="Times New Roman" w:eastAsia="Times New Roman" w:hAnsi="Times New Roman"/>
                  <w:sz w:val="20"/>
                  <w:szCs w:val="20"/>
                  <w:color w:val="0000EE"/>
                </w:rPr>
                <w:t>Notes to Consolidated Financial Statements</w:t>
              </w:r>
            </w:hyperlink>
          </w:p>
        </w:tc>
        <w:tc>
          <w:tcPr>
            <w:tcW w:w="9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956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Financial Statement Schedule: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9200" w:type="dxa"/>
            <w:vAlign w:val="bottom"/>
            <w:gridSpan w:val="7"/>
          </w:tcPr>
          <w:p>
            <w:pPr>
              <w:spacing w:after="0" w:line="212" w:lineRule="exact"/>
              <w:rPr>
                <w:rFonts w:ascii="Times New Roman" w:cs="Times New Roman" w:eastAsia="Times New Roman" w:hAnsi="Times New Roman"/>
                <w:sz w:val="20"/>
                <w:szCs w:val="20"/>
                <w:color w:val="0000EE"/>
              </w:rPr>
            </w:pPr>
            <w:hyperlink w:anchor="page77">
              <w:r>
                <w:rPr>
                  <w:rFonts w:ascii="Times New Roman" w:cs="Times New Roman" w:eastAsia="Times New Roman" w:hAnsi="Times New Roman"/>
                  <w:sz w:val="20"/>
                  <w:szCs w:val="20"/>
                  <w:color w:val="0000EE"/>
                </w:rPr>
                <w:t>Valuation and Qualifying Accounts for the years ended December 31, 2016, 2015 and 2014</w:t>
              </w:r>
            </w:hyperlink>
          </w:p>
        </w:tc>
        <w:tc>
          <w:tcPr>
            <w:tcW w:w="92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116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Exhibits:</w:t>
      </w:r>
    </w:p>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The Exhibits listed in the Index of Exhibits, which appears immediately following the signature page and is</w:t>
      </w:r>
    </w:p>
    <w:p>
      <w:pPr>
        <w:ind w:left="1300"/>
        <w:spacing w:after="0"/>
        <w:rPr>
          <w:sz w:val="20"/>
          <w:szCs w:val="20"/>
          <w:color w:val="auto"/>
        </w:rPr>
      </w:pPr>
      <w:r>
        <w:rPr>
          <w:rFonts w:ascii="Times New Roman" w:cs="Times New Roman" w:eastAsia="Times New Roman" w:hAnsi="Times New Roman"/>
          <w:sz w:val="20"/>
          <w:szCs w:val="20"/>
          <w:color w:val="auto"/>
        </w:rPr>
        <w:t>incorporated herein by reference, as filed</w:t>
      </w:r>
    </w:p>
    <w:p>
      <w:pPr>
        <w:ind w:left="1300"/>
        <w:spacing w:after="0"/>
        <w:rPr>
          <w:sz w:val="20"/>
          <w:szCs w:val="20"/>
          <w:color w:val="auto"/>
        </w:rPr>
      </w:pPr>
      <w:r>
        <w:rPr>
          <w:rFonts w:ascii="Times New Roman" w:cs="Times New Roman" w:eastAsia="Times New Roman" w:hAnsi="Times New Roman"/>
          <w:sz w:val="20"/>
          <w:szCs w:val="20"/>
          <w:color w:val="auto"/>
        </w:rPr>
        <w:t>as part of this Form 10-K.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Sections 13 or 15(d) of the Securities Exchange Act of 1934, as amended, the registrant has duly caused this report to be signed on its behalf by the undersigned, thereunto duly authorized.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RODNEY C. SACKS</w:t>
            </w:r>
          </w:p>
        </w:tc>
        <w:tc>
          <w:tcPr>
            <w:tcW w:w="374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Rodney C. Sacks</w:t>
            </w:r>
          </w:p>
        </w:tc>
        <w:tc>
          <w:tcPr>
            <w:tcW w:w="2620" w:type="dxa"/>
            <w:vAlign w:val="bottom"/>
          </w:tcPr>
          <w:p>
            <w:pPr>
              <w:ind w:left="980"/>
              <w:spacing w:after="0"/>
              <w:rPr>
                <w:sz w:val="20"/>
                <w:szCs w:val="20"/>
                <w:color w:val="auto"/>
              </w:rPr>
            </w:pPr>
            <w:r>
              <w:rPr>
                <w:rFonts w:ascii="Times New Roman" w:cs="Times New Roman" w:eastAsia="Times New Roman" w:hAnsi="Times New Roman"/>
                <w:sz w:val="20"/>
                <w:szCs w:val="20"/>
                <w:color w:val="auto"/>
                <w:w w:val="97"/>
              </w:rPr>
              <w:t>Date: March 1, 2017</w:t>
            </w:r>
          </w:p>
        </w:tc>
      </w:tr>
      <w:tr>
        <w:trPr>
          <w:trHeight w:val="256"/>
        </w:trPr>
        <w:tc>
          <w:tcPr>
            <w:tcW w:w="1980" w:type="dxa"/>
            <w:vAlign w:val="bottom"/>
            <w:tcBorders>
              <w:top w:val="single" w:sz="8" w:color="auto"/>
            </w:tcBorders>
          </w:tcPr>
          <w:p>
            <w:pPr>
              <w:spacing w:after="0"/>
              <w:rPr>
                <w:sz w:val="22"/>
                <w:szCs w:val="22"/>
                <w:color w:val="auto"/>
              </w:rPr>
            </w:pPr>
          </w:p>
        </w:tc>
        <w:tc>
          <w:tcPr>
            <w:tcW w:w="920" w:type="dxa"/>
            <w:vAlign w:val="bottom"/>
          </w:tcPr>
          <w:p>
            <w:pPr>
              <w:spacing w:after="0"/>
              <w:rPr>
                <w:sz w:val="22"/>
                <w:szCs w:val="22"/>
                <w:color w:val="auto"/>
              </w:rPr>
            </w:pPr>
          </w:p>
        </w:tc>
        <w:tc>
          <w:tcPr>
            <w:tcW w:w="374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Chairman of the Board</w:t>
            </w:r>
          </w:p>
        </w:tc>
        <w:tc>
          <w:tcPr>
            <w:tcW w:w="2620" w:type="dxa"/>
            <w:vAlign w:val="bottom"/>
          </w:tcPr>
          <w:p>
            <w:pPr>
              <w:spacing w:after="0"/>
              <w:rPr>
                <w:sz w:val="22"/>
                <w:szCs w:val="22"/>
                <w:color w:val="auto"/>
              </w:rPr>
            </w:pPr>
          </w:p>
        </w:tc>
      </w:tr>
    </w:tbl>
    <w:p>
      <w:pPr>
        <w:spacing w:after="0" w:line="201"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in the capacities and on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Signature</w:t>
            </w:r>
          </w:p>
        </w:tc>
        <w:tc>
          <w:tcPr>
            <w:tcW w:w="2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w:t>
            </w:r>
          </w:p>
        </w:tc>
        <w:tc>
          <w:tcPr>
            <w:tcW w:w="2420" w:type="dxa"/>
            <w:vAlign w:val="bottom"/>
            <w:gridSpan w:val="3"/>
          </w:tcPr>
          <w:p>
            <w:pPr>
              <w:ind w:left="1260"/>
              <w:spacing w:after="0"/>
              <w:rPr>
                <w:sz w:val="20"/>
                <w:szCs w:val="20"/>
                <w:color w:val="auto"/>
              </w:rPr>
            </w:pPr>
            <w:r>
              <w:rPr>
                <w:rFonts w:ascii="Times New Roman" w:cs="Times New Roman" w:eastAsia="Times New Roman" w:hAnsi="Times New Roman"/>
                <w:sz w:val="20"/>
                <w:szCs w:val="20"/>
                <w:color w:val="auto"/>
              </w:rPr>
              <w:t>Date</w:t>
            </w:r>
          </w:p>
        </w:tc>
      </w:tr>
      <w:tr>
        <w:trPr>
          <w:trHeight w:val="20"/>
        </w:trPr>
        <w:tc>
          <w:tcPr>
            <w:tcW w:w="76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87"/>
        </w:trPr>
        <w:tc>
          <w:tcPr>
            <w:tcW w:w="3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RODNEY C. SACKS</w:t>
            </w:r>
          </w:p>
        </w:tc>
        <w:tc>
          <w:tcPr>
            <w:tcW w:w="22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Chairman of the Board of</w:t>
            </w:r>
          </w:p>
        </w:tc>
        <w:tc>
          <w:tcPr>
            <w:tcW w:w="2420" w:type="dxa"/>
            <w:vAlign w:val="bottom"/>
            <w:gridSpan w:val="3"/>
          </w:tcPr>
          <w:p>
            <w:pPr>
              <w:ind w:left="1260"/>
              <w:spacing w:after="0"/>
              <w:rPr>
                <w:sz w:val="20"/>
                <w:szCs w:val="20"/>
                <w:color w:val="auto"/>
              </w:rPr>
            </w:pPr>
            <w:r>
              <w:rPr>
                <w:rFonts w:ascii="Times New Roman" w:cs="Times New Roman" w:eastAsia="Times New Roman" w:hAnsi="Times New Roman"/>
                <w:sz w:val="20"/>
                <w:szCs w:val="20"/>
                <w:color w:val="auto"/>
                <w:w w:val="97"/>
              </w:rPr>
              <w:t>March 1, 2017</w:t>
            </w:r>
          </w:p>
        </w:tc>
      </w:tr>
      <w:tr>
        <w:trPr>
          <w:trHeight w:val="193"/>
        </w:trPr>
        <w:tc>
          <w:tcPr>
            <w:tcW w:w="3520" w:type="dxa"/>
            <w:vAlign w:val="bottom"/>
            <w:gridSpan w:val="2"/>
          </w:tcPr>
          <w:p>
            <w:pPr>
              <w:spacing w:after="0" w:line="193" w:lineRule="exact"/>
              <w:rPr>
                <w:sz w:val="20"/>
                <w:szCs w:val="20"/>
                <w:color w:val="auto"/>
              </w:rPr>
            </w:pPr>
            <w:r>
              <w:rPr>
                <w:rFonts w:ascii="Times New Roman" w:cs="Times New Roman" w:eastAsia="Times New Roman" w:hAnsi="Times New Roman"/>
                <w:sz w:val="20"/>
                <w:szCs w:val="20"/>
                <w:color w:val="auto"/>
              </w:rPr>
              <w:t>Rodney C. Sacks</w:t>
            </w:r>
          </w:p>
        </w:tc>
        <w:tc>
          <w:tcPr>
            <w:tcW w:w="220" w:type="dxa"/>
            <w:vAlign w:val="bottom"/>
          </w:tcPr>
          <w:p>
            <w:pPr>
              <w:spacing w:after="0"/>
              <w:rPr>
                <w:sz w:val="16"/>
                <w:szCs w:val="16"/>
                <w:color w:val="auto"/>
              </w:rPr>
            </w:pPr>
          </w:p>
        </w:tc>
        <w:tc>
          <w:tcPr>
            <w:tcW w:w="4120" w:type="dxa"/>
            <w:vAlign w:val="bottom"/>
            <w:gridSpan w:val="2"/>
          </w:tcPr>
          <w:p>
            <w:pPr>
              <w:spacing w:after="0" w:line="193" w:lineRule="exact"/>
              <w:rPr>
                <w:sz w:val="20"/>
                <w:szCs w:val="20"/>
                <w:color w:val="auto"/>
              </w:rPr>
            </w:pPr>
            <w:r>
              <w:rPr>
                <w:rFonts w:ascii="Times New Roman" w:cs="Times New Roman" w:eastAsia="Times New Roman" w:hAnsi="Times New Roman"/>
                <w:sz w:val="20"/>
                <w:szCs w:val="20"/>
                <w:color w:val="auto"/>
              </w:rPr>
              <w:t>Directors and Chief Executive</w:t>
            </w: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58"/>
        </w:trPr>
        <w:tc>
          <w:tcPr>
            <w:tcW w:w="76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Officer (principal executive officer)</w:t>
            </w:r>
          </w:p>
        </w:tc>
        <w:tc>
          <w:tcPr>
            <w:tcW w:w="1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460"/>
        </w:trPr>
        <w:tc>
          <w:tcPr>
            <w:tcW w:w="3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HILTON H. SCHLOSBERG</w:t>
            </w:r>
          </w:p>
        </w:tc>
        <w:tc>
          <w:tcPr>
            <w:tcW w:w="22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Vice Chairman of the Board of</w:t>
            </w:r>
          </w:p>
        </w:tc>
        <w:tc>
          <w:tcPr>
            <w:tcW w:w="2420" w:type="dxa"/>
            <w:vAlign w:val="bottom"/>
            <w:gridSpan w:val="3"/>
          </w:tcPr>
          <w:p>
            <w:pPr>
              <w:ind w:left="1260"/>
              <w:spacing w:after="0"/>
              <w:rPr>
                <w:sz w:val="20"/>
                <w:szCs w:val="20"/>
                <w:color w:val="auto"/>
              </w:rPr>
            </w:pPr>
            <w:r>
              <w:rPr>
                <w:rFonts w:ascii="Times New Roman" w:cs="Times New Roman" w:eastAsia="Times New Roman" w:hAnsi="Times New Roman"/>
                <w:sz w:val="20"/>
                <w:szCs w:val="20"/>
                <w:color w:val="auto"/>
                <w:w w:val="97"/>
              </w:rPr>
              <w:t>March 1, 2017</w:t>
            </w:r>
          </w:p>
        </w:tc>
      </w:tr>
      <w:tr>
        <w:trPr>
          <w:trHeight w:val="193"/>
        </w:trPr>
        <w:tc>
          <w:tcPr>
            <w:tcW w:w="3520" w:type="dxa"/>
            <w:vAlign w:val="bottom"/>
            <w:gridSpan w:val="2"/>
          </w:tcPr>
          <w:p>
            <w:pPr>
              <w:spacing w:after="0" w:line="193" w:lineRule="exact"/>
              <w:rPr>
                <w:sz w:val="20"/>
                <w:szCs w:val="20"/>
                <w:color w:val="auto"/>
              </w:rPr>
            </w:pPr>
            <w:r>
              <w:rPr>
                <w:rFonts w:ascii="Times New Roman" w:cs="Times New Roman" w:eastAsia="Times New Roman" w:hAnsi="Times New Roman"/>
                <w:sz w:val="20"/>
                <w:szCs w:val="20"/>
                <w:color w:val="auto"/>
              </w:rPr>
              <w:t>Hilton H. Schlosberg</w:t>
            </w:r>
          </w:p>
        </w:tc>
        <w:tc>
          <w:tcPr>
            <w:tcW w:w="220" w:type="dxa"/>
            <w:vAlign w:val="bottom"/>
          </w:tcPr>
          <w:p>
            <w:pPr>
              <w:spacing w:after="0"/>
              <w:rPr>
                <w:sz w:val="16"/>
                <w:szCs w:val="16"/>
                <w:color w:val="auto"/>
              </w:rPr>
            </w:pPr>
          </w:p>
        </w:tc>
        <w:tc>
          <w:tcPr>
            <w:tcW w:w="4120" w:type="dxa"/>
            <w:vAlign w:val="bottom"/>
            <w:gridSpan w:val="2"/>
          </w:tcPr>
          <w:p>
            <w:pPr>
              <w:spacing w:after="0" w:line="193" w:lineRule="exact"/>
              <w:rPr>
                <w:sz w:val="20"/>
                <w:szCs w:val="20"/>
                <w:color w:val="auto"/>
              </w:rPr>
            </w:pPr>
            <w:r>
              <w:rPr>
                <w:rFonts w:ascii="Times New Roman" w:cs="Times New Roman" w:eastAsia="Times New Roman" w:hAnsi="Times New Roman"/>
                <w:sz w:val="20"/>
                <w:szCs w:val="20"/>
                <w:color w:val="auto"/>
              </w:rPr>
              <w:t>Directors, President, Chief</w:t>
            </w: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0"/>
        </w:trPr>
        <w:tc>
          <w:tcPr>
            <w:tcW w:w="7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Officer, Chief</w:t>
            </w: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7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Financial Officer and Secretary</w:t>
            </w: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7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(principal financial officer,</w:t>
            </w: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7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controller and principal</w:t>
            </w: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8"/>
        </w:trPr>
        <w:tc>
          <w:tcPr>
            <w:tcW w:w="76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accounting officer)</w:t>
            </w:r>
          </w:p>
        </w:tc>
        <w:tc>
          <w:tcPr>
            <w:tcW w:w="1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460"/>
        </w:trPr>
        <w:tc>
          <w:tcPr>
            <w:tcW w:w="3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NORMAN C. EPSTEIN</w:t>
            </w:r>
          </w:p>
        </w:tc>
        <w:tc>
          <w:tcPr>
            <w:tcW w:w="22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Director</w:t>
            </w:r>
          </w:p>
        </w:tc>
        <w:tc>
          <w:tcPr>
            <w:tcW w:w="2420" w:type="dxa"/>
            <w:vAlign w:val="bottom"/>
            <w:gridSpan w:val="3"/>
          </w:tcPr>
          <w:p>
            <w:pPr>
              <w:ind w:left="1260"/>
              <w:spacing w:after="0"/>
              <w:rPr>
                <w:sz w:val="20"/>
                <w:szCs w:val="20"/>
                <w:color w:val="auto"/>
              </w:rPr>
            </w:pPr>
            <w:r>
              <w:rPr>
                <w:rFonts w:ascii="Times New Roman" w:cs="Times New Roman" w:eastAsia="Times New Roman" w:hAnsi="Times New Roman"/>
                <w:sz w:val="20"/>
                <w:szCs w:val="20"/>
                <w:color w:val="auto"/>
                <w:w w:val="97"/>
              </w:rPr>
              <w:t>March 1, 2017</w:t>
            </w:r>
          </w:p>
        </w:tc>
      </w:tr>
      <w:tr>
        <w:trPr>
          <w:trHeight w:val="258"/>
        </w:trPr>
        <w:tc>
          <w:tcPr>
            <w:tcW w:w="3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Norman C. Epstein</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437"/>
        </w:trPr>
        <w:tc>
          <w:tcPr>
            <w:tcW w:w="3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MARK J. HALL</w:t>
            </w:r>
          </w:p>
        </w:tc>
        <w:tc>
          <w:tcPr>
            <w:tcW w:w="22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Director</w:t>
            </w:r>
          </w:p>
        </w:tc>
        <w:tc>
          <w:tcPr>
            <w:tcW w:w="2420" w:type="dxa"/>
            <w:vAlign w:val="bottom"/>
            <w:gridSpan w:val="3"/>
          </w:tcPr>
          <w:p>
            <w:pPr>
              <w:ind w:left="1260"/>
              <w:spacing w:after="0"/>
              <w:rPr>
                <w:sz w:val="20"/>
                <w:szCs w:val="20"/>
                <w:color w:val="auto"/>
              </w:rPr>
            </w:pPr>
            <w:r>
              <w:rPr>
                <w:rFonts w:ascii="Times New Roman" w:cs="Times New Roman" w:eastAsia="Times New Roman" w:hAnsi="Times New Roman"/>
                <w:sz w:val="20"/>
                <w:szCs w:val="20"/>
                <w:color w:val="auto"/>
                <w:w w:val="97"/>
              </w:rPr>
              <w:t>March 1, 2017</w:t>
            </w:r>
          </w:p>
        </w:tc>
      </w:tr>
      <w:tr>
        <w:trPr>
          <w:trHeight w:val="258"/>
        </w:trPr>
        <w:tc>
          <w:tcPr>
            <w:tcW w:w="3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Mark J. Hall</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437"/>
        </w:trPr>
        <w:tc>
          <w:tcPr>
            <w:tcW w:w="3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GARY P. FAYARD</w:t>
            </w:r>
          </w:p>
        </w:tc>
        <w:tc>
          <w:tcPr>
            <w:tcW w:w="22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Director</w:t>
            </w:r>
          </w:p>
        </w:tc>
        <w:tc>
          <w:tcPr>
            <w:tcW w:w="2420" w:type="dxa"/>
            <w:vAlign w:val="bottom"/>
            <w:gridSpan w:val="3"/>
          </w:tcPr>
          <w:p>
            <w:pPr>
              <w:ind w:left="1260"/>
              <w:spacing w:after="0"/>
              <w:rPr>
                <w:sz w:val="20"/>
                <w:szCs w:val="20"/>
                <w:color w:val="auto"/>
              </w:rPr>
            </w:pPr>
            <w:r>
              <w:rPr>
                <w:rFonts w:ascii="Times New Roman" w:cs="Times New Roman" w:eastAsia="Times New Roman" w:hAnsi="Times New Roman"/>
                <w:sz w:val="20"/>
                <w:szCs w:val="20"/>
                <w:color w:val="auto"/>
                <w:w w:val="97"/>
              </w:rPr>
              <w:t>March 1, 2017</w:t>
            </w:r>
          </w:p>
        </w:tc>
      </w:tr>
      <w:tr>
        <w:trPr>
          <w:trHeight w:val="258"/>
        </w:trPr>
        <w:tc>
          <w:tcPr>
            <w:tcW w:w="3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Gary P. Fayard</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r>
    </w:tbl>
    <w:p>
      <w:pPr>
        <w:sectPr>
          <w:pgSz w:w="11900" w:h="16838" w:orient="portrait"/>
          <w:cols w:equalWidth="0" w:num="1">
            <w:col w:w="11420"/>
          </w:cols>
          <w:pgMar w:left="240" w:top="342" w:right="239" w:bottom="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BENJAMIN M. POLK</w:t>
            </w:r>
          </w:p>
        </w:tc>
        <w:tc>
          <w:tcPr>
            <w:tcW w:w="1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Director</w:t>
            </w:r>
          </w:p>
        </w:tc>
        <w:tc>
          <w:tcPr>
            <w:tcW w:w="6440" w:type="dxa"/>
            <w:vAlign w:val="bottom"/>
          </w:tcPr>
          <w:p>
            <w:pPr>
              <w:ind w:left="4100"/>
              <w:spacing w:after="0"/>
              <w:rPr>
                <w:sz w:val="20"/>
                <w:szCs w:val="20"/>
                <w:color w:val="auto"/>
              </w:rPr>
            </w:pPr>
            <w:r>
              <w:rPr>
                <w:rFonts w:ascii="Times New Roman" w:cs="Times New Roman" w:eastAsia="Times New Roman" w:hAnsi="Times New Roman"/>
                <w:sz w:val="20"/>
                <w:szCs w:val="20"/>
                <w:color w:val="auto"/>
              </w:rPr>
              <w:t>March 1, 2017</w:t>
            </w: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Benjamin M. Polk</w:t>
            </w:r>
          </w:p>
        </w:tc>
        <w:tc>
          <w:tcPr>
            <w:tcW w:w="1500" w:type="dxa"/>
            <w:vAlign w:val="bottom"/>
          </w:tcPr>
          <w:p>
            <w:pPr>
              <w:spacing w:after="0"/>
              <w:rPr>
                <w:sz w:val="22"/>
                <w:szCs w:val="22"/>
                <w:color w:val="auto"/>
              </w:rPr>
            </w:pPr>
          </w:p>
        </w:tc>
        <w:tc>
          <w:tcPr>
            <w:tcW w:w="6440" w:type="dxa"/>
            <w:vAlign w:val="bottom"/>
          </w:tcPr>
          <w:p>
            <w:pPr>
              <w:spacing w:after="0"/>
              <w:rPr>
                <w:sz w:val="22"/>
                <w:szCs w:val="22"/>
                <w:color w:val="auto"/>
              </w:rPr>
            </w:pPr>
          </w:p>
        </w:tc>
      </w:tr>
      <w:tr>
        <w:trPr>
          <w:trHeight w:val="437"/>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SYDNEY SELATI</w:t>
            </w:r>
          </w:p>
        </w:tc>
        <w:tc>
          <w:tcPr>
            <w:tcW w:w="1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Director</w:t>
            </w:r>
          </w:p>
        </w:tc>
        <w:tc>
          <w:tcPr>
            <w:tcW w:w="6440" w:type="dxa"/>
            <w:vAlign w:val="bottom"/>
          </w:tcPr>
          <w:p>
            <w:pPr>
              <w:ind w:left="4100"/>
              <w:spacing w:after="0"/>
              <w:rPr>
                <w:sz w:val="20"/>
                <w:szCs w:val="20"/>
                <w:color w:val="auto"/>
              </w:rPr>
            </w:pPr>
            <w:r>
              <w:rPr>
                <w:rFonts w:ascii="Times New Roman" w:cs="Times New Roman" w:eastAsia="Times New Roman" w:hAnsi="Times New Roman"/>
                <w:sz w:val="20"/>
                <w:szCs w:val="20"/>
                <w:color w:val="auto"/>
              </w:rPr>
              <w:t>March 1, 2017</w:t>
            </w: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Sydney Selati</w:t>
            </w:r>
          </w:p>
        </w:tc>
        <w:tc>
          <w:tcPr>
            <w:tcW w:w="1500" w:type="dxa"/>
            <w:vAlign w:val="bottom"/>
          </w:tcPr>
          <w:p>
            <w:pPr>
              <w:spacing w:after="0"/>
              <w:rPr>
                <w:sz w:val="22"/>
                <w:szCs w:val="22"/>
                <w:color w:val="auto"/>
              </w:rPr>
            </w:pPr>
          </w:p>
        </w:tc>
        <w:tc>
          <w:tcPr>
            <w:tcW w:w="6440" w:type="dxa"/>
            <w:vAlign w:val="bottom"/>
          </w:tcPr>
          <w:p>
            <w:pPr>
              <w:spacing w:after="0"/>
              <w:rPr>
                <w:sz w:val="22"/>
                <w:szCs w:val="22"/>
                <w:color w:val="auto"/>
              </w:rPr>
            </w:pPr>
          </w:p>
        </w:tc>
      </w:tr>
      <w:tr>
        <w:trPr>
          <w:trHeight w:val="437"/>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HAROLD C. TABER, JR.</w:t>
            </w:r>
          </w:p>
        </w:tc>
        <w:tc>
          <w:tcPr>
            <w:tcW w:w="1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Director</w:t>
            </w:r>
          </w:p>
        </w:tc>
        <w:tc>
          <w:tcPr>
            <w:tcW w:w="6440" w:type="dxa"/>
            <w:vAlign w:val="bottom"/>
          </w:tcPr>
          <w:p>
            <w:pPr>
              <w:ind w:left="4100"/>
              <w:spacing w:after="0"/>
              <w:rPr>
                <w:sz w:val="20"/>
                <w:szCs w:val="20"/>
                <w:color w:val="auto"/>
              </w:rPr>
            </w:pPr>
            <w:r>
              <w:rPr>
                <w:rFonts w:ascii="Times New Roman" w:cs="Times New Roman" w:eastAsia="Times New Roman" w:hAnsi="Times New Roman"/>
                <w:sz w:val="20"/>
                <w:szCs w:val="20"/>
                <w:color w:val="auto"/>
              </w:rPr>
              <w:t>March 1, 2017</w:t>
            </w: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Harold C. Taber, Jr.</w:t>
            </w:r>
          </w:p>
        </w:tc>
        <w:tc>
          <w:tcPr>
            <w:tcW w:w="1500" w:type="dxa"/>
            <w:vAlign w:val="bottom"/>
          </w:tcPr>
          <w:p>
            <w:pPr>
              <w:spacing w:after="0"/>
              <w:rPr>
                <w:sz w:val="22"/>
                <w:szCs w:val="22"/>
                <w:color w:val="auto"/>
              </w:rPr>
            </w:pPr>
          </w:p>
        </w:tc>
        <w:tc>
          <w:tcPr>
            <w:tcW w:w="6440" w:type="dxa"/>
            <w:vAlign w:val="bottom"/>
          </w:tcPr>
          <w:p>
            <w:pPr>
              <w:spacing w:after="0"/>
              <w:rPr>
                <w:sz w:val="22"/>
                <w:szCs w:val="22"/>
                <w:color w:val="auto"/>
              </w:rPr>
            </w:pPr>
          </w:p>
        </w:tc>
      </w:tr>
      <w:tr>
        <w:trPr>
          <w:trHeight w:val="437"/>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MARK S. VIDERGAUZ</w:t>
            </w:r>
          </w:p>
        </w:tc>
        <w:tc>
          <w:tcPr>
            <w:tcW w:w="1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Director</w:t>
            </w:r>
          </w:p>
        </w:tc>
        <w:tc>
          <w:tcPr>
            <w:tcW w:w="6440" w:type="dxa"/>
            <w:vAlign w:val="bottom"/>
          </w:tcPr>
          <w:p>
            <w:pPr>
              <w:ind w:left="4100"/>
              <w:spacing w:after="0"/>
              <w:rPr>
                <w:sz w:val="20"/>
                <w:szCs w:val="20"/>
                <w:color w:val="auto"/>
              </w:rPr>
            </w:pPr>
            <w:r>
              <w:rPr>
                <w:rFonts w:ascii="Times New Roman" w:cs="Times New Roman" w:eastAsia="Times New Roman" w:hAnsi="Times New Roman"/>
                <w:sz w:val="20"/>
                <w:szCs w:val="20"/>
                <w:color w:val="auto"/>
              </w:rPr>
              <w:t>March 1, 2017</w:t>
            </w: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Mark S. Vidergauz</w:t>
            </w:r>
          </w:p>
        </w:tc>
        <w:tc>
          <w:tcPr>
            <w:tcW w:w="1500" w:type="dxa"/>
            <w:vAlign w:val="bottom"/>
          </w:tcPr>
          <w:p>
            <w:pPr>
              <w:spacing w:after="0"/>
              <w:rPr>
                <w:sz w:val="22"/>
                <w:szCs w:val="22"/>
                <w:color w:val="auto"/>
              </w:rPr>
            </w:pPr>
          </w:p>
        </w:tc>
        <w:tc>
          <w:tcPr>
            <w:tcW w:w="6440" w:type="dxa"/>
            <w:vAlign w:val="bottom"/>
          </w:tcPr>
          <w:p>
            <w:pPr>
              <w:spacing w:after="0"/>
              <w:rPr>
                <w:sz w:val="22"/>
                <w:szCs w:val="22"/>
                <w:color w:val="auto"/>
              </w:rPr>
            </w:pPr>
          </w:p>
        </w:tc>
      </w:tr>
      <w:tr>
        <w:trPr>
          <w:trHeight w:val="437"/>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KATHY N WALLER</w:t>
            </w:r>
          </w:p>
        </w:tc>
        <w:tc>
          <w:tcPr>
            <w:tcW w:w="1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Director</w:t>
            </w:r>
          </w:p>
        </w:tc>
        <w:tc>
          <w:tcPr>
            <w:tcW w:w="6440" w:type="dxa"/>
            <w:vAlign w:val="bottom"/>
          </w:tcPr>
          <w:p>
            <w:pPr>
              <w:ind w:left="4100"/>
              <w:spacing w:after="0"/>
              <w:rPr>
                <w:sz w:val="20"/>
                <w:szCs w:val="20"/>
                <w:color w:val="auto"/>
              </w:rPr>
            </w:pPr>
            <w:r>
              <w:rPr>
                <w:rFonts w:ascii="Times New Roman" w:cs="Times New Roman" w:eastAsia="Times New Roman" w:hAnsi="Times New Roman"/>
                <w:sz w:val="20"/>
                <w:szCs w:val="20"/>
                <w:color w:val="auto"/>
              </w:rPr>
              <w:t>March 1, 2017</w:t>
            </w: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Kathy N. Waller</w:t>
            </w:r>
          </w:p>
        </w:tc>
        <w:tc>
          <w:tcPr>
            <w:tcW w:w="1500" w:type="dxa"/>
            <w:vAlign w:val="bottom"/>
          </w:tcPr>
          <w:p>
            <w:pPr>
              <w:spacing w:after="0"/>
              <w:rPr>
                <w:sz w:val="22"/>
                <w:szCs w:val="22"/>
                <w:color w:val="auto"/>
              </w:rPr>
            </w:pPr>
          </w:p>
        </w:tc>
        <w:tc>
          <w:tcPr>
            <w:tcW w:w="6440" w:type="dxa"/>
            <w:vAlign w:val="bottom"/>
          </w:tcPr>
          <w:p>
            <w:pPr>
              <w:spacing w:after="0"/>
              <w:rPr>
                <w:sz w:val="22"/>
                <w:szCs w:val="22"/>
                <w:color w:val="auto"/>
              </w:rPr>
            </w:pPr>
          </w:p>
        </w:tc>
      </w:tr>
      <w:tr>
        <w:trPr>
          <w:trHeight w:val="384"/>
        </w:trPr>
        <w:tc>
          <w:tcPr>
            <w:tcW w:w="3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4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69</w:t>
            </w:r>
          </w:p>
        </w:tc>
      </w:tr>
      <w:tr>
        <w:trPr>
          <w:trHeight w:val="138"/>
        </w:trPr>
        <w:tc>
          <w:tcPr>
            <w:tcW w:w="352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64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INDEX TO EXHIBITS</w:t>
      </w:r>
    </w:p>
    <w:p>
      <w:pPr>
        <w:spacing w:after="0" w:line="233" w:lineRule="exact"/>
        <w:rPr>
          <w:sz w:val="20"/>
          <w:szCs w:val="20"/>
          <w:color w:val="auto"/>
        </w:rPr>
      </w:pPr>
    </w:p>
    <w:p>
      <w:pPr>
        <w:jc w:val="both"/>
        <w:ind w:right="40" w:firstLine="648"/>
        <w:spacing w:after="0" w:line="254" w:lineRule="auto"/>
        <w:rPr>
          <w:sz w:val="20"/>
          <w:szCs w:val="20"/>
          <w:color w:val="auto"/>
        </w:rPr>
      </w:pPr>
      <w:r>
        <w:rPr>
          <w:rFonts w:ascii="Times New Roman" w:cs="Times New Roman" w:eastAsia="Times New Roman" w:hAnsi="Times New Roman"/>
          <w:sz w:val="20"/>
          <w:szCs w:val="20"/>
          <w:color w:val="auto"/>
        </w:rPr>
        <w:t>The following designated exhibits, as indicated below, are either filed or furnished, as applicable herewith or have heretofore been filed or furnished with the Securities and Exchange Commission under the Securities Act of 1933, as amended, or the Securities Exchange Act of 1934, as amended, as indicated by footnote.</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1200" w:type="dxa"/>
            <w:vAlign w:val="bottom"/>
            <w:tcBorders>
              <w:top w:val="single" w:sz="8" w:color="auto"/>
              <w:left w:val="single" w:sz="8" w:color="auto"/>
              <w:right w:val="single" w:sz="8" w:color="auto"/>
            </w:tcBorders>
          </w:tcPr>
          <w:p>
            <w:pPr>
              <w:ind w:left="80"/>
              <w:spacing w:after="0" w:line="220" w:lineRule="exact"/>
              <w:rPr>
                <w:sz w:val="20"/>
                <w:szCs w:val="20"/>
                <w:color w:val="auto"/>
              </w:rPr>
            </w:pPr>
            <w:r>
              <w:rPr>
                <w:rFonts w:ascii="Times New Roman" w:cs="Times New Roman" w:eastAsia="Times New Roman" w:hAnsi="Times New Roman"/>
                <w:sz w:val="20"/>
                <w:szCs w:val="20"/>
                <w:color w:val="auto"/>
              </w:rPr>
              <w:t>2.1</w:t>
            </w:r>
          </w:p>
        </w:tc>
        <w:tc>
          <w:tcPr>
            <w:tcW w:w="10220" w:type="dxa"/>
            <w:vAlign w:val="bottom"/>
            <w:tcBorders>
              <w:top w:val="single" w:sz="8" w:color="auto"/>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0"/>
                <w:szCs w:val="20"/>
                <w:color w:val="auto"/>
              </w:rPr>
              <w:t>Transaction Agreement, dated as of August 14, 2014, by and among Monster Beverage Corporation, New Laser Corporation,</w:t>
            </w:r>
          </w:p>
        </w:tc>
        <w:tc>
          <w:tcPr>
            <w:tcW w:w="40" w:type="dxa"/>
            <w:vAlign w:val="bottom"/>
          </w:tcPr>
          <w:p>
            <w:pPr>
              <w:spacing w:after="0"/>
              <w:rPr>
                <w:sz w:val="19"/>
                <w:szCs w:val="19"/>
                <w:color w:val="auto"/>
              </w:rPr>
            </w:pPr>
          </w:p>
        </w:tc>
      </w:tr>
      <w:tr>
        <w:trPr>
          <w:trHeight w:val="230"/>
        </w:trPr>
        <w:tc>
          <w:tcPr>
            <w:tcW w:w="1200" w:type="dxa"/>
            <w:vAlign w:val="bottom"/>
            <w:tcBorders>
              <w:left w:val="single" w:sz="8" w:color="auto"/>
              <w:right w:val="single" w:sz="8" w:color="auto"/>
            </w:tcBorders>
          </w:tcPr>
          <w:p>
            <w:pPr>
              <w:spacing w:after="0"/>
              <w:rPr>
                <w:sz w:val="19"/>
                <w:szCs w:val="19"/>
                <w:color w:val="auto"/>
              </w:rPr>
            </w:pPr>
          </w:p>
        </w:tc>
        <w:tc>
          <w:tcPr>
            <w:tcW w:w="10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w w:val="98"/>
              </w:rPr>
              <w:t>New Laser Merger Corp, The Coca-Cola Company and European Refreshments (incorporated by reference to Exhibit 2.1 to our</w:t>
            </w:r>
          </w:p>
        </w:tc>
        <w:tc>
          <w:tcPr>
            <w:tcW w:w="40" w:type="dxa"/>
            <w:vAlign w:val="bottom"/>
          </w:tcPr>
          <w:p>
            <w:pPr>
              <w:spacing w:after="0"/>
              <w:rPr>
                <w:sz w:val="19"/>
                <w:szCs w:val="19"/>
                <w:color w:val="auto"/>
              </w:rPr>
            </w:pPr>
          </w:p>
        </w:tc>
      </w:tr>
      <w:tr>
        <w:trPr>
          <w:trHeight w:val="252"/>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Form 8-K dated August 18, 2014).</w:t>
            </w:r>
          </w:p>
        </w:tc>
        <w:tc>
          <w:tcPr>
            <w:tcW w:w="40" w:type="dxa"/>
            <w:vAlign w:val="bottom"/>
          </w:tcPr>
          <w:p>
            <w:pPr>
              <w:spacing w:after="0"/>
              <w:rPr>
                <w:sz w:val="21"/>
                <w:szCs w:val="21"/>
                <w:color w:val="auto"/>
              </w:rPr>
            </w:pPr>
          </w:p>
        </w:tc>
      </w:tr>
      <w:tr>
        <w:trPr>
          <w:trHeight w:val="200"/>
        </w:trPr>
        <w:tc>
          <w:tcPr>
            <w:tcW w:w="1200" w:type="dxa"/>
            <w:vAlign w:val="bottom"/>
            <w:tcBorders>
              <w:left w:val="single" w:sz="8" w:color="auto"/>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2.2</w:t>
            </w:r>
          </w:p>
        </w:tc>
        <w:tc>
          <w:tcPr>
            <w:tcW w:w="1022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w w:val="99"/>
              </w:rPr>
              <w:t>Asset Transfer Agreement, dated as of August 14, 2014, by and among Monster Beverage Corporation, New Laser Corporation</w:t>
            </w:r>
          </w:p>
        </w:tc>
        <w:tc>
          <w:tcPr>
            <w:tcW w:w="40" w:type="dxa"/>
            <w:vAlign w:val="bottom"/>
          </w:tcPr>
          <w:p>
            <w:pPr>
              <w:spacing w:after="0"/>
              <w:rPr>
                <w:sz w:val="17"/>
                <w:szCs w:val="17"/>
                <w:color w:val="auto"/>
              </w:rPr>
            </w:pPr>
          </w:p>
        </w:tc>
      </w:tr>
      <w:tr>
        <w:trPr>
          <w:trHeight w:val="252"/>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w w:val="99"/>
              </w:rPr>
              <w:t>and The Coca-Cola Company Refreshments (incorporated by reference to Exhibit 2.2 to our Form 8-K dated August 18, 2014).</w:t>
            </w:r>
          </w:p>
        </w:tc>
        <w:tc>
          <w:tcPr>
            <w:tcW w:w="40" w:type="dxa"/>
            <w:vAlign w:val="bottom"/>
          </w:tcPr>
          <w:p>
            <w:pPr>
              <w:spacing w:after="0"/>
              <w:rPr>
                <w:sz w:val="21"/>
                <w:szCs w:val="21"/>
                <w:color w:val="auto"/>
              </w:rPr>
            </w:pPr>
          </w:p>
        </w:tc>
      </w:tr>
      <w:tr>
        <w:trPr>
          <w:trHeight w:val="200"/>
        </w:trPr>
        <w:tc>
          <w:tcPr>
            <w:tcW w:w="1200" w:type="dxa"/>
            <w:vAlign w:val="bottom"/>
            <w:tcBorders>
              <w:left w:val="single" w:sz="8" w:color="auto"/>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3.1</w:t>
            </w:r>
          </w:p>
        </w:tc>
        <w:tc>
          <w:tcPr>
            <w:tcW w:w="1022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Certificate of Incorporation of the Company, as amended (incorporated by reference to Exhibit 3.1 to our Form 10-K dated</w:t>
            </w:r>
          </w:p>
        </w:tc>
        <w:tc>
          <w:tcPr>
            <w:tcW w:w="40" w:type="dxa"/>
            <w:vAlign w:val="bottom"/>
          </w:tcPr>
          <w:p>
            <w:pPr>
              <w:spacing w:after="0"/>
              <w:rPr>
                <w:sz w:val="17"/>
                <w:szCs w:val="17"/>
                <w:color w:val="auto"/>
              </w:rPr>
            </w:pPr>
          </w:p>
        </w:tc>
      </w:tr>
      <w:tr>
        <w:trPr>
          <w:trHeight w:val="252"/>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November 7, 2016).</w:t>
            </w:r>
          </w:p>
        </w:tc>
        <w:tc>
          <w:tcPr>
            <w:tcW w:w="40" w:type="dxa"/>
            <w:vAlign w:val="bottom"/>
          </w:tcPr>
          <w:p>
            <w:pPr>
              <w:spacing w:after="0"/>
              <w:rPr>
                <w:sz w:val="21"/>
                <w:szCs w:val="21"/>
                <w:color w:val="auto"/>
              </w:rPr>
            </w:pPr>
          </w:p>
        </w:tc>
      </w:tr>
      <w:tr>
        <w:trPr>
          <w:trHeight w:val="200"/>
        </w:trPr>
        <w:tc>
          <w:tcPr>
            <w:tcW w:w="1200" w:type="dxa"/>
            <w:vAlign w:val="bottom"/>
            <w:tcBorders>
              <w:left w:val="single" w:sz="8" w:color="auto"/>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3.2</w:t>
            </w:r>
          </w:p>
        </w:tc>
        <w:tc>
          <w:tcPr>
            <w:tcW w:w="1022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Second Amended and Restated Bylaws of the Company (incorporated by reference to Exhibit 3.2 to our Form 8-K dated</w:t>
            </w:r>
          </w:p>
        </w:tc>
        <w:tc>
          <w:tcPr>
            <w:tcW w:w="40" w:type="dxa"/>
            <w:vAlign w:val="bottom"/>
          </w:tcPr>
          <w:p>
            <w:pPr>
              <w:spacing w:after="0"/>
              <w:rPr>
                <w:sz w:val="17"/>
                <w:szCs w:val="17"/>
                <w:color w:val="auto"/>
              </w:rPr>
            </w:pPr>
          </w:p>
        </w:tc>
      </w:tr>
      <w:tr>
        <w:trPr>
          <w:trHeight w:val="252"/>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June 18, 2015).</w:t>
            </w:r>
          </w:p>
        </w:tc>
        <w:tc>
          <w:tcPr>
            <w:tcW w:w="40" w:type="dxa"/>
            <w:vAlign w:val="bottom"/>
          </w:tcPr>
          <w:p>
            <w:pPr>
              <w:spacing w:after="0"/>
              <w:rPr>
                <w:sz w:val="21"/>
                <w:szCs w:val="21"/>
                <w:color w:val="auto"/>
              </w:rPr>
            </w:pPr>
          </w:p>
        </w:tc>
      </w:tr>
      <w:tr>
        <w:trPr>
          <w:trHeight w:val="200"/>
        </w:trPr>
        <w:tc>
          <w:tcPr>
            <w:tcW w:w="1200" w:type="dxa"/>
            <w:vAlign w:val="bottom"/>
            <w:tcBorders>
              <w:left w:val="single" w:sz="8" w:color="auto"/>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10.1</w:t>
            </w:r>
          </w:p>
        </w:tc>
        <w:tc>
          <w:tcPr>
            <w:tcW w:w="1022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Amended and Restated Distribution Coordination Agreement, dated as of June 12, 2015, between Monster Energy Company</w:t>
            </w:r>
          </w:p>
        </w:tc>
        <w:tc>
          <w:tcPr>
            <w:tcW w:w="40" w:type="dxa"/>
            <w:vAlign w:val="bottom"/>
          </w:tcPr>
          <w:p>
            <w:pPr>
              <w:spacing w:after="0"/>
              <w:rPr>
                <w:sz w:val="17"/>
                <w:szCs w:val="17"/>
                <w:color w:val="auto"/>
              </w:rPr>
            </w:pPr>
          </w:p>
        </w:tc>
      </w:tr>
      <w:tr>
        <w:trPr>
          <w:trHeight w:val="252"/>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and The Coca-Cola Company (incorporated by reference to Exhibit 10.1 to our 10-Q dated August 10, 2015).</w:t>
            </w:r>
          </w:p>
        </w:tc>
        <w:tc>
          <w:tcPr>
            <w:tcW w:w="40" w:type="dxa"/>
            <w:vAlign w:val="bottom"/>
          </w:tcPr>
          <w:p>
            <w:pPr>
              <w:spacing w:after="0"/>
              <w:rPr>
                <w:sz w:val="21"/>
                <w:szCs w:val="21"/>
                <w:color w:val="auto"/>
              </w:rPr>
            </w:pPr>
          </w:p>
        </w:tc>
      </w:tr>
      <w:tr>
        <w:trPr>
          <w:trHeight w:val="200"/>
        </w:trPr>
        <w:tc>
          <w:tcPr>
            <w:tcW w:w="1200" w:type="dxa"/>
            <w:vAlign w:val="bottom"/>
            <w:tcBorders>
              <w:left w:val="single" w:sz="8" w:color="auto"/>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10.2</w:t>
            </w:r>
          </w:p>
        </w:tc>
        <w:tc>
          <w:tcPr>
            <w:tcW w:w="1022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w w:val="98"/>
              </w:rPr>
              <w:t>Amended and Restated International Distribution Coordination Agreement, dated as of June 12, 2015, between Monster Energy</w:t>
            </w:r>
          </w:p>
        </w:tc>
        <w:tc>
          <w:tcPr>
            <w:tcW w:w="40" w:type="dxa"/>
            <w:vAlign w:val="bottom"/>
          </w:tcPr>
          <w:p>
            <w:pPr>
              <w:spacing w:after="0"/>
              <w:rPr>
                <w:sz w:val="17"/>
                <w:szCs w:val="17"/>
                <w:color w:val="auto"/>
              </w:rPr>
            </w:pPr>
          </w:p>
        </w:tc>
      </w:tr>
      <w:tr>
        <w:trPr>
          <w:trHeight w:val="230"/>
        </w:trPr>
        <w:tc>
          <w:tcPr>
            <w:tcW w:w="1200" w:type="dxa"/>
            <w:vAlign w:val="bottom"/>
            <w:tcBorders>
              <w:left w:val="single" w:sz="8" w:color="auto"/>
              <w:right w:val="single" w:sz="8" w:color="auto"/>
            </w:tcBorders>
          </w:tcPr>
          <w:p>
            <w:pPr>
              <w:spacing w:after="0"/>
              <w:rPr>
                <w:sz w:val="19"/>
                <w:szCs w:val="19"/>
                <w:color w:val="auto"/>
              </w:rPr>
            </w:pPr>
          </w:p>
        </w:tc>
        <w:tc>
          <w:tcPr>
            <w:tcW w:w="10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w w:val="99"/>
              </w:rPr>
              <w:t>Ltd. and Monster Energy Company and The Coca-Cola Company (incorporated by reference to Exhibit 10.2 to our 10-Q dated</w:t>
            </w:r>
          </w:p>
        </w:tc>
        <w:tc>
          <w:tcPr>
            <w:tcW w:w="40" w:type="dxa"/>
            <w:vAlign w:val="bottom"/>
          </w:tcPr>
          <w:p>
            <w:pPr>
              <w:spacing w:after="0"/>
              <w:rPr>
                <w:sz w:val="19"/>
                <w:szCs w:val="19"/>
                <w:color w:val="auto"/>
              </w:rPr>
            </w:pPr>
          </w:p>
        </w:tc>
      </w:tr>
      <w:tr>
        <w:trPr>
          <w:trHeight w:val="252"/>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August 10, 2015).</w:t>
            </w:r>
          </w:p>
        </w:tc>
        <w:tc>
          <w:tcPr>
            <w:tcW w:w="40" w:type="dxa"/>
            <w:vAlign w:val="bottom"/>
          </w:tcPr>
          <w:p>
            <w:pPr>
              <w:spacing w:after="0"/>
              <w:rPr>
                <w:sz w:val="21"/>
                <w:szCs w:val="21"/>
                <w:color w:val="auto"/>
              </w:rPr>
            </w:pPr>
          </w:p>
        </w:tc>
      </w:tr>
      <w:tr>
        <w:trPr>
          <w:trHeight w:val="200"/>
        </w:trPr>
        <w:tc>
          <w:tcPr>
            <w:tcW w:w="1200" w:type="dxa"/>
            <w:vAlign w:val="bottom"/>
            <w:tcBorders>
              <w:left w:val="single" w:sz="8" w:color="auto"/>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10.3+</w:t>
            </w:r>
          </w:p>
        </w:tc>
        <w:tc>
          <w:tcPr>
            <w:tcW w:w="1022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Form of Amendment to Stock Option Agreement (relating to the amendment of certain stock option agreements between</w:t>
            </w:r>
          </w:p>
        </w:tc>
        <w:tc>
          <w:tcPr>
            <w:tcW w:w="40" w:type="dxa"/>
            <w:vAlign w:val="bottom"/>
          </w:tcPr>
          <w:p>
            <w:pPr>
              <w:spacing w:after="0"/>
              <w:rPr>
                <w:sz w:val="17"/>
                <w:szCs w:val="17"/>
                <w:color w:val="auto"/>
              </w:rPr>
            </w:pPr>
          </w:p>
        </w:tc>
      </w:tr>
      <w:tr>
        <w:trPr>
          <w:trHeight w:val="230"/>
        </w:trPr>
        <w:tc>
          <w:tcPr>
            <w:tcW w:w="1200" w:type="dxa"/>
            <w:vAlign w:val="bottom"/>
            <w:tcBorders>
              <w:left w:val="single" w:sz="8" w:color="auto"/>
              <w:right w:val="single" w:sz="8" w:color="auto"/>
            </w:tcBorders>
          </w:tcPr>
          <w:p>
            <w:pPr>
              <w:spacing w:after="0"/>
              <w:rPr>
                <w:sz w:val="19"/>
                <w:szCs w:val="19"/>
                <w:color w:val="auto"/>
              </w:rPr>
            </w:pPr>
          </w:p>
        </w:tc>
        <w:tc>
          <w:tcPr>
            <w:tcW w:w="10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Hansen Natural Corporation and its executive officers and directors) (incorporated by reference to Exhibit 10.1 to our Form 8-</w:t>
            </w:r>
          </w:p>
        </w:tc>
        <w:tc>
          <w:tcPr>
            <w:tcW w:w="40" w:type="dxa"/>
            <w:vAlign w:val="bottom"/>
          </w:tcPr>
          <w:p>
            <w:pPr>
              <w:spacing w:after="0"/>
              <w:rPr>
                <w:sz w:val="19"/>
                <w:szCs w:val="19"/>
                <w:color w:val="auto"/>
              </w:rPr>
            </w:pPr>
          </w:p>
        </w:tc>
      </w:tr>
      <w:tr>
        <w:trPr>
          <w:trHeight w:val="252"/>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K dated January 8, 2007).</w:t>
            </w:r>
          </w:p>
        </w:tc>
        <w:tc>
          <w:tcPr>
            <w:tcW w:w="40" w:type="dxa"/>
            <w:vAlign w:val="bottom"/>
          </w:tcPr>
          <w:p>
            <w:pPr>
              <w:spacing w:after="0"/>
              <w:rPr>
                <w:sz w:val="21"/>
                <w:szCs w:val="21"/>
                <w:color w:val="auto"/>
              </w:rPr>
            </w:pPr>
          </w:p>
        </w:tc>
      </w:tr>
      <w:tr>
        <w:trPr>
          <w:trHeight w:val="200"/>
        </w:trPr>
        <w:tc>
          <w:tcPr>
            <w:tcW w:w="1200" w:type="dxa"/>
            <w:vAlign w:val="bottom"/>
            <w:tcBorders>
              <w:left w:val="single" w:sz="8" w:color="auto"/>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10.4</w:t>
            </w:r>
          </w:p>
        </w:tc>
        <w:tc>
          <w:tcPr>
            <w:tcW w:w="1022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w w:val="99"/>
              </w:rPr>
              <w:t>Form of Indemnification Agreement (to be provided by Hansen Natural Corporation to its directors) (incorporated by reference</w:t>
            </w:r>
          </w:p>
        </w:tc>
        <w:tc>
          <w:tcPr>
            <w:tcW w:w="40" w:type="dxa"/>
            <w:vAlign w:val="bottom"/>
          </w:tcPr>
          <w:p>
            <w:pPr>
              <w:spacing w:after="0"/>
              <w:rPr>
                <w:sz w:val="17"/>
                <w:szCs w:val="17"/>
                <w:color w:val="auto"/>
              </w:rPr>
            </w:pPr>
          </w:p>
        </w:tc>
      </w:tr>
      <w:tr>
        <w:trPr>
          <w:trHeight w:val="252"/>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to Exhibit 10.1 to our Form 8-K dated November 14, 2005).</w:t>
            </w:r>
          </w:p>
        </w:tc>
        <w:tc>
          <w:tcPr>
            <w:tcW w:w="40" w:type="dxa"/>
            <w:vAlign w:val="bottom"/>
          </w:tcPr>
          <w:p>
            <w:pPr>
              <w:spacing w:after="0"/>
              <w:rPr>
                <w:sz w:val="21"/>
                <w:szCs w:val="21"/>
                <w:color w:val="auto"/>
              </w:rPr>
            </w:pPr>
          </w:p>
        </w:tc>
      </w:tr>
      <w:tr>
        <w:trPr>
          <w:trHeight w:val="200"/>
        </w:trPr>
        <w:tc>
          <w:tcPr>
            <w:tcW w:w="1200" w:type="dxa"/>
            <w:vAlign w:val="bottom"/>
            <w:tcBorders>
              <w:left w:val="single" w:sz="8" w:color="auto"/>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10.5+</w:t>
            </w:r>
          </w:p>
        </w:tc>
        <w:tc>
          <w:tcPr>
            <w:tcW w:w="1022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Hansen Natural Corporation 2001 Amended and Restated Stock Option Plan (incorporated by reference to Exhibit A to our</w:t>
            </w:r>
          </w:p>
        </w:tc>
        <w:tc>
          <w:tcPr>
            <w:tcW w:w="40" w:type="dxa"/>
            <w:vAlign w:val="bottom"/>
          </w:tcPr>
          <w:p>
            <w:pPr>
              <w:spacing w:after="0"/>
              <w:rPr>
                <w:sz w:val="17"/>
                <w:szCs w:val="17"/>
                <w:color w:val="auto"/>
              </w:rPr>
            </w:pPr>
          </w:p>
        </w:tc>
      </w:tr>
      <w:tr>
        <w:trPr>
          <w:trHeight w:val="252"/>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Proxy Statement dated September 25, 2007).</w:t>
            </w:r>
          </w:p>
        </w:tc>
        <w:tc>
          <w:tcPr>
            <w:tcW w:w="40" w:type="dxa"/>
            <w:vAlign w:val="bottom"/>
          </w:tcPr>
          <w:p>
            <w:pPr>
              <w:spacing w:after="0"/>
              <w:rPr>
                <w:sz w:val="21"/>
                <w:szCs w:val="21"/>
                <w:color w:val="auto"/>
              </w:rPr>
            </w:pPr>
          </w:p>
        </w:tc>
      </w:tr>
      <w:tr>
        <w:trPr>
          <w:trHeight w:val="200"/>
        </w:trPr>
        <w:tc>
          <w:tcPr>
            <w:tcW w:w="1200" w:type="dxa"/>
            <w:vAlign w:val="bottom"/>
            <w:tcBorders>
              <w:left w:val="single" w:sz="8" w:color="auto"/>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10.6+</w:t>
            </w:r>
          </w:p>
        </w:tc>
        <w:tc>
          <w:tcPr>
            <w:tcW w:w="1022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Stock Option Agreement between Hansen Natural Corporation and Rodney C. Sacks (made as of June 2, 2008) (incorporated</w:t>
            </w:r>
          </w:p>
        </w:tc>
        <w:tc>
          <w:tcPr>
            <w:tcW w:w="40" w:type="dxa"/>
            <w:vAlign w:val="bottom"/>
          </w:tcPr>
          <w:p>
            <w:pPr>
              <w:spacing w:after="0"/>
              <w:rPr>
                <w:sz w:val="17"/>
                <w:szCs w:val="17"/>
                <w:color w:val="auto"/>
              </w:rPr>
            </w:pPr>
          </w:p>
        </w:tc>
      </w:tr>
      <w:tr>
        <w:trPr>
          <w:trHeight w:val="252"/>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by reference to Exhibit 10.44 to our Form 10-K dated March 1, 2010).</w:t>
            </w:r>
          </w:p>
        </w:tc>
        <w:tc>
          <w:tcPr>
            <w:tcW w:w="40" w:type="dxa"/>
            <w:vAlign w:val="bottom"/>
          </w:tcPr>
          <w:p>
            <w:pPr>
              <w:spacing w:after="0"/>
              <w:rPr>
                <w:sz w:val="21"/>
                <w:szCs w:val="21"/>
                <w:color w:val="auto"/>
              </w:rPr>
            </w:pPr>
          </w:p>
        </w:tc>
      </w:tr>
      <w:tr>
        <w:trPr>
          <w:trHeight w:val="200"/>
        </w:trPr>
        <w:tc>
          <w:tcPr>
            <w:tcW w:w="1200" w:type="dxa"/>
            <w:vAlign w:val="bottom"/>
            <w:tcBorders>
              <w:left w:val="single" w:sz="8" w:color="auto"/>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10.7+</w:t>
            </w:r>
          </w:p>
        </w:tc>
        <w:tc>
          <w:tcPr>
            <w:tcW w:w="1022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Amendment to Stock Option Agreement between Hansen Natural Corporation and Rodney C. Sacks (made as of August 2,</w:t>
            </w:r>
          </w:p>
        </w:tc>
        <w:tc>
          <w:tcPr>
            <w:tcW w:w="40" w:type="dxa"/>
            <w:vAlign w:val="bottom"/>
          </w:tcPr>
          <w:p>
            <w:pPr>
              <w:spacing w:after="0"/>
              <w:rPr>
                <w:sz w:val="17"/>
                <w:szCs w:val="17"/>
                <w:color w:val="auto"/>
              </w:rPr>
            </w:pPr>
          </w:p>
        </w:tc>
      </w:tr>
      <w:tr>
        <w:trPr>
          <w:trHeight w:val="252"/>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2008) (incorporated by reference to Exhibit 10.44A to our Form 10-K dated March 1, 2010).</w:t>
            </w:r>
          </w:p>
        </w:tc>
        <w:tc>
          <w:tcPr>
            <w:tcW w:w="40" w:type="dxa"/>
            <w:vAlign w:val="bottom"/>
          </w:tcPr>
          <w:p>
            <w:pPr>
              <w:spacing w:after="0"/>
              <w:rPr>
                <w:sz w:val="21"/>
                <w:szCs w:val="21"/>
                <w:color w:val="auto"/>
              </w:rPr>
            </w:pPr>
          </w:p>
        </w:tc>
      </w:tr>
      <w:tr>
        <w:trPr>
          <w:trHeight w:val="200"/>
        </w:trPr>
        <w:tc>
          <w:tcPr>
            <w:tcW w:w="1200" w:type="dxa"/>
            <w:vAlign w:val="bottom"/>
            <w:tcBorders>
              <w:left w:val="single" w:sz="8" w:color="auto"/>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10.8+</w:t>
            </w:r>
          </w:p>
        </w:tc>
        <w:tc>
          <w:tcPr>
            <w:tcW w:w="1022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Stock Option Agreement between Hansen Natural Corporation and Hilton H. Schlosberg (made as of June 2, 2008)</w:t>
            </w:r>
          </w:p>
        </w:tc>
        <w:tc>
          <w:tcPr>
            <w:tcW w:w="40" w:type="dxa"/>
            <w:vAlign w:val="bottom"/>
          </w:tcPr>
          <w:p>
            <w:pPr>
              <w:spacing w:after="0"/>
              <w:rPr>
                <w:sz w:val="17"/>
                <w:szCs w:val="17"/>
                <w:color w:val="auto"/>
              </w:rPr>
            </w:pPr>
          </w:p>
        </w:tc>
      </w:tr>
      <w:tr>
        <w:trPr>
          <w:trHeight w:val="252"/>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(incorporated by reference to Exhibit 10.45 to our Form 10-K dated March 1, 2010).</w:t>
            </w:r>
          </w:p>
        </w:tc>
        <w:tc>
          <w:tcPr>
            <w:tcW w:w="40" w:type="dxa"/>
            <w:vAlign w:val="bottom"/>
          </w:tcPr>
          <w:p>
            <w:pPr>
              <w:spacing w:after="0"/>
              <w:rPr>
                <w:sz w:val="21"/>
                <w:szCs w:val="21"/>
                <w:color w:val="auto"/>
              </w:rPr>
            </w:pPr>
          </w:p>
        </w:tc>
      </w:tr>
      <w:tr>
        <w:trPr>
          <w:trHeight w:val="200"/>
        </w:trPr>
        <w:tc>
          <w:tcPr>
            <w:tcW w:w="1200" w:type="dxa"/>
            <w:vAlign w:val="bottom"/>
            <w:tcBorders>
              <w:left w:val="single" w:sz="8" w:color="auto"/>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10.9+</w:t>
            </w:r>
          </w:p>
        </w:tc>
        <w:tc>
          <w:tcPr>
            <w:tcW w:w="1022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w w:val="99"/>
              </w:rPr>
              <w:t>Amendment to Stock Option Agreement between Hansen Natural Corporation and Hilton H. Schlosberg (made as of August 2,</w:t>
            </w:r>
          </w:p>
        </w:tc>
        <w:tc>
          <w:tcPr>
            <w:tcW w:w="40" w:type="dxa"/>
            <w:vAlign w:val="bottom"/>
          </w:tcPr>
          <w:p>
            <w:pPr>
              <w:spacing w:after="0"/>
              <w:rPr>
                <w:sz w:val="17"/>
                <w:szCs w:val="17"/>
                <w:color w:val="auto"/>
              </w:rPr>
            </w:pPr>
          </w:p>
        </w:tc>
      </w:tr>
      <w:tr>
        <w:trPr>
          <w:trHeight w:val="252"/>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2008) (incorporated by reference to Exhibit 10.45A to our Form 10-K dated March 1, 2010).</w:t>
            </w:r>
          </w:p>
        </w:tc>
        <w:tc>
          <w:tcPr>
            <w:tcW w:w="40" w:type="dxa"/>
            <w:vAlign w:val="bottom"/>
          </w:tcPr>
          <w:p>
            <w:pPr>
              <w:spacing w:after="0"/>
              <w:rPr>
                <w:sz w:val="21"/>
                <w:szCs w:val="21"/>
                <w:color w:val="auto"/>
              </w:rPr>
            </w:pPr>
          </w:p>
        </w:tc>
      </w:tr>
      <w:tr>
        <w:trPr>
          <w:trHeight w:val="200"/>
        </w:trPr>
        <w:tc>
          <w:tcPr>
            <w:tcW w:w="1200" w:type="dxa"/>
            <w:vAlign w:val="bottom"/>
            <w:tcBorders>
              <w:left w:val="single" w:sz="8" w:color="auto"/>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10.10+</w:t>
            </w:r>
          </w:p>
        </w:tc>
        <w:tc>
          <w:tcPr>
            <w:tcW w:w="1022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w w:val="99"/>
              </w:rPr>
              <w:t>2009 Hansen Natural Corporation Stock Incentive Plan for Non-Employee Directors (incorporated by reference to Exhibit A to</w:t>
            </w:r>
          </w:p>
        </w:tc>
        <w:tc>
          <w:tcPr>
            <w:tcW w:w="40" w:type="dxa"/>
            <w:vAlign w:val="bottom"/>
          </w:tcPr>
          <w:p>
            <w:pPr>
              <w:spacing w:after="0"/>
              <w:rPr>
                <w:sz w:val="17"/>
                <w:szCs w:val="17"/>
                <w:color w:val="auto"/>
              </w:rPr>
            </w:pPr>
          </w:p>
        </w:tc>
      </w:tr>
      <w:tr>
        <w:trPr>
          <w:trHeight w:val="252"/>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our Proxy Statement dated April 24, 2009).</w:t>
            </w:r>
          </w:p>
        </w:tc>
        <w:tc>
          <w:tcPr>
            <w:tcW w:w="40" w:type="dxa"/>
            <w:vAlign w:val="bottom"/>
          </w:tcPr>
          <w:p>
            <w:pPr>
              <w:spacing w:after="0"/>
              <w:rPr>
                <w:sz w:val="21"/>
                <w:szCs w:val="21"/>
                <w:color w:val="auto"/>
              </w:rPr>
            </w:pPr>
          </w:p>
        </w:tc>
      </w:tr>
      <w:tr>
        <w:trPr>
          <w:trHeight w:val="200"/>
        </w:trPr>
        <w:tc>
          <w:tcPr>
            <w:tcW w:w="1200" w:type="dxa"/>
            <w:vAlign w:val="bottom"/>
            <w:tcBorders>
              <w:left w:val="single" w:sz="8" w:color="auto"/>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10.11+</w:t>
            </w:r>
          </w:p>
        </w:tc>
        <w:tc>
          <w:tcPr>
            <w:tcW w:w="1022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Stock Option Agreement between Hansen Natural Corporation and Rodney C. Sacks (made as of December 1, 2009)</w:t>
            </w:r>
          </w:p>
        </w:tc>
        <w:tc>
          <w:tcPr>
            <w:tcW w:w="40" w:type="dxa"/>
            <w:vAlign w:val="bottom"/>
          </w:tcPr>
          <w:p>
            <w:pPr>
              <w:spacing w:after="0"/>
              <w:rPr>
                <w:sz w:val="17"/>
                <w:szCs w:val="17"/>
                <w:color w:val="auto"/>
              </w:rPr>
            </w:pPr>
          </w:p>
        </w:tc>
      </w:tr>
      <w:tr>
        <w:trPr>
          <w:trHeight w:val="252"/>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(incorporated by reference to Exhibit 10.51 to our Form 10-K dated March 1, 2010).</w:t>
            </w:r>
          </w:p>
        </w:tc>
        <w:tc>
          <w:tcPr>
            <w:tcW w:w="40" w:type="dxa"/>
            <w:vAlign w:val="bottom"/>
          </w:tcPr>
          <w:p>
            <w:pPr>
              <w:spacing w:after="0"/>
              <w:rPr>
                <w:sz w:val="21"/>
                <w:szCs w:val="21"/>
                <w:color w:val="auto"/>
              </w:rPr>
            </w:pPr>
          </w:p>
        </w:tc>
      </w:tr>
      <w:tr>
        <w:trPr>
          <w:trHeight w:val="406"/>
        </w:trPr>
        <w:tc>
          <w:tcPr>
            <w:tcW w:w="1200" w:type="dxa"/>
            <w:vAlign w:val="bottom"/>
          </w:tcPr>
          <w:p>
            <w:pPr>
              <w:spacing w:after="0"/>
              <w:rPr>
                <w:sz w:val="24"/>
                <w:szCs w:val="24"/>
                <w:color w:val="auto"/>
              </w:rPr>
            </w:pPr>
          </w:p>
        </w:tc>
        <w:tc>
          <w:tcPr>
            <w:tcW w:w="10220" w:type="dxa"/>
            <w:vAlign w:val="bottom"/>
          </w:tcPr>
          <w:p>
            <w:pPr>
              <w:ind w:left="4440"/>
              <w:spacing w:after="0"/>
              <w:rPr>
                <w:sz w:val="20"/>
                <w:szCs w:val="20"/>
                <w:color w:val="auto"/>
              </w:rPr>
            </w:pPr>
            <w:r>
              <w:rPr>
                <w:rFonts w:ascii="Times New Roman" w:cs="Times New Roman" w:eastAsia="Times New Roman" w:hAnsi="Times New Roman"/>
                <w:sz w:val="16"/>
                <w:szCs w:val="16"/>
                <w:color w:val="auto"/>
              </w:rPr>
              <w:t>70</w:t>
            </w:r>
          </w:p>
        </w:tc>
        <w:tc>
          <w:tcPr>
            <w:tcW w:w="40" w:type="dxa"/>
            <w:vAlign w:val="bottom"/>
          </w:tcPr>
          <w:p>
            <w:pPr>
              <w:spacing w:after="0"/>
              <w:rPr>
                <w:sz w:val="24"/>
                <w:szCs w:val="24"/>
                <w:color w:val="auto"/>
              </w:rPr>
            </w:pPr>
          </w:p>
        </w:tc>
      </w:tr>
      <w:tr>
        <w:trPr>
          <w:trHeight w:val="138"/>
        </w:trPr>
        <w:tc>
          <w:tcPr>
            <w:tcW w:w="1200" w:type="dxa"/>
            <w:vAlign w:val="bottom"/>
            <w:tcBorders>
              <w:bottom w:val="single" w:sz="8" w:color="808080"/>
            </w:tcBorders>
          </w:tcPr>
          <w:p>
            <w:pPr>
              <w:spacing w:after="0"/>
              <w:rPr>
                <w:sz w:val="11"/>
                <w:szCs w:val="11"/>
                <w:color w:val="auto"/>
              </w:rPr>
            </w:pPr>
          </w:p>
        </w:tc>
        <w:tc>
          <w:tcPr>
            <w:tcW w:w="10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4" w:lineRule="exact"/>
        <w:rPr>
          <w:sz w:val="20"/>
          <w:szCs w:val="20"/>
          <w:color w:val="auto"/>
        </w:rPr>
      </w:pPr>
    </w:p>
    <w:p>
      <w:pPr>
        <w:ind w:left="1260" w:right="620" w:hanging="1174"/>
        <w:spacing w:after="0" w:line="254" w:lineRule="auto"/>
        <w:tabs>
          <w:tab w:leader="none" w:pos="1240" w:val="left"/>
        </w:tabs>
        <w:rPr>
          <w:sz w:val="20"/>
          <w:szCs w:val="20"/>
          <w:color w:val="auto"/>
        </w:rPr>
      </w:pPr>
      <w:r>
        <w:rPr>
          <w:rFonts w:ascii="Times New Roman" w:cs="Times New Roman" w:eastAsia="Times New Roman" w:hAnsi="Times New Roman"/>
          <w:sz w:val="20"/>
          <w:szCs w:val="20"/>
          <w:color w:val="auto"/>
        </w:rPr>
        <w:t>10.12+</w:t>
      </w:r>
      <w:r>
        <w:rPr>
          <w:sz w:val="20"/>
          <w:szCs w:val="20"/>
          <w:color w:val="auto"/>
        </w:rPr>
        <w:tab/>
      </w:r>
      <w:r>
        <w:rPr>
          <w:rFonts w:ascii="Times New Roman" w:cs="Times New Roman" w:eastAsia="Times New Roman" w:hAnsi="Times New Roman"/>
          <w:sz w:val="20"/>
          <w:szCs w:val="20"/>
          <w:color w:val="auto"/>
        </w:rPr>
        <w:t>Stock Option Agreement between Hansen Natural Corporation and Hilton H. Schlosberg (made as of December 1, 2009) (incorporated by reference to exhibit 10.52 to our Form 10-K dated March 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246620" cy="696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696595"/>
                    </a:xfrm>
                    <a:prstGeom prst="rect">
                      <a:avLst/>
                    </a:prstGeom>
                    <a:noFill/>
                  </pic:spPr>
                </pic:pic>
              </a:graphicData>
            </a:graphic>
          </wp:anchor>
        </w:drawing>
      </w:r>
    </w:p>
    <w:p>
      <w:pPr>
        <w:ind w:left="1260" w:right="180" w:hanging="1174"/>
        <w:spacing w:after="0" w:line="253" w:lineRule="auto"/>
        <w:tabs>
          <w:tab w:leader="none" w:pos="1240" w:val="left"/>
        </w:tabs>
        <w:rPr>
          <w:sz w:val="20"/>
          <w:szCs w:val="20"/>
          <w:color w:val="auto"/>
        </w:rPr>
      </w:pPr>
      <w:r>
        <w:rPr>
          <w:rFonts w:ascii="Times New Roman" w:cs="Times New Roman" w:eastAsia="Times New Roman" w:hAnsi="Times New Roman"/>
          <w:sz w:val="20"/>
          <w:szCs w:val="20"/>
          <w:color w:val="auto"/>
        </w:rPr>
        <w:t>10.13+</w:t>
      </w:r>
      <w:r>
        <w:rPr>
          <w:sz w:val="20"/>
          <w:szCs w:val="20"/>
          <w:color w:val="auto"/>
        </w:rPr>
        <w:tab/>
      </w:r>
      <w:r>
        <w:rPr>
          <w:rFonts w:ascii="Times New Roman" w:cs="Times New Roman" w:eastAsia="Times New Roman" w:hAnsi="Times New Roman"/>
          <w:sz w:val="20"/>
          <w:szCs w:val="20"/>
          <w:color w:val="auto"/>
        </w:rPr>
        <w:t>Stock Option Agreement between Hansen Natural Corporation and Mark J. Hall (made as of December 1, 2009) (incorporated by reference to Exhibit 10.53 to our Form 10-K dated March 1, 2010).</w:t>
      </w:r>
    </w:p>
    <w:p>
      <w:pPr>
        <w:sectPr>
          <w:pgSz w:w="11900" w:h="16838" w:orient="portrait"/>
          <w:cols w:equalWidth="0" w:num="1">
            <w:col w:w="11460"/>
          </w:cols>
          <w:pgMar w:left="240" w:top="346" w:right="199" w:bottom="0" w:gutter="0" w:footer="0" w:header="0"/>
        </w:sectPr>
      </w:pPr>
    </w:p>
    <w:bookmarkStart w:id="46" w:name="page47"/>
    <w:bookmarkEnd w:id="46"/>
    <w:tbl>
      <w:tblPr>
        <w:tblLayout w:type="fixed"/>
        <w:tblInd w:w="10" w:type="dxa"/>
        <w:tblCellMar>
          <w:top w:w="0" w:type="dxa"/>
          <w:left w:w="0" w:type="dxa"/>
          <w:bottom w:w="0" w:type="dxa"/>
          <w:right w:w="0" w:type="dxa"/>
        </w:tblCellMar>
      </w:tblPr>
      <w:tr>
        <w:trPr>
          <w:trHeight w:val="230"/>
        </w:trPr>
        <w:tc>
          <w:tcPr>
            <w:tcW w:w="1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10.14+</w:t>
            </w:r>
          </w:p>
        </w:tc>
        <w:tc>
          <w:tcPr>
            <w:tcW w:w="10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w w:val="99"/>
              </w:rPr>
              <w:t>Stock Option Agreement between Hansen Natural Corporation and Mark J. Hall (made as of December 1, 2010) (incorporated</w:t>
            </w:r>
          </w:p>
        </w:tc>
      </w:tr>
      <w:tr>
        <w:trPr>
          <w:trHeight w:val="252"/>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by reference to Exhibit 10.54 to our Form 10-K dated March 1, 2011).</w:t>
            </w:r>
          </w:p>
        </w:tc>
      </w:tr>
      <w:tr>
        <w:trPr>
          <w:trHeight w:val="200"/>
        </w:trPr>
        <w:tc>
          <w:tcPr>
            <w:tcW w:w="1200" w:type="dxa"/>
            <w:vAlign w:val="bottom"/>
            <w:tcBorders>
              <w:left w:val="single" w:sz="8" w:color="auto"/>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10.15+</w:t>
            </w:r>
          </w:p>
        </w:tc>
        <w:tc>
          <w:tcPr>
            <w:tcW w:w="1022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Form of Restricted Stock Unit Agreement pursuant to the 2009 Hansen Natural Corporation Stock Incentive Plan for Non-</w:t>
            </w:r>
          </w:p>
        </w:tc>
      </w:tr>
      <w:tr>
        <w:trPr>
          <w:trHeight w:val="252"/>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Employee Directors (incorporated by reference to Exhibit 10.1 to our Form 10-K dated August 5, 2016).</w:t>
            </w:r>
          </w:p>
        </w:tc>
      </w:tr>
      <w:tr>
        <w:trPr>
          <w:trHeight w:val="223"/>
        </w:trPr>
        <w:tc>
          <w:tcPr>
            <w:tcW w:w="1200" w:type="dxa"/>
            <w:vAlign w:val="bottom"/>
            <w:tcBorders>
              <w:left w:val="single" w:sz="8" w:color="auto"/>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10.16+</w:t>
            </w:r>
          </w:p>
        </w:tc>
        <w:tc>
          <w:tcPr>
            <w:tcW w:w="10220" w:type="dxa"/>
            <w:vAlign w:val="bottom"/>
            <w:tcBorders>
              <w:bottom w:val="single" w:sz="8" w:color="auto"/>
              <w:right w:val="single" w:sz="8" w:color="auto"/>
            </w:tcBorders>
          </w:tcPr>
          <w:p>
            <w:pPr>
              <w:ind w:left="60"/>
              <w:spacing w:after="0" w:line="223" w:lineRule="exact"/>
              <w:rPr>
                <w:sz w:val="20"/>
                <w:szCs w:val="20"/>
                <w:color w:val="auto"/>
              </w:rPr>
            </w:pPr>
            <w:r>
              <w:rPr>
                <w:rFonts w:ascii="Times New Roman" w:cs="Times New Roman" w:eastAsia="Times New Roman" w:hAnsi="Times New Roman"/>
                <w:sz w:val="20"/>
                <w:szCs w:val="20"/>
                <w:color w:val="auto"/>
              </w:rPr>
              <w:t>Form of Restricted Stock Agreement (incorporated by reference to Exhibit 10.1 to our Form 10-Q dated August 9, 2011).</w:t>
            </w:r>
          </w:p>
        </w:tc>
      </w:tr>
      <w:tr>
        <w:trPr>
          <w:trHeight w:val="200"/>
        </w:trPr>
        <w:tc>
          <w:tcPr>
            <w:tcW w:w="1200" w:type="dxa"/>
            <w:vAlign w:val="bottom"/>
            <w:tcBorders>
              <w:left w:val="single" w:sz="8" w:color="auto"/>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10.17+</w:t>
            </w:r>
          </w:p>
        </w:tc>
        <w:tc>
          <w:tcPr>
            <w:tcW w:w="1022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w w:val="99"/>
              </w:rPr>
              <w:t>Monster Beverage Corporation 2011 Omnibus Incentive Plan (incorporated by reference to Exhibit 10.1 to our Form 8-K dated</w:t>
            </w:r>
          </w:p>
        </w:tc>
      </w:tr>
      <w:tr>
        <w:trPr>
          <w:trHeight w:val="252"/>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May 24, 2011).</w:t>
            </w:r>
          </w:p>
        </w:tc>
      </w:tr>
      <w:tr>
        <w:trPr>
          <w:trHeight w:val="200"/>
        </w:trPr>
        <w:tc>
          <w:tcPr>
            <w:tcW w:w="1200" w:type="dxa"/>
            <w:vAlign w:val="bottom"/>
            <w:tcBorders>
              <w:left w:val="single" w:sz="8" w:color="auto"/>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10.18+</w:t>
            </w:r>
          </w:p>
        </w:tc>
        <w:tc>
          <w:tcPr>
            <w:tcW w:w="1022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Agreement between the Company and Mark Hall, dated March 12, 2015 (incorporated by reference to Exhibit 10.1 to our</w:t>
            </w:r>
          </w:p>
        </w:tc>
      </w:tr>
      <w:tr>
        <w:trPr>
          <w:trHeight w:val="252"/>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Form 10-Q dated May 11, 2015).</w:t>
            </w:r>
          </w:p>
        </w:tc>
      </w:tr>
      <w:tr>
        <w:trPr>
          <w:trHeight w:val="200"/>
        </w:trPr>
        <w:tc>
          <w:tcPr>
            <w:tcW w:w="1200" w:type="dxa"/>
            <w:vAlign w:val="bottom"/>
            <w:tcBorders>
              <w:left w:val="single" w:sz="8" w:color="auto"/>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10.19+</w:t>
            </w:r>
          </w:p>
        </w:tc>
        <w:tc>
          <w:tcPr>
            <w:tcW w:w="1022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Employment Agreement between Monster Beverage Corporation and Rodney C. Sacks (incorporated by reference to</w:t>
            </w:r>
          </w:p>
        </w:tc>
      </w:tr>
      <w:tr>
        <w:trPr>
          <w:trHeight w:val="252"/>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Exhibit 10.1 to our Form 8-K dated March 19, 2014).</w:t>
            </w:r>
          </w:p>
        </w:tc>
      </w:tr>
      <w:tr>
        <w:trPr>
          <w:trHeight w:val="200"/>
        </w:trPr>
        <w:tc>
          <w:tcPr>
            <w:tcW w:w="1200" w:type="dxa"/>
            <w:vAlign w:val="bottom"/>
            <w:tcBorders>
              <w:left w:val="single" w:sz="8" w:color="auto"/>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10.20+</w:t>
            </w:r>
          </w:p>
        </w:tc>
        <w:tc>
          <w:tcPr>
            <w:tcW w:w="1022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Employment Agreement between Monster Beverage Corporation and Hilton H. Schlosberg (incorporated by reference to</w:t>
            </w:r>
          </w:p>
        </w:tc>
      </w:tr>
      <w:tr>
        <w:trPr>
          <w:trHeight w:val="252"/>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Exhibit 10.2 to our Form 8-K dated March 19, 2014).</w:t>
            </w:r>
          </w:p>
        </w:tc>
      </w:tr>
      <w:tr>
        <w:trPr>
          <w:trHeight w:val="200"/>
        </w:trPr>
        <w:tc>
          <w:tcPr>
            <w:tcW w:w="1200" w:type="dxa"/>
            <w:vAlign w:val="bottom"/>
            <w:tcBorders>
              <w:left w:val="single" w:sz="8" w:color="auto"/>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10.21+</w:t>
            </w:r>
          </w:p>
        </w:tc>
        <w:tc>
          <w:tcPr>
            <w:tcW w:w="1022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Monster Beverage Corporation Deferred Compensation Plan (incorporated by reference to Exhibit 4.1 to our Form S-8 dated</w:t>
            </w:r>
          </w:p>
        </w:tc>
      </w:tr>
      <w:tr>
        <w:trPr>
          <w:trHeight w:val="252"/>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December 27, 2016).</w:t>
            </w:r>
          </w:p>
        </w:tc>
      </w:tr>
      <w:tr>
        <w:trPr>
          <w:trHeight w:val="223"/>
        </w:trPr>
        <w:tc>
          <w:tcPr>
            <w:tcW w:w="1200" w:type="dxa"/>
            <w:vAlign w:val="bottom"/>
            <w:tcBorders>
              <w:left w:val="single" w:sz="8" w:color="auto"/>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21*</w:t>
            </w:r>
          </w:p>
        </w:tc>
        <w:tc>
          <w:tcPr>
            <w:tcW w:w="10220" w:type="dxa"/>
            <w:vAlign w:val="bottom"/>
            <w:tcBorders>
              <w:bottom w:val="single" w:sz="8" w:color="auto"/>
              <w:right w:val="single" w:sz="8" w:color="auto"/>
            </w:tcBorders>
          </w:tcPr>
          <w:p>
            <w:pPr>
              <w:ind w:left="60"/>
              <w:spacing w:after="0" w:line="223" w:lineRule="exact"/>
              <w:rPr>
                <w:sz w:val="20"/>
                <w:szCs w:val="20"/>
                <w:color w:val="auto"/>
              </w:rPr>
            </w:pPr>
            <w:r>
              <w:rPr>
                <w:rFonts w:ascii="Times New Roman" w:cs="Times New Roman" w:eastAsia="Times New Roman" w:hAnsi="Times New Roman"/>
                <w:sz w:val="20"/>
                <w:szCs w:val="20"/>
                <w:color w:val="auto"/>
              </w:rPr>
              <w:t>Subsidiaries</w:t>
            </w:r>
          </w:p>
        </w:tc>
      </w:tr>
      <w:tr>
        <w:trPr>
          <w:trHeight w:val="223"/>
        </w:trPr>
        <w:tc>
          <w:tcPr>
            <w:tcW w:w="1200" w:type="dxa"/>
            <w:vAlign w:val="bottom"/>
            <w:tcBorders>
              <w:left w:val="single" w:sz="8" w:color="auto"/>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23*</w:t>
            </w:r>
          </w:p>
        </w:tc>
        <w:tc>
          <w:tcPr>
            <w:tcW w:w="10220" w:type="dxa"/>
            <w:vAlign w:val="bottom"/>
            <w:tcBorders>
              <w:bottom w:val="single" w:sz="8" w:color="auto"/>
              <w:right w:val="single" w:sz="8" w:color="auto"/>
            </w:tcBorders>
          </w:tcPr>
          <w:p>
            <w:pPr>
              <w:ind w:left="60"/>
              <w:spacing w:after="0" w:line="223" w:lineRule="exact"/>
              <w:rPr>
                <w:sz w:val="20"/>
                <w:szCs w:val="20"/>
                <w:color w:val="auto"/>
              </w:rPr>
            </w:pPr>
            <w:r>
              <w:rPr>
                <w:rFonts w:ascii="Times New Roman" w:cs="Times New Roman" w:eastAsia="Times New Roman" w:hAnsi="Times New Roman"/>
                <w:sz w:val="20"/>
                <w:szCs w:val="20"/>
                <w:color w:val="auto"/>
              </w:rPr>
              <w:t>Consent of Independent Registered Public Accounting Firm</w:t>
            </w:r>
          </w:p>
        </w:tc>
      </w:tr>
      <w:tr>
        <w:trPr>
          <w:trHeight w:val="200"/>
        </w:trPr>
        <w:tc>
          <w:tcPr>
            <w:tcW w:w="1200" w:type="dxa"/>
            <w:vAlign w:val="bottom"/>
            <w:tcBorders>
              <w:left w:val="single" w:sz="8" w:color="auto"/>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31.1*</w:t>
            </w:r>
          </w:p>
        </w:tc>
        <w:tc>
          <w:tcPr>
            <w:tcW w:w="1022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w w:val="99"/>
              </w:rPr>
              <w:t>Certification by CEO pursuant to Rule 13A-14(a) or 15D-14(a) of the Securities Exchange Act of 1934, as adopted pursuant to</w:t>
            </w:r>
          </w:p>
        </w:tc>
      </w:tr>
      <w:tr>
        <w:trPr>
          <w:trHeight w:val="252"/>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Section 302 of the Sarbanes-Oxley Act of 2002 *</w:t>
            </w:r>
          </w:p>
        </w:tc>
      </w:tr>
      <w:tr>
        <w:trPr>
          <w:trHeight w:val="200"/>
        </w:trPr>
        <w:tc>
          <w:tcPr>
            <w:tcW w:w="1200" w:type="dxa"/>
            <w:vAlign w:val="bottom"/>
            <w:tcBorders>
              <w:left w:val="single" w:sz="8" w:color="auto"/>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31.2*</w:t>
            </w:r>
          </w:p>
        </w:tc>
        <w:tc>
          <w:tcPr>
            <w:tcW w:w="1022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w w:val="99"/>
              </w:rPr>
              <w:t>Certification by CFO pursuant to Rule 13A-14(a) or 15D-14(a) of the Securities Exchange Act of 1934, as adopted pursuant to</w:t>
            </w:r>
          </w:p>
        </w:tc>
      </w:tr>
      <w:tr>
        <w:trPr>
          <w:trHeight w:val="252"/>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Section 302 of the Sarbanes-Oxley Act of 2002 *</w:t>
            </w:r>
          </w:p>
        </w:tc>
      </w:tr>
      <w:tr>
        <w:trPr>
          <w:trHeight w:val="200"/>
        </w:trPr>
        <w:tc>
          <w:tcPr>
            <w:tcW w:w="1200" w:type="dxa"/>
            <w:vAlign w:val="bottom"/>
            <w:tcBorders>
              <w:left w:val="single" w:sz="8" w:color="auto"/>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32.1*</w:t>
            </w:r>
          </w:p>
        </w:tc>
        <w:tc>
          <w:tcPr>
            <w:tcW w:w="1022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Certification by CEO pursuant to 18 U.S.C. Section 1350, as adopted pursuant to Section 906 of the Sarbanes-Oxley Act of</w:t>
            </w:r>
          </w:p>
        </w:tc>
      </w:tr>
      <w:tr>
        <w:trPr>
          <w:trHeight w:val="252"/>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2002 *</w:t>
            </w:r>
          </w:p>
        </w:tc>
      </w:tr>
      <w:tr>
        <w:trPr>
          <w:trHeight w:val="200"/>
        </w:trPr>
        <w:tc>
          <w:tcPr>
            <w:tcW w:w="1200" w:type="dxa"/>
            <w:vAlign w:val="bottom"/>
            <w:tcBorders>
              <w:left w:val="single" w:sz="8" w:color="auto"/>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32.2*</w:t>
            </w:r>
          </w:p>
        </w:tc>
        <w:tc>
          <w:tcPr>
            <w:tcW w:w="1022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Certification by CFO pursuant to 18 U.S.C. Section 1350, as adopted pursuant to Section 906 of the Sarbanes-Oxley Act of</w:t>
            </w:r>
          </w:p>
        </w:tc>
      </w:tr>
      <w:tr>
        <w:trPr>
          <w:trHeight w:val="252"/>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2002 *</w:t>
            </w:r>
          </w:p>
        </w:tc>
      </w:tr>
      <w:tr>
        <w:trPr>
          <w:trHeight w:val="200"/>
        </w:trPr>
        <w:tc>
          <w:tcPr>
            <w:tcW w:w="1200" w:type="dxa"/>
            <w:vAlign w:val="bottom"/>
            <w:tcBorders>
              <w:left w:val="single" w:sz="8" w:color="auto"/>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101*</w:t>
            </w:r>
          </w:p>
        </w:tc>
        <w:tc>
          <w:tcPr>
            <w:tcW w:w="1022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The following materials from Monster Beverage Corporation’s Annual Report on Form 10-K for the fiscal year ended</w:t>
            </w:r>
          </w:p>
        </w:tc>
      </w:tr>
      <w:tr>
        <w:trPr>
          <w:trHeight w:val="230"/>
        </w:trPr>
        <w:tc>
          <w:tcPr>
            <w:tcW w:w="1200" w:type="dxa"/>
            <w:vAlign w:val="bottom"/>
            <w:tcBorders>
              <w:left w:val="single" w:sz="8" w:color="auto"/>
              <w:right w:val="single" w:sz="8" w:color="auto"/>
            </w:tcBorders>
          </w:tcPr>
          <w:p>
            <w:pPr>
              <w:spacing w:after="0"/>
              <w:rPr>
                <w:sz w:val="19"/>
                <w:szCs w:val="19"/>
                <w:color w:val="auto"/>
              </w:rPr>
            </w:pPr>
          </w:p>
        </w:tc>
        <w:tc>
          <w:tcPr>
            <w:tcW w:w="10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December 31, 2016 are furnished herewith, formatted in XBRL (eXtensible Business Reporting Language): (i) the</w:t>
            </w:r>
          </w:p>
        </w:tc>
      </w:tr>
      <w:tr>
        <w:trPr>
          <w:trHeight w:val="230"/>
        </w:trPr>
        <w:tc>
          <w:tcPr>
            <w:tcW w:w="1200" w:type="dxa"/>
            <w:vAlign w:val="bottom"/>
            <w:tcBorders>
              <w:left w:val="single" w:sz="8" w:color="auto"/>
              <w:right w:val="single" w:sz="8" w:color="auto"/>
            </w:tcBorders>
          </w:tcPr>
          <w:p>
            <w:pPr>
              <w:spacing w:after="0"/>
              <w:rPr>
                <w:sz w:val="19"/>
                <w:szCs w:val="19"/>
                <w:color w:val="auto"/>
              </w:rPr>
            </w:pPr>
          </w:p>
        </w:tc>
        <w:tc>
          <w:tcPr>
            <w:tcW w:w="10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Consolidated Balance Sheets as of December 31, 2016 and 2015, (ii) the Consolidated Statements of Income for the years</w:t>
            </w:r>
          </w:p>
        </w:tc>
      </w:tr>
      <w:tr>
        <w:trPr>
          <w:trHeight w:val="230"/>
        </w:trPr>
        <w:tc>
          <w:tcPr>
            <w:tcW w:w="1200" w:type="dxa"/>
            <w:vAlign w:val="bottom"/>
            <w:tcBorders>
              <w:left w:val="single" w:sz="8" w:color="auto"/>
              <w:right w:val="single" w:sz="8" w:color="auto"/>
            </w:tcBorders>
          </w:tcPr>
          <w:p>
            <w:pPr>
              <w:spacing w:after="0"/>
              <w:rPr>
                <w:sz w:val="19"/>
                <w:szCs w:val="19"/>
                <w:color w:val="auto"/>
              </w:rPr>
            </w:pPr>
          </w:p>
        </w:tc>
        <w:tc>
          <w:tcPr>
            <w:tcW w:w="10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ended December 31, 2016, 2015 and 2014, (iii) the Consolidated Statements of Stockholders’ Equity for the years ended</w:t>
            </w:r>
          </w:p>
        </w:tc>
      </w:tr>
      <w:tr>
        <w:trPr>
          <w:trHeight w:val="230"/>
        </w:trPr>
        <w:tc>
          <w:tcPr>
            <w:tcW w:w="1200" w:type="dxa"/>
            <w:vAlign w:val="bottom"/>
            <w:tcBorders>
              <w:left w:val="single" w:sz="8" w:color="auto"/>
              <w:right w:val="single" w:sz="8" w:color="auto"/>
            </w:tcBorders>
          </w:tcPr>
          <w:p>
            <w:pPr>
              <w:spacing w:after="0"/>
              <w:rPr>
                <w:sz w:val="19"/>
                <w:szCs w:val="19"/>
                <w:color w:val="auto"/>
              </w:rPr>
            </w:pPr>
          </w:p>
        </w:tc>
        <w:tc>
          <w:tcPr>
            <w:tcW w:w="10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w w:val="99"/>
              </w:rPr>
              <w:t>December 31, 2016, 2015 and 2014, (iv) Consolidated Statements of Comprehensive Income for the years ended December 31,</w:t>
            </w:r>
          </w:p>
        </w:tc>
      </w:tr>
      <w:tr>
        <w:trPr>
          <w:trHeight w:val="230"/>
        </w:trPr>
        <w:tc>
          <w:tcPr>
            <w:tcW w:w="1200" w:type="dxa"/>
            <w:vAlign w:val="bottom"/>
            <w:tcBorders>
              <w:left w:val="single" w:sz="8" w:color="auto"/>
              <w:right w:val="single" w:sz="8" w:color="auto"/>
            </w:tcBorders>
          </w:tcPr>
          <w:p>
            <w:pPr>
              <w:spacing w:after="0"/>
              <w:rPr>
                <w:sz w:val="19"/>
                <w:szCs w:val="19"/>
                <w:color w:val="auto"/>
              </w:rPr>
            </w:pPr>
          </w:p>
        </w:tc>
        <w:tc>
          <w:tcPr>
            <w:tcW w:w="10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w w:val="99"/>
              </w:rPr>
              <w:t>2016, 2015 and 2014, (v) Consolidated Statements of Cash Flows for the years ended December 31, 2016, 2015 and 2014, and</w:t>
            </w:r>
          </w:p>
        </w:tc>
      </w:tr>
      <w:tr>
        <w:trPr>
          <w:trHeight w:val="252"/>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0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(vi) the Notes to Consolidated Financial Statements.</w:t>
            </w:r>
          </w:p>
        </w:tc>
      </w:tr>
    </w:tbl>
    <w:p>
      <w:pPr>
        <w:spacing w:after="0" w:line="145"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Filed herewith.</w:t>
      </w:r>
    </w:p>
    <w:p>
      <w:pPr>
        <w:ind w:left="200" w:hanging="192"/>
        <w:spacing w:after="0" w:line="187" w:lineRule="auto"/>
        <w:tabs>
          <w:tab w:leader="none" w:pos="20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Management contract or compensatory plans or arrangements.</w:t>
      </w: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380" w:type="dxa"/>
            <w:vAlign w:val="bottom"/>
            <w:gridSpan w:val="10"/>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86"/>
        </w:trPr>
        <w:tc>
          <w:tcPr>
            <w:tcW w:w="10380" w:type="dxa"/>
            <w:vAlign w:val="bottom"/>
            <w:gridSpan w:val="10"/>
          </w:tcPr>
          <w:p>
            <w:pPr>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 AND FINANCIAL STATEMENT SCHEDULE</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20"/>
                <w:szCs w:val="20"/>
                <w:color w:val="auto"/>
              </w:rPr>
              <w:t>Page</w:t>
            </w:r>
          </w:p>
        </w:tc>
        <w:tc>
          <w:tcPr>
            <w:tcW w:w="40" w:type="dxa"/>
            <w:vAlign w:val="bottom"/>
          </w:tcPr>
          <w:p>
            <w:pPr>
              <w:spacing w:after="0"/>
              <w:rPr>
                <w:sz w:val="24"/>
                <w:szCs w:val="24"/>
                <w:color w:val="auto"/>
              </w:rPr>
            </w:pPr>
          </w:p>
        </w:tc>
      </w:tr>
      <w:tr>
        <w:trPr>
          <w:trHeight w:val="459"/>
        </w:trPr>
        <w:tc>
          <w:tcPr>
            <w:tcW w:w="1038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MONSTER BEVERAGE CORPORATION AND SUBSIDIARIES</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3"/>
        </w:trPr>
        <w:tc>
          <w:tcPr>
            <w:tcW w:w="10380" w:type="dxa"/>
            <w:vAlign w:val="bottom"/>
            <w:gridSpan w:val="10"/>
          </w:tcPr>
          <w:p>
            <w:pPr>
              <w:spacing w:after="0"/>
              <w:rPr>
                <w:rFonts w:ascii="Times New Roman" w:cs="Times New Roman" w:eastAsia="Times New Roman" w:hAnsi="Times New Roman"/>
                <w:sz w:val="20"/>
                <w:szCs w:val="20"/>
                <w:color w:val="0000EE"/>
              </w:rPr>
            </w:pPr>
            <w:hyperlink w:anchor="page47">
              <w:r>
                <w:rPr>
                  <w:rFonts w:ascii="Times New Roman" w:cs="Times New Roman" w:eastAsia="Times New Roman" w:hAnsi="Times New Roman"/>
                  <w:sz w:val="20"/>
                  <w:szCs w:val="20"/>
                  <w:color w:val="0000EE"/>
                </w:rPr>
                <w:t>Report of Independent Registered Public Accounting Firm</w:t>
              </w:r>
            </w:hyperlink>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73</w:t>
            </w:r>
          </w:p>
        </w:tc>
        <w:tc>
          <w:tcPr>
            <w:tcW w:w="40" w:type="dxa"/>
            <w:vAlign w:val="bottom"/>
          </w:tcPr>
          <w:p>
            <w:pPr>
              <w:spacing w:after="0"/>
              <w:rPr>
                <w:sz w:val="24"/>
                <w:szCs w:val="24"/>
                <w:color w:val="auto"/>
              </w:rPr>
            </w:pPr>
          </w:p>
        </w:tc>
      </w:tr>
      <w:tr>
        <w:trPr>
          <w:trHeight w:val="20"/>
        </w:trPr>
        <w:tc>
          <w:tcPr>
            <w:tcW w:w="348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5120" w:type="dxa"/>
            <w:vAlign w:val="bottom"/>
            <w:tcBorders>
              <w:bottom w:val="single" w:sz="8" w:color="0000EE"/>
            </w:tcBorders>
            <w:gridSpan w:val="4"/>
          </w:tcPr>
          <w:p>
            <w:pPr>
              <w:spacing w:after="0"/>
              <w:rPr>
                <w:rFonts w:ascii="Times New Roman" w:cs="Times New Roman" w:eastAsia="Times New Roman" w:hAnsi="Times New Roman"/>
                <w:sz w:val="20"/>
                <w:szCs w:val="20"/>
                <w:color w:val="0000EE"/>
                <w:w w:val="98"/>
              </w:rPr>
            </w:pPr>
            <w:hyperlink w:anchor="page48">
              <w:r>
                <w:rPr>
                  <w:rFonts w:ascii="Times New Roman" w:cs="Times New Roman" w:eastAsia="Times New Roman" w:hAnsi="Times New Roman"/>
                  <w:sz w:val="20"/>
                  <w:szCs w:val="20"/>
                  <w:color w:val="0000EE"/>
                  <w:w w:val="98"/>
                </w:rPr>
                <w:t>Consolidated Balance Sheets as of December 31, 2016 and 2015</w:t>
              </w:r>
            </w:hyperlink>
          </w:p>
        </w:tc>
        <w:tc>
          <w:tcPr>
            <w:tcW w:w="5260" w:type="dxa"/>
            <w:vAlign w:val="bottom"/>
            <w:gridSpan w:val="6"/>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74</w:t>
            </w:r>
          </w:p>
        </w:tc>
        <w:tc>
          <w:tcPr>
            <w:tcW w:w="40" w:type="dxa"/>
            <w:vAlign w:val="bottom"/>
          </w:tcPr>
          <w:p>
            <w:pPr>
              <w:spacing w:after="0"/>
              <w:rPr>
                <w:sz w:val="24"/>
                <w:szCs w:val="24"/>
                <w:color w:val="auto"/>
              </w:rPr>
            </w:pPr>
          </w:p>
        </w:tc>
      </w:tr>
      <w:tr>
        <w:trPr>
          <w:trHeight w:val="439"/>
        </w:trPr>
        <w:tc>
          <w:tcPr>
            <w:tcW w:w="10380" w:type="dxa"/>
            <w:vAlign w:val="bottom"/>
            <w:gridSpan w:val="10"/>
          </w:tcPr>
          <w:p>
            <w:pPr>
              <w:spacing w:after="0"/>
              <w:rPr>
                <w:rFonts w:ascii="Times New Roman" w:cs="Times New Roman" w:eastAsia="Times New Roman" w:hAnsi="Times New Roman"/>
                <w:sz w:val="20"/>
                <w:szCs w:val="20"/>
                <w:color w:val="0000EE"/>
              </w:rPr>
            </w:pPr>
            <w:hyperlink w:anchor="page49">
              <w:r>
                <w:rPr>
                  <w:rFonts w:ascii="Times New Roman" w:cs="Times New Roman" w:eastAsia="Times New Roman" w:hAnsi="Times New Roman"/>
                  <w:sz w:val="20"/>
                  <w:szCs w:val="20"/>
                  <w:color w:val="0000EE"/>
                </w:rPr>
                <w:t>Consolidated Statements of Income for the years ended December 31, 2016, 2015 and 2014</w:t>
              </w:r>
            </w:hyperlink>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75</w:t>
            </w:r>
          </w:p>
        </w:tc>
        <w:tc>
          <w:tcPr>
            <w:tcW w:w="40" w:type="dxa"/>
            <w:vAlign w:val="bottom"/>
          </w:tcPr>
          <w:p>
            <w:pPr>
              <w:spacing w:after="0"/>
              <w:rPr>
                <w:sz w:val="24"/>
                <w:szCs w:val="24"/>
                <w:color w:val="auto"/>
              </w:rPr>
            </w:pPr>
          </w:p>
        </w:tc>
      </w:tr>
      <w:tr>
        <w:trPr>
          <w:trHeight w:val="20"/>
        </w:trPr>
        <w:tc>
          <w:tcPr>
            <w:tcW w:w="3480" w:type="dxa"/>
            <w:vAlign w:val="bottom"/>
            <w:gridSpan w:val="2"/>
            <w:shd w:val="clear" w:color="auto" w:fill="0000EE"/>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0380" w:type="dxa"/>
            <w:vAlign w:val="bottom"/>
            <w:gridSpan w:val="10"/>
          </w:tcPr>
          <w:p>
            <w:pPr>
              <w:spacing w:after="0"/>
              <w:rPr>
                <w:rFonts w:ascii="Times New Roman" w:cs="Times New Roman" w:eastAsia="Times New Roman" w:hAnsi="Times New Roman"/>
                <w:sz w:val="20"/>
                <w:szCs w:val="20"/>
                <w:color w:val="0000EE"/>
              </w:rPr>
            </w:pPr>
            <w:hyperlink w:anchor="page49">
              <w:r>
                <w:rPr>
                  <w:rFonts w:ascii="Times New Roman" w:cs="Times New Roman" w:eastAsia="Times New Roman" w:hAnsi="Times New Roman"/>
                  <w:sz w:val="20"/>
                  <w:szCs w:val="20"/>
                  <w:color w:val="0000EE"/>
                </w:rPr>
                <w:t>Consolidated Statements of Comprehensive Income for the years ended December 31, 2016, 2015 and 2014</w:t>
              </w:r>
            </w:hyperlink>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76</w:t>
            </w:r>
          </w:p>
        </w:tc>
        <w:tc>
          <w:tcPr>
            <w:tcW w:w="40" w:type="dxa"/>
            <w:vAlign w:val="bottom"/>
          </w:tcPr>
          <w:p>
            <w:pPr>
              <w:spacing w:after="0"/>
              <w:rPr>
                <w:sz w:val="24"/>
                <w:szCs w:val="24"/>
                <w:color w:val="auto"/>
              </w:rPr>
            </w:pPr>
          </w:p>
        </w:tc>
      </w:tr>
      <w:tr>
        <w:trPr>
          <w:trHeight w:val="439"/>
        </w:trPr>
        <w:tc>
          <w:tcPr>
            <w:tcW w:w="8360" w:type="dxa"/>
            <w:vAlign w:val="bottom"/>
            <w:tcBorders>
              <w:top w:val="single" w:sz="8" w:color="0000EE"/>
              <w:bottom w:val="single" w:sz="8" w:color="0000EE"/>
            </w:tcBorders>
            <w:gridSpan w:val="7"/>
          </w:tcPr>
          <w:p>
            <w:pPr>
              <w:spacing w:after="0"/>
              <w:rPr>
                <w:rFonts w:ascii="Times New Roman" w:cs="Times New Roman" w:eastAsia="Times New Roman" w:hAnsi="Times New Roman"/>
                <w:sz w:val="20"/>
                <w:szCs w:val="20"/>
                <w:color w:val="0000EE"/>
                <w:w w:val="98"/>
              </w:rPr>
            </w:pPr>
            <w:hyperlink w:anchor="page50">
              <w:r>
                <w:rPr>
                  <w:rFonts w:ascii="Times New Roman" w:cs="Times New Roman" w:eastAsia="Times New Roman" w:hAnsi="Times New Roman"/>
                  <w:sz w:val="20"/>
                  <w:szCs w:val="20"/>
                  <w:color w:val="0000EE"/>
                  <w:w w:val="98"/>
                </w:rPr>
                <w:t>Consolidated Statements of Stockholders’ Equity for the years ended December 31, 2016, 2015 and 2014</w:t>
              </w:r>
            </w:hyperlink>
          </w:p>
        </w:tc>
        <w:tc>
          <w:tcPr>
            <w:tcW w:w="200" w:type="dxa"/>
            <w:vAlign w:val="bottom"/>
            <w:tcBorders>
              <w:top w:val="single" w:sz="8" w:color="0000EE"/>
            </w:tcBorders>
          </w:tcPr>
          <w:p>
            <w:pPr>
              <w:spacing w:after="0"/>
              <w:rPr>
                <w:sz w:val="24"/>
                <w:szCs w:val="24"/>
                <w:color w:val="auto"/>
              </w:rPr>
            </w:pPr>
          </w:p>
        </w:tc>
        <w:tc>
          <w:tcPr>
            <w:tcW w:w="1820" w:type="dxa"/>
            <w:vAlign w:val="bottom"/>
            <w:gridSpan w:val="2"/>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77</w:t>
            </w:r>
          </w:p>
        </w:tc>
        <w:tc>
          <w:tcPr>
            <w:tcW w:w="40" w:type="dxa"/>
            <w:vAlign w:val="bottom"/>
          </w:tcPr>
          <w:p>
            <w:pPr>
              <w:spacing w:after="0"/>
              <w:rPr>
                <w:sz w:val="24"/>
                <w:szCs w:val="24"/>
                <w:color w:val="auto"/>
              </w:rPr>
            </w:pPr>
          </w:p>
        </w:tc>
      </w:tr>
      <w:tr>
        <w:trPr>
          <w:trHeight w:val="439"/>
        </w:trPr>
        <w:tc>
          <w:tcPr>
            <w:tcW w:w="10380" w:type="dxa"/>
            <w:vAlign w:val="bottom"/>
            <w:gridSpan w:val="10"/>
          </w:tcPr>
          <w:p>
            <w:pPr>
              <w:spacing w:after="0"/>
              <w:rPr>
                <w:rFonts w:ascii="Times New Roman" w:cs="Times New Roman" w:eastAsia="Times New Roman" w:hAnsi="Times New Roman"/>
                <w:sz w:val="20"/>
                <w:szCs w:val="20"/>
                <w:color w:val="0000EE"/>
              </w:rPr>
            </w:pPr>
            <w:hyperlink w:anchor="page50">
              <w:r>
                <w:rPr>
                  <w:rFonts w:ascii="Times New Roman" w:cs="Times New Roman" w:eastAsia="Times New Roman" w:hAnsi="Times New Roman"/>
                  <w:sz w:val="20"/>
                  <w:szCs w:val="20"/>
                  <w:color w:val="0000EE"/>
                </w:rPr>
                <w:t>Consolidated Statements of Cash Flows for the years ended December 31, 2016, 2015 and 2014</w:t>
              </w:r>
            </w:hyperlink>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78</w:t>
            </w:r>
          </w:p>
        </w:tc>
        <w:tc>
          <w:tcPr>
            <w:tcW w:w="40" w:type="dxa"/>
            <w:vAlign w:val="bottom"/>
          </w:tcPr>
          <w:p>
            <w:pPr>
              <w:spacing w:after="0"/>
              <w:rPr>
                <w:sz w:val="24"/>
                <w:szCs w:val="24"/>
                <w:color w:val="auto"/>
              </w:rPr>
            </w:pPr>
          </w:p>
        </w:tc>
      </w:tr>
      <w:tr>
        <w:trPr>
          <w:trHeight w:val="439"/>
        </w:trPr>
        <w:tc>
          <w:tcPr>
            <w:tcW w:w="3480" w:type="dxa"/>
            <w:vAlign w:val="bottom"/>
            <w:tcBorders>
              <w:top w:val="single" w:sz="8" w:color="0000EE"/>
              <w:bottom w:val="single" w:sz="8" w:color="0000EE"/>
            </w:tcBorders>
            <w:gridSpan w:val="2"/>
          </w:tcPr>
          <w:p>
            <w:pPr>
              <w:spacing w:after="0"/>
              <w:rPr>
                <w:rFonts w:ascii="Times New Roman" w:cs="Times New Roman" w:eastAsia="Times New Roman" w:hAnsi="Times New Roman"/>
                <w:sz w:val="20"/>
                <w:szCs w:val="20"/>
                <w:color w:val="0000EE"/>
                <w:w w:val="98"/>
              </w:rPr>
            </w:pPr>
            <w:hyperlink w:anchor="page52">
              <w:r>
                <w:rPr>
                  <w:rFonts w:ascii="Times New Roman" w:cs="Times New Roman" w:eastAsia="Times New Roman" w:hAnsi="Times New Roman"/>
                  <w:sz w:val="20"/>
                  <w:szCs w:val="20"/>
                  <w:color w:val="0000EE"/>
                  <w:w w:val="98"/>
                </w:rPr>
                <w:t>Notes to Consolidated Financial Statements</w:t>
              </w:r>
            </w:hyperlink>
          </w:p>
        </w:tc>
        <w:tc>
          <w:tcPr>
            <w:tcW w:w="4120" w:type="dxa"/>
            <w:vAlign w:val="bottom"/>
            <w:tcBorders>
              <w:top w:val="single" w:sz="8" w:color="0000EE"/>
            </w:tcBorders>
            <w:gridSpan w:val="4"/>
          </w:tcPr>
          <w:p>
            <w:pPr>
              <w:spacing w:after="0"/>
              <w:rPr>
                <w:sz w:val="24"/>
                <w:szCs w:val="24"/>
                <w:color w:val="auto"/>
              </w:rPr>
            </w:pPr>
          </w:p>
        </w:tc>
        <w:tc>
          <w:tcPr>
            <w:tcW w:w="2780" w:type="dxa"/>
            <w:vAlign w:val="bottom"/>
            <w:gridSpan w:val="4"/>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80</w:t>
            </w:r>
          </w:p>
        </w:tc>
        <w:tc>
          <w:tcPr>
            <w:tcW w:w="40" w:type="dxa"/>
            <w:vAlign w:val="bottom"/>
          </w:tcPr>
          <w:p>
            <w:pPr>
              <w:spacing w:after="0"/>
              <w:rPr>
                <w:sz w:val="24"/>
                <w:szCs w:val="24"/>
                <w:color w:val="auto"/>
              </w:rPr>
            </w:pPr>
          </w:p>
        </w:tc>
      </w:tr>
      <w:tr>
        <w:trPr>
          <w:trHeight w:val="439"/>
        </w:trPr>
        <w:tc>
          <w:tcPr>
            <w:tcW w:w="10380" w:type="dxa"/>
            <w:vAlign w:val="bottom"/>
            <w:gridSpan w:val="10"/>
          </w:tcPr>
          <w:p>
            <w:pPr>
              <w:spacing w:after="0"/>
              <w:rPr>
                <w:rFonts w:ascii="Times New Roman" w:cs="Times New Roman" w:eastAsia="Times New Roman" w:hAnsi="Times New Roman"/>
                <w:sz w:val="20"/>
                <w:szCs w:val="20"/>
                <w:color w:val="0000EE"/>
              </w:rPr>
            </w:pPr>
            <w:hyperlink w:anchor="page77">
              <w:r>
                <w:rPr>
                  <w:rFonts w:ascii="Times New Roman" w:cs="Times New Roman" w:eastAsia="Times New Roman" w:hAnsi="Times New Roman"/>
                  <w:sz w:val="20"/>
                  <w:szCs w:val="20"/>
                  <w:color w:val="0000EE"/>
                </w:rPr>
                <w:t>Financial Statement Schedule – Valuation and Qualifying Accounts for the years ended December 31, 2016, 2015 and 2014</w:t>
              </w:r>
            </w:hyperlink>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3"/>
              </w:rPr>
              <w:t>116</w:t>
            </w:r>
          </w:p>
        </w:tc>
        <w:tc>
          <w:tcPr>
            <w:tcW w:w="40" w:type="dxa"/>
            <w:vAlign w:val="bottom"/>
          </w:tcPr>
          <w:p>
            <w:pPr>
              <w:spacing w:after="0"/>
              <w:rPr>
                <w:sz w:val="24"/>
                <w:szCs w:val="24"/>
                <w:color w:val="auto"/>
              </w:rPr>
            </w:pPr>
          </w:p>
        </w:tc>
      </w:tr>
      <w:tr>
        <w:trPr>
          <w:trHeight w:val="433"/>
        </w:trPr>
        <w:tc>
          <w:tcPr>
            <w:tcW w:w="7260" w:type="dxa"/>
            <w:vAlign w:val="bottom"/>
            <w:tcBorders>
              <w:top w:val="single" w:sz="8" w:color="0000EE"/>
            </w:tcBorders>
            <w:gridSpan w:val="5"/>
          </w:tcPr>
          <w:p>
            <w:pPr>
              <w:ind w:left="5640"/>
              <w:spacing w:after="0"/>
              <w:rPr>
                <w:sz w:val="20"/>
                <w:szCs w:val="20"/>
                <w:color w:val="auto"/>
              </w:rPr>
            </w:pPr>
            <w:r>
              <w:rPr>
                <w:rFonts w:ascii="Times New Roman" w:cs="Times New Roman" w:eastAsia="Times New Roman" w:hAnsi="Times New Roman"/>
                <w:sz w:val="16"/>
                <w:szCs w:val="16"/>
                <w:color w:val="auto"/>
              </w:rPr>
              <w:t>72</w:t>
            </w:r>
          </w:p>
        </w:tc>
        <w:tc>
          <w:tcPr>
            <w:tcW w:w="3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8"/>
        </w:trPr>
        <w:tc>
          <w:tcPr>
            <w:tcW w:w="1280" w:type="dxa"/>
            <w:vAlign w:val="bottom"/>
            <w:tcBorders>
              <w:bottom w:val="single" w:sz="8" w:color="808080"/>
            </w:tcBorders>
          </w:tcPr>
          <w:p>
            <w:pPr>
              <w:spacing w:after="0"/>
              <w:rPr>
                <w:sz w:val="11"/>
                <w:szCs w:val="11"/>
                <w:color w:val="auto"/>
              </w:rPr>
            </w:pPr>
          </w:p>
        </w:tc>
        <w:tc>
          <w:tcPr>
            <w:tcW w:w="220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2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ectPr>
          <w:pgSz w:w="11900" w:h="16838" w:orient="portrait"/>
          <w:cols w:equalWidth="0" w:num="1">
            <w:col w:w="11460"/>
          </w:cols>
          <w:pgMar w:left="240" w:top="116" w:right="199" w:bottom="197"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0"/>
          <w:szCs w:val="20"/>
          <w:color w:val="auto"/>
        </w:rPr>
        <w:t>To the Board of Directors and Stockholders of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Monster Beverage Corporation</w:t>
      </w:r>
    </w:p>
    <w:p>
      <w:pPr>
        <w:spacing w:after="0"/>
        <w:rPr>
          <w:sz w:val="20"/>
          <w:szCs w:val="20"/>
          <w:color w:val="auto"/>
        </w:rPr>
      </w:pPr>
      <w:r>
        <w:rPr>
          <w:rFonts w:ascii="Times New Roman" w:cs="Times New Roman" w:eastAsia="Times New Roman" w:hAnsi="Times New Roman"/>
          <w:sz w:val="20"/>
          <w:szCs w:val="20"/>
          <w:color w:val="auto"/>
        </w:rPr>
        <w:t>Corona, California</w:t>
      </w:r>
    </w:p>
    <w:p>
      <w:pPr>
        <w:spacing w:after="0" w:line="2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We have audited the accompanying consolidated balance sheets of Monster Beverage Corporation and subsidiaries (the “Company”) as of December 31, 2016 and 2015, and the related consolidated statements of income, comprehensive income, stockholders’ equity and cash flows for each of the three years in the period ended December 31, 2016. Our audits also included the financial statement schedule listed in the Index at Item 15(a). These consolidated financial statements and financial statement schedule are the responsibility of the Company’s management. Our responsibility is to express an opinion on the consolidated financial statements and financial statement schedule based on our audits.</w:t>
      </w:r>
    </w:p>
    <w:p>
      <w:pPr>
        <w:spacing w:after="0" w:line="18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that our audits provide a reasonable basis for our opinion.</w:t>
      </w:r>
    </w:p>
    <w:p>
      <w:pPr>
        <w:spacing w:after="0" w:line="1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our opinion, such consolidated financial statements present fairly, in all material respects, the financial position of Monster Beverage Corporation and subsidiaries as of December 31, 2016 and 2015, and the results of their operations and their cash flows for each of the three years in the period ended December 31, 2016,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We have also audited, in accordance with the standards of the Public Company Accounting Oversight Board (United States), the Company’s internal control over financial reporting as of December 31, 2016, based on the criteria established in </w:t>
      </w:r>
      <w:r>
        <w:rPr>
          <w:rFonts w:ascii="Times New Roman" w:cs="Times New Roman" w:eastAsia="Times New Roman" w:hAnsi="Times New Roman"/>
          <w:sz w:val="20"/>
          <w:szCs w:val="20"/>
          <w:i w:val="1"/>
          <w:iCs w:val="1"/>
          <w:color w:val="auto"/>
        </w:rPr>
        <w:t>Internal Control—Integrated Framework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(2013) </w:t>
      </w:r>
      <w:r>
        <w:rPr>
          <w:rFonts w:ascii="Times New Roman" w:cs="Times New Roman" w:eastAsia="Times New Roman" w:hAnsi="Times New Roman"/>
          <w:sz w:val="20"/>
          <w:szCs w:val="20"/>
          <w:color w:val="auto"/>
        </w:rPr>
        <w:t>issued by the Committee of Sponsoring Organizations of the Treadway Commission and our report dated March 1, 2017, expressed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unqualified opinion on the Company’s internal control over financial reporting.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Costa Mesa, California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 2017</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rPr>
          <w:sz w:val="20"/>
          <w:szCs w:val="20"/>
          <w:color w:val="auto"/>
        </w:rPr>
      </w:pPr>
      <w:r>
        <w:rPr>
          <w:rFonts w:ascii="Times New Roman" w:cs="Times New Roman" w:eastAsia="Times New Roman" w:hAnsi="Times New Roman"/>
          <w:sz w:val="20"/>
          <w:szCs w:val="20"/>
          <w:b w:val="1"/>
          <w:bCs w:val="1"/>
          <w:color w:val="auto"/>
        </w:rPr>
        <w:t>AS OF DECEMBER 31, 2016 AND 2015 (In Thousands, Except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40" w:type="dxa"/>
            <w:vAlign w:val="bottom"/>
          </w:tcPr>
          <w:p>
            <w:pPr>
              <w:spacing w:after="0"/>
              <w:rPr>
                <w:sz w:val="18"/>
                <w:szCs w:val="18"/>
                <w:color w:val="auto"/>
              </w:rPr>
            </w:pPr>
          </w:p>
        </w:tc>
        <w:tc>
          <w:tcPr>
            <w:tcW w:w="6040" w:type="dxa"/>
            <w:vAlign w:val="bottom"/>
            <w:gridSpan w:val="4"/>
            <w:vMerge w:val="restart"/>
          </w:tcPr>
          <w:p>
            <w:pPr>
              <w:jc w:val="center"/>
              <w:ind w:right="25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2016</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2015</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6040" w:type="dxa"/>
            <w:vAlign w:val="bottom"/>
            <w:gridSpan w:val="4"/>
            <w:vMerge w:val="continue"/>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600" w:type="dxa"/>
            <w:vAlign w:val="bottom"/>
            <w:tcBorders>
              <w:top w:val="single" w:sz="8" w:color="auto"/>
            </w:tcBorders>
          </w:tcPr>
          <w:p>
            <w:pPr>
              <w:spacing w:after="0"/>
              <w:rPr>
                <w:sz w:val="18"/>
                <w:szCs w:val="18"/>
                <w:color w:val="auto"/>
              </w:rPr>
            </w:pPr>
          </w:p>
        </w:tc>
        <w:tc>
          <w:tcPr>
            <w:tcW w:w="398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2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377,582</w:t>
            </w:r>
          </w:p>
        </w:tc>
        <w:tc>
          <w:tcPr>
            <w:tcW w:w="280" w:type="dxa"/>
            <w:vAlign w:val="bottom"/>
          </w:tcPr>
          <w:p>
            <w:pPr>
              <w:spacing w:after="0"/>
              <w:rPr>
                <w:sz w:val="17"/>
                <w:szCs w:val="17"/>
                <w:color w:val="auto"/>
              </w:rPr>
            </w:pPr>
          </w:p>
        </w:tc>
        <w:tc>
          <w:tcPr>
            <w:tcW w:w="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2,175,417</w:t>
            </w:r>
          </w:p>
        </w:tc>
        <w:tc>
          <w:tcPr>
            <w:tcW w:w="0" w:type="dxa"/>
            <w:vAlign w:val="bottom"/>
          </w:tcPr>
          <w:p>
            <w:pPr>
              <w:spacing w:after="0"/>
              <w:rPr>
                <w:sz w:val="1"/>
                <w:szCs w:val="1"/>
                <w:color w:val="auto"/>
              </w:rPr>
            </w:pPr>
          </w:p>
        </w:tc>
      </w:tr>
      <w:tr>
        <w:trPr>
          <w:trHeight w:val="203"/>
        </w:trPr>
        <w:tc>
          <w:tcPr>
            <w:tcW w:w="82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220,554</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744,610</w:t>
            </w:r>
          </w:p>
        </w:tc>
        <w:tc>
          <w:tcPr>
            <w:tcW w:w="0" w:type="dxa"/>
            <w:vAlign w:val="bottom"/>
          </w:tcPr>
          <w:p>
            <w:pPr>
              <w:spacing w:after="0"/>
              <w:rPr>
                <w:sz w:val="1"/>
                <w:szCs w:val="1"/>
                <w:color w:val="auto"/>
              </w:rPr>
            </w:pPr>
          </w:p>
        </w:tc>
      </w:tr>
      <w:tr>
        <w:trPr>
          <w:trHeight w:val="203"/>
        </w:trPr>
        <w:tc>
          <w:tcPr>
            <w:tcW w:w="82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448,051</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352,955</w:t>
            </w:r>
          </w:p>
        </w:tc>
        <w:tc>
          <w:tcPr>
            <w:tcW w:w="0" w:type="dxa"/>
            <w:vAlign w:val="bottom"/>
          </w:tcPr>
          <w:p>
            <w:pPr>
              <w:spacing w:after="0"/>
              <w:rPr>
                <w:sz w:val="1"/>
                <w:szCs w:val="1"/>
                <w:color w:val="auto"/>
              </w:rPr>
            </w:pPr>
          </w:p>
        </w:tc>
      </w:tr>
      <w:tr>
        <w:trPr>
          <w:trHeight w:val="203"/>
        </w:trPr>
        <w:tc>
          <w:tcPr>
            <w:tcW w:w="82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TCCC Transaction receivable</w:t>
            </w: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125,000</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125,000</w:t>
            </w:r>
          </w:p>
        </w:tc>
        <w:tc>
          <w:tcPr>
            <w:tcW w:w="0" w:type="dxa"/>
            <w:vAlign w:val="bottom"/>
          </w:tcPr>
          <w:p>
            <w:pPr>
              <w:spacing w:after="0"/>
              <w:rPr>
                <w:sz w:val="1"/>
                <w:szCs w:val="1"/>
                <w:color w:val="auto"/>
              </w:rPr>
            </w:pPr>
          </w:p>
        </w:tc>
      </w:tr>
      <w:tr>
        <w:trPr>
          <w:trHeight w:val="203"/>
        </w:trPr>
        <w:tc>
          <w:tcPr>
            <w:tcW w:w="82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Inventories</w:t>
            </w: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161,971</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156,121</w:t>
            </w:r>
          </w:p>
        </w:tc>
        <w:tc>
          <w:tcPr>
            <w:tcW w:w="0" w:type="dxa"/>
            <w:vAlign w:val="bottom"/>
          </w:tcPr>
          <w:p>
            <w:pPr>
              <w:spacing w:after="0"/>
              <w:rPr>
                <w:sz w:val="1"/>
                <w:szCs w:val="1"/>
                <w:color w:val="auto"/>
              </w:rPr>
            </w:pPr>
          </w:p>
        </w:tc>
      </w:tr>
      <w:tr>
        <w:trPr>
          <w:trHeight w:val="203"/>
        </w:trPr>
        <w:tc>
          <w:tcPr>
            <w:tcW w:w="82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32,562</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26,967</w:t>
            </w:r>
          </w:p>
        </w:tc>
        <w:tc>
          <w:tcPr>
            <w:tcW w:w="0" w:type="dxa"/>
            <w:vAlign w:val="bottom"/>
          </w:tcPr>
          <w:p>
            <w:pPr>
              <w:spacing w:after="0"/>
              <w:rPr>
                <w:sz w:val="1"/>
                <w:szCs w:val="1"/>
                <w:color w:val="auto"/>
              </w:rPr>
            </w:pPr>
          </w:p>
        </w:tc>
      </w:tr>
      <w:tr>
        <w:trPr>
          <w:trHeight w:val="210"/>
        </w:trPr>
        <w:tc>
          <w:tcPr>
            <w:tcW w:w="82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Prepaid income taxes</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66,550</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18,462</w:t>
            </w:r>
          </w:p>
        </w:tc>
        <w:tc>
          <w:tcPr>
            <w:tcW w:w="0" w:type="dxa"/>
            <w:vAlign w:val="bottom"/>
          </w:tcPr>
          <w:p>
            <w:pPr>
              <w:spacing w:after="0"/>
              <w:rPr>
                <w:sz w:val="1"/>
                <w:szCs w:val="1"/>
                <w:color w:val="auto"/>
              </w:rPr>
            </w:pPr>
          </w:p>
        </w:tc>
      </w:tr>
      <w:tr>
        <w:trPr>
          <w:trHeight w:val="210"/>
        </w:trPr>
        <w:tc>
          <w:tcPr>
            <w:tcW w:w="828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1,432,270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3,599,532</w:t>
            </w:r>
          </w:p>
        </w:tc>
        <w:tc>
          <w:tcPr>
            <w:tcW w:w="0" w:type="dxa"/>
            <w:vAlign w:val="bottom"/>
          </w:tcPr>
          <w:p>
            <w:pPr>
              <w:spacing w:after="0"/>
              <w:rPr>
                <w:sz w:val="1"/>
                <w:szCs w:val="1"/>
                <w:color w:val="auto"/>
              </w:rPr>
            </w:pPr>
          </w:p>
        </w:tc>
      </w:tr>
      <w:tr>
        <w:trPr>
          <w:trHeight w:val="397"/>
        </w:trPr>
        <w:tc>
          <w:tcPr>
            <w:tcW w:w="82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INVESTMENTS</w:t>
            </w:r>
          </w:p>
        </w:tc>
        <w:tc>
          <w:tcPr>
            <w:tcW w:w="36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2,394</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15,348</w:t>
            </w:r>
          </w:p>
        </w:tc>
        <w:tc>
          <w:tcPr>
            <w:tcW w:w="0" w:type="dxa"/>
            <w:vAlign w:val="bottom"/>
          </w:tcPr>
          <w:p>
            <w:pPr>
              <w:spacing w:after="0"/>
              <w:rPr>
                <w:sz w:val="1"/>
                <w:szCs w:val="1"/>
                <w:color w:val="auto"/>
              </w:rPr>
            </w:pPr>
          </w:p>
        </w:tc>
      </w:tr>
      <w:tr>
        <w:trPr>
          <w:trHeight w:val="203"/>
        </w:trPr>
        <w:tc>
          <w:tcPr>
            <w:tcW w:w="82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173,343</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97,354</w:t>
            </w:r>
          </w:p>
        </w:tc>
        <w:tc>
          <w:tcPr>
            <w:tcW w:w="0" w:type="dxa"/>
            <w:vAlign w:val="bottom"/>
          </w:tcPr>
          <w:p>
            <w:pPr>
              <w:spacing w:after="0"/>
              <w:rPr>
                <w:sz w:val="1"/>
                <w:szCs w:val="1"/>
                <w:color w:val="auto"/>
              </w:rPr>
            </w:pPr>
          </w:p>
        </w:tc>
      </w:tr>
      <w:tr>
        <w:trPr>
          <w:trHeight w:val="203"/>
        </w:trPr>
        <w:tc>
          <w:tcPr>
            <w:tcW w:w="82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159,556</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140,468</w:t>
            </w:r>
          </w:p>
        </w:tc>
        <w:tc>
          <w:tcPr>
            <w:tcW w:w="0" w:type="dxa"/>
            <w:vAlign w:val="bottom"/>
          </w:tcPr>
          <w:p>
            <w:pPr>
              <w:spacing w:after="0"/>
              <w:rPr>
                <w:sz w:val="1"/>
                <w:szCs w:val="1"/>
                <w:color w:val="auto"/>
              </w:rPr>
            </w:pPr>
          </w:p>
        </w:tc>
      </w:tr>
      <w:tr>
        <w:trPr>
          <w:trHeight w:val="203"/>
        </w:trPr>
        <w:tc>
          <w:tcPr>
            <w:tcW w:w="82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GOODWILL</w:t>
            </w: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1,331,643</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1,279,715</w:t>
            </w:r>
          </w:p>
        </w:tc>
        <w:tc>
          <w:tcPr>
            <w:tcW w:w="0" w:type="dxa"/>
            <w:vAlign w:val="bottom"/>
          </w:tcPr>
          <w:p>
            <w:pPr>
              <w:spacing w:after="0"/>
              <w:rPr>
                <w:sz w:val="1"/>
                <w:szCs w:val="1"/>
                <w:color w:val="auto"/>
              </w:rPr>
            </w:pPr>
          </w:p>
        </w:tc>
      </w:tr>
      <w:tr>
        <w:trPr>
          <w:trHeight w:val="203"/>
        </w:trPr>
        <w:tc>
          <w:tcPr>
            <w:tcW w:w="82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1,032,635</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427,986</w:t>
            </w:r>
          </w:p>
        </w:tc>
        <w:tc>
          <w:tcPr>
            <w:tcW w:w="0" w:type="dxa"/>
            <w:vAlign w:val="bottom"/>
          </w:tcPr>
          <w:p>
            <w:pPr>
              <w:spacing w:after="0"/>
              <w:rPr>
                <w:sz w:val="1"/>
                <w:szCs w:val="1"/>
                <w:color w:val="auto"/>
              </w:rPr>
            </w:pPr>
          </w:p>
        </w:tc>
      </w:tr>
      <w:tr>
        <w:trPr>
          <w:trHeight w:val="210"/>
        </w:trPr>
        <w:tc>
          <w:tcPr>
            <w:tcW w:w="82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21,630</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10,874</w:t>
            </w:r>
          </w:p>
        </w:tc>
        <w:tc>
          <w:tcPr>
            <w:tcW w:w="0" w:type="dxa"/>
            <w:vAlign w:val="bottom"/>
          </w:tcPr>
          <w:p>
            <w:pPr>
              <w:spacing w:after="0"/>
              <w:rPr>
                <w:sz w:val="1"/>
                <w:szCs w:val="1"/>
                <w:color w:val="auto"/>
              </w:rPr>
            </w:pPr>
          </w:p>
        </w:tc>
      </w:tr>
      <w:tr>
        <w:trPr>
          <w:trHeight w:val="202"/>
        </w:trPr>
        <w:tc>
          <w:tcPr>
            <w:tcW w:w="2240" w:type="dxa"/>
            <w:vAlign w:val="bottom"/>
          </w:tcPr>
          <w:p>
            <w:pPr>
              <w:spacing w:after="0"/>
              <w:rPr>
                <w:sz w:val="17"/>
                <w:szCs w:val="17"/>
                <w:color w:val="auto"/>
              </w:rPr>
            </w:pPr>
          </w:p>
        </w:tc>
        <w:tc>
          <w:tcPr>
            <w:tcW w:w="6040" w:type="dxa"/>
            <w:vAlign w:val="bottom"/>
            <w:gridSpan w:val="4"/>
          </w:tcPr>
          <w:p>
            <w:pPr>
              <w:jc w:val="center"/>
              <w:ind w:right="25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4,153,471</w:t>
            </w:r>
          </w:p>
        </w:tc>
        <w:tc>
          <w:tcPr>
            <w:tcW w:w="280" w:type="dxa"/>
            <w:vAlign w:val="bottom"/>
          </w:tcPr>
          <w:p>
            <w:pPr>
              <w:spacing w:after="0"/>
              <w:rPr>
                <w:sz w:val="17"/>
                <w:szCs w:val="17"/>
                <w:color w:val="auto"/>
              </w:rPr>
            </w:pPr>
          </w:p>
        </w:tc>
        <w:tc>
          <w:tcPr>
            <w:tcW w:w="3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5,571,277</w:t>
            </w:r>
          </w:p>
        </w:tc>
        <w:tc>
          <w:tcPr>
            <w:tcW w:w="0" w:type="dxa"/>
            <w:vAlign w:val="bottom"/>
          </w:tcPr>
          <w:p>
            <w:pPr>
              <w:spacing w:after="0"/>
              <w:rPr>
                <w:sz w:val="1"/>
                <w:szCs w:val="1"/>
                <w:color w:val="auto"/>
              </w:rPr>
            </w:pPr>
          </w:p>
        </w:tc>
      </w:tr>
      <w:tr>
        <w:trPr>
          <w:trHeight w:val="20"/>
        </w:trPr>
        <w:tc>
          <w:tcPr>
            <w:tcW w:w="8280" w:type="dxa"/>
            <w:vAlign w:val="bottom"/>
            <w:gridSpan w:val="5"/>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80" w:type="dxa"/>
            <w:vAlign w:val="bottom"/>
            <w:gridSpan w:val="5"/>
            <w:vMerge w:val="continue"/>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520" w:type="dxa"/>
            <w:vAlign w:val="bottom"/>
            <w:tcBorders>
              <w:top w:val="single" w:sz="8" w:color="auto"/>
            </w:tcBorders>
            <w:gridSpan w:val="3"/>
          </w:tcPr>
          <w:p>
            <w:pPr>
              <w:spacing w:after="0"/>
              <w:rPr>
                <w:sz w:val="18"/>
                <w:szCs w:val="18"/>
                <w:color w:val="auto"/>
              </w:rPr>
            </w:pPr>
          </w:p>
        </w:tc>
        <w:tc>
          <w:tcPr>
            <w:tcW w:w="2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2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193,270</w:t>
            </w:r>
          </w:p>
        </w:tc>
        <w:tc>
          <w:tcPr>
            <w:tcW w:w="280" w:type="dxa"/>
            <w:vAlign w:val="bottom"/>
          </w:tcPr>
          <w:p>
            <w:pPr>
              <w:spacing w:after="0"/>
              <w:rPr>
                <w:sz w:val="17"/>
                <w:szCs w:val="17"/>
                <w:color w:val="auto"/>
              </w:rPr>
            </w:pPr>
          </w:p>
        </w:tc>
        <w:tc>
          <w:tcPr>
            <w:tcW w:w="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144,763</w:t>
            </w:r>
          </w:p>
        </w:tc>
        <w:tc>
          <w:tcPr>
            <w:tcW w:w="0" w:type="dxa"/>
            <w:vAlign w:val="bottom"/>
          </w:tcPr>
          <w:p>
            <w:pPr>
              <w:spacing w:after="0"/>
              <w:rPr>
                <w:sz w:val="1"/>
                <w:szCs w:val="1"/>
                <w:color w:val="auto"/>
              </w:rPr>
            </w:pPr>
          </w:p>
        </w:tc>
      </w:tr>
      <w:tr>
        <w:trPr>
          <w:trHeight w:val="203"/>
        </w:trPr>
        <w:tc>
          <w:tcPr>
            <w:tcW w:w="82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Accrued liabilities</w:t>
            </w: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79,526</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81,786</w:t>
            </w:r>
          </w:p>
        </w:tc>
        <w:tc>
          <w:tcPr>
            <w:tcW w:w="0" w:type="dxa"/>
            <w:vAlign w:val="bottom"/>
          </w:tcPr>
          <w:p>
            <w:pPr>
              <w:spacing w:after="0"/>
              <w:rPr>
                <w:sz w:val="1"/>
                <w:szCs w:val="1"/>
                <w:color w:val="auto"/>
              </w:rPr>
            </w:pPr>
          </w:p>
        </w:tc>
      </w:tr>
      <w:tr>
        <w:trPr>
          <w:trHeight w:val="203"/>
        </w:trPr>
        <w:tc>
          <w:tcPr>
            <w:tcW w:w="82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Accrued promotional allowances</w:t>
            </w: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110,237</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115,530</w:t>
            </w:r>
          </w:p>
        </w:tc>
        <w:tc>
          <w:tcPr>
            <w:tcW w:w="0" w:type="dxa"/>
            <w:vAlign w:val="bottom"/>
          </w:tcPr>
          <w:p>
            <w:pPr>
              <w:spacing w:after="0"/>
              <w:rPr>
                <w:sz w:val="1"/>
                <w:szCs w:val="1"/>
                <w:color w:val="auto"/>
              </w:rPr>
            </w:pPr>
          </w:p>
        </w:tc>
      </w:tr>
      <w:tr>
        <w:trPr>
          <w:trHeight w:val="203"/>
        </w:trPr>
        <w:tc>
          <w:tcPr>
            <w:tcW w:w="82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Accrued distributor terminations</w:t>
            </w: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8,184</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11,018</w:t>
            </w:r>
          </w:p>
        </w:tc>
        <w:tc>
          <w:tcPr>
            <w:tcW w:w="0" w:type="dxa"/>
            <w:vAlign w:val="bottom"/>
          </w:tcPr>
          <w:p>
            <w:pPr>
              <w:spacing w:after="0"/>
              <w:rPr>
                <w:sz w:val="1"/>
                <w:szCs w:val="1"/>
                <w:color w:val="auto"/>
              </w:rPr>
            </w:pPr>
          </w:p>
        </w:tc>
      </w:tr>
      <w:tr>
        <w:trPr>
          <w:trHeight w:val="203"/>
        </w:trPr>
        <w:tc>
          <w:tcPr>
            <w:tcW w:w="82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41,672</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32,271</w:t>
            </w:r>
          </w:p>
        </w:tc>
        <w:tc>
          <w:tcPr>
            <w:tcW w:w="0" w:type="dxa"/>
            <w:vAlign w:val="bottom"/>
          </w:tcPr>
          <w:p>
            <w:pPr>
              <w:spacing w:after="0"/>
              <w:rPr>
                <w:sz w:val="1"/>
                <w:szCs w:val="1"/>
                <w:color w:val="auto"/>
              </w:rPr>
            </w:pPr>
          </w:p>
        </w:tc>
      </w:tr>
      <w:tr>
        <w:trPr>
          <w:trHeight w:val="203"/>
        </w:trPr>
        <w:tc>
          <w:tcPr>
            <w:tcW w:w="82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Accrued compensation</w:t>
            </w: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30,043</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22,159</w:t>
            </w:r>
          </w:p>
        </w:tc>
        <w:tc>
          <w:tcPr>
            <w:tcW w:w="0" w:type="dxa"/>
            <w:vAlign w:val="bottom"/>
          </w:tcPr>
          <w:p>
            <w:pPr>
              <w:spacing w:after="0"/>
              <w:rPr>
                <w:sz w:val="1"/>
                <w:szCs w:val="1"/>
                <w:color w:val="auto"/>
              </w:rPr>
            </w:pPr>
          </w:p>
        </w:tc>
      </w:tr>
      <w:tr>
        <w:trPr>
          <w:trHeight w:val="210"/>
        </w:trPr>
        <w:tc>
          <w:tcPr>
            <w:tcW w:w="82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Income taxes payable</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7,657</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2,750</w:t>
            </w:r>
          </w:p>
        </w:tc>
        <w:tc>
          <w:tcPr>
            <w:tcW w:w="0" w:type="dxa"/>
            <w:vAlign w:val="bottom"/>
          </w:tcPr>
          <w:p>
            <w:pPr>
              <w:spacing w:after="0"/>
              <w:rPr>
                <w:sz w:val="1"/>
                <w:szCs w:val="1"/>
                <w:color w:val="auto"/>
              </w:rPr>
            </w:pPr>
          </w:p>
        </w:tc>
      </w:tr>
      <w:tr>
        <w:trPr>
          <w:trHeight w:val="210"/>
        </w:trPr>
        <w:tc>
          <w:tcPr>
            <w:tcW w:w="828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470,589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410,277</w:t>
            </w:r>
          </w:p>
        </w:tc>
        <w:tc>
          <w:tcPr>
            <w:tcW w:w="0" w:type="dxa"/>
            <w:vAlign w:val="bottom"/>
          </w:tcPr>
          <w:p>
            <w:pPr>
              <w:spacing w:after="0"/>
              <w:rPr>
                <w:sz w:val="1"/>
                <w:szCs w:val="1"/>
                <w:color w:val="auto"/>
              </w:rPr>
            </w:pPr>
          </w:p>
        </w:tc>
      </w:tr>
      <w:tr>
        <w:trPr>
          <w:trHeight w:val="405"/>
        </w:trPr>
        <w:tc>
          <w:tcPr>
            <w:tcW w:w="82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36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353,173</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351,590</w:t>
            </w:r>
          </w:p>
        </w:tc>
        <w:tc>
          <w:tcPr>
            <w:tcW w:w="0" w:type="dxa"/>
            <w:vAlign w:val="bottom"/>
          </w:tcPr>
          <w:p>
            <w:pPr>
              <w:spacing w:after="0"/>
              <w:rPr>
                <w:sz w:val="1"/>
                <w:szCs w:val="1"/>
                <w:color w:val="auto"/>
              </w:rPr>
            </w:pPr>
          </w:p>
        </w:tc>
      </w:tr>
      <w:tr>
        <w:trPr>
          <w:trHeight w:val="419"/>
        </w:trPr>
        <w:tc>
          <w:tcPr>
            <w:tcW w:w="82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8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EQUITY¹:</w:t>
            </w: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0"/>
        </w:trPr>
        <w:tc>
          <w:tcPr>
            <w:tcW w:w="828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 $0.005 par value; 1,250,000 shares authorized; 623,201 shares issued and 566,566 shares outstanding as</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8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 December 31, 2016; 621,057 shares issued and 608,700 shares outstanding as of December 31, 2015</w:t>
            </w:r>
          </w:p>
        </w:tc>
        <w:tc>
          <w:tcPr>
            <w:tcW w:w="40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3,116</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3,105</w:t>
            </w:r>
          </w:p>
        </w:tc>
      </w:tr>
      <w:tr>
        <w:trPr>
          <w:trHeight w:val="203"/>
        </w:trPr>
        <w:tc>
          <w:tcPr>
            <w:tcW w:w="828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0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4,051,245</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3,989,787</w:t>
            </w:r>
          </w:p>
        </w:tc>
      </w:tr>
      <w:tr>
        <w:trPr>
          <w:trHeight w:val="203"/>
        </w:trPr>
        <w:tc>
          <w:tcPr>
            <w:tcW w:w="8280" w:type="dxa"/>
            <w:vAlign w:val="bottom"/>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40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2,107,548</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1,394,863</w:t>
            </w:r>
          </w:p>
        </w:tc>
      </w:tr>
      <w:tr>
        <w:trPr>
          <w:trHeight w:val="203"/>
        </w:trPr>
        <w:tc>
          <w:tcPr>
            <w:tcW w:w="828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(23,249)</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(21,878)</w:t>
            </w:r>
          </w:p>
        </w:tc>
      </w:tr>
      <w:tr>
        <w:trPr>
          <w:trHeight w:val="210"/>
        </w:trPr>
        <w:tc>
          <w:tcPr>
            <w:tcW w:w="828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in treasury, at cost; 56,635 shares and 12,357 shares as of December 31, 2016 and 2015, respectively</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(2,808,951)</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(556,467)</w:t>
            </w:r>
          </w:p>
        </w:tc>
      </w:tr>
      <w:tr>
        <w:trPr>
          <w:trHeight w:val="202"/>
        </w:trPr>
        <w:tc>
          <w:tcPr>
            <w:tcW w:w="8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3,329,709</w:t>
            </w:r>
          </w:p>
        </w:tc>
        <w:tc>
          <w:tcPr>
            <w:tcW w:w="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4,809,410</w:t>
            </w:r>
          </w:p>
        </w:tc>
      </w:tr>
      <w:tr>
        <w:trPr>
          <w:trHeight w:val="196"/>
        </w:trPr>
        <w:tc>
          <w:tcPr>
            <w:tcW w:w="8280" w:type="dxa"/>
            <w:vAlign w:val="bottom"/>
          </w:tcPr>
          <w:p>
            <w:pPr>
              <w:ind w:left="256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4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4,153,471</w:t>
            </w:r>
          </w:p>
        </w:tc>
        <w:tc>
          <w:tcPr>
            <w:tcW w:w="280" w:type="dxa"/>
            <w:vAlign w:val="bottom"/>
          </w:tcPr>
          <w:p>
            <w:pPr>
              <w:spacing w:after="0"/>
              <w:rPr>
                <w:sz w:val="17"/>
                <w:szCs w:val="17"/>
                <w:color w:val="auto"/>
              </w:rPr>
            </w:pPr>
          </w:p>
        </w:tc>
        <w:tc>
          <w:tcPr>
            <w:tcW w:w="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5,571,277</w:t>
            </w:r>
          </w:p>
        </w:tc>
      </w:tr>
      <w:tr>
        <w:trPr>
          <w:trHeight w:val="20"/>
        </w:trPr>
        <w:tc>
          <w:tcPr>
            <w:tcW w:w="8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both"/>
        <w:ind w:right="20" w:firstLine="8"/>
        <w:spacing w:after="0" w:line="268" w:lineRule="auto"/>
        <w:tabs>
          <w:tab w:leader="none" w:pos="112"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Stock Split </w:t>
      </w:r>
      <w:r>
        <w:rPr>
          <w:rFonts w:ascii="Times New Roman" w:cs="Times New Roman" w:eastAsia="Times New Roman" w:hAnsi="Times New Roman"/>
          <w:sz w:val="18"/>
          <w:szCs w:val="18"/>
          <w:i w:val="1"/>
          <w:iCs w:val="1"/>
          <w:color w:val="auto"/>
        </w:rPr>
        <w:t>- On October 14, 2016, the Company announced a three-for-one stock split of its common stock to be effected in the form of a 200%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dividend. The stock dividend was issued on November 9, 2016. The accompanying consolidated financial statements and notes thereto have been updated to reflect the stock split. See Note 1 for additional information.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INCOME</w:t>
      </w: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2016, 2015 AND 2014</w:t>
      </w:r>
    </w:p>
    <w:p>
      <w:pPr>
        <w:spacing w:after="0"/>
        <w:rPr>
          <w:sz w:val="20"/>
          <w:szCs w:val="20"/>
          <w:color w:val="auto"/>
        </w:rPr>
      </w:pPr>
      <w:r>
        <w:rPr>
          <w:rFonts w:ascii="Times New Roman" w:cs="Times New Roman" w:eastAsia="Times New Roman" w:hAnsi="Times New Roman"/>
          <w:sz w:val="20"/>
          <w:szCs w:val="20"/>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42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3,049,393</w:t>
            </w:r>
          </w:p>
        </w:tc>
        <w:tc>
          <w:tcPr>
            <w:tcW w:w="220" w:type="dxa"/>
            <w:vAlign w:val="bottom"/>
          </w:tcPr>
          <w:p>
            <w:pPr>
              <w:spacing w:after="0"/>
              <w:rPr>
                <w:sz w:val="24"/>
                <w:szCs w:val="24"/>
                <w:color w:val="auto"/>
              </w:rPr>
            </w:pP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2,722,564</w:t>
            </w:r>
          </w:p>
        </w:tc>
        <w:tc>
          <w:tcPr>
            <w:tcW w:w="240" w:type="dxa"/>
            <w:vAlign w:val="bottom"/>
          </w:tcPr>
          <w:p>
            <w:pPr>
              <w:spacing w:after="0"/>
              <w:rPr>
                <w:sz w:val="24"/>
                <w:szCs w:val="24"/>
                <w:color w:val="auto"/>
              </w:rPr>
            </w:pP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2,464,867</w:t>
            </w:r>
          </w:p>
        </w:tc>
        <w:tc>
          <w:tcPr>
            <w:tcW w:w="0" w:type="dxa"/>
            <w:vAlign w:val="bottom"/>
          </w:tcPr>
          <w:p>
            <w:pPr>
              <w:spacing w:after="0"/>
              <w:rPr>
                <w:sz w:val="1"/>
                <w:szCs w:val="1"/>
                <w:color w:val="auto"/>
              </w:rPr>
            </w:pPr>
          </w:p>
        </w:tc>
      </w:tr>
      <w:tr>
        <w:trPr>
          <w:trHeight w:val="432"/>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1,107,393</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1,090,263</w:t>
            </w:r>
          </w:p>
        </w:tc>
        <w:tc>
          <w:tcPr>
            <w:tcW w:w="2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1,125,057</w:t>
            </w:r>
          </w:p>
        </w:tc>
        <w:tc>
          <w:tcPr>
            <w:tcW w:w="0" w:type="dxa"/>
            <w:vAlign w:val="bottom"/>
          </w:tcPr>
          <w:p>
            <w:pPr>
              <w:spacing w:after="0"/>
              <w:rPr>
                <w:sz w:val="1"/>
                <w:szCs w:val="1"/>
                <w:color w:val="auto"/>
              </w:rPr>
            </w:pPr>
          </w:p>
        </w:tc>
      </w:tr>
      <w:tr>
        <w:trPr>
          <w:trHeight w:val="42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1,942,000</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1,632,301</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1,339,810</w:t>
            </w:r>
          </w:p>
        </w:tc>
        <w:tc>
          <w:tcPr>
            <w:tcW w:w="0" w:type="dxa"/>
            <w:vAlign w:val="bottom"/>
          </w:tcPr>
          <w:p>
            <w:pPr>
              <w:spacing w:after="0"/>
              <w:rPr>
                <w:sz w:val="1"/>
                <w:szCs w:val="1"/>
                <w:color w:val="auto"/>
              </w:rPr>
            </w:pPr>
          </w:p>
        </w:tc>
      </w:tr>
      <w:tr>
        <w:trPr>
          <w:trHeight w:val="432"/>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856,662</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900,118</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592,305</w:t>
            </w:r>
          </w:p>
        </w:tc>
        <w:tc>
          <w:tcPr>
            <w:tcW w:w="0" w:type="dxa"/>
            <w:vAlign w:val="bottom"/>
          </w:tcPr>
          <w:p>
            <w:pPr>
              <w:spacing w:after="0"/>
              <w:rPr>
                <w:sz w:val="1"/>
                <w:szCs w:val="1"/>
                <w:color w:val="auto"/>
              </w:rPr>
            </w:pPr>
          </w:p>
        </w:tc>
      </w:tr>
      <w:tr>
        <w:trPr>
          <w:trHeight w:val="432"/>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MONSTER NON-ENERGY (NOTE 2)</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161,470</w:t>
            </w:r>
          </w:p>
        </w:tc>
        <w:tc>
          <w:tcPr>
            <w:tcW w:w="2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2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1,085,338</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893,653</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747,505</w:t>
            </w:r>
          </w:p>
        </w:tc>
        <w:tc>
          <w:tcPr>
            <w:tcW w:w="0" w:type="dxa"/>
            <w:vAlign w:val="bottom"/>
          </w:tcPr>
          <w:p>
            <w:pPr>
              <w:spacing w:after="0"/>
              <w:rPr>
                <w:sz w:val="1"/>
                <w:szCs w:val="1"/>
                <w:color w:val="auto"/>
              </w:rPr>
            </w:pPr>
          </w:p>
        </w:tc>
      </w:tr>
      <w:tr>
        <w:trPr>
          <w:trHeight w:val="432"/>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5,653</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2,105</w:t>
            </w:r>
          </w:p>
        </w:tc>
        <w:tc>
          <w:tcPr>
            <w:tcW w:w="2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1,717</w:t>
            </w:r>
          </w:p>
        </w:tc>
        <w:tc>
          <w:tcPr>
            <w:tcW w:w="0" w:type="dxa"/>
            <w:vAlign w:val="bottom"/>
          </w:tcPr>
          <w:p>
            <w:pPr>
              <w:spacing w:after="0"/>
              <w:rPr>
                <w:sz w:val="1"/>
                <w:szCs w:val="1"/>
                <w:color w:val="auto"/>
              </w:rPr>
            </w:pPr>
          </w:p>
        </w:tc>
      </w:tr>
      <w:tr>
        <w:trPr>
          <w:trHeight w:val="42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4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1,079,685</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891,548</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745,788</w:t>
            </w:r>
          </w:p>
        </w:tc>
        <w:tc>
          <w:tcPr>
            <w:tcW w:w="0" w:type="dxa"/>
            <w:vAlign w:val="bottom"/>
          </w:tcPr>
          <w:p>
            <w:pPr>
              <w:spacing w:after="0"/>
              <w:rPr>
                <w:sz w:val="1"/>
                <w:szCs w:val="1"/>
                <w:color w:val="auto"/>
              </w:rPr>
            </w:pPr>
          </w:p>
        </w:tc>
      </w:tr>
      <w:tr>
        <w:trPr>
          <w:trHeight w:val="432"/>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367,000</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344,815</w:t>
            </w:r>
          </w:p>
        </w:tc>
        <w:tc>
          <w:tcPr>
            <w:tcW w:w="2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262,603</w:t>
            </w:r>
          </w:p>
        </w:tc>
        <w:tc>
          <w:tcPr>
            <w:tcW w:w="0" w:type="dxa"/>
            <w:vAlign w:val="bottom"/>
          </w:tcPr>
          <w:p>
            <w:pPr>
              <w:spacing w:after="0"/>
              <w:rPr>
                <w:sz w:val="1"/>
                <w:szCs w:val="1"/>
                <w:color w:val="auto"/>
              </w:rPr>
            </w:pPr>
          </w:p>
        </w:tc>
      </w:tr>
      <w:tr>
        <w:trPr>
          <w:trHeight w:val="42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712,685</w:t>
            </w:r>
          </w:p>
        </w:tc>
        <w:tc>
          <w:tcPr>
            <w:tcW w:w="220" w:type="dxa"/>
            <w:vAlign w:val="bottom"/>
          </w:tcPr>
          <w:p>
            <w:pPr>
              <w:spacing w:after="0"/>
              <w:rPr>
                <w:sz w:val="24"/>
                <w:szCs w:val="24"/>
                <w:color w:val="auto"/>
              </w:rPr>
            </w:pP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546,733</w:t>
            </w:r>
          </w:p>
        </w:tc>
        <w:tc>
          <w:tcPr>
            <w:tcW w:w="240" w:type="dxa"/>
            <w:vAlign w:val="bottom"/>
          </w:tcPr>
          <w:p>
            <w:pPr>
              <w:spacing w:after="0"/>
              <w:rPr>
                <w:sz w:val="24"/>
                <w:szCs w:val="24"/>
                <w:color w:val="auto"/>
              </w:rPr>
            </w:pP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483,185</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PER COMMON SHARE¹:</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68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Pr>
          <w:p>
            <w:pPr>
              <w:spacing w:after="0"/>
              <w:rPr>
                <w:sz w:val="20"/>
                <w:szCs w:val="20"/>
                <w:color w:val="auto"/>
              </w:rPr>
            </w:pP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0.97</w:t>
            </w:r>
          </w:p>
        </w:tc>
        <w:tc>
          <w:tcPr>
            <w:tcW w:w="240" w:type="dxa"/>
            <w:vAlign w:val="bottom"/>
          </w:tcPr>
          <w:p>
            <w:pPr>
              <w:spacing w:after="0"/>
              <w:rPr>
                <w:sz w:val="20"/>
                <w:szCs w:val="20"/>
                <w:color w:val="auto"/>
              </w:rPr>
            </w:pP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0.96</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2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220" w:type="dxa"/>
            <w:vAlign w:val="bottom"/>
          </w:tcPr>
          <w:p>
            <w:pPr>
              <w:spacing w:after="0"/>
              <w:rPr>
                <w:sz w:val="17"/>
                <w:szCs w:val="17"/>
                <w:color w:val="auto"/>
              </w:rPr>
            </w:pPr>
          </w:p>
        </w:tc>
        <w:tc>
          <w:tcPr>
            <w:tcW w:w="3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0.95</w:t>
            </w:r>
          </w:p>
        </w:tc>
        <w:tc>
          <w:tcPr>
            <w:tcW w:w="240" w:type="dxa"/>
            <w:vAlign w:val="bottom"/>
          </w:tcPr>
          <w:p>
            <w:pPr>
              <w:spacing w:after="0"/>
              <w:rPr>
                <w:sz w:val="17"/>
                <w:szCs w:val="17"/>
                <w:color w:val="auto"/>
              </w:rPr>
            </w:pPr>
          </w:p>
        </w:tc>
        <w:tc>
          <w:tcPr>
            <w:tcW w:w="36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0.92</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 OF COMMON STOCK AND</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68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EQUIVALENTS¹:</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587,874</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566,448</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501,771</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2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599,819</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577,758</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522,855</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160" w:firstLine="8"/>
        <w:spacing w:after="0" w:line="268" w:lineRule="auto"/>
        <w:tabs>
          <w:tab w:leader="none" w:pos="99"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Stock Split </w:t>
      </w:r>
      <w:r>
        <w:rPr>
          <w:rFonts w:ascii="Times New Roman" w:cs="Times New Roman" w:eastAsia="Times New Roman" w:hAnsi="Times New Roman"/>
          <w:sz w:val="18"/>
          <w:szCs w:val="18"/>
          <w:i w:val="1"/>
          <w:iCs w:val="1"/>
          <w:color w:val="auto"/>
        </w:rPr>
        <w:t>- On October 14, 2016, the Company announced a three-for-one stock split of its common stock to be effected in the form of a 200%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dividend. The stock dividend was issued on November 9, 2016. The accompanying consolidated financial statements and notes thereto have been updated to reflect the stock split. See Note 1 for additional information.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w:t>
      </w: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2016, 2015 AND 2014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2" w:right="239" w:bottom="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52"/>
        </w:trPr>
        <w:tc>
          <w:tcPr>
            <w:tcW w:w="6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income, as reported</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2016</w:t>
            </w: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2015</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2014</w:t>
            </w:r>
          </w:p>
        </w:tc>
        <w:tc>
          <w:tcPr>
            <w:tcW w:w="0" w:type="dxa"/>
            <w:vAlign w:val="bottom"/>
          </w:tcPr>
          <w:p>
            <w:pPr>
              <w:spacing w:after="0"/>
              <w:rPr>
                <w:sz w:val="1"/>
                <w:szCs w:val="1"/>
                <w:color w:val="auto"/>
              </w:rPr>
            </w:pPr>
          </w:p>
        </w:tc>
      </w:tr>
      <w:tr>
        <w:trPr>
          <w:trHeight w:val="200"/>
        </w:trPr>
        <w:tc>
          <w:tcPr>
            <w:tcW w:w="6640" w:type="dxa"/>
            <w:vAlign w:val="bottom"/>
            <w:vMerge w:val="continue"/>
          </w:tcPr>
          <w:p>
            <w:pPr>
              <w:spacing w:after="0"/>
              <w:rPr>
                <w:sz w:val="17"/>
                <w:szCs w:val="17"/>
                <w:color w:val="auto"/>
              </w:rPr>
            </w:pPr>
          </w:p>
        </w:tc>
        <w:tc>
          <w:tcPr>
            <w:tcW w:w="34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712,685</w:t>
            </w:r>
          </w:p>
        </w:tc>
        <w:tc>
          <w:tcPr>
            <w:tcW w:w="300" w:type="dxa"/>
            <w:vAlign w:val="bottom"/>
          </w:tcPr>
          <w:p>
            <w:pPr>
              <w:spacing w:after="0"/>
              <w:rPr>
                <w:sz w:val="17"/>
                <w:szCs w:val="17"/>
                <w:color w:val="auto"/>
              </w:rPr>
            </w:pPr>
          </w:p>
        </w:tc>
        <w:tc>
          <w:tcPr>
            <w:tcW w:w="34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546,733</w:t>
            </w:r>
          </w:p>
        </w:tc>
        <w:tc>
          <w:tcPr>
            <w:tcW w:w="280" w:type="dxa"/>
            <w:vAlign w:val="bottom"/>
          </w:tcPr>
          <w:p>
            <w:pPr>
              <w:spacing w:after="0"/>
              <w:rPr>
                <w:sz w:val="17"/>
                <w:szCs w:val="17"/>
                <w:color w:val="auto"/>
              </w:rPr>
            </w:pPr>
          </w:p>
        </w:tc>
        <w:tc>
          <w:tcPr>
            <w:tcW w:w="36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rPr>
              <w:t>483,185</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(loss) income:</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Change in foreign currency translation adjustment, net of tax</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(1,178)</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(10,425)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(10,220)</w:t>
            </w:r>
          </w:p>
        </w:tc>
        <w:tc>
          <w:tcPr>
            <w:tcW w:w="0" w:type="dxa"/>
            <w:vAlign w:val="bottom"/>
          </w:tcPr>
          <w:p>
            <w:pPr>
              <w:spacing w:after="0"/>
              <w:rPr>
                <w:sz w:val="1"/>
                <w:szCs w:val="1"/>
                <w:color w:val="auto"/>
              </w:rPr>
            </w:pPr>
          </w:p>
        </w:tc>
      </w:tr>
      <w:tr>
        <w:trPr>
          <w:trHeight w:val="230"/>
        </w:trPr>
        <w:tc>
          <w:tcPr>
            <w:tcW w:w="6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Available-for-sale investments: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Change in net unrealized losses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6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Reclassification adjustment for net gains included in net income</w:t>
            </w:r>
          </w:p>
        </w:tc>
        <w:tc>
          <w:tcPr>
            <w:tcW w:w="3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
        </w:trPr>
        <w:tc>
          <w:tcPr>
            <w:tcW w:w="6640" w:type="dxa"/>
            <w:vAlign w:val="bottom"/>
            <w:vMerge w:val="restart"/>
          </w:tcPr>
          <w:p>
            <w:pPr>
              <w:ind w:left="380"/>
              <w:spacing w:after="0"/>
              <w:rPr>
                <w:sz w:val="20"/>
                <w:szCs w:val="20"/>
                <w:color w:val="auto"/>
              </w:rPr>
            </w:pPr>
            <w:r>
              <w:rPr>
                <w:rFonts w:ascii="Times New Roman" w:cs="Times New Roman" w:eastAsia="Times New Roman" w:hAnsi="Times New Roman"/>
                <w:sz w:val="20"/>
                <w:szCs w:val="20"/>
                <w:color w:val="auto"/>
              </w:rPr>
              <w:t>Net change in available-for-sale investments</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6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(193)</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
        </w:trPr>
        <w:tc>
          <w:tcPr>
            <w:tcW w:w="6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Other comprehensive (loss) income</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6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(1,371)</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(10,425)</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(10,220)</w:t>
            </w:r>
          </w:p>
        </w:tc>
        <w:tc>
          <w:tcPr>
            <w:tcW w:w="0" w:type="dxa"/>
            <w:vAlign w:val="bottom"/>
          </w:tcPr>
          <w:p>
            <w:pPr>
              <w:spacing w:after="0"/>
              <w:rPr>
                <w:sz w:val="1"/>
                <w:szCs w:val="1"/>
                <w:color w:val="auto"/>
              </w:rPr>
            </w:pPr>
          </w:p>
        </w:tc>
      </w:tr>
      <w:tr>
        <w:trPr>
          <w:trHeight w:val="23"/>
        </w:trPr>
        <w:tc>
          <w:tcPr>
            <w:tcW w:w="6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Comprehensive income</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640" w:type="dxa"/>
            <w:vAlign w:val="bottom"/>
            <w:vMerge w:val="continue"/>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711,314</w:t>
            </w:r>
          </w:p>
        </w:tc>
        <w:tc>
          <w:tcPr>
            <w:tcW w:w="30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536,308</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472,965</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ind w:right="5520"/>
        <w:spacing w:after="0" w:line="270"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CONSOLIDATED STATEMENTS OF STOCKHOLDERS’ EQUITY</w:t>
      </w: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2016, 2015 AND 2014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46620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466205" cy="1714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2060" w:type="dxa"/>
            <w:vAlign w:val="bottom"/>
            <w:gridSpan w:val="5"/>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40" w:type="dxa"/>
            <w:vAlign w:val="bottom"/>
            <w:gridSpan w:val="5"/>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00" w:type="dxa"/>
            <w:vAlign w:val="bottom"/>
          </w:tcPr>
          <w:p>
            <w:pPr>
              <w:spacing w:after="0"/>
              <w:rPr>
                <w:sz w:val="15"/>
                <w:szCs w:val="15"/>
                <w:color w:val="auto"/>
              </w:rPr>
            </w:pPr>
          </w:p>
        </w:tc>
        <w:tc>
          <w:tcPr>
            <w:tcW w:w="2060" w:type="dxa"/>
            <w:vAlign w:val="bottom"/>
            <w:gridSpan w:val="5"/>
            <w:vMerge w:val="continue"/>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240" w:type="dxa"/>
            <w:vAlign w:val="bottom"/>
            <w:gridSpan w:val="5"/>
            <w:vMerge w:val="continue"/>
          </w:tcPr>
          <w:p>
            <w:pPr>
              <w:spacing w:after="0"/>
              <w:rPr>
                <w:sz w:val="15"/>
                <w:szCs w:val="15"/>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1020" w:type="dxa"/>
            <w:vAlign w:val="bottom"/>
            <w:tcBorders>
              <w:top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6"/>
                <w:szCs w:val="16"/>
                <w:b w:val="1"/>
                <w:bCs w:val="1"/>
                <w:color w:val="auto"/>
                <w:vertAlign w:val="superscript"/>
              </w:rPr>
              <w:t>1</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2"/>
                <w:szCs w:val="12"/>
                <w:color w:val="auto"/>
              </w:rPr>
            </w:pPr>
          </w:p>
        </w:tc>
        <w:tc>
          <w:tcPr>
            <w:tcW w:w="98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2"/>
                <w:szCs w:val="12"/>
                <w:color w:val="auto"/>
              </w:rPr>
            </w:pPr>
          </w:p>
        </w:tc>
        <w:tc>
          <w:tcPr>
            <w:tcW w:w="116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000" w:type="dxa"/>
            <w:vAlign w:val="bottom"/>
            <w:tcBorders>
              <w:top w:val="single" w:sz="8" w:color="auto"/>
            </w:tcBorders>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6"/>
                <w:szCs w:val="16"/>
                <w:b w:val="1"/>
                <w:bCs w:val="1"/>
                <w:color w:val="auto"/>
                <w:vertAlign w:val="superscript"/>
              </w:rPr>
              <w:t>1</w:t>
            </w: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2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January 1, 2014</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618,042</w:t>
            </w:r>
          </w:p>
        </w:tc>
        <w:tc>
          <w:tcPr>
            <w:tcW w:w="1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3,090</w:t>
            </w:r>
          </w:p>
        </w:tc>
        <w:tc>
          <w:tcPr>
            <w:tcW w:w="1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366,009</w:t>
            </w:r>
          </w:p>
        </w:tc>
        <w:tc>
          <w:tcPr>
            <w:tcW w:w="1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1,847,325</w:t>
            </w:r>
          </w:p>
        </w:tc>
        <w:tc>
          <w:tcPr>
            <w:tcW w:w="1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(1,233)</w:t>
            </w:r>
          </w:p>
        </w:tc>
        <w:tc>
          <w:tcPr>
            <w:tcW w:w="160" w:type="dxa"/>
            <w:vAlign w:val="bottom"/>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(117,576)</w:t>
            </w:r>
          </w:p>
        </w:tc>
        <w:tc>
          <w:tcPr>
            <w:tcW w:w="1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(1,222,912)</w:t>
            </w:r>
          </w:p>
        </w:tc>
        <w:tc>
          <w:tcPr>
            <w:tcW w:w="160" w:type="dxa"/>
            <w:vAlign w:val="bottom"/>
          </w:tcPr>
          <w:p>
            <w:pPr>
              <w:spacing w:after="0"/>
              <w:rPr>
                <w:sz w:val="20"/>
                <w:szCs w:val="20"/>
                <w:color w:val="auto"/>
              </w:rPr>
            </w:pPr>
          </w:p>
        </w:tc>
        <w:tc>
          <w:tcPr>
            <w:tcW w:w="2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992,279</w:t>
            </w:r>
          </w:p>
        </w:tc>
        <w:tc>
          <w:tcPr>
            <w:tcW w:w="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28,989</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28,989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2,970</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17,153</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17,168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Excess tax benefits from share based</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payment arrangements</w:t>
            </w: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(8,175)</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(10,220)</w:t>
            </w:r>
          </w:p>
        </w:tc>
        <w:tc>
          <w:tcPr>
            <w:tcW w:w="160" w:type="dxa"/>
            <w:vAlign w:val="bottom"/>
          </w:tcPr>
          <w:p>
            <w:pPr>
              <w:spacing w:after="0"/>
              <w:rPr>
                <w:sz w:val="21"/>
                <w:szCs w:val="21"/>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483,185</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2014</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621,012</w:t>
            </w:r>
          </w:p>
        </w:tc>
        <w:tc>
          <w:tcPr>
            <w:tcW w:w="1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3,105</w:t>
            </w:r>
          </w:p>
        </w:tc>
        <w:tc>
          <w:tcPr>
            <w:tcW w:w="1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424,075</w:t>
            </w:r>
          </w:p>
        </w:tc>
        <w:tc>
          <w:tcPr>
            <w:tcW w:w="1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2,330,510</w:t>
            </w:r>
          </w:p>
        </w:tc>
        <w:tc>
          <w:tcPr>
            <w:tcW w:w="1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(11,453)</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(117,846)</w:t>
            </w:r>
          </w:p>
        </w:tc>
        <w:tc>
          <w:tcPr>
            <w:tcW w:w="1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(1,231,087)</w:t>
            </w:r>
          </w:p>
        </w:tc>
        <w:tc>
          <w:tcPr>
            <w:tcW w:w="160" w:type="dxa"/>
            <w:vAlign w:val="bottom"/>
          </w:tcPr>
          <w:p>
            <w:pPr>
              <w:spacing w:after="0"/>
              <w:rPr>
                <w:sz w:val="22"/>
                <w:szCs w:val="22"/>
                <w:color w:val="auto"/>
              </w:rPr>
            </w:pP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1,515,150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32,719</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22,275</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49,217</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49,328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102,123</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3,168,624</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3,169,135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Excess tax benefits from share based</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314,737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314,737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payment arrangements</w:t>
            </w: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(18,864)</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(807,967)</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(807,967)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Cancellation of treasury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(124,353)</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(1,482,380)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124,353</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1,482,587</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(10,425)</w:t>
            </w:r>
          </w:p>
        </w:tc>
        <w:tc>
          <w:tcPr>
            <w:tcW w:w="160" w:type="dxa"/>
            <w:vAlign w:val="bottom"/>
          </w:tcPr>
          <w:p>
            <w:pPr>
              <w:spacing w:after="0"/>
              <w:rPr>
                <w:sz w:val="21"/>
                <w:szCs w:val="21"/>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546,733</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546,733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2015</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621,057</w:t>
            </w:r>
          </w:p>
        </w:tc>
        <w:tc>
          <w:tcPr>
            <w:tcW w:w="1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3,105</w:t>
            </w:r>
          </w:p>
        </w:tc>
        <w:tc>
          <w:tcPr>
            <w:tcW w:w="1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3,989,787</w:t>
            </w:r>
          </w:p>
        </w:tc>
        <w:tc>
          <w:tcPr>
            <w:tcW w:w="1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1,394,863</w:t>
            </w:r>
          </w:p>
        </w:tc>
        <w:tc>
          <w:tcPr>
            <w:tcW w:w="1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(21,878)</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(12,357)</w:t>
            </w:r>
          </w:p>
        </w:tc>
        <w:tc>
          <w:tcPr>
            <w:tcW w:w="1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(556,467)</w:t>
            </w:r>
          </w:p>
        </w:tc>
        <w:tc>
          <w:tcPr>
            <w:tcW w:w="160" w:type="dxa"/>
            <w:vAlign w:val="bottom"/>
          </w:tcPr>
          <w:p>
            <w:pPr>
              <w:spacing w:after="0"/>
              <w:rPr>
                <w:sz w:val="22"/>
                <w:szCs w:val="22"/>
                <w:color w:val="auto"/>
              </w:rPr>
            </w:pP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4,809,410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45,848</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45,848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2,144</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16,441</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Unrealized loss on available-for- sale</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securities</w:t>
            </w: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Excess tax benefits from share based</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payment arrangements</w:t>
            </w: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(44,278)</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(2,252,484)</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(2,252,484)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160" w:type="dxa"/>
            <w:vAlign w:val="bottom"/>
          </w:tcPr>
          <w:p>
            <w:pPr>
              <w:spacing w:after="0"/>
              <w:rPr>
                <w:sz w:val="21"/>
                <w:szCs w:val="21"/>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712,685</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712,685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2016</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623,201</w:t>
            </w:r>
          </w:p>
        </w:tc>
        <w:tc>
          <w:tcPr>
            <w:tcW w:w="1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3,116</w:t>
            </w:r>
          </w:p>
        </w:tc>
        <w:tc>
          <w:tcPr>
            <w:tcW w:w="1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4,051,245</w:t>
            </w:r>
          </w:p>
        </w:tc>
        <w:tc>
          <w:tcPr>
            <w:tcW w:w="1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2,107,548</w:t>
            </w:r>
          </w:p>
        </w:tc>
        <w:tc>
          <w:tcPr>
            <w:tcW w:w="1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(23,249)</w:t>
            </w:r>
          </w:p>
        </w:tc>
        <w:tc>
          <w:tcPr>
            <w:tcW w:w="16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(56,635)</w:t>
            </w:r>
          </w:p>
        </w:tc>
        <w:tc>
          <w:tcPr>
            <w:tcW w:w="16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(2,808,951)</w:t>
            </w:r>
          </w:p>
        </w:tc>
        <w:tc>
          <w:tcPr>
            <w:tcW w:w="160" w:type="dxa"/>
            <w:vAlign w:val="bottom"/>
          </w:tcPr>
          <w:p>
            <w:pPr>
              <w:spacing w:after="0"/>
              <w:rPr>
                <w:sz w:val="20"/>
                <w:szCs w:val="20"/>
                <w:color w:val="auto"/>
              </w:rPr>
            </w:pPr>
          </w:p>
        </w:tc>
        <w:tc>
          <w:tcPr>
            <w:tcW w:w="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3,329,709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right="20" w:firstLine="8"/>
        <w:spacing w:after="0" w:line="268" w:lineRule="auto"/>
        <w:tabs>
          <w:tab w:leader="none" w:pos="112"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Stock Split </w:t>
      </w:r>
      <w:r>
        <w:rPr>
          <w:rFonts w:ascii="Times New Roman" w:cs="Times New Roman" w:eastAsia="Times New Roman" w:hAnsi="Times New Roman"/>
          <w:sz w:val="18"/>
          <w:szCs w:val="18"/>
          <w:i w:val="1"/>
          <w:iCs w:val="1"/>
          <w:color w:val="auto"/>
        </w:rPr>
        <w:t>- On October 14, 2016, the Company announced a three-for-one stock split of its common stock to be effected in the form of a 200%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dividend. The stock dividend was issued on November 9, 2016. The accompanying consolidated financial statements and notes thereto have been updated to reflect the stock split. See Note 1 for additional information.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2016, 2015 AND 2014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p>
      <w:pPr>
        <w:spacing w:after="0" w:line="255" w:lineRule="exact"/>
        <w:rPr>
          <w:sz w:val="20"/>
          <w:szCs w:val="20"/>
          <w:color w:val="auto"/>
        </w:rPr>
      </w:pPr>
    </w:p>
    <w:p>
      <w:pPr>
        <w:ind w:left="7240"/>
        <w:spacing w:after="0"/>
        <w:tabs>
          <w:tab w:leader="none" w:pos="8880" w:val="left"/>
          <w:tab w:leader="none" w:pos="10540" w:val="left"/>
        </w:tabs>
        <w:rPr>
          <w:sz w:val="20"/>
          <w:szCs w:val="20"/>
          <w:color w:val="auto"/>
        </w:rPr>
      </w:pPr>
      <w:r>
        <w:rPr>
          <w:rFonts w:ascii="Times New Roman" w:cs="Times New Roman" w:eastAsia="Times New Roman" w:hAnsi="Times New Roman"/>
          <w:sz w:val="16"/>
          <w:szCs w:val="16"/>
          <w:b w:val="1"/>
          <w:bCs w:val="1"/>
          <w:color w:val="auto"/>
        </w:rPr>
        <w:t>2016</w:t>
      </w:r>
      <w:r>
        <w:rPr>
          <w:sz w:val="20"/>
          <w:szCs w:val="20"/>
          <w:color w:val="auto"/>
        </w:rPr>
        <w:tab/>
      </w:r>
      <w:r>
        <w:rPr>
          <w:rFonts w:ascii="Times New Roman" w:cs="Times New Roman" w:eastAsia="Times New Roman" w:hAnsi="Times New Roman"/>
          <w:sz w:val="16"/>
          <w:szCs w:val="16"/>
          <w:b w:val="1"/>
          <w:bCs w:val="1"/>
          <w:color w:val="auto"/>
        </w:rPr>
        <w:t>2015</w:t>
      </w:r>
      <w:r>
        <w:rPr>
          <w:sz w:val="20"/>
          <w:szCs w:val="20"/>
          <w:color w:val="auto"/>
        </w:rPr>
        <w:tab/>
      </w:r>
      <w:r>
        <w:rPr>
          <w:rFonts w:ascii="Times New Roman" w:cs="Times New Roman" w:eastAsia="Times New Roman" w:hAnsi="Times New Roman"/>
          <w:sz w:val="16"/>
          <w:szCs w:val="16"/>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21590</wp:posOffset>
            </wp:positionV>
            <wp:extent cx="29927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712,685</w:t>
            </w:r>
          </w:p>
        </w:tc>
        <w:tc>
          <w:tcPr>
            <w:tcW w:w="280" w:type="dxa"/>
            <w:vAlign w:val="bottom"/>
          </w:tcPr>
          <w:p>
            <w:pPr>
              <w:spacing w:after="0"/>
              <w:rPr>
                <w:sz w:val="17"/>
                <w:szCs w:val="17"/>
                <w:color w:val="auto"/>
              </w:rPr>
            </w:pPr>
          </w:p>
        </w:tc>
        <w:tc>
          <w:tcPr>
            <w:tcW w:w="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546,733</w:t>
            </w:r>
          </w:p>
        </w:tc>
        <w:tc>
          <w:tcPr>
            <w:tcW w:w="280" w:type="dxa"/>
            <w:vAlign w:val="bottom"/>
          </w:tcPr>
          <w:p>
            <w:pPr>
              <w:spacing w:after="0"/>
              <w:rPr>
                <w:sz w:val="17"/>
                <w:szCs w:val="17"/>
                <w:color w:val="auto"/>
              </w:rPr>
            </w:pPr>
          </w:p>
        </w:tc>
        <w:tc>
          <w:tcPr>
            <w:tcW w:w="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483,185</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income to</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40,845</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30,860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25,651</w:t>
            </w:r>
          </w:p>
        </w:tc>
        <w:tc>
          <w:tcPr>
            <w:tcW w:w="0" w:type="dxa"/>
            <w:vAlign w:val="bottom"/>
          </w:tcPr>
          <w:p>
            <w:pPr>
              <w:spacing w:after="0"/>
              <w:rPr>
                <w:sz w:val="1"/>
                <w:szCs w:val="1"/>
                <w:color w:val="auto"/>
              </w:rPr>
            </w:pPr>
          </w:p>
        </w:tc>
      </w:tr>
      <w:tr>
        <w:trPr>
          <w:trHeight w:val="203"/>
        </w:trPr>
        <w:tc>
          <w:tcPr>
            <w:tcW w:w="6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(Gain) loss on disposal of property and equipment</w:t>
            </w: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193</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0" w:type="dxa"/>
            <w:vAlign w:val="bottom"/>
          </w:tcPr>
          <w:p>
            <w:pPr>
              <w:spacing w:after="0"/>
              <w:rPr>
                <w:sz w:val="1"/>
                <w:szCs w:val="1"/>
                <w:color w:val="auto"/>
              </w:rPr>
            </w:pPr>
          </w:p>
        </w:tc>
      </w:tr>
      <w:tr>
        <w:trPr>
          <w:trHeight w:val="203"/>
        </w:trPr>
        <w:tc>
          <w:tcPr>
            <w:tcW w:w="6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Gain on sale of Monster Non-Energy</w:t>
            </w:r>
          </w:p>
        </w:tc>
        <w:tc>
          <w:tcPr>
            <w:tcW w:w="40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(161,470)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Stock-based compensation</w:t>
            </w:r>
          </w:p>
        </w:tc>
        <w:tc>
          <w:tcPr>
            <w:tcW w:w="40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45,848</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32,719</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28,552</w:t>
            </w:r>
          </w:p>
        </w:tc>
        <w:tc>
          <w:tcPr>
            <w:tcW w:w="0" w:type="dxa"/>
            <w:vAlign w:val="bottom"/>
          </w:tcPr>
          <w:p>
            <w:pPr>
              <w:spacing w:after="0"/>
              <w:rPr>
                <w:sz w:val="1"/>
                <w:szCs w:val="1"/>
                <w:color w:val="auto"/>
              </w:rPr>
            </w:pPr>
          </w:p>
        </w:tc>
      </w:tr>
      <w:tr>
        <w:trPr>
          <w:trHeight w:val="203"/>
        </w:trPr>
        <w:tc>
          <w:tcPr>
            <w:tcW w:w="6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Loss on put option</w:t>
            </w:r>
          </w:p>
        </w:tc>
        <w:tc>
          <w:tcPr>
            <w:tcW w:w="40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842</w:t>
            </w:r>
          </w:p>
        </w:tc>
        <w:tc>
          <w:tcPr>
            <w:tcW w:w="0" w:type="dxa"/>
            <w:vAlign w:val="bottom"/>
          </w:tcPr>
          <w:p>
            <w:pPr>
              <w:spacing w:after="0"/>
              <w:rPr>
                <w:sz w:val="1"/>
                <w:szCs w:val="1"/>
                <w:color w:val="auto"/>
              </w:rPr>
            </w:pPr>
          </w:p>
        </w:tc>
      </w:tr>
      <w:tr>
        <w:trPr>
          <w:trHeight w:val="203"/>
        </w:trPr>
        <w:tc>
          <w:tcPr>
            <w:tcW w:w="6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Gain on investments, net</w:t>
            </w:r>
          </w:p>
        </w:tc>
        <w:tc>
          <w:tcPr>
            <w:tcW w:w="40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0" w:type="dxa"/>
            <w:vAlign w:val="bottom"/>
          </w:tcPr>
          <w:p>
            <w:pPr>
              <w:spacing w:after="0"/>
              <w:rPr>
                <w:sz w:val="1"/>
                <w:szCs w:val="1"/>
                <w:color w:val="auto"/>
              </w:rPr>
            </w:pPr>
          </w:p>
        </w:tc>
      </w:tr>
      <w:tr>
        <w:trPr>
          <w:trHeight w:val="203"/>
        </w:trPr>
        <w:tc>
          <w:tcPr>
            <w:tcW w:w="6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income taxes</w:t>
            </w: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(19,092)</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(181,582)</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(9,846)</w:t>
            </w:r>
          </w:p>
        </w:tc>
        <w:tc>
          <w:tcPr>
            <w:tcW w:w="0" w:type="dxa"/>
            <w:vAlign w:val="bottom"/>
          </w:tcPr>
          <w:p>
            <w:pPr>
              <w:spacing w:after="0"/>
              <w:rPr>
                <w:sz w:val="1"/>
                <w:szCs w:val="1"/>
                <w:color w:val="auto"/>
              </w:rPr>
            </w:pPr>
          </w:p>
        </w:tc>
      </w:tr>
      <w:tr>
        <w:trPr>
          <w:trHeight w:val="203"/>
        </w:trPr>
        <w:tc>
          <w:tcPr>
            <w:tcW w:w="6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Effect on cash of changes in operating assets and liabilities,</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net of acquisitions and divestitures:</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Accounts receivable</w:t>
            </w: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(86,382)</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(77,331)</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(14,290)</w:t>
            </w:r>
          </w:p>
        </w:tc>
        <w:tc>
          <w:tcPr>
            <w:tcW w:w="0" w:type="dxa"/>
            <w:vAlign w:val="bottom"/>
          </w:tcPr>
          <w:p>
            <w:pPr>
              <w:spacing w:after="0"/>
              <w:rPr>
                <w:sz w:val="1"/>
                <w:szCs w:val="1"/>
                <w:color w:val="auto"/>
              </w:rPr>
            </w:pPr>
          </w:p>
        </w:tc>
      </w:tr>
      <w:tr>
        <w:trPr>
          <w:trHeight w:val="203"/>
        </w:trPr>
        <w:tc>
          <w:tcPr>
            <w:tcW w:w="67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Distributor receivables</w:t>
            </w: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(19,981)</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4,580</w:t>
            </w:r>
          </w:p>
        </w:tc>
        <w:tc>
          <w:tcPr>
            <w:tcW w:w="0" w:type="dxa"/>
            <w:vAlign w:val="bottom"/>
          </w:tcPr>
          <w:p>
            <w:pPr>
              <w:spacing w:after="0"/>
              <w:rPr>
                <w:sz w:val="1"/>
                <w:szCs w:val="1"/>
                <w:color w:val="auto"/>
              </w:rPr>
            </w:pPr>
          </w:p>
        </w:tc>
      </w:tr>
      <w:tr>
        <w:trPr>
          <w:trHeight w:val="203"/>
        </w:trPr>
        <w:tc>
          <w:tcPr>
            <w:tcW w:w="67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Inventories</w:t>
            </w:r>
          </w:p>
        </w:tc>
        <w:tc>
          <w:tcPr>
            <w:tcW w:w="40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20,875</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(7,068)</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42,763</w:t>
            </w:r>
          </w:p>
        </w:tc>
        <w:tc>
          <w:tcPr>
            <w:tcW w:w="0" w:type="dxa"/>
            <w:vAlign w:val="bottom"/>
          </w:tcPr>
          <w:p>
            <w:pPr>
              <w:spacing w:after="0"/>
              <w:rPr>
                <w:sz w:val="1"/>
                <w:szCs w:val="1"/>
                <w:color w:val="auto"/>
              </w:rPr>
            </w:pPr>
          </w:p>
        </w:tc>
      </w:tr>
      <w:tr>
        <w:trPr>
          <w:trHeight w:val="203"/>
        </w:trPr>
        <w:tc>
          <w:tcPr>
            <w:tcW w:w="67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(6,682)</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(9,713)</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888</w:t>
            </w:r>
          </w:p>
        </w:tc>
        <w:tc>
          <w:tcPr>
            <w:tcW w:w="0" w:type="dxa"/>
            <w:vAlign w:val="bottom"/>
          </w:tcPr>
          <w:p>
            <w:pPr>
              <w:spacing w:after="0"/>
              <w:rPr>
                <w:sz w:val="1"/>
                <w:szCs w:val="1"/>
                <w:color w:val="auto"/>
              </w:rPr>
            </w:pPr>
          </w:p>
        </w:tc>
      </w:tr>
      <w:tr>
        <w:trPr>
          <w:trHeight w:val="203"/>
        </w:trPr>
        <w:tc>
          <w:tcPr>
            <w:tcW w:w="67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Prepaid income taxes</w:t>
            </w: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(48,023)</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(11,009)</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03"/>
        </w:trPr>
        <w:tc>
          <w:tcPr>
            <w:tcW w:w="67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Accounts payable</w:t>
            </w:r>
          </w:p>
        </w:tc>
        <w:tc>
          <w:tcPr>
            <w:tcW w:w="40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45,340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20,864</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11,282</w:t>
            </w:r>
          </w:p>
        </w:tc>
        <w:tc>
          <w:tcPr>
            <w:tcW w:w="0" w:type="dxa"/>
            <w:vAlign w:val="bottom"/>
          </w:tcPr>
          <w:p>
            <w:pPr>
              <w:spacing w:after="0"/>
              <w:rPr>
                <w:sz w:val="1"/>
                <w:szCs w:val="1"/>
                <w:color w:val="auto"/>
              </w:rPr>
            </w:pPr>
          </w:p>
        </w:tc>
      </w:tr>
      <w:tr>
        <w:trPr>
          <w:trHeight w:val="203"/>
        </w:trPr>
        <w:tc>
          <w:tcPr>
            <w:tcW w:w="67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Accrued liabilities</w:t>
            </w: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(2,852)</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43,312</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3,019</w:t>
            </w:r>
          </w:p>
        </w:tc>
        <w:tc>
          <w:tcPr>
            <w:tcW w:w="0" w:type="dxa"/>
            <w:vAlign w:val="bottom"/>
          </w:tcPr>
          <w:p>
            <w:pPr>
              <w:spacing w:after="0"/>
              <w:rPr>
                <w:sz w:val="1"/>
                <w:szCs w:val="1"/>
                <w:color w:val="auto"/>
              </w:rPr>
            </w:pPr>
          </w:p>
        </w:tc>
      </w:tr>
      <w:tr>
        <w:trPr>
          <w:trHeight w:val="203"/>
        </w:trPr>
        <w:tc>
          <w:tcPr>
            <w:tcW w:w="67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Accrued promotional allowances</w:t>
            </w: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(3,939)</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7,009</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20,530</w:t>
            </w:r>
          </w:p>
        </w:tc>
        <w:tc>
          <w:tcPr>
            <w:tcW w:w="0" w:type="dxa"/>
            <w:vAlign w:val="bottom"/>
          </w:tcPr>
          <w:p>
            <w:pPr>
              <w:spacing w:after="0"/>
              <w:rPr>
                <w:sz w:val="1"/>
                <w:szCs w:val="1"/>
                <w:color w:val="auto"/>
              </w:rPr>
            </w:pPr>
          </w:p>
        </w:tc>
      </w:tr>
      <w:tr>
        <w:trPr>
          <w:trHeight w:val="203"/>
        </w:trPr>
        <w:tc>
          <w:tcPr>
            <w:tcW w:w="67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Accrued distributor terminations</w:t>
            </w: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(3,328)</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11,196</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0" w:type="dxa"/>
            <w:vAlign w:val="bottom"/>
          </w:tcPr>
          <w:p>
            <w:pPr>
              <w:spacing w:after="0"/>
              <w:rPr>
                <w:sz w:val="1"/>
                <w:szCs w:val="1"/>
                <w:color w:val="auto"/>
              </w:rPr>
            </w:pPr>
          </w:p>
        </w:tc>
      </w:tr>
      <w:tr>
        <w:trPr>
          <w:trHeight w:val="203"/>
        </w:trPr>
        <w:tc>
          <w:tcPr>
            <w:tcW w:w="67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Accrued compensation</w:t>
            </w:r>
          </w:p>
        </w:tc>
        <w:tc>
          <w:tcPr>
            <w:tcW w:w="40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8,051</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4,507</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3,394</w:t>
            </w:r>
          </w:p>
        </w:tc>
        <w:tc>
          <w:tcPr>
            <w:tcW w:w="0" w:type="dxa"/>
            <w:vAlign w:val="bottom"/>
          </w:tcPr>
          <w:p>
            <w:pPr>
              <w:spacing w:after="0"/>
              <w:rPr>
                <w:sz w:val="1"/>
                <w:szCs w:val="1"/>
                <w:color w:val="auto"/>
              </w:rPr>
            </w:pPr>
          </w:p>
        </w:tc>
      </w:tr>
      <w:tr>
        <w:trPr>
          <w:trHeight w:val="203"/>
        </w:trPr>
        <w:tc>
          <w:tcPr>
            <w:tcW w:w="67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Income taxes payable</w:t>
            </w:r>
          </w:p>
        </w:tc>
        <w:tc>
          <w:tcPr>
            <w:tcW w:w="40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4,375</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311,534</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8,438</w:t>
            </w:r>
          </w:p>
        </w:tc>
        <w:tc>
          <w:tcPr>
            <w:tcW w:w="0" w:type="dxa"/>
            <w:vAlign w:val="bottom"/>
          </w:tcPr>
          <w:p>
            <w:pPr>
              <w:spacing w:after="0"/>
              <w:rPr>
                <w:sz w:val="1"/>
                <w:szCs w:val="1"/>
                <w:color w:val="auto"/>
              </w:rPr>
            </w:pPr>
          </w:p>
        </w:tc>
      </w:tr>
      <w:tr>
        <w:trPr>
          <w:trHeight w:val="210"/>
        </w:trPr>
        <w:tc>
          <w:tcPr>
            <w:tcW w:w="67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Deferred revenue</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13,819</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(38,631)</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(8,107)</w:t>
            </w:r>
          </w:p>
        </w:tc>
        <w:tc>
          <w:tcPr>
            <w:tcW w:w="0" w:type="dxa"/>
            <w:vAlign w:val="bottom"/>
          </w:tcPr>
          <w:p>
            <w:pPr>
              <w:spacing w:after="0"/>
              <w:rPr>
                <w:sz w:val="1"/>
                <w:szCs w:val="1"/>
                <w:color w:val="auto"/>
              </w:rPr>
            </w:pPr>
          </w:p>
        </w:tc>
      </w:tr>
      <w:tr>
        <w:trPr>
          <w:trHeight w:val="210"/>
        </w:trPr>
        <w:tc>
          <w:tcPr>
            <w:tcW w:w="670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40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701,355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522,723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597,491</w:t>
            </w:r>
          </w:p>
        </w:tc>
        <w:tc>
          <w:tcPr>
            <w:tcW w:w="0" w:type="dxa"/>
            <w:vAlign w:val="bottom"/>
          </w:tcPr>
          <w:p>
            <w:pPr>
              <w:spacing w:after="0"/>
              <w:rPr>
                <w:sz w:val="1"/>
                <w:szCs w:val="1"/>
                <w:color w:val="auto"/>
              </w:rPr>
            </w:pPr>
          </w:p>
        </w:tc>
      </w:tr>
      <w:tr>
        <w:trPr>
          <w:trHeight w:val="397"/>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Maturities of held-to-maturity investments</w:t>
            </w:r>
          </w:p>
        </w:tc>
        <w:tc>
          <w:tcPr>
            <w:tcW w:w="40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868,304</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2,089,788</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710,294</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Sales of available-for-sale investments</w:t>
            </w:r>
          </w:p>
        </w:tc>
        <w:tc>
          <w:tcPr>
            <w:tcW w:w="40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120,987</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4,001</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Sales of trading investments</w:t>
            </w:r>
          </w:p>
        </w:tc>
        <w:tc>
          <w:tcPr>
            <w:tcW w:w="40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4,160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13,075</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the transfer of distribution rights to TCCC</w:t>
            </w:r>
          </w:p>
        </w:tc>
        <w:tc>
          <w:tcPr>
            <w:tcW w:w="40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179,658</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the sale of Monster Non-Energy</w:t>
            </w:r>
          </w:p>
        </w:tc>
        <w:tc>
          <w:tcPr>
            <w:tcW w:w="40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198,008</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Purchase of AFF assets, net</w:t>
            </w: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(688,485)</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40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807</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926</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963</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held-to-maturity investments</w:t>
            </w: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(152,050)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(2,033,584)</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(1,130,601)</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available-for-sale investments</w:t>
            </w: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(300,426)</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(4,001)</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(99,819)</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(35,605)</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(27,952)</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Additions to intangibles</w:t>
            </w: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(5,518)</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(6,888)</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(3,411)</w:t>
            </w:r>
          </w:p>
        </w:tc>
        <w:tc>
          <w:tcPr>
            <w:tcW w:w="0" w:type="dxa"/>
            <w:vAlign w:val="bottom"/>
          </w:tcPr>
          <w:p>
            <w:pPr>
              <w:spacing w:after="0"/>
              <w:rPr>
                <w:sz w:val="1"/>
                <w:szCs w:val="1"/>
                <w:color w:val="auto"/>
              </w:rPr>
            </w:pPr>
          </w:p>
        </w:tc>
      </w:tr>
      <w:tr>
        <w:trPr>
          <w:trHeight w:val="210"/>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Decrease (increase) in other assets</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1,230</w:t>
            </w:r>
          </w:p>
        </w:tc>
        <w:tc>
          <w:tcPr>
            <w:tcW w:w="0" w:type="dxa"/>
            <w:vAlign w:val="bottom"/>
          </w:tcPr>
          <w:p>
            <w:pPr>
              <w:spacing w:after="0"/>
              <w:rPr>
                <w:sz w:val="1"/>
                <w:szCs w:val="1"/>
                <w:color w:val="auto"/>
              </w:rPr>
            </w:pPr>
          </w:p>
        </w:tc>
      </w:tr>
      <w:tr>
        <w:trPr>
          <w:trHeight w:val="210"/>
        </w:trPr>
        <w:tc>
          <w:tcPr>
            <w:tcW w:w="670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(256,193)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400,066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(440,403)</w:t>
            </w:r>
          </w:p>
        </w:tc>
        <w:tc>
          <w:tcPr>
            <w:tcW w:w="0" w:type="dxa"/>
            <w:vAlign w:val="bottom"/>
          </w:tcPr>
          <w:p>
            <w:pPr>
              <w:spacing w:after="0"/>
              <w:rPr>
                <w:sz w:val="1"/>
                <w:szCs w:val="1"/>
                <w:color w:val="auto"/>
              </w:rPr>
            </w:pPr>
          </w:p>
        </w:tc>
      </w:tr>
      <w:tr>
        <w:trPr>
          <w:trHeight w:val="397"/>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Principal payments on debt</w:t>
            </w: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(2,359)</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w:t>
            </w:r>
          </w:p>
        </w:tc>
        <w:tc>
          <w:tcPr>
            <w:tcW w:w="40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16,405</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1,696,661</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17,168</w:t>
            </w:r>
          </w:p>
        </w:tc>
        <w:tc>
          <w:tcPr>
            <w:tcW w:w="0" w:type="dxa"/>
            <w:vAlign w:val="bottom"/>
          </w:tcPr>
          <w:p>
            <w:pPr>
              <w:spacing w:after="0"/>
              <w:rPr>
                <w:sz w:val="1"/>
                <w:szCs w:val="1"/>
                <w:color w:val="auto"/>
              </w:rPr>
            </w:pPr>
          </w:p>
        </w:tc>
      </w:tr>
      <w:tr>
        <w:trPr>
          <w:trHeight w:val="210"/>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common stock held in treasury</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(2,252,437)</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(807,967)</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(8,175)</w:t>
            </w:r>
          </w:p>
        </w:tc>
        <w:tc>
          <w:tcPr>
            <w:tcW w:w="0" w:type="dxa"/>
            <w:vAlign w:val="bottom"/>
          </w:tcPr>
          <w:p>
            <w:pPr>
              <w:spacing w:after="0"/>
              <w:rPr>
                <w:sz w:val="1"/>
                <w:szCs w:val="1"/>
                <w:color w:val="auto"/>
              </w:rPr>
            </w:pPr>
          </w:p>
        </w:tc>
      </w:tr>
      <w:tr>
        <w:trPr>
          <w:trHeight w:val="202"/>
        </w:trPr>
        <w:tc>
          <w:tcPr>
            <w:tcW w:w="670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(2,238,391)</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887,611</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7,374</w:t>
            </w:r>
          </w:p>
        </w:tc>
        <w:tc>
          <w:tcPr>
            <w:tcW w:w="0" w:type="dxa"/>
            <w:vAlign w:val="bottom"/>
          </w:tcPr>
          <w:p>
            <w:pPr>
              <w:spacing w:after="0"/>
              <w:rPr>
                <w:sz w:val="1"/>
                <w:szCs w:val="1"/>
                <w:color w:val="auto"/>
              </w:rPr>
            </w:pPr>
          </w:p>
        </w:tc>
      </w:tr>
      <w:tr>
        <w:trPr>
          <w:trHeight w:val="622"/>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(4,606)</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(5,306)</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(5,488)</w:t>
            </w:r>
          </w:p>
        </w:tc>
        <w:tc>
          <w:tcPr>
            <w:tcW w:w="0" w:type="dxa"/>
            <w:vAlign w:val="bottom"/>
          </w:tcPr>
          <w:p>
            <w:pPr>
              <w:spacing w:after="0"/>
              <w:rPr>
                <w:sz w:val="1"/>
                <w:szCs w:val="1"/>
                <w:color w:val="auto"/>
              </w:rPr>
            </w:pPr>
          </w:p>
        </w:tc>
      </w:tr>
      <w:tr>
        <w:trPr>
          <w:trHeight w:val="411"/>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INCRESE IN CASH AND CASH EQUIVALENTS</w:t>
            </w: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(1,797,835)</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1,805,094</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158,974</w:t>
            </w:r>
          </w:p>
        </w:tc>
        <w:tc>
          <w:tcPr>
            <w:tcW w:w="0" w:type="dxa"/>
            <w:vAlign w:val="bottom"/>
          </w:tcPr>
          <w:p>
            <w:pPr>
              <w:spacing w:after="0"/>
              <w:rPr>
                <w:sz w:val="1"/>
                <w:szCs w:val="1"/>
                <w:color w:val="auto"/>
              </w:rPr>
            </w:pPr>
          </w:p>
        </w:tc>
      </w:tr>
      <w:tr>
        <w:trPr>
          <w:trHeight w:val="210"/>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2,175,417</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370,323</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211,349</w:t>
            </w:r>
          </w:p>
        </w:tc>
        <w:tc>
          <w:tcPr>
            <w:tcW w:w="0" w:type="dxa"/>
            <w:vAlign w:val="bottom"/>
          </w:tcPr>
          <w:p>
            <w:pPr>
              <w:spacing w:after="0"/>
              <w:rPr>
                <w:sz w:val="1"/>
                <w:szCs w:val="1"/>
                <w:color w:val="auto"/>
              </w:rPr>
            </w:pPr>
          </w:p>
        </w:tc>
      </w:tr>
      <w:tr>
        <w:trPr>
          <w:trHeight w:val="202"/>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end of year</w:t>
            </w:r>
          </w:p>
        </w:tc>
        <w:tc>
          <w:tcPr>
            <w:tcW w:w="4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377,582</w:t>
            </w:r>
          </w:p>
        </w:tc>
        <w:tc>
          <w:tcPr>
            <w:tcW w:w="280" w:type="dxa"/>
            <w:vAlign w:val="bottom"/>
          </w:tcPr>
          <w:p>
            <w:pPr>
              <w:spacing w:after="0"/>
              <w:rPr>
                <w:sz w:val="17"/>
                <w:szCs w:val="17"/>
                <w:color w:val="auto"/>
              </w:rPr>
            </w:pPr>
          </w:p>
        </w:tc>
        <w:tc>
          <w:tcPr>
            <w:tcW w:w="3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2,175,417</w:t>
            </w:r>
          </w:p>
        </w:tc>
        <w:tc>
          <w:tcPr>
            <w:tcW w:w="280" w:type="dxa"/>
            <w:vAlign w:val="bottom"/>
          </w:tcPr>
          <w:p>
            <w:pPr>
              <w:spacing w:after="0"/>
              <w:rPr>
                <w:sz w:val="17"/>
                <w:szCs w:val="17"/>
                <w:color w:val="auto"/>
              </w:rPr>
            </w:pPr>
          </w:p>
        </w:tc>
        <w:tc>
          <w:tcPr>
            <w:tcW w:w="3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370,323</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SUPPLEMENTAL INFORMATION:</w:t>
            </w: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7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Cash paid during the year for:</w:t>
            </w:r>
          </w:p>
        </w:tc>
        <w:tc>
          <w:tcPr>
            <w:tcW w:w="4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68</w:t>
            </w:r>
          </w:p>
        </w:tc>
        <w:tc>
          <w:tcPr>
            <w:tcW w:w="280" w:type="dxa"/>
            <w:vAlign w:val="bottom"/>
          </w:tcPr>
          <w:p>
            <w:pPr>
              <w:spacing w:after="0"/>
              <w:rPr>
                <w:sz w:val="18"/>
                <w:szCs w:val="18"/>
                <w:color w:val="auto"/>
              </w:rPr>
            </w:pPr>
          </w:p>
        </w:tc>
        <w:tc>
          <w:tcPr>
            <w:tcW w:w="3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29</w:t>
            </w:r>
          </w:p>
        </w:tc>
        <w:tc>
          <w:tcPr>
            <w:tcW w:w="280" w:type="dxa"/>
            <w:vAlign w:val="bottom"/>
          </w:tcPr>
          <w:p>
            <w:pPr>
              <w:spacing w:after="0"/>
              <w:rPr>
                <w:sz w:val="18"/>
                <w:szCs w:val="18"/>
                <w:color w:val="auto"/>
              </w:rPr>
            </w:pPr>
          </w:p>
        </w:tc>
        <w:tc>
          <w:tcPr>
            <w:tcW w:w="3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4"/>
        </w:trPr>
        <w:tc>
          <w:tcPr>
            <w:tcW w:w="6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Interest</w:t>
            </w:r>
          </w:p>
        </w:tc>
        <w:tc>
          <w:tcPr>
            <w:tcW w:w="4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auto"/>
              </w:rPr>
              <w:t>Income taxes</w:t>
            </w: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00" w:type="dxa"/>
            <w:vAlign w:val="bottom"/>
            <w:vMerge w:val="continue"/>
          </w:tcPr>
          <w:p>
            <w:pPr>
              <w:spacing w:after="0"/>
              <w:rPr>
                <w:sz w:val="15"/>
                <w:szCs w:val="15"/>
                <w:color w:val="auto"/>
              </w:rPr>
            </w:pPr>
          </w:p>
        </w:tc>
        <w:tc>
          <w:tcPr>
            <w:tcW w:w="4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431,273</w:t>
            </w:r>
          </w:p>
        </w:tc>
        <w:tc>
          <w:tcPr>
            <w:tcW w:w="280" w:type="dxa"/>
            <w:vAlign w:val="bottom"/>
          </w:tcPr>
          <w:p>
            <w:pPr>
              <w:spacing w:after="0"/>
              <w:rPr>
                <w:sz w:val="15"/>
                <w:szCs w:val="15"/>
                <w:color w:val="auto"/>
              </w:rPr>
            </w:pPr>
          </w:p>
        </w:tc>
        <w:tc>
          <w:tcPr>
            <w:tcW w:w="3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224,928</w:t>
            </w:r>
          </w:p>
        </w:tc>
        <w:tc>
          <w:tcPr>
            <w:tcW w:w="280" w:type="dxa"/>
            <w:vAlign w:val="bottom"/>
          </w:tcPr>
          <w:p>
            <w:pPr>
              <w:spacing w:after="0"/>
              <w:rPr>
                <w:sz w:val="15"/>
                <w:szCs w:val="15"/>
                <w:color w:val="auto"/>
              </w:rPr>
            </w:pPr>
          </w:p>
        </w:tc>
        <w:tc>
          <w:tcPr>
            <w:tcW w:w="3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267,251</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7" w:lineRule="exact"/>
        <w:rPr>
          <w:sz w:val="20"/>
          <w:szCs w:val="20"/>
          <w:color w:val="auto"/>
        </w:rPr>
      </w:pPr>
    </w:p>
    <w:p>
      <w:pPr>
        <w:ind w:right="56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CONSOLIDATED STATEMENTS OF CASH FLOWS (Continued) FOR THE YEARS ENDED DECEMBER 31, 2016, 2015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SUPPLEMENTAL DISCLOSURE OF NON-CASH ITEMS:</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During the years ended December 31, 2016, 2015 and 2014, the Company entered into capital leases of $2.6 million, $1.5 million and $0.8 million, respectively, for the acquisition of promotional vehicles.</w:t>
      </w:r>
    </w:p>
    <w:p>
      <w:pPr>
        <w:sectPr>
          <w:pgSz w:w="11900" w:h="16838" w:orient="portrait"/>
          <w:cols w:equalWidth="0" w:num="1">
            <w:col w:w="11420"/>
          </w:cols>
          <w:pgMar w:left="240" w:top="126" w:right="239" w:bottom="0" w:gutter="0" w:footer="0" w:header="0"/>
        </w:sectPr>
      </w:pPr>
    </w:p>
    <w:bookmarkStart w:id="51" w:name="page52"/>
    <w:bookmarkEnd w:id="51"/>
    <w:p>
      <w:pPr>
        <w:spacing w:after="0" w:line="7"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20"/>
          <w:szCs w:val="20"/>
          <w:color w:val="auto"/>
        </w:rPr>
        <w:t>Accounts payable included equipment purchased of $4.7 million, $0.6 million and $0.7 million as of December 31, 2016, 2015 and 2014, respectively.</w:t>
      </w:r>
    </w:p>
    <w:p>
      <w:pPr>
        <w:spacing w:after="0" w:line="174"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Accrued liabilities included additions to intangibles of $3.8 million, $2.2 million and $2.2 million as of December 31, 2016, 2015 and 2014, respectively.</w:t>
      </w:r>
    </w:p>
    <w:p>
      <w:pPr>
        <w:spacing w:after="0" w:line="17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During the year ended December 31, 2015, the Company issued 35.4 million shares of the Company’s common stock in exchange for KO Energy.</w:t>
      </w:r>
    </w:p>
    <w:p>
      <w:pPr>
        <w:spacing w:after="0" w:line="17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During the year ended December 31, 2015, in connection with the TCCC Transaction (as defined in Note 2), $125.0 million relating to the transfer of certain distribution rights was deposited into escrow pending certain transition milestones.</w:t>
      </w:r>
    </w:p>
    <w:p>
      <w:pPr>
        <w:spacing w:after="0" w:line="173"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During the year ended December 31, 2015, the Company cancelled 124.5 million shares of treasury stock. Amounts previously recorded as treasury stock were netted against common stock and retained earnings.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1" w:lineRule="exact"/>
        <w:rPr>
          <w:sz w:val="20"/>
          <w:szCs w:val="20"/>
          <w:color w:val="auto"/>
        </w:rPr>
      </w:pPr>
    </w:p>
    <w:p>
      <w:pPr>
        <w:ind w:left="640" w:hanging="632"/>
        <w:spacing w:after="0"/>
        <w:tabs>
          <w:tab w:leader="none" w:pos="6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ORGANIZATION AND SUMMARY OF SIGNIFICANT ACCOUNTING POLICIES</w:t>
      </w:r>
    </w:p>
    <w:p>
      <w:pPr>
        <w:spacing w:after="0" w:line="21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Organization </w:t>
      </w:r>
      <w:r>
        <w:rPr>
          <w:rFonts w:ascii="Times New Roman" w:cs="Times New Roman" w:eastAsia="Times New Roman" w:hAnsi="Times New Roman"/>
          <w:sz w:val="20"/>
          <w:szCs w:val="20"/>
          <w:color w:val="auto"/>
        </w:rPr>
        <w:t>– Monster Beverage Corporation (the “Company”) was incorporated in the state of Delaware. The Company is a holding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and has no operating business except through its consolidated subsidiaries.</w:t>
      </w:r>
    </w:p>
    <w:p>
      <w:pPr>
        <w:spacing w:after="0" w:line="166" w:lineRule="exact"/>
        <w:rPr>
          <w:sz w:val="20"/>
          <w:szCs w:val="20"/>
          <w:color w:val="auto"/>
        </w:rPr>
      </w:pPr>
    </w:p>
    <w:p>
      <w:pPr>
        <w:jc w:val="both"/>
        <w:ind w:firstLine="689"/>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Stock Split </w:t>
      </w:r>
      <w:r>
        <w:rPr>
          <w:rFonts w:ascii="Times New Roman" w:cs="Times New Roman" w:eastAsia="Times New Roman" w:hAnsi="Times New Roman"/>
          <w:sz w:val="20"/>
          <w:szCs w:val="20"/>
          <w:color w:val="auto"/>
        </w:rPr>
        <w:t>– On October 14, 2016, the Company announced a three-for-one stock split of the Company’s common stock to be effected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the form of a 200% stock dividend. The common stock dividend was issued on November 9, 2016 and the Company’s common stock began trading at the split adjusted price on November 10, 2016. Accordingly, all per share amounts, average common stock outstanding, common stocks outstanding, common stock repurchased and equity based compensation presented in the consolidated financial statements and notes have been adjusted retroactively, where applicable, to reflect the stock split. Stockholders’ equity has been retroactively adjusted, where applicable, to give effect to the stock split for all periods presented by reclassifying the par value of the additional shares issued in connection with the stock split to Common Stock from Retained Earnings and Additional Paid-in Capital.</w:t>
      </w:r>
    </w:p>
    <w:p>
      <w:pPr>
        <w:spacing w:after="0" w:line="19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Nature of Operations </w:t>
      </w:r>
      <w:r>
        <w:rPr>
          <w:rFonts w:ascii="Times New Roman" w:cs="Times New Roman" w:eastAsia="Times New Roman" w:hAnsi="Times New Roman"/>
          <w:sz w:val="20"/>
          <w:szCs w:val="20"/>
          <w:color w:val="auto"/>
        </w:rPr>
        <w:t>– The Company develops, markets, sells and distributes energy drink beverages, sodas and/or concentrates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energy drink beverages, primarily under the following brand names: Monster Energy®, Monster Rehab®, Monster Energy Extra Strength Nitrous Technology®, Java Monster®, Muscle Monster®, Mega Monster Energy®, Punch Monster®, Juice Monster®, M3®, Ubermonster®, BU®, Mutant® Super Soda, Nalu®, NOS®, Full Throttle®, Burn®, Mother®, Ultra®, Play® and Power Play®, Gladiator®, Relentless®, Samurai® and BPM®. Through June 12, 2015, the Company also developed, marketed, sold and distributed “alternative” beverage category beverages under the following brand names: Peace Tea®, Hansen’s®, Hansen’s Natural Cane Soda®, Junior Juice®, Blue Sky® and Hubert’s®. These brands were transferred to The Coca-Cola Company (“TCCC”) as part of the TCCC Transaction (as defined and described in Note 2 below).</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Basis of Presentation </w:t>
      </w:r>
      <w:r>
        <w:rPr>
          <w:rFonts w:ascii="Times New Roman" w:cs="Times New Roman" w:eastAsia="Times New Roman" w:hAnsi="Times New Roman"/>
          <w:sz w:val="20"/>
          <w:szCs w:val="20"/>
          <w:color w:val="auto"/>
        </w:rPr>
        <w:t>– The accompanying consolidated financial statements have been prepared in accordance with accounting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principles generally accepted in the United States of America (“GAAP”) and include the accounts of the Company and its consolidated subsidiaries.</w:t>
      </w:r>
    </w:p>
    <w:p>
      <w:pPr>
        <w:spacing w:after="0" w:line="18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Principles of Consolidation </w:t>
      </w:r>
      <w:r>
        <w:rPr>
          <w:rFonts w:ascii="Times New Roman" w:cs="Times New Roman" w:eastAsia="Times New Roman" w:hAnsi="Times New Roman"/>
          <w:sz w:val="20"/>
          <w:szCs w:val="20"/>
          <w:color w:val="auto"/>
        </w:rPr>
        <w:t>– The Company consolidates all entities that it controls by ownership of a majority voting interest. 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intercompany balances and transactions have been eliminated in consolidation.</w:t>
      </w:r>
    </w:p>
    <w:p>
      <w:pPr>
        <w:spacing w:after="0" w:line="16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Adjustment – </w:t>
      </w:r>
      <w:r>
        <w:rPr>
          <w:rFonts w:ascii="Times New Roman" w:cs="Times New Roman" w:eastAsia="Times New Roman" w:hAnsi="Times New Roman"/>
          <w:sz w:val="20"/>
          <w:szCs w:val="20"/>
          <w:color w:val="auto"/>
        </w:rPr>
        <w:t>Subsequent to the issuance of the Company’s consolidated financial statements on Form 10-Q for the quarterly period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ended June 30, 2016, management concluded that its presentation of prepaid income taxes and income taxes payable should be adjusted to conform to its filed 2015 United States (“U.S”) Federal income tax return. As a result, deferred income taxes increased by $120.8 million, prepaid income taxes decreased by $16.9 million and income taxes payable decreased by $103.9 million, respectively, in the comparable consolidated statement of cash flows for the year ended December 31, 2015. The adjustment had no impact on total net cash provided by operating activities.</w:t>
      </w:r>
    </w:p>
    <w:p>
      <w:pPr>
        <w:spacing w:after="0" w:line="19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Business Combinations </w:t>
      </w:r>
      <w:r>
        <w:rPr>
          <w:rFonts w:ascii="Times New Roman" w:cs="Times New Roman" w:eastAsia="Times New Roman" w:hAnsi="Times New Roman"/>
          <w:sz w:val="20"/>
          <w:szCs w:val="20"/>
          <w:color w:val="auto"/>
        </w:rPr>
        <w:t>– Business acquisitions are accounted for in accordance with Financial Accounting Standards Board (“FASB”)</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Accounting Standards Codification (“ASC”) 805 “Business Combinations”. FASB ASC 805 requires the reporting entity to identify the acquirer, determine the acquisition date, recognize and measure the identifiable tangible and intangible assets acquired, the liabilities assumed and any non-controlling interest in the acquired entity, and recognize and measure goodwill or a gain from the purchase. The acquiree’s results are included in the Company’s consolidated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45"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314"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ectPr>
          <w:pgSz w:w="11900" w:h="16845" w:orient="portrait"/>
          <w:cols w:equalWidth="0" w:num="1">
            <w:col w:w="11420"/>
          </w:cols>
          <w:pgMar w:left="240" w:top="118" w:right="239" w:bottom="0" w:gutter="0" w:footer="0" w:header="0"/>
          <w:type w:val="continuous"/>
        </w:sectPr>
      </w:pPr>
    </w:p>
    <w:bookmarkStart w:id="52" w:name="page53"/>
    <w:bookmarkEnd w:id="52"/>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financial statements from the date of acquisition. Assets acquired and liabilities assumed are recorded at their fair values and the excess of the purchase price over the amounts assigned is recorded as goodwill. Adjustments to fair value assessments are recorded to goodwill over the measurement period (not longer than twelve months). The acquisition method also requires that acquisition-related transaction and post-acquisition restructuring costs be charged to expense and requires the Company to recognize and measure certain assets and liabilities including those arising from contingencies and contingent consideration in a business combination.</w:t>
      </w:r>
    </w:p>
    <w:p>
      <w:pPr>
        <w:spacing w:after="0" w:line="17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Cash and Cash Equivalents </w:t>
      </w:r>
      <w:r>
        <w:rPr>
          <w:rFonts w:ascii="Times New Roman" w:cs="Times New Roman" w:eastAsia="Times New Roman" w:hAnsi="Times New Roman"/>
          <w:sz w:val="20"/>
          <w:szCs w:val="20"/>
          <w:color w:val="auto"/>
        </w:rPr>
        <w:t>– The Company considers all highly liquid investments with an original maturity of three months or less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from date of purchase to be cash equivalents. Throughout the year, the Company has had amounts on deposit at financial institutions that exceed the federally insured limits. The Company has not experienced any loss as a result of these deposits and does not expect to incur any losses in the future.</w:t>
      </w:r>
    </w:p>
    <w:p>
      <w:pPr>
        <w:spacing w:after="0" w:line="190" w:lineRule="exact"/>
        <w:rPr>
          <w:sz w:val="20"/>
          <w:szCs w:val="20"/>
          <w:color w:val="auto"/>
        </w:rPr>
      </w:pPr>
    </w:p>
    <w:p>
      <w:pPr>
        <w:jc w:val="both"/>
        <w:ind w:firstLine="689"/>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Investments </w:t>
      </w:r>
      <w:r>
        <w:rPr>
          <w:rFonts w:ascii="Times New Roman" w:cs="Times New Roman" w:eastAsia="Times New Roman" w:hAnsi="Times New Roman"/>
          <w:sz w:val="19"/>
          <w:szCs w:val="19"/>
          <w:color w:val="auto"/>
        </w:rPr>
        <w:t>– The Company’s investments in debt securities are classified as either held-to-maturity, available-for-sale or trading,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accordance with FASB ASC 320. Held-to-maturity securities are those securities that the Company has the positive intent and ability to hold until maturity. Trading securities are those securities that the Company intends to sell in the near term. All other securities not included in the held-to-maturity or trading category are classified as available-for-sale. Held-to-maturity securities are recorded at amortized cost which approximates fair market value. Trading securities are carried at fair value with unrealized gains and losses charged to earnings. Available-for-sale securities are carried at fair value with unrealized gains and losses recorded within accumulated other comprehensive loss as a separate component of stockholders’ equity. FASB ASC 820 defines fair value as the price that would be received to sell an asset or paid to transfer a liability in an orderly transaction between market participants at the measurement date. FASB ASC 820 also establishes a fair value hierarchy which requires an entity to maximize the use of observable inputs, where available (see Note 4). Under FASB ASC 320-10-35, a security is considered to be other-than-temporarily impaired if the present value of cash flows expected to be collected are less than the security’s amortized cost basis (the difference being defined as the “Credit Loss”) or if the fair value of the security is less than the security’s amortized cost basis and the investor intends, or will be required, to sell the security before recovery of the security’s amortized cost basis. If an other-than-temporary impairment exists, the charge to earnings is limited to the amount of Credit Loss if the investor does not intend to sell the security, and will not be required to sell the security, before recovery of the security’s amortized cost basis. Any remaining difference between fair value and amortized cost is recognized in other comprehensive loss, net of applicable taxes. The Company evaluates whether the decline in fair value of its investments is other-than-temporary at each quarter-end. This evaluation consists of a review by management, and includes market pricing information and maturity dates for the securities held, market and economic trends in the industry and information on the issuer’s financial condition and, if applicable, information on the guarantors’ financial condition. Factors considered in determining whether a loss is temporary include the length of time and extent to which the investment’s fair value has been less than its cost basis, the financial condition and near-term prospects of the issuer and guarantors, including any specific events which may influence the operations of the issuer and our intent and ability to retain the investment for a reasonable period of time sufficient to allow for any anticipated recovery of fair value.</w:t>
      </w:r>
    </w:p>
    <w:p>
      <w:pPr>
        <w:spacing w:after="0" w:line="19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Accounts Receivable – </w:t>
      </w:r>
      <w:r>
        <w:rPr>
          <w:rFonts w:ascii="Times New Roman" w:cs="Times New Roman" w:eastAsia="Times New Roman" w:hAnsi="Times New Roman"/>
          <w:sz w:val="20"/>
          <w:szCs w:val="20"/>
          <w:color w:val="auto"/>
        </w:rPr>
        <w:t>The Company evaluates the collectability of its trade accounts receivable based on a number of factors.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circumstances where the Company becomes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 debts, bad debt charges are recorded based on the Company’s recent loss history and an overall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assessment of past due trade accounts receivable outstanding. In accordance with FASB ASC 210-20-45, in its consolidated balance sheets, the Company has presented accounts receivable, net of promotional allowances, only for those customers that it allows net settlement. All other accounts receivable and related promotional allowances are shown on a gross basis.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Inventories </w:t>
      </w:r>
      <w:r>
        <w:rPr>
          <w:rFonts w:ascii="Times New Roman" w:cs="Times New Roman" w:eastAsia="Times New Roman" w:hAnsi="Times New Roman"/>
          <w:sz w:val="20"/>
          <w:szCs w:val="20"/>
          <w:color w:val="auto"/>
        </w:rPr>
        <w:t>– Inventories are valued at the lower of first-in, first-out, cost or market value (net realizable value).</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Property and Equipment </w:t>
      </w:r>
      <w:r>
        <w:rPr>
          <w:rFonts w:ascii="Times New Roman" w:cs="Times New Roman" w:eastAsia="Times New Roman" w:hAnsi="Times New Roman"/>
          <w:sz w:val="20"/>
          <w:szCs w:val="20"/>
          <w:color w:val="auto"/>
        </w:rPr>
        <w:t>– Property and equipment are stated at cost. Depreciation of furniture and fixtures, office and computer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equipment, computer software, equipment, and vehicles is based on their estimated useful lives (three to ten years) and is calculated using the straight-line method. Amortization of leasehold improvements is based on the lesser of their estimated useful lives or the terms of the related leases and is calculated using the straight-line method. Normal repairs and maintenance costs are expensed as incurred. Expenditures that materially increase values or extend useful lives are capitalized. The related costs and accumulated depreciation of disposed assets are eliminated and any resulting gain or loss on disposition is included in net income.</w:t>
      </w:r>
    </w:p>
    <w:p>
      <w:pPr>
        <w:spacing w:after="0" w:line="19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Goodwill </w:t>
      </w:r>
      <w:r>
        <w:rPr>
          <w:rFonts w:ascii="Times New Roman" w:cs="Times New Roman" w:eastAsia="Times New Roman" w:hAnsi="Times New Roman"/>
          <w:sz w:val="20"/>
          <w:szCs w:val="20"/>
          <w:color w:val="auto"/>
        </w:rPr>
        <w:t>– The Company records goodwill when the consideration paid for an acquisition exceeds the fair value of net tangible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intangible assets acquired, including related tax effects. Goodwill is not amortized; instead goodwill is tested for impairment on an annual basis, or more frequently if the Company believes indicators of impairment exist. The Company first assesses qualitative factors to determine whether it is more-likely-than-not that the fair value of a reporting unit is less than its carrying value. If the Company determines that the fair value is less than the carrying value, the Company will use a two-step process to determine the amount of goodwill impairment. The first step</w:t>
      </w:r>
    </w:p>
    <w:p>
      <w:pPr>
        <w:sectPr>
          <w:pgSz w:w="11900" w:h="16838" w:orient="portrait"/>
          <w:cols w:equalWidth="0" w:num="1">
            <w:col w:w="11420"/>
          </w:cols>
          <w:pgMar w:left="240" w:top="324" w:right="239" w:bottom="0" w:gutter="0" w:footer="0" w:header="0"/>
        </w:sectPr>
      </w:pPr>
    </w:p>
    <w:bookmarkStart w:id="53" w:name="page54"/>
    <w:bookmarkEnd w:id="53"/>
    <w:p>
      <w:pPr>
        <w:jc w:val="both"/>
        <w:spacing w:after="0" w:line="246" w:lineRule="auto"/>
        <w:rPr>
          <w:sz w:val="20"/>
          <w:szCs w:val="20"/>
          <w:color w:val="auto"/>
        </w:rPr>
      </w:pPr>
      <w:r>
        <w:rPr>
          <w:rFonts w:ascii="Times New Roman" w:cs="Times New Roman" w:eastAsia="Times New Roman" w:hAnsi="Times New Roman"/>
          <w:sz w:val="20"/>
          <w:szCs w:val="20"/>
          <w:color w:val="auto"/>
        </w:rPr>
        <w:t>requires comparing the fair value of the reporting unit to its net book value, including goodwill. A potential impairment exists if the fair value of the reporting unit is lower than its net book value. The second step of the process, performed only if a potential impairment exists, involves determining the difference between the fair value of the reporting unit’s net assets, other than goodwill, and the fair value of the reporting unit. An impairment charge is recognized for the excess of the carrying value of goodwill over its implied fair value. For the fiscal years ended December 31, 2016, 2015 and 2014 there were no impairments recorded.</w:t>
      </w:r>
    </w:p>
    <w:p>
      <w:pPr>
        <w:spacing w:after="0" w:line="19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Other Intangibles </w:t>
      </w:r>
      <w:r>
        <w:rPr>
          <w:rFonts w:ascii="Times New Roman" w:cs="Times New Roman" w:eastAsia="Times New Roman" w:hAnsi="Times New Roman"/>
          <w:sz w:val="20"/>
          <w:szCs w:val="20"/>
          <w:color w:val="auto"/>
        </w:rPr>
        <w:t>– Other Intangibles are comprised primarily of trademarks that represent the Company’s exclusive ownership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Monster Energy®,</w:t>
      </w:r>
      <w:r>
        <w:rPr>
          <w:sz w:val="1"/>
          <w:szCs w:val="1"/>
          <w:color w:val="auto"/>
        </w:rPr>
        <w:drawing>
          <wp:inline distT="0" distB="0" distL="0" distR="0">
            <wp:extent cx="102870" cy="1371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2870" cy="13716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 Monster Rehab®, Java Monster®, Unleash the Beast®, Monster Energy Extra Strength Nitrous Technology®, Muscle Monster®, Mega Monster Energy®, Punch Monster®, Juice Monster®, M3®, Ubermonster®, BU®, Nalu®, NOS®, Full Throttle®, Burn®, Mother®, Ultra®, Play® and Power Play®, Gladiator®, Relentless®, Samurai® and BPM® trademarks, all used in connection with the manufacture, sale and distribution of beverages. The Company also owns in its own right a number of other trademarks in the United States, as well as in a number of countries around the world. In accordance with FASB ASC 350, intangible assets with indefinite lives are not amortized but instead are measured for impairment at least annually, or when events indicate that an impairment exists. The Company calculates impairment as the excess of the carrying value of its indefinite-lived assets over their estimated fair value. If the carrying value exceeds the estimate of fair value a write-down is recorded. The Company amortizes its trademarks with finite useful lives over their respective useful lives. For the fiscal years ended December 31, 2016, 2015 and 2014 there were no impairments recorded.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Long-Lived Assets </w:t>
      </w:r>
      <w:r>
        <w:rPr>
          <w:rFonts w:ascii="Times New Roman" w:cs="Times New Roman" w:eastAsia="Times New Roman" w:hAnsi="Times New Roman"/>
          <w:sz w:val="19"/>
          <w:szCs w:val="19"/>
          <w:color w:val="auto"/>
        </w:rPr>
        <w:t>– Management regularly reviews property and equipment and other long-lived assets, including certain definite-lived intangible assets, for possible impairment. This review occurs annually, or more frequently if events or changes in circumstances indicate the carrying amount of the asset may not be recoverable. If there is indication of impairment, management then prepares an estimate of future cash flows (undiscounted and without interest charges) expected to result from the use of the asset and its eventual disposition. If these cash flows are less than the carrying amount of the asset, an impairment loss is recognized to write down the asset to its estimated fair value. The fair value is estimated using the present value of the future cash flows discounted at a rate commensurate with management’s estimates of the business risks. Preparation of estimated expected future cash flows is inherently subjective and is based on management’s best estimate of assumptions concerning expected future conditions. For the fiscal years ended December 31, 2016, 2015 and 2014, there were no impairment indicators identified. Long-lived assets held for sale are recorded at the lower of their carrying amount or fair value less cost to sell.</w:t>
      </w:r>
    </w:p>
    <w:p>
      <w:pPr>
        <w:spacing w:after="0" w:line="16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Foreign Currency Translation and Transactions </w:t>
      </w:r>
      <w:r>
        <w:rPr>
          <w:rFonts w:ascii="Times New Roman" w:cs="Times New Roman" w:eastAsia="Times New Roman" w:hAnsi="Times New Roman"/>
          <w:sz w:val="20"/>
          <w:szCs w:val="20"/>
          <w:color w:val="auto"/>
        </w:rPr>
        <w:t>– The accounts of the Company’s foreign subsidiaries are translated in accordance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FASB ASC 830. Foreign currency transaction gains and losses are recognized in other expense, net, at the time they occur. Net foreign currency exchange gains or losses resulting from the translation of assets and liabilities of foreign subsidiaries whose functional currency is not the U.S. dollar are recorded as a part of accumulated other comprehensive loss in stockholders’ equity. Unrealized foreign currency exchange gains and losses on certain intercompany transactions that are of a long-term investment nature (i.e., settlement is not planned or anticipated in the foreseeable future) are also recorded in accumulated other comprehensive loss in stockholders’ equity. During the years ended December 31, 2016, 2015 and 2014,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outstanding as of December 31, 2016 have terms of one month or less. We do not enter into forward currency exchange contracts for speculation or trading purposes.</w:t>
      </w:r>
    </w:p>
    <w:p>
      <w:pPr>
        <w:spacing w:after="0" w:line="20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Company has not designated its foreign currency exchange contracts as hedge transactions under FASB ASC 815. Therefore, gains and losses on the Company’s foreign currency exchange contracts are recognized in other expense, net, in the consolidated statements of income, and are largely offset by the changes in the fair value of the underlying economically hedged item. For the years ended December 31, 2016, 2015 and 2014, aggregate foreign currency transaction losses, including the gains or losses on forward currency exchange contracts, amounted to $9.7 million, $5.5 million and $3.4 million, respectively, and have been recorded in other expense, net in the accompanying consolidated statements of income.</w:t>
      </w:r>
    </w:p>
    <w:p>
      <w:pPr>
        <w:spacing w:after="0" w:line="19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Revenue Recognition </w:t>
      </w:r>
      <w:r>
        <w:rPr>
          <w:rFonts w:ascii="Times New Roman" w:cs="Times New Roman" w:eastAsia="Times New Roman" w:hAnsi="Times New Roman"/>
          <w:sz w:val="20"/>
          <w:szCs w:val="20"/>
          <w:color w:val="auto"/>
        </w:rPr>
        <w:t>– The Company recognizes revenue when persuasive evidence of an arrangement exists, delivery has occurred,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sales price is fixed or determinable and collectability is reasonably assured.</w:t>
      </w:r>
    </w:p>
    <w:p>
      <w:pPr>
        <w:spacing w:after="0" w:line="17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Generally, ownership of and title to the Company’s finished products passes to customers upon delivery of the products to customers. Certain of the Company’s distributors may also perform a separate function as a co-packer on the Company’s behalf. In such cases, ownership of and title to the Company’s products that are co-packed on the Company’s behalf by those co-packers who are also distributors, passes to such distributors when the Company is notified by them that they have taken transfer or possession of the relevant portion of the Company’s finished goods.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Revenue for the Strategic Brands segment is generally recognized when title to the concentrate is transferred to the customer. In particular, title to the concentrate usually passes upon shipment to the customers’ locations, as determined by the specific sales terms of the transactions.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314"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11420"/>
          </w:cols>
          <w:pgMar w:left="240" w:top="118" w:right="239" w:bottom="0" w:gutter="0" w:footer="0" w:header="0"/>
          <w:type w:val="continuous"/>
        </w:sectPr>
      </w:pPr>
    </w:p>
    <w:bookmarkStart w:id="54" w:name="page55"/>
    <w:bookmarkEnd w:id="54"/>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1" w:lineRule="exact"/>
        <w:rPr>
          <w:sz w:val="20"/>
          <w:szCs w:val="20"/>
          <w:color w:val="auto"/>
        </w:rPr>
      </w:pPr>
    </w:p>
    <w:p>
      <w:pPr>
        <w:jc w:val="both"/>
        <w:ind w:firstLine="689"/>
        <w:spacing w:after="0" w:line="243" w:lineRule="auto"/>
        <w:rPr>
          <w:sz w:val="20"/>
          <w:szCs w:val="20"/>
          <w:color w:val="auto"/>
        </w:rPr>
      </w:pPr>
      <w:r>
        <w:rPr>
          <w:rFonts w:ascii="Times New Roman" w:cs="Times New Roman" w:eastAsia="Times New Roman" w:hAnsi="Times New Roman"/>
          <w:sz w:val="20"/>
          <w:szCs w:val="20"/>
          <w:color w:val="auto"/>
        </w:rPr>
        <w:t>Net sales have been determined after deduction of promotional and other allowances in accordance with FASB ASC 605-50. The Company’s promotional and other allowances are calculated based on various programs with its distributors and retail customers, and accruals are established during the year for the anticipated liabilities. These accruals are based on agreed upon terms as well as the Company’s historical experience with similar programs and require management’s judgment with respect to estimating consumer participation and/or distributor and retail customer performance levels. Differences between such estimated expense and actual expenses for promotional and other allowance costs have historically been insignificant and are recognized in earnings in the period such differences are determined. Amounts received pursuant to new and/or amended distribution agreements entered into with certain distributors, relating to the costs associated with terminating the Company’s prior distributors, are accounted for as revenue ratably over the anticipated life of the respective distribution agreement, generally 20 years.</w:t>
      </w:r>
    </w:p>
    <w:p>
      <w:pPr>
        <w:spacing w:after="0" w:line="20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Management believes that adequate provision has been made for cash discounts, returns and spoilage based on the Company’s historical experience.</w:t>
      </w:r>
    </w:p>
    <w:p>
      <w:pPr>
        <w:spacing w:after="0" w:line="169" w:lineRule="exact"/>
        <w:rPr>
          <w:sz w:val="20"/>
          <w:szCs w:val="20"/>
          <w:color w:val="auto"/>
        </w:rPr>
      </w:pPr>
    </w:p>
    <w:p>
      <w:pPr>
        <w:jc w:val="both"/>
        <w:ind w:firstLine="689"/>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Cost of Sales </w:t>
      </w:r>
      <w:r>
        <w:rPr>
          <w:rFonts w:ascii="Times New Roman" w:cs="Times New Roman" w:eastAsia="Times New Roman" w:hAnsi="Times New Roman"/>
          <w:sz w:val="20"/>
          <w:szCs w:val="20"/>
          <w:color w:val="auto"/>
        </w:rPr>
        <w:t>– Cost of sales consists of the costs of concentrates and/or beverage bases, the costs of raw materials utilized in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manufacture of products, co-packing fees, repacking fees, in-bound freight charges, as well as certain internal transfer costs, warehouse expenses incurred prior to the manufacture of the Company’s finished products and certain quality control costs. Raw materials account for the largest portion of the cost of sales. Raw materials include cans, bottles, other containers, flavors, ingredients and packaging materials.</w:t>
      </w:r>
    </w:p>
    <w:p>
      <w:pPr>
        <w:spacing w:after="0" w:line="19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Operating Expenses </w:t>
      </w:r>
      <w:r>
        <w:rPr>
          <w:rFonts w:ascii="Times New Roman" w:cs="Times New Roman" w:eastAsia="Times New Roman" w:hAnsi="Times New Roman"/>
          <w:sz w:val="20"/>
          <w:szCs w:val="20"/>
          <w:color w:val="auto"/>
        </w:rPr>
        <w:t>– Operating expenses include selling expenses such as distribution expenses to transport products to customers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warehousing expenses after manufacture, as well as expenses for advertising, sampling and in-store demonstration costs, costs for merchandise displays, point-of-sale materials and premium items, sponsorship expenses, other marketing expenses and design expenses. Operating expenses also include such costs as payroll costs, travel costs, professional service fees including legal fees, termination payments made to certain of the Company’s prior distributors, depreciation and other general and administrative costs.</w:t>
      </w:r>
    </w:p>
    <w:p>
      <w:pPr>
        <w:spacing w:after="0" w:line="189" w:lineRule="exact"/>
        <w:rPr>
          <w:sz w:val="20"/>
          <w:szCs w:val="20"/>
          <w:color w:val="auto"/>
        </w:rPr>
      </w:pPr>
    </w:p>
    <w:p>
      <w:pPr>
        <w:jc w:val="both"/>
        <w:ind w:right="20" w:firstLine="648"/>
        <w:spacing w:after="0" w:line="300" w:lineRule="auto"/>
        <w:rPr>
          <w:sz w:val="20"/>
          <w:szCs w:val="20"/>
          <w:color w:val="auto"/>
        </w:rPr>
      </w:pPr>
      <w:r>
        <w:rPr>
          <w:rFonts w:ascii="Times New Roman" w:cs="Times New Roman" w:eastAsia="Times New Roman" w:hAnsi="Times New Roman"/>
          <w:sz w:val="19"/>
          <w:szCs w:val="19"/>
          <w:i w:val="1"/>
          <w:iCs w:val="1"/>
          <w:color w:val="auto"/>
        </w:rPr>
        <w:t xml:space="preserve">Freight-Out Costs </w:t>
      </w:r>
      <w:r>
        <w:rPr>
          <w:rFonts w:ascii="Times New Roman" w:cs="Times New Roman" w:eastAsia="Times New Roman" w:hAnsi="Times New Roman"/>
          <w:sz w:val="19"/>
          <w:szCs w:val="19"/>
          <w:color w:val="auto"/>
        </w:rPr>
        <w:t>– For the years ended December 31, 2016, 2015 and 2014, freight-out costs amounted to $83.6 million, $87.0</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million and $92.7 million, respectively, and have been recorded in operating expenses in the accompanying consolidated statements of income.</w:t>
      </w:r>
    </w:p>
    <w:p>
      <w:pPr>
        <w:spacing w:after="0" w:line="14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Advertising and Promotional Expenses </w:t>
      </w:r>
      <w:r>
        <w:rPr>
          <w:rFonts w:ascii="Times New Roman" w:cs="Times New Roman" w:eastAsia="Times New Roman" w:hAnsi="Times New Roman"/>
          <w:sz w:val="19"/>
          <w:szCs w:val="19"/>
          <w:color w:val="auto"/>
        </w:rPr>
        <w:t>– The Company accounts for advertising production costs by expensing such production costs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first time the related advertising takes place. A significant amount of the Company’s promotional expenses result from payments under endorsement and sponsorship contracts. Accounting for endorsement and sponsorship payments is based upon specific contract provisions. Generally, endorsement and sponsorship payments are expensed on a straight-line basis over the term of the contract after giving recognition to periodic performance compliance provisions of the contracts. Advertising and promotional expenses, including, but not limited to, production costs amounted to $270.6 million, $209.7 million and $171.5 million for the years ended December 31, 2016, 2015 and 2014, respectively. Advertising and promotional expenses are included in operating expenses in the accompanying consolidated statements of income.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Income Taxes </w:t>
      </w:r>
      <w:r>
        <w:rPr>
          <w:rFonts w:ascii="Times New Roman" w:cs="Times New Roman" w:eastAsia="Times New Roman" w:hAnsi="Times New Roman"/>
          <w:sz w:val="20"/>
          <w:szCs w:val="20"/>
          <w:color w:val="auto"/>
        </w:rPr>
        <w:t>– The Company utilizes the liability method of accounting for income taxes as set forth in FASB ASC 740. Under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liability method, deferred taxes are determined based on the temporary differences between the financial statement and tax basis of assets and liabilities using tax rates expected to be in effect during the years in which the basis differences reverse. A valuation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allowance is recorded when it is more likely than not that some of the deferred tax assets will not be realized. In determining the need for valuation allowances the Company considers projected future taxable income and the availability of tax planning strategies. If in the future the Company determines that it would not be able to realize its recorded deferred tax assets, an increase in the valuation allowance would be recorded, decreasing earnings in the period in which such determination is made.</w:t>
      </w:r>
    </w:p>
    <w:p>
      <w:pPr>
        <w:spacing w:after="0" w:line="19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The Company assesses its income tax positions and records tax benefits for all years subject to examination based upon the Company’s evaluation of the facts, circumstances and information available at the reporting date. For those tax positions where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there is less than 50% likelihood that a tax benefit will be sustained, no tax benefit has been recognized in the financial statements.</w:t>
      </w:r>
    </w:p>
    <w:p>
      <w:pPr>
        <w:spacing w:after="0" w:line="17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Stock-Based Compensation </w:t>
      </w:r>
      <w:r>
        <w:rPr>
          <w:rFonts w:ascii="Times New Roman" w:cs="Times New Roman" w:eastAsia="Times New Roman" w:hAnsi="Times New Roman"/>
          <w:sz w:val="20"/>
          <w:szCs w:val="20"/>
          <w:color w:val="auto"/>
        </w:rPr>
        <w:t>– The Company accounts for stock-based compensation under the provisions of FASB ASC 718.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records compensation expense for employee stock options based on the estimated fair value of the options on the date of grant using the Black-Scholes-Merton option pricing formula.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Stock-based compensation cost for restricted stock awards and restricted stock units is measured based on the closing fair market</w:t>
      </w:r>
    </w:p>
    <w:p>
      <w:pPr>
        <w:sectPr>
          <w:pgSz w:w="11900" w:h="16838" w:orient="portrait"/>
          <w:cols w:equalWidth="0" w:num="1">
            <w:col w:w="11420"/>
          </w:cols>
          <w:pgMar w:left="240" w:top="324" w:right="239" w:bottom="0" w:gutter="0" w:footer="0" w:header="0"/>
        </w:sectPr>
      </w:pPr>
    </w:p>
    <w:bookmarkStart w:id="55" w:name="page56"/>
    <w:bookmarkEnd w:id="55"/>
    <w:p>
      <w:pPr>
        <w:jc w:val="both"/>
        <w:spacing w:after="0" w:line="268" w:lineRule="auto"/>
        <w:rPr>
          <w:sz w:val="20"/>
          <w:szCs w:val="20"/>
          <w:color w:val="auto"/>
        </w:rPr>
      </w:pPr>
      <w:r>
        <w:rPr>
          <w:rFonts w:ascii="Times New Roman" w:cs="Times New Roman" w:eastAsia="Times New Roman" w:hAnsi="Times New Roman"/>
          <w:sz w:val="20"/>
          <w:szCs w:val="20"/>
          <w:color w:val="auto"/>
        </w:rPr>
        <w:t>value of the Company’s common stock at the date of grant. In the event that the Company has the option and intent to settle a restricted stock unit in cash, the award is classified as a liability and revalued at each balance sheet date. (See Note 14).</w:t>
      </w:r>
    </w:p>
    <w:p>
      <w:pPr>
        <w:spacing w:after="0" w:line="17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Net Income Per Common Share </w:t>
      </w:r>
      <w:r>
        <w:rPr>
          <w:rFonts w:ascii="Times New Roman" w:cs="Times New Roman" w:eastAsia="Times New Roman" w:hAnsi="Times New Roman"/>
          <w:sz w:val="20"/>
          <w:szCs w:val="20"/>
          <w:color w:val="auto"/>
        </w:rPr>
        <w:t>– In accordance with FASB ASC 260, net income per common share, on a basic and diluted basis,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presented for all periods. Basic net income per share is computed by dividing net income by the weighted average number of common shares outstanding during each period. Diluted net income per share is computed by dividing net income by the weighted average number of common and dilutive common equivalent shares outstanding. The calculation of common equivalent shares assumes the exercise of dilutive stock options, net of assumed treasury share repurchases at average market prices, as applicable.</w:t>
      </w:r>
    </w:p>
    <w:p>
      <w:pPr>
        <w:spacing w:after="0" w:line="18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Concentration of Risk – </w:t>
      </w:r>
      <w:r>
        <w:rPr>
          <w:rFonts w:ascii="Times New Roman" w:cs="Times New Roman" w:eastAsia="Times New Roman" w:hAnsi="Times New Roman"/>
          <w:sz w:val="20"/>
          <w:szCs w:val="20"/>
          <w:color w:val="auto"/>
        </w:rPr>
        <w:t>Certain of the Company’s products utilize components (raw materials and/or co-packing services) from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limited number of sources. A disruption in the supply of such components could significantly affect the Company’s revenues from those products, as alternative sources of such components may not be available at commercially reasonable rates or within a reasonably short time period. The Company continues to endeavor to secure the availability of alternative sources for such components and minimize the risk of any disruption in production.</w:t>
      </w:r>
    </w:p>
    <w:p>
      <w:pPr>
        <w:spacing w:after="0" w:line="19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TCCC, through certain wholly-owned subsidiaries (the “TCCC Subsidiaries”), accounted for approximately 41%, 43% and 29% of the Company’s net sales for the years ended December 31, 2016, 2015 and 2014, respectively.</w:t>
      </w:r>
    </w:p>
    <w:p>
      <w:pPr>
        <w:spacing w:after="0" w:line="16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Credit Risk </w:t>
      </w:r>
      <w:r>
        <w:rPr>
          <w:rFonts w:ascii="Times New Roman" w:cs="Times New Roman" w:eastAsia="Times New Roman" w:hAnsi="Times New Roman"/>
          <w:sz w:val="20"/>
          <w:szCs w:val="20"/>
          <w:color w:val="auto"/>
        </w:rPr>
        <w:t>– The Company sells its products nationally and internationally, primarily to full service beverage distributors, retail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grocery and specialty chains, wholesalers, club stores, mass merchandisers, convenience chains and food service customers. The Company performs ongoing credit evaluations of its customers and generally does not require collateral. The Company maintains reserves for estimated credit losses, and historically, such losses have been within management’s expectations.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Fair Value of Financial Instruments </w:t>
      </w:r>
      <w:r>
        <w:rPr>
          <w:rFonts w:ascii="Times New Roman" w:cs="Times New Roman" w:eastAsia="Times New Roman" w:hAnsi="Times New Roman"/>
          <w:sz w:val="20"/>
          <w:szCs w:val="20"/>
          <w:color w:val="auto"/>
        </w:rPr>
        <w:t>– The carrying value of the Company’s financial instruments, including cash and cash equivalents,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accounts receivable, accounts payable and accrued liabilities, approximate fair value due to the relatively short maturity of the respective instruments.</w:t>
      </w:r>
    </w:p>
    <w:p>
      <w:pPr>
        <w:spacing w:after="0" w:line="18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Use of Estimates </w:t>
      </w:r>
      <w:r>
        <w:rPr>
          <w:rFonts w:ascii="Times New Roman" w:cs="Times New Roman" w:eastAsia="Times New Roman" w:hAnsi="Times New Roman"/>
          <w:sz w:val="20"/>
          <w:szCs w:val="20"/>
          <w:color w:val="auto"/>
        </w:rPr>
        <w:t>– The preparation of the consolidated financial statements in conformity with GAAP requires management to make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9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Recent Accounting Pronouncements – </w:t>
      </w:r>
      <w:r>
        <w:rPr>
          <w:rFonts w:ascii="Times New Roman" w:cs="Times New Roman" w:eastAsia="Times New Roman" w:hAnsi="Times New Roman"/>
          <w:sz w:val="20"/>
          <w:szCs w:val="20"/>
          <w:color w:val="252525"/>
        </w:rPr>
        <w:t>In January 2017, the FASB issued ASU No. 2017-01</w:t>
      </w:r>
      <w:r>
        <w:rPr>
          <w:rFonts w:ascii="Times New Roman" w:cs="Times New Roman" w:eastAsia="Times New Roman" w:hAnsi="Times New Roman"/>
          <w:sz w:val="20"/>
          <w:szCs w:val="20"/>
          <w:i w:val="1"/>
          <w:iCs w:val="1"/>
          <w:color w:val="252525"/>
        </w:rPr>
        <w:t>, “</w:t>
      </w:r>
      <w:r>
        <w:rPr>
          <w:rFonts w:ascii="Times New Roman" w:cs="Times New Roman" w:eastAsia="Times New Roman" w:hAnsi="Times New Roman"/>
          <w:sz w:val="20"/>
          <w:szCs w:val="20"/>
          <w:color w:val="252525"/>
        </w:rPr>
        <w:t>Business Combinations (Topic 805):</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252525"/>
        </w:rPr>
        <w:t>Clarifying the Definition of a Business</w:t>
      </w:r>
      <w:r>
        <w:rPr>
          <w:rFonts w:ascii="Times New Roman" w:cs="Times New Roman" w:eastAsia="Times New Roman" w:hAnsi="Times New Roman"/>
          <w:sz w:val="20"/>
          <w:szCs w:val="20"/>
          <w:i w:val="1"/>
          <w:iCs w:val="1"/>
          <w:color w:val="252525"/>
        </w:rPr>
        <w:t>”</w:t>
      </w:r>
      <w:r>
        <w:rPr>
          <w:rFonts w:ascii="Times New Roman" w:cs="Times New Roman" w:eastAsia="Times New Roman" w:hAnsi="Times New Roman"/>
          <w:sz w:val="20"/>
          <w:szCs w:val="20"/>
          <w:color w:val="252525"/>
        </w:rPr>
        <w:t xml:space="preserve">, which clarifies the definition of a business with the objective of adding guidance to assist entities with evaluating whether transactions should be accounted for as acquisitions (or disposals) of assets or businesses. This amendment is effective for fiscal years beginning after December 15, 2017, and interim periods within those fiscal years. Early adoption is permitted. </w:t>
      </w:r>
      <w:r>
        <w:rPr>
          <w:rFonts w:ascii="Times New Roman" w:cs="Times New Roman" w:eastAsia="Times New Roman" w:hAnsi="Times New Roman"/>
          <w:sz w:val="20"/>
          <w:szCs w:val="20"/>
          <w:color w:val="000000"/>
        </w:rPr>
        <w:t>The Company is</w:t>
      </w:r>
      <w:r>
        <w:rPr>
          <w:rFonts w:ascii="Times New Roman" w:cs="Times New Roman" w:eastAsia="Times New Roman" w:hAnsi="Times New Roman"/>
          <w:sz w:val="20"/>
          <w:szCs w:val="20"/>
          <w:color w:val="252525"/>
        </w:rPr>
        <w:t xml:space="preserve"> </w:t>
      </w:r>
      <w:r>
        <w:rPr>
          <w:rFonts w:ascii="Times New Roman" w:cs="Times New Roman" w:eastAsia="Times New Roman" w:hAnsi="Times New Roman"/>
          <w:sz w:val="20"/>
          <w:szCs w:val="20"/>
          <w:color w:val="000000"/>
        </w:rPr>
        <w:t>currently evaluating the impact of ASU No. 2017-01 on its financial position, results of operations and liquidity.</w:t>
      </w:r>
    </w:p>
    <w:p>
      <w:pPr>
        <w:spacing w:after="0" w:line="19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252525"/>
        </w:rPr>
        <w:t>In January 2017, the FASB issued ASU No. 2017-04, “Intangibles and Other (Topic 350): Simplifying the Test for Goodwill Impairment</w:t>
      </w:r>
      <w:r>
        <w:rPr>
          <w:rFonts w:ascii="Times New Roman" w:cs="Times New Roman" w:eastAsia="Times New Roman" w:hAnsi="Times New Roman"/>
          <w:sz w:val="20"/>
          <w:szCs w:val="20"/>
          <w:i w:val="1"/>
          <w:iCs w:val="1"/>
          <w:color w:val="252525"/>
        </w:rPr>
        <w:t>”</w:t>
      </w:r>
      <w:r>
        <w:rPr>
          <w:rFonts w:ascii="Times New Roman" w:cs="Times New Roman" w:eastAsia="Times New Roman" w:hAnsi="Times New Roman"/>
          <w:sz w:val="20"/>
          <w:szCs w:val="20"/>
          <w:color w:val="252525"/>
        </w:rPr>
        <w:t xml:space="preserve">, which eliminates the requirement to calculate the implied fair value of goodwill but rather require an entity to record an impairment charge based on the excess of a reporting unit’s carrying value over its fair value. This amendment is effective for annual or interim goodwill impairment tests in fiscal years beginning after December 15, 2019. Early adoption is permitted. </w:t>
      </w:r>
      <w:r>
        <w:rPr>
          <w:rFonts w:ascii="Times New Roman" w:cs="Times New Roman" w:eastAsia="Times New Roman" w:hAnsi="Times New Roman"/>
          <w:sz w:val="20"/>
          <w:szCs w:val="20"/>
          <w:color w:val="000000"/>
        </w:rPr>
        <w:t>The Company is currently evaluating</w:t>
      </w:r>
      <w:r>
        <w:rPr>
          <w:rFonts w:ascii="Times New Roman" w:cs="Times New Roman" w:eastAsia="Times New Roman" w:hAnsi="Times New Roman"/>
          <w:sz w:val="20"/>
          <w:szCs w:val="20"/>
          <w:color w:val="252525"/>
        </w:rPr>
        <w:t xml:space="preserve"> </w:t>
      </w:r>
      <w:r>
        <w:rPr>
          <w:rFonts w:ascii="Times New Roman" w:cs="Times New Roman" w:eastAsia="Times New Roman" w:hAnsi="Times New Roman"/>
          <w:sz w:val="20"/>
          <w:szCs w:val="20"/>
          <w:color w:val="000000"/>
        </w:rPr>
        <w:t>the impact of ASU No. 2017-04 on its financial position, results of operations and liquidity.</w:t>
      </w:r>
    </w:p>
    <w:p>
      <w:pPr>
        <w:spacing w:after="0" w:line="19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252525"/>
        </w:rPr>
        <w:t xml:space="preserve">In October 2016, the FASB issued ASU No. 2016-16, “Income Taxes (Topic 740): Intra-Entity Transfers of Assets Other Than Inventory”, in an effort to improve the accounting for the income tax consequences of intra-equity transfers of assets other than inventory. Current GAAP prohibits the recognition of current and deferred income taxes for an intra-entity asset transfer until the asset has been sold to an outside party. FASB ASU No. 2016-16 establishes the requirement that an entity recognize the income tax consequences of an intra-entity transfer of an asset other than inventory when the transfer occurs. ASU No. 2016-16 is effective for financial statements issued for annual periods beginning after December 15, 2017 and interim periods within those annual periods. Earlier application is permitted as of the beginning of an interim or annual reporting period, with any adjustments reflected as of the beginning of the fiscal year of adoption. </w:t>
      </w:r>
      <w:r>
        <w:rPr>
          <w:rFonts w:ascii="Times New Roman" w:cs="Times New Roman" w:eastAsia="Times New Roman" w:hAnsi="Times New Roman"/>
          <w:sz w:val="20"/>
          <w:szCs w:val="20"/>
          <w:color w:val="000000"/>
        </w:rPr>
        <w:t>The Company is</w:t>
      </w:r>
      <w:r>
        <w:rPr>
          <w:rFonts w:ascii="Times New Roman" w:cs="Times New Roman" w:eastAsia="Times New Roman" w:hAnsi="Times New Roman"/>
          <w:sz w:val="20"/>
          <w:szCs w:val="20"/>
          <w:color w:val="252525"/>
        </w:rPr>
        <w:t xml:space="preserve"> </w:t>
      </w:r>
      <w:r>
        <w:rPr>
          <w:rFonts w:ascii="Times New Roman" w:cs="Times New Roman" w:eastAsia="Times New Roman" w:hAnsi="Times New Roman"/>
          <w:sz w:val="20"/>
          <w:szCs w:val="20"/>
          <w:color w:val="000000"/>
        </w:rPr>
        <w:t>currently evaluating the impact of ASU No. 2016-16 on its financial position, results of operations and liquidity.</w:t>
      </w:r>
    </w:p>
    <w:p>
      <w:pPr>
        <w:spacing w:after="0" w:line="20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In August 2016, the FASB issued ASU No. 2016-15, “Statement of Cash Flows (Topic 230)”. The new guidance is intended to reduce diversity in practice in how certain transactions are classified in the statement of cash flows. ASU No. 2016-15 is effective for fiscal years, and interim periods within those years, beginning after December 15, 2017. Early adoption is permitted, provided that all of the amendments are adopted in the same period. The guidance requires application using a retrospective transition method. The Company is currently evaluating the impact of ASU No. 2016-15 on its financial position, results of operations and liquidity.</w:t>
      </w:r>
    </w:p>
    <w:p>
      <w:pPr>
        <w:sectPr>
          <w:pgSz w:w="11900" w:h="16838" w:orient="portrait"/>
          <w:cols w:equalWidth="0" w:num="1">
            <w:col w:w="11420"/>
          </w:cols>
          <w:pgMar w:left="240" w:top="118" w:right="239" w:bottom="311"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311" w:gutter="0" w:footer="0" w:header="0"/>
          <w:type w:val="continuous"/>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6"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In June 2016, the FASB issued ASU No. 2016-13, “Financial Instruments - Credit Losses (Topic 326): Measurement of Credit Losses on Financial Instruments”. The accounting standard changes the methodology for measuring credit losses on financial instruments and the timing when such losses are recorded. ASU No. 2016-13 is effective for fiscal years, and interim periods within those years, beginning after December 15, 2019. Early adoption is permitted for fiscal years, and interim periods within those years, beginning after December 15, 2018. The Company is currently evaluating the impact of ASU No. 2016-13 on its financial position, results of operations and liquidity.</w:t>
      </w:r>
    </w:p>
    <w:p>
      <w:pPr>
        <w:spacing w:after="0" w:line="19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In March 2016, the FASB issued ASU No. 2016-09, “Compensation - Stock Compensation (Topic 718): Improvements to Employee Share-Based Payment Accounting”, which changes how companies account for certain aspects of share-based payments to employees. The new guidance identifies areas for simplification involving several aspects of accounting for share-based payment transactions, including income tax consequences, classification of awards as either equity or liabilities, an option to recognize gross stock compensation expense with actual forfeitures recognized as they occur and certain classifications on the statement of cash flows. The update is effective for annual reporting periods beginning after December 15, 2016, including interim periods within those annual reporting periods, with early application permitted. The Company early adopted the standards update, effective January 1, 2016, electing (i) retrospective adjustment in the statement of cash flows and (ii) continued recognition of stock compensation based on estimated forfeitures. For the year ended December 31, 2015 and 2014, net cash provided by operating activities increased and net cash provided by financing activities decreased by $314.8 million and $11.9 million, respectively, as a result of such retrospective adjustment. For the year ended December 31, 2016, the Company recorded $20.8 million of excess tax benefits in net income that previously would have been recorded in additional paid-in-capital. The adoption of ASU No. 2016-09 did not have a material impact on the Company’s financial position, results of operations or liquidity.</w:t>
      </w:r>
    </w:p>
    <w:p>
      <w:pPr>
        <w:spacing w:after="0" w:line="20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In February 2016, the FASB issued ASU No. 2016-02, “Leases (Topic 842)”. This update is intended to increase transparency and comparability among organizations by recognizing lease assets and lease liabilities on the balance sheet and disclosing key information about leasing arrangements. This update is effective for annual and interim reporting periods beginning after December 15, 2018, including interim periods within those fiscal years. Early adoption is permitted. The Company is currently evaluating the impact of ASU No. 2016-02 on its financial position, results of operations and liquidity.</w:t>
      </w:r>
    </w:p>
    <w:p>
      <w:pPr>
        <w:spacing w:after="0" w:line="19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In May 2014, the FASB issued ASU No. 2014-09, “Revenue from Contracts with Customers (Topic 606)”, which supersedes previous revenue recognition guidance. ASU No. 2014-09 requires that a company recognize revenue at an amount that reflects the consideration to which the company expects to be entitled in exchange for transferring goods or services to a customer. In applying the new guidance, a company will (i) identify the contract(s) with a customer; (ii) identify the performance obligations in the contract; (iii) determine the transaction price; (iv) allocate the transaction price to the contract’s performance obligations; and (v) recognize revenue when (or as) the entity satisfies a performance obligation. ASU No. 2014-09 was to be effective for reporting periods beginning after December 15, 2016. However, on July 9, 2015, the FASB voted to approve a one-year deferral of the effective date. This new guidance is effective for the Company beginning January 1, 2018 and can be adopted using either a full retrospective or modified approach. The Company is currently evaluating the impact of ASU No. 2014-09 on its financial position, results of operations and liquidity.</w:t>
      </w:r>
    </w:p>
    <w:p>
      <w:pPr>
        <w:spacing w:after="0" w:line="200" w:lineRule="exact"/>
        <w:rPr>
          <w:sz w:val="20"/>
          <w:szCs w:val="20"/>
          <w:color w:val="auto"/>
        </w:rPr>
      </w:pPr>
    </w:p>
    <w:p>
      <w:pPr>
        <w:ind w:right="7460" w:firstLine="8"/>
        <w:spacing w:after="0" w:line="479" w:lineRule="auto"/>
        <w:tabs>
          <w:tab w:leader="none" w:pos="635"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ACQUISITIONS AND DIVESTITURES </w:t>
      </w:r>
      <w:r>
        <w:rPr>
          <w:rFonts w:ascii="Times New Roman" w:cs="Times New Roman" w:eastAsia="Times New Roman" w:hAnsi="Times New Roman"/>
          <w:sz w:val="20"/>
          <w:szCs w:val="20"/>
          <w:u w:val="single" w:color="auto"/>
          <w:color w:val="auto"/>
        </w:rPr>
        <w:t>American Fruits &amp; Flavors</w:t>
      </w: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On April 1, 2016, the Company completed its acquisition of flavor supplier and long-time business partner American Fruits &amp; Flavors (“AFF”), in an asset acquisition that brought the Company’s primary flavor supplier in-house, secured the intellectual property of the Company’s most important flavors in perpetuity and further enhanced its flavor development and global flavor footprint capabilities (the “AFF Transaction”). Pursuant to the terms of the AFF Transaction, the Company purchased AFF for $688.5 million in cash after adjustments.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6"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8"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Company accounted for the AFF Transaction in accordance with Financial Accounting Standards Board (“FASB”) Accounting Standards Codification (“ASC”) 805 “Business Combinations”.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final fair value allocations of the AFF Transaction consideration:</w:t>
      </w:r>
    </w:p>
    <w:p>
      <w:pPr>
        <w:spacing w:after="0" w:line="21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gridSpan w:val="2"/>
          </w:tcPr>
          <w:p>
            <w:pPr>
              <w:jc w:val="center"/>
              <w:ind w:right="480"/>
              <w:spacing w:after="0"/>
              <w:rPr>
                <w:sz w:val="20"/>
                <w:szCs w:val="20"/>
                <w:color w:val="auto"/>
              </w:rPr>
            </w:pPr>
            <w:r>
              <w:rPr>
                <w:rFonts w:ascii="Times New Roman" w:cs="Times New Roman" w:eastAsia="Times New Roman" w:hAnsi="Times New Roman"/>
                <w:sz w:val="20"/>
                <w:szCs w:val="20"/>
                <w:color w:val="auto"/>
                <w:w w:val="99"/>
              </w:rPr>
              <w:t>Identifiable</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gridSpan w:val="2"/>
          </w:tcPr>
          <w:p>
            <w:pPr>
              <w:jc w:val="center"/>
              <w:ind w:right="480"/>
              <w:spacing w:after="0"/>
              <w:rPr>
                <w:sz w:val="20"/>
                <w:szCs w:val="20"/>
                <w:color w:val="auto"/>
              </w:rPr>
            </w:pPr>
            <w:r>
              <w:rPr>
                <w:rFonts w:ascii="Times New Roman" w:cs="Times New Roman" w:eastAsia="Times New Roman" w:hAnsi="Times New Roman"/>
                <w:sz w:val="20"/>
                <w:szCs w:val="20"/>
                <w:color w:val="auto"/>
              </w:rPr>
              <w:t>Assets Acquired</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gridSpan w:val="2"/>
          </w:tcPr>
          <w:p>
            <w:pPr>
              <w:jc w:val="center"/>
              <w:ind w:right="480"/>
              <w:spacing w:after="0"/>
              <w:rPr>
                <w:sz w:val="20"/>
                <w:szCs w:val="20"/>
                <w:color w:val="auto"/>
              </w:rPr>
            </w:pPr>
            <w:r>
              <w:rPr>
                <w:rFonts w:ascii="Times New Roman" w:cs="Times New Roman" w:eastAsia="Times New Roman" w:hAnsi="Times New Roman"/>
                <w:sz w:val="20"/>
                <w:szCs w:val="20"/>
                <w:color w:val="auto"/>
                <w:w w:val="97"/>
              </w:rPr>
              <w:t>and Liabilities</w:t>
            </w:r>
          </w:p>
        </w:tc>
        <w:tc>
          <w:tcPr>
            <w:tcW w:w="220" w:type="dxa"/>
            <w:vAlign w:val="bottom"/>
          </w:tcPr>
          <w:p>
            <w:pPr>
              <w:spacing w:after="0"/>
              <w:rPr>
                <w:sz w:val="19"/>
                <w:szCs w:val="19"/>
                <w:color w:val="auto"/>
              </w:rPr>
            </w:pPr>
          </w:p>
        </w:tc>
        <w:tc>
          <w:tcPr>
            <w:tcW w:w="1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Consideration</w:t>
            </w:r>
          </w:p>
        </w:tc>
        <w:tc>
          <w:tcPr>
            <w:tcW w:w="0" w:type="dxa"/>
            <w:vAlign w:val="bottom"/>
          </w:tcPr>
          <w:p>
            <w:pPr>
              <w:spacing w:after="0"/>
              <w:rPr>
                <w:sz w:val="1"/>
                <w:szCs w:val="1"/>
                <w:color w:val="auto"/>
              </w:rPr>
            </w:pPr>
          </w:p>
        </w:tc>
      </w:tr>
      <w:tr>
        <w:trPr>
          <w:trHeight w:val="252"/>
        </w:trPr>
        <w:tc>
          <w:tcPr>
            <w:tcW w:w="62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Intangibles - flavor formulas (non-amortizing)¹</w:t>
            </w:r>
          </w:p>
        </w:tc>
        <w:tc>
          <w:tcPr>
            <w:tcW w:w="200" w:type="dxa"/>
            <w:vAlign w:val="bottom"/>
          </w:tcPr>
          <w:p>
            <w:pPr>
              <w:spacing w:after="0"/>
              <w:rPr>
                <w:sz w:val="21"/>
                <w:szCs w:val="21"/>
                <w:color w:val="auto"/>
              </w:rPr>
            </w:pPr>
          </w:p>
        </w:tc>
        <w:tc>
          <w:tcPr>
            <w:tcW w:w="1800" w:type="dxa"/>
            <w:vAlign w:val="bottom"/>
            <w:gridSpan w:val="2"/>
          </w:tcPr>
          <w:p>
            <w:pPr>
              <w:jc w:val="center"/>
              <w:ind w:right="480"/>
              <w:spacing w:after="0"/>
              <w:rPr>
                <w:sz w:val="20"/>
                <w:szCs w:val="20"/>
                <w:color w:val="auto"/>
              </w:rPr>
            </w:pPr>
            <w:r>
              <w:rPr>
                <w:rFonts w:ascii="Times New Roman" w:cs="Times New Roman" w:eastAsia="Times New Roman" w:hAnsi="Times New Roman"/>
                <w:sz w:val="20"/>
                <w:szCs w:val="20"/>
                <w:color w:val="auto"/>
                <w:w w:val="96"/>
              </w:rPr>
              <w:t>Assumed</w:t>
            </w:r>
          </w:p>
        </w:tc>
        <w:tc>
          <w:tcPr>
            <w:tcW w:w="220" w:type="dxa"/>
            <w:vAlign w:val="bottom"/>
          </w:tcPr>
          <w:p>
            <w:pPr>
              <w:spacing w:after="0"/>
              <w:rPr>
                <w:sz w:val="21"/>
                <w:szCs w:val="21"/>
                <w:color w:val="auto"/>
              </w:rPr>
            </w:pPr>
          </w:p>
        </w:tc>
        <w:tc>
          <w:tcPr>
            <w:tcW w:w="13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Transferred</w:t>
            </w:r>
          </w:p>
        </w:tc>
        <w:tc>
          <w:tcPr>
            <w:tcW w:w="0" w:type="dxa"/>
            <w:vAlign w:val="bottom"/>
          </w:tcPr>
          <w:p>
            <w:pPr>
              <w:spacing w:after="0"/>
              <w:rPr>
                <w:sz w:val="1"/>
                <w:szCs w:val="1"/>
                <w:color w:val="auto"/>
              </w:rPr>
            </w:pPr>
          </w:p>
        </w:tc>
      </w:tr>
      <w:tr>
        <w:trPr>
          <w:trHeight w:val="200"/>
        </w:trPr>
        <w:tc>
          <w:tcPr>
            <w:tcW w:w="6220" w:type="dxa"/>
            <w:vAlign w:val="bottom"/>
            <w:vMerge w:val="continue"/>
          </w:tcPr>
          <w:p>
            <w:pPr>
              <w:spacing w:after="0"/>
              <w:rPr>
                <w:sz w:val="17"/>
                <w:szCs w:val="17"/>
                <w:color w:val="auto"/>
              </w:rPr>
            </w:pPr>
          </w:p>
        </w:tc>
        <w:tc>
          <w:tcPr>
            <w:tcW w:w="2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520" w:type="dxa"/>
            <w:vAlign w:val="bottom"/>
            <w:tcBorders>
              <w:top w:val="single" w:sz="8" w:color="auto"/>
            </w:tcBorders>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570,000</w:t>
            </w:r>
          </w:p>
        </w:tc>
        <w:tc>
          <w:tcPr>
            <w:tcW w:w="280" w:type="dxa"/>
            <w:vAlign w:val="bottom"/>
          </w:tcPr>
          <w:p>
            <w:pPr>
              <w:spacing w:after="0"/>
              <w:rPr>
                <w:sz w:val="17"/>
                <w:szCs w:val="17"/>
                <w:color w:val="auto"/>
              </w:rPr>
            </w:pPr>
          </w:p>
        </w:tc>
        <w:tc>
          <w:tcPr>
            <w:tcW w:w="2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360" w:type="dxa"/>
            <w:vAlign w:val="bottom"/>
            <w:tcBorders>
              <w:top w:val="single" w:sz="8" w:color="auto"/>
            </w:tcBorders>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Intangibles - flavor formulas (amortizing)</w:t>
            </w:r>
          </w:p>
        </w:tc>
        <w:tc>
          <w:tcPr>
            <w:tcW w:w="200" w:type="dxa"/>
            <w:vAlign w:val="bottom"/>
          </w:tcPr>
          <w:p>
            <w:pPr>
              <w:spacing w:after="0"/>
              <w:rPr>
                <w:sz w:val="19"/>
                <w:szCs w:val="19"/>
                <w:color w:val="auto"/>
              </w:rPr>
            </w:pPr>
          </w:p>
        </w:tc>
        <w:tc>
          <w:tcPr>
            <w:tcW w:w="15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641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8"/>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Intangibles - customer relationships (amortizing)</w:t>
            </w:r>
          </w:p>
        </w:tc>
        <w:tc>
          <w:tcPr>
            <w:tcW w:w="200" w:type="dxa"/>
            <w:vAlign w:val="bottom"/>
          </w:tcPr>
          <w:p>
            <w:pPr>
              <w:spacing w:after="0"/>
              <w:rPr>
                <w:sz w:val="22"/>
                <w:szCs w:val="22"/>
                <w:color w:val="auto"/>
              </w:rPr>
            </w:pPr>
          </w:p>
        </w:tc>
        <w:tc>
          <w:tcPr>
            <w:tcW w:w="15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30,100</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57" w:name="page58"/>
    <w:bookmarkEnd w:id="57"/>
    <w:p>
      <w:pPr>
        <w:spacing w:after="0" w:line="7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Intangibles - trademarks (amortizing)</w:t>
            </w:r>
          </w:p>
        </w:tc>
        <w:tc>
          <w:tcPr>
            <w:tcW w:w="58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500</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Intangibles - other (amortizing)</w:t>
            </w:r>
          </w:p>
        </w:tc>
        <w:tc>
          <w:tcPr>
            <w:tcW w:w="58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200</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Working capital (excluding inventory)</w:t>
            </w:r>
          </w:p>
        </w:tc>
        <w:tc>
          <w:tcPr>
            <w:tcW w:w="58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1,861</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Inventory</w:t>
            </w:r>
          </w:p>
        </w:tc>
        <w:tc>
          <w:tcPr>
            <w:tcW w:w="58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27,600</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58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1,175</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Favorable leases</w:t>
            </w:r>
          </w:p>
        </w:tc>
        <w:tc>
          <w:tcPr>
            <w:tcW w:w="58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4,480</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Goodwill</w:t>
            </w:r>
          </w:p>
        </w:tc>
        <w:tc>
          <w:tcPr>
            <w:tcW w:w="58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51,928</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Cash</w:t>
            </w:r>
          </w:p>
        </w:tc>
        <w:tc>
          <w:tcPr>
            <w:tcW w:w="58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688,485</w:t>
            </w:r>
          </w:p>
        </w:tc>
        <w:tc>
          <w:tcPr>
            <w:tcW w:w="0" w:type="dxa"/>
            <w:vAlign w:val="bottom"/>
          </w:tcPr>
          <w:p>
            <w:pPr>
              <w:spacing w:after="0"/>
              <w:rPr>
                <w:sz w:val="1"/>
                <w:szCs w:val="1"/>
                <w:color w:val="auto"/>
              </w:rPr>
            </w:pPr>
          </w:p>
        </w:tc>
      </w:tr>
      <w:tr>
        <w:trPr>
          <w:trHeight w:val="23"/>
        </w:trPr>
        <w:tc>
          <w:tcPr>
            <w:tcW w:w="62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Total</w:t>
            </w: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220" w:type="dxa"/>
            <w:vAlign w:val="bottom"/>
            <w:vMerge w:val="continue"/>
          </w:tcPr>
          <w:p>
            <w:pPr>
              <w:spacing w:after="0"/>
              <w:rPr>
                <w:sz w:val="19"/>
                <w:szCs w:val="19"/>
                <w:color w:val="auto"/>
              </w:rPr>
            </w:pPr>
          </w:p>
        </w:tc>
        <w:tc>
          <w:tcPr>
            <w:tcW w:w="580" w:type="dxa"/>
            <w:vAlign w:val="bottom"/>
            <w:tcBorders>
              <w:bottom w:val="single" w:sz="8" w:color="auto"/>
            </w:tcBorders>
          </w:tcPr>
          <w:p>
            <w:pPr>
              <w:jc w:val="right"/>
              <w:ind w:right="2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688,485</w:t>
            </w:r>
          </w:p>
        </w:tc>
        <w:tc>
          <w:tcPr>
            <w:tcW w:w="280" w:type="dxa"/>
            <w:vAlign w:val="bottom"/>
          </w:tcPr>
          <w:p>
            <w:pPr>
              <w:spacing w:after="0"/>
              <w:rPr>
                <w:sz w:val="19"/>
                <w:szCs w:val="19"/>
                <w:color w:val="auto"/>
              </w:rPr>
            </w:pPr>
          </w:p>
        </w:tc>
        <w:tc>
          <w:tcPr>
            <w:tcW w:w="520" w:type="dxa"/>
            <w:vAlign w:val="bottom"/>
            <w:tcBorders>
              <w:bottom w:val="single" w:sz="8" w:color="auto"/>
            </w:tcBorders>
          </w:tcPr>
          <w:p>
            <w:pPr>
              <w:jc w:val="right"/>
              <w:ind w:right="2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688,485</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i w:val="1"/>
          <w:iCs w:val="1"/>
          <w:color w:val="auto"/>
          <w:vertAlign w:val="superscript"/>
        </w:rPr>
        <w:t>1</w:t>
      </w:r>
      <w:r>
        <w:rPr>
          <w:rFonts w:ascii="Times New Roman" w:cs="Times New Roman" w:eastAsia="Times New Roman" w:hAnsi="Times New Roman"/>
          <w:sz w:val="16"/>
          <w:szCs w:val="16"/>
          <w:i w:val="1"/>
          <w:iCs w:val="1"/>
          <w:color w:val="auto"/>
        </w:rPr>
        <w:t>Represents proprietary formulas for the Company’s principal products.</w:t>
      </w:r>
    </w:p>
    <w:p>
      <w:pPr>
        <w:spacing w:after="0" w:line="17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During the fourth quarter of 2016, the Company identified a measurement period adjustment to the Company’s previous purchase accounting estimates for the AFF Transaction. The adjustments to the estimated values previously disclosed, resulted from the completed assessment of a certain flavor formula. As a result, Intangibles – flavor formulas (non-amortizing) decreased and Goodwill increased by $48.0 million, respectively, from amounts previously reported.</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determined the estimated fair values as follows:</w:t>
      </w:r>
    </w:p>
    <w:p>
      <w:pPr>
        <w:spacing w:after="0" w:line="229" w:lineRule="exact"/>
        <w:rPr>
          <w:sz w:val="20"/>
          <w:szCs w:val="20"/>
          <w:color w:val="auto"/>
        </w:rPr>
      </w:pPr>
    </w:p>
    <w:p>
      <w:pPr>
        <w:ind w:left="1260" w:hanging="280"/>
        <w:spacing w:after="0"/>
        <w:tabs>
          <w:tab w:leader="none" w:pos="12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Flavor formulas (non-amortizing) – multi-period excess earnings method</w:t>
      </w:r>
    </w:p>
    <w:p>
      <w:pPr>
        <w:spacing w:after="0" w:line="21" w:lineRule="exact"/>
        <w:rPr>
          <w:rFonts w:ascii="Times New Roman" w:cs="Times New Roman" w:eastAsia="Times New Roman" w:hAnsi="Times New Roman"/>
          <w:sz w:val="20"/>
          <w:szCs w:val="20"/>
          <w:color w:val="auto"/>
        </w:rPr>
      </w:pPr>
    </w:p>
    <w:p>
      <w:pPr>
        <w:ind w:left="1260" w:hanging="280"/>
        <w:spacing w:after="0"/>
        <w:tabs>
          <w:tab w:leader="none" w:pos="12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Flavor formulas (amortizing) – replacement cost method</w:t>
      </w:r>
    </w:p>
    <w:p>
      <w:pPr>
        <w:ind w:left="1260" w:hanging="280"/>
        <w:spacing w:after="0"/>
        <w:tabs>
          <w:tab w:leader="none" w:pos="12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Customer relationships – multi-period excess earnings method</w:t>
      </w:r>
    </w:p>
    <w:p>
      <w:pPr>
        <w:ind w:left="1260" w:hanging="280"/>
        <w:spacing w:after="0"/>
        <w:tabs>
          <w:tab w:leader="none" w:pos="12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Trademarks – relief-from-royalty method</w:t>
      </w:r>
    </w:p>
    <w:p>
      <w:pPr>
        <w:ind w:left="1260" w:hanging="280"/>
        <w:spacing w:after="0"/>
        <w:tabs>
          <w:tab w:leader="none" w:pos="12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Inventory – comparative sales method and replacement cost method</w:t>
      </w:r>
    </w:p>
    <w:p>
      <w:pPr>
        <w:ind w:left="1260" w:hanging="280"/>
        <w:spacing w:after="0"/>
        <w:tabs>
          <w:tab w:leader="none" w:pos="12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Property and equipment, net – replacement cost method</w:t>
      </w:r>
    </w:p>
    <w:p>
      <w:pPr>
        <w:ind w:left="1260" w:hanging="280"/>
        <w:spacing w:after="0"/>
        <w:tabs>
          <w:tab w:leader="none" w:pos="12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Favorable leases – discounted cash flow method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final book value of the working capital (excluding inventory) approximates fair value.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has determined goodwill in accordance with FASB ASC 805-30-30-1, “Business Combinations”, which requires the recognition of goodwill for the excess of the aggregate consideration over the net amounts of identifiable assets acquired and liabilities assumed as of the acquisition date.</w:t>
      </w:r>
    </w:p>
    <w:p>
      <w:pPr>
        <w:spacing w:after="0" w:line="188"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For tax purposes, the AFF Transaction was recorded as an asset purchase. As such, the Company received a step-up in tax basis of the AFF assets, net, equal to the purchase price.</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In accordance with Regulation S-X, pro forma unaudited financial information for the AFF Transaction has not been provided as the impact of the transaction on the Company’s financial position, results of operations and liquidity was not material.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The Coca-Cola Company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On June 12, 2015, the Company completed the transactions contemplated by the definitive agreements entered into with The Coca-Cola Company (“TCCC”) on August 14, 2014 (the “TCCC Transaction”), which provided for a long-term strategic relationship in the global energy drink category.</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9"/>
          <w:szCs w:val="19"/>
          <w:color w:val="auto"/>
        </w:rPr>
        <w:t>In consequence of the TCCC Transaction, (1) the Company issued to TCCC 102,121,602 newly issued Company common shares representing approximately 16.7% of the total number of outstanding Company common shares (after giving effect to such issuance) at such time and TCCC appointed two individuals to the Company’s Board of Directors, (2) TCCC transferred all of its rights in and to TCCC’s worldwide energy drink business (“KO Energy”) to the Company, (3) the Company transferred all of its rights in and to its non-energy drink business (“Monster Non-Energy”) to TCCC, (4) the Company and TCCC amended the distribution coordination agreements previously existing between them to govern the transition of third parties’ rights to distribute the Company’s energy products in most territories in the U.S. to members of TCCC’s distribution network, which consists of owned or controlled bottlers/distributors and independent bottling/distribution partners, and (5) TCCC and one of its subsidiaries made an aggregate net cash payment to the Company of $2.15 billion, $125.0 million of which was held in escrow, as described below, pursuant to an escrow agreement (the “Escrow Agreement”) through June 17, 2016, subject to release upon the achievement of certain milestones relating to the transition of distribution rights to TCCC’s distribution network.</w:t>
      </w:r>
    </w:p>
    <w:p>
      <w:pPr>
        <w:spacing w:after="0" w:line="18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Under the terms of the Escrow Agreement and the transition payment agreement entered into in connection therewith, if the distribution rights in the U.S. transitioned to TCCC’s distribution network represented case sales in excess of the following percentages of a target case sale amount agreed to by the parties, amounts in the escrow fund in excess of the applicable amounts below would be released to the Company:</w:t>
      </w:r>
    </w:p>
    <w:p>
      <w:pPr>
        <w:spacing w:after="0" w:line="139"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Percentage Transitioned</w:t>
            </w:r>
          </w:p>
        </w:tc>
        <w:tc>
          <w:tcPr>
            <w:tcW w:w="1840" w:type="dxa"/>
            <w:vAlign w:val="bottom"/>
          </w:tcPr>
          <w:p>
            <w:pPr>
              <w:spacing w:after="0"/>
              <w:rPr>
                <w:sz w:val="19"/>
                <w:szCs w:val="19"/>
                <w:color w:val="auto"/>
              </w:rPr>
            </w:pPr>
          </w:p>
        </w:tc>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7"/>
              </w:rPr>
              <w:t>Escrow Release</w:t>
            </w:r>
          </w:p>
        </w:tc>
        <w:tc>
          <w:tcPr>
            <w:tcW w:w="1660" w:type="dxa"/>
            <w:vAlign w:val="bottom"/>
          </w:tcPr>
          <w:p>
            <w:pPr>
              <w:spacing w:after="0"/>
              <w:rPr>
                <w:sz w:val="19"/>
                <w:szCs w:val="19"/>
                <w:color w:val="auto"/>
              </w:rPr>
            </w:pPr>
          </w:p>
        </w:tc>
      </w:tr>
      <w:tr>
        <w:trPr>
          <w:trHeight w:val="227"/>
        </w:trPr>
        <w:tc>
          <w:tcPr>
            <w:tcW w:w="1920" w:type="dxa"/>
            <w:vAlign w:val="bottom"/>
          </w:tcPr>
          <w:p>
            <w:pPr>
              <w:jc w:val="right"/>
              <w:ind w:right="1121"/>
              <w:spacing w:after="0" w:line="228" w:lineRule="exact"/>
              <w:rPr>
                <w:sz w:val="20"/>
                <w:szCs w:val="20"/>
                <w:color w:val="auto"/>
              </w:rPr>
            </w:pPr>
            <w:r>
              <w:rPr>
                <w:rFonts w:ascii="Times New Roman" w:cs="Times New Roman" w:eastAsia="Times New Roman" w:hAnsi="Times New Roman"/>
                <w:sz w:val="20"/>
                <w:szCs w:val="20"/>
                <w:color w:val="auto"/>
              </w:rPr>
              <w:t>40%</w:t>
            </w:r>
          </w:p>
        </w:tc>
        <w:tc>
          <w:tcPr>
            <w:tcW w:w="1840" w:type="dxa"/>
            <w:vAlign w:val="bottom"/>
          </w:tcPr>
          <w:p>
            <w:pPr>
              <w:spacing w:after="0"/>
              <w:rPr>
                <w:sz w:val="19"/>
                <w:szCs w:val="19"/>
                <w:color w:val="auto"/>
              </w:rPr>
            </w:pPr>
          </w:p>
        </w:tc>
        <w:tc>
          <w:tcPr>
            <w:tcW w:w="29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Amounts in excess of $375 million</w:t>
            </w:r>
          </w:p>
        </w:tc>
      </w:tr>
      <w:tr>
        <w:trPr>
          <w:trHeight w:val="258"/>
        </w:trPr>
        <w:tc>
          <w:tcPr>
            <w:tcW w:w="1920" w:type="dxa"/>
            <w:vAlign w:val="bottom"/>
          </w:tcPr>
          <w:p>
            <w:pPr>
              <w:jc w:val="right"/>
              <w:ind w:right="1121"/>
              <w:spacing w:after="0"/>
              <w:rPr>
                <w:sz w:val="20"/>
                <w:szCs w:val="20"/>
                <w:color w:val="auto"/>
              </w:rPr>
            </w:pPr>
            <w:r>
              <w:rPr>
                <w:rFonts w:ascii="Times New Roman" w:cs="Times New Roman" w:eastAsia="Times New Roman" w:hAnsi="Times New Roman"/>
                <w:sz w:val="20"/>
                <w:szCs w:val="20"/>
                <w:color w:val="auto"/>
              </w:rPr>
              <w:t>50%</w:t>
            </w:r>
          </w:p>
        </w:tc>
        <w:tc>
          <w:tcPr>
            <w:tcW w:w="1840" w:type="dxa"/>
            <w:vAlign w:val="bottom"/>
          </w:tcPr>
          <w:p>
            <w:pPr>
              <w:spacing w:after="0"/>
              <w:rPr>
                <w:sz w:val="22"/>
                <w:szCs w:val="22"/>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Amounts in excess of $312.5 million</w:t>
            </w:r>
          </w:p>
        </w:tc>
      </w:tr>
    </w:tbl>
    <w:p>
      <w:pPr>
        <w:sectPr>
          <w:pgSz w:w="11900" w:h="16917" w:orient="portrait"/>
          <w:cols w:equalWidth="0" w:num="1">
            <w:col w:w="11420"/>
          </w:cols>
          <w:pgMar w:left="240" w:top="116" w:right="239" w:bottom="0" w:gutter="0" w:footer="0" w:header="0"/>
        </w:sectPr>
      </w:pPr>
    </w:p>
    <w:bookmarkStart w:id="58" w:name="page59"/>
    <w:bookmarkEnd w:id="58"/>
    <w:p>
      <w:pPr>
        <w:spacing w:after="0" w:line="1"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1900" w:type="dxa"/>
            <w:vAlign w:val="bottom"/>
          </w:tcPr>
          <w:p>
            <w:pPr>
              <w:jc w:val="right"/>
              <w:ind w:right="1421"/>
              <w:spacing w:after="0"/>
              <w:rPr>
                <w:sz w:val="20"/>
                <w:szCs w:val="20"/>
                <w:color w:val="auto"/>
              </w:rPr>
            </w:pPr>
            <w:r>
              <w:rPr>
                <w:rFonts w:ascii="Times New Roman" w:cs="Times New Roman" w:eastAsia="Times New Roman" w:hAnsi="Times New Roman"/>
                <w:sz w:val="20"/>
                <w:szCs w:val="20"/>
                <w:color w:val="auto"/>
                <w:w w:val="98"/>
              </w:rPr>
              <w:t>60%</w:t>
            </w:r>
          </w:p>
        </w:tc>
        <w:tc>
          <w:tcPr>
            <w:tcW w:w="4460" w:type="dxa"/>
            <w:vAlign w:val="bottom"/>
          </w:tcPr>
          <w:p>
            <w:pPr>
              <w:ind w:left="1540"/>
              <w:spacing w:after="0"/>
              <w:rPr>
                <w:sz w:val="20"/>
                <w:szCs w:val="20"/>
                <w:color w:val="auto"/>
              </w:rPr>
            </w:pPr>
            <w:r>
              <w:rPr>
                <w:rFonts w:ascii="Times New Roman" w:cs="Times New Roman" w:eastAsia="Times New Roman" w:hAnsi="Times New Roman"/>
                <w:sz w:val="20"/>
                <w:szCs w:val="20"/>
                <w:color w:val="auto"/>
              </w:rPr>
              <w:t>Amounts in excess of $250 million</w:t>
            </w:r>
          </w:p>
        </w:tc>
      </w:tr>
      <w:tr>
        <w:trPr>
          <w:trHeight w:val="230"/>
        </w:trPr>
        <w:tc>
          <w:tcPr>
            <w:tcW w:w="1900" w:type="dxa"/>
            <w:vAlign w:val="bottom"/>
          </w:tcPr>
          <w:p>
            <w:pPr>
              <w:jc w:val="right"/>
              <w:ind w:right="1421"/>
              <w:spacing w:after="0"/>
              <w:rPr>
                <w:sz w:val="20"/>
                <w:szCs w:val="20"/>
                <w:color w:val="auto"/>
              </w:rPr>
            </w:pPr>
            <w:r>
              <w:rPr>
                <w:rFonts w:ascii="Times New Roman" w:cs="Times New Roman" w:eastAsia="Times New Roman" w:hAnsi="Times New Roman"/>
                <w:sz w:val="20"/>
                <w:szCs w:val="20"/>
                <w:color w:val="auto"/>
                <w:w w:val="98"/>
              </w:rPr>
              <w:t>70%</w:t>
            </w:r>
          </w:p>
        </w:tc>
        <w:tc>
          <w:tcPr>
            <w:tcW w:w="4460" w:type="dxa"/>
            <w:vAlign w:val="bottom"/>
          </w:tcPr>
          <w:p>
            <w:pPr>
              <w:ind w:left="1540"/>
              <w:spacing w:after="0"/>
              <w:rPr>
                <w:sz w:val="20"/>
                <w:szCs w:val="20"/>
                <w:color w:val="auto"/>
              </w:rPr>
            </w:pPr>
            <w:r>
              <w:rPr>
                <w:rFonts w:ascii="Times New Roman" w:cs="Times New Roman" w:eastAsia="Times New Roman" w:hAnsi="Times New Roman"/>
                <w:sz w:val="20"/>
                <w:szCs w:val="20"/>
                <w:color w:val="auto"/>
                <w:w w:val="98"/>
              </w:rPr>
              <w:t>Amounts in excess of $187.5 million</w:t>
            </w:r>
          </w:p>
        </w:tc>
      </w:tr>
      <w:tr>
        <w:trPr>
          <w:trHeight w:val="230"/>
        </w:trPr>
        <w:tc>
          <w:tcPr>
            <w:tcW w:w="1900" w:type="dxa"/>
            <w:vAlign w:val="bottom"/>
          </w:tcPr>
          <w:p>
            <w:pPr>
              <w:jc w:val="right"/>
              <w:ind w:right="1421"/>
              <w:spacing w:after="0"/>
              <w:rPr>
                <w:sz w:val="20"/>
                <w:szCs w:val="20"/>
                <w:color w:val="auto"/>
              </w:rPr>
            </w:pPr>
            <w:r>
              <w:rPr>
                <w:rFonts w:ascii="Times New Roman" w:cs="Times New Roman" w:eastAsia="Times New Roman" w:hAnsi="Times New Roman"/>
                <w:sz w:val="20"/>
                <w:szCs w:val="20"/>
                <w:color w:val="auto"/>
                <w:w w:val="98"/>
              </w:rPr>
              <w:t>80%</w:t>
            </w:r>
          </w:p>
        </w:tc>
        <w:tc>
          <w:tcPr>
            <w:tcW w:w="4460" w:type="dxa"/>
            <w:vAlign w:val="bottom"/>
          </w:tcPr>
          <w:p>
            <w:pPr>
              <w:ind w:left="1540"/>
              <w:spacing w:after="0"/>
              <w:rPr>
                <w:sz w:val="20"/>
                <w:szCs w:val="20"/>
                <w:color w:val="auto"/>
              </w:rPr>
            </w:pPr>
            <w:r>
              <w:rPr>
                <w:rFonts w:ascii="Times New Roman" w:cs="Times New Roman" w:eastAsia="Times New Roman" w:hAnsi="Times New Roman"/>
                <w:sz w:val="20"/>
                <w:szCs w:val="20"/>
                <w:color w:val="auto"/>
              </w:rPr>
              <w:t>Amounts in excess of $125 million</w:t>
            </w:r>
          </w:p>
        </w:tc>
      </w:tr>
      <w:tr>
        <w:trPr>
          <w:trHeight w:val="230"/>
        </w:trPr>
        <w:tc>
          <w:tcPr>
            <w:tcW w:w="1900" w:type="dxa"/>
            <w:vAlign w:val="bottom"/>
          </w:tcPr>
          <w:p>
            <w:pPr>
              <w:jc w:val="right"/>
              <w:ind w:right="1421"/>
              <w:spacing w:after="0"/>
              <w:rPr>
                <w:sz w:val="20"/>
                <w:szCs w:val="20"/>
                <w:color w:val="auto"/>
              </w:rPr>
            </w:pPr>
            <w:r>
              <w:rPr>
                <w:rFonts w:ascii="Times New Roman" w:cs="Times New Roman" w:eastAsia="Times New Roman" w:hAnsi="Times New Roman"/>
                <w:sz w:val="20"/>
                <w:szCs w:val="20"/>
                <w:color w:val="auto"/>
                <w:w w:val="98"/>
              </w:rPr>
              <w:t>90%</w:t>
            </w:r>
          </w:p>
        </w:tc>
        <w:tc>
          <w:tcPr>
            <w:tcW w:w="4460" w:type="dxa"/>
            <w:vAlign w:val="bottom"/>
          </w:tcPr>
          <w:p>
            <w:pPr>
              <w:ind w:left="1540"/>
              <w:spacing w:after="0"/>
              <w:rPr>
                <w:sz w:val="20"/>
                <w:szCs w:val="20"/>
                <w:color w:val="auto"/>
              </w:rPr>
            </w:pPr>
            <w:r>
              <w:rPr>
                <w:rFonts w:ascii="Times New Roman" w:cs="Times New Roman" w:eastAsia="Times New Roman" w:hAnsi="Times New Roman"/>
                <w:sz w:val="20"/>
                <w:szCs w:val="20"/>
                <w:color w:val="auto"/>
              </w:rPr>
              <w:t>Amounts in excess of $62.5 million</w:t>
            </w:r>
          </w:p>
        </w:tc>
      </w:tr>
      <w:tr>
        <w:trPr>
          <w:trHeight w:val="258"/>
        </w:trPr>
        <w:tc>
          <w:tcPr>
            <w:tcW w:w="1900" w:type="dxa"/>
            <w:vAlign w:val="bottom"/>
          </w:tcPr>
          <w:p>
            <w:pPr>
              <w:jc w:val="right"/>
              <w:ind w:right="1421"/>
              <w:spacing w:after="0"/>
              <w:rPr>
                <w:sz w:val="20"/>
                <w:szCs w:val="20"/>
                <w:color w:val="auto"/>
              </w:rPr>
            </w:pPr>
            <w:r>
              <w:rPr>
                <w:rFonts w:ascii="Times New Roman" w:cs="Times New Roman" w:eastAsia="Times New Roman" w:hAnsi="Times New Roman"/>
                <w:sz w:val="20"/>
                <w:szCs w:val="20"/>
                <w:color w:val="auto"/>
                <w:w w:val="98"/>
              </w:rPr>
              <w:t>95%</w:t>
            </w:r>
          </w:p>
        </w:tc>
        <w:tc>
          <w:tcPr>
            <w:tcW w:w="4460" w:type="dxa"/>
            <w:vAlign w:val="bottom"/>
          </w:tcPr>
          <w:p>
            <w:pPr>
              <w:ind w:left="1540"/>
              <w:spacing w:after="0"/>
              <w:rPr>
                <w:sz w:val="20"/>
                <w:szCs w:val="20"/>
                <w:color w:val="auto"/>
              </w:rPr>
            </w:pPr>
            <w:r>
              <w:rPr>
                <w:rFonts w:ascii="Times New Roman" w:cs="Times New Roman" w:eastAsia="Times New Roman" w:hAnsi="Times New Roman"/>
                <w:sz w:val="20"/>
                <w:szCs w:val="20"/>
                <w:color w:val="auto"/>
              </w:rPr>
              <w:t>All remaining amounts</w:t>
            </w:r>
          </w:p>
        </w:tc>
      </w:tr>
    </w:tbl>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As of December 31, 2016, distribution rights in the U.S. representing approximately 89% of the target case sales had been transitioned to TCCC’s distribution network. As a result, on the one-year anniversary of the closing of the TCCC Transaction, the then-remaining escrow amount of $125 million was released to TCCC. During January 2017, an additional 5% of the target case sales were transitioned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TCCC’s distribution network, resulting in a $62.5 million payment from TCCC to the Company. TCCC will pay directly to the Company the remaining $62.5 million described above dependent upon future target case sale transitions. The Company expects to transition sufficient additional distribution rights to receive the remaining amounts.</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following unaudited pro forma combined financial information is presented as if the TCCC Transaction had closed on January 1,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center"/>
              <w:ind w:left="390"/>
              <w:spacing w:after="0"/>
              <w:rPr>
                <w:sz w:val="20"/>
                <w:szCs w:val="20"/>
                <w:color w:val="auto"/>
              </w:rPr>
            </w:pPr>
            <w:r>
              <w:rPr>
                <w:rFonts w:ascii="Times New Roman" w:cs="Times New Roman" w:eastAsia="Times New Roman" w:hAnsi="Times New Roman"/>
                <w:sz w:val="18"/>
                <w:szCs w:val="18"/>
                <w:color w:val="auto"/>
                <w:w w:val="98"/>
              </w:rPr>
              <w:t>Year Ended December 31, 2015</w:t>
            </w: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00" w:type="dxa"/>
            <w:vAlign w:val="bottom"/>
          </w:tcPr>
          <w:p>
            <w:pPr>
              <w:spacing w:after="0"/>
              <w:rPr>
                <w:sz w:val="18"/>
                <w:szCs w:val="18"/>
                <w:color w:val="auto"/>
              </w:rPr>
            </w:pPr>
          </w:p>
        </w:tc>
        <w:tc>
          <w:tcPr>
            <w:tcW w:w="16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9"/>
              </w:rPr>
              <w:t>Monster</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5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Pro Forma Adjustments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0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Beverage</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color w:val="auto"/>
              </w:rPr>
              <w:t>Disposal of</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Corporation</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color w:val="auto"/>
                <w:w w:val="98"/>
              </w:rPr>
              <w:t>Monster Non-</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 Forma</w:t>
            </w:r>
          </w:p>
        </w:tc>
        <w:tc>
          <w:tcPr>
            <w:tcW w:w="0" w:type="dxa"/>
            <w:vAlign w:val="bottom"/>
          </w:tcPr>
          <w:p>
            <w:pPr>
              <w:spacing w:after="0"/>
              <w:rPr>
                <w:sz w:val="1"/>
                <w:szCs w:val="1"/>
                <w:color w:val="auto"/>
              </w:rPr>
            </w:pPr>
          </w:p>
        </w:tc>
      </w:tr>
      <w:tr>
        <w:trPr>
          <w:trHeight w:val="234"/>
        </w:trPr>
        <w:tc>
          <w:tcPr>
            <w:tcW w:w="2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as reported¹</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KO Energy²</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color w:val="auto"/>
                <w:w w:val="97"/>
              </w:rPr>
              <w:t>Energy³</w:t>
            </w: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Combined</w:t>
            </w:r>
          </w:p>
        </w:tc>
        <w:tc>
          <w:tcPr>
            <w:tcW w:w="0" w:type="dxa"/>
            <w:vAlign w:val="bottom"/>
          </w:tcPr>
          <w:p>
            <w:pPr>
              <w:spacing w:after="0"/>
              <w:rPr>
                <w:sz w:val="1"/>
                <w:szCs w:val="1"/>
                <w:color w:val="auto"/>
              </w:rPr>
            </w:pPr>
          </w:p>
        </w:tc>
      </w:tr>
      <w:tr>
        <w:trPr>
          <w:trHeight w:val="191"/>
        </w:trPr>
        <w:tc>
          <w:tcPr>
            <w:tcW w:w="2000" w:type="dxa"/>
            <w:vAlign w:val="bottom"/>
            <w:vMerge w:val="continue"/>
          </w:tcPr>
          <w:p>
            <w:pPr>
              <w:spacing w:after="0"/>
              <w:rPr>
                <w:sz w:val="16"/>
                <w:szCs w:val="16"/>
                <w:color w:val="auto"/>
              </w:rPr>
            </w:pPr>
          </w:p>
        </w:tc>
        <w:tc>
          <w:tcPr>
            <w:tcW w:w="1320" w:type="dxa"/>
            <w:vAlign w:val="bottom"/>
            <w:tcBorders>
              <w:top w:val="single" w:sz="8" w:color="auto"/>
            </w:tcBorders>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$ 2,722,564</w:t>
            </w:r>
          </w:p>
        </w:tc>
        <w:tc>
          <w:tcPr>
            <w:tcW w:w="280" w:type="dxa"/>
            <w:vAlign w:val="bottom"/>
          </w:tcPr>
          <w:p>
            <w:pPr>
              <w:spacing w:after="0"/>
              <w:rPr>
                <w:sz w:val="16"/>
                <w:szCs w:val="16"/>
                <w:color w:val="auto"/>
              </w:rPr>
            </w:pPr>
          </w:p>
        </w:tc>
        <w:tc>
          <w:tcPr>
            <w:tcW w:w="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138,127</w:t>
            </w:r>
          </w:p>
        </w:tc>
        <w:tc>
          <w:tcPr>
            <w:tcW w:w="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(60,778)</w:t>
            </w:r>
          </w:p>
        </w:tc>
        <w:tc>
          <w:tcPr>
            <w:tcW w:w="2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8,887</w:t>
            </w:r>
          </w:p>
        </w:tc>
        <w:tc>
          <w:tcPr>
            <w:tcW w:w="280" w:type="dxa"/>
            <w:vAlign w:val="bottom"/>
          </w:tcPr>
          <w:p>
            <w:pPr>
              <w:spacing w:after="0"/>
              <w:rPr>
                <w:sz w:val="16"/>
                <w:szCs w:val="16"/>
                <w:color w:val="auto"/>
              </w:rPr>
            </w:pPr>
          </w:p>
        </w:tc>
        <w:tc>
          <w:tcPr>
            <w:tcW w:w="132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$ 2,808,800</w:t>
            </w:r>
          </w:p>
        </w:tc>
        <w:tc>
          <w:tcPr>
            <w:tcW w:w="0" w:type="dxa"/>
            <w:vAlign w:val="bottom"/>
          </w:tcPr>
          <w:p>
            <w:pPr>
              <w:spacing w:after="0"/>
              <w:rPr>
                <w:sz w:val="1"/>
                <w:szCs w:val="1"/>
                <w:color w:val="auto"/>
              </w:rPr>
            </w:pPr>
          </w:p>
        </w:tc>
      </w:tr>
      <w:tr>
        <w:trPr>
          <w:trHeight w:val="234"/>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546,733</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100,575</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w:t>
            </w: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(101,618)</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(30,390)</w:t>
            </w:r>
          </w:p>
        </w:tc>
        <w:tc>
          <w:tcPr>
            <w:tcW w:w="28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515,300</w:t>
            </w:r>
          </w:p>
        </w:tc>
        <w:tc>
          <w:tcPr>
            <w:tcW w:w="0" w:type="dxa"/>
            <w:vAlign w:val="bottom"/>
          </w:tcPr>
          <w:p>
            <w:pPr>
              <w:spacing w:after="0"/>
              <w:rPr>
                <w:sz w:val="1"/>
                <w:szCs w:val="1"/>
                <w:color w:val="auto"/>
              </w:rPr>
            </w:pPr>
          </w:p>
        </w:tc>
      </w:tr>
      <w:tr>
        <w:trPr>
          <w:trHeight w:val="432"/>
        </w:trPr>
        <w:tc>
          <w:tcPr>
            <w:tcW w:w="200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jc w:val="center"/>
              <w:ind w:left="390"/>
              <w:spacing w:after="0"/>
              <w:rPr>
                <w:sz w:val="20"/>
                <w:szCs w:val="20"/>
                <w:color w:val="auto"/>
              </w:rPr>
            </w:pPr>
            <w:r>
              <w:rPr>
                <w:rFonts w:ascii="Times New Roman" w:cs="Times New Roman" w:eastAsia="Times New Roman" w:hAnsi="Times New Roman"/>
                <w:sz w:val="18"/>
                <w:szCs w:val="18"/>
                <w:color w:val="auto"/>
                <w:w w:val="98"/>
              </w:rPr>
              <w:t>Year Ended December 31, 2014</w:t>
            </w: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00" w:type="dxa"/>
            <w:vAlign w:val="bottom"/>
          </w:tcPr>
          <w:p>
            <w:pPr>
              <w:spacing w:after="0"/>
              <w:rPr>
                <w:sz w:val="18"/>
                <w:szCs w:val="18"/>
                <w:color w:val="auto"/>
              </w:rPr>
            </w:pPr>
          </w:p>
        </w:tc>
        <w:tc>
          <w:tcPr>
            <w:tcW w:w="16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9"/>
              </w:rPr>
              <w:t>Monster</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5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Pro Forma Adjustments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0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Beverage</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color w:val="auto"/>
              </w:rPr>
              <w:t>Disposal of</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Corporation</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color w:val="auto"/>
                <w:w w:val="98"/>
              </w:rPr>
              <w:t>Monster Non-</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 Forma</w:t>
            </w:r>
          </w:p>
        </w:tc>
        <w:tc>
          <w:tcPr>
            <w:tcW w:w="0" w:type="dxa"/>
            <w:vAlign w:val="bottom"/>
          </w:tcPr>
          <w:p>
            <w:pPr>
              <w:spacing w:after="0"/>
              <w:rPr>
                <w:sz w:val="1"/>
                <w:szCs w:val="1"/>
                <w:color w:val="auto"/>
              </w:rPr>
            </w:pPr>
          </w:p>
        </w:tc>
      </w:tr>
      <w:tr>
        <w:trPr>
          <w:trHeight w:val="234"/>
        </w:trPr>
        <w:tc>
          <w:tcPr>
            <w:tcW w:w="2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as reported</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KO Energy</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color w:val="auto"/>
                <w:w w:val="99"/>
              </w:rPr>
              <w:t>Energy</w:t>
            </w: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Combined</w:t>
            </w:r>
          </w:p>
        </w:tc>
        <w:tc>
          <w:tcPr>
            <w:tcW w:w="0" w:type="dxa"/>
            <w:vAlign w:val="bottom"/>
          </w:tcPr>
          <w:p>
            <w:pPr>
              <w:spacing w:after="0"/>
              <w:rPr>
                <w:sz w:val="1"/>
                <w:szCs w:val="1"/>
                <w:color w:val="auto"/>
              </w:rPr>
            </w:pPr>
          </w:p>
        </w:tc>
      </w:tr>
      <w:tr>
        <w:trPr>
          <w:trHeight w:val="191"/>
        </w:trPr>
        <w:tc>
          <w:tcPr>
            <w:tcW w:w="2000" w:type="dxa"/>
            <w:vAlign w:val="bottom"/>
            <w:vMerge w:val="continue"/>
          </w:tcPr>
          <w:p>
            <w:pPr>
              <w:spacing w:after="0"/>
              <w:rPr>
                <w:sz w:val="16"/>
                <w:szCs w:val="16"/>
                <w:color w:val="auto"/>
              </w:rPr>
            </w:pPr>
          </w:p>
        </w:tc>
        <w:tc>
          <w:tcPr>
            <w:tcW w:w="1320" w:type="dxa"/>
            <w:vAlign w:val="bottom"/>
            <w:tcBorders>
              <w:top w:val="single" w:sz="8" w:color="auto"/>
            </w:tcBorders>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$ 2,464,867</w:t>
            </w:r>
          </w:p>
        </w:tc>
        <w:tc>
          <w:tcPr>
            <w:tcW w:w="280" w:type="dxa"/>
            <w:vAlign w:val="bottom"/>
          </w:tcPr>
          <w:p>
            <w:pPr>
              <w:spacing w:after="0"/>
              <w:rPr>
                <w:sz w:val="16"/>
                <w:szCs w:val="16"/>
                <w:color w:val="auto"/>
              </w:rPr>
            </w:pPr>
          </w:p>
        </w:tc>
        <w:tc>
          <w:tcPr>
            <w:tcW w:w="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342,432</w:t>
            </w:r>
          </w:p>
        </w:tc>
        <w:tc>
          <w:tcPr>
            <w:tcW w:w="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(150,374)</w:t>
            </w:r>
          </w:p>
        </w:tc>
        <w:tc>
          <w:tcPr>
            <w:tcW w:w="2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19,900</w:t>
            </w:r>
          </w:p>
        </w:tc>
        <w:tc>
          <w:tcPr>
            <w:tcW w:w="280" w:type="dxa"/>
            <w:vAlign w:val="bottom"/>
          </w:tcPr>
          <w:p>
            <w:pPr>
              <w:spacing w:after="0"/>
              <w:rPr>
                <w:sz w:val="16"/>
                <w:szCs w:val="16"/>
                <w:color w:val="auto"/>
              </w:rPr>
            </w:pPr>
          </w:p>
        </w:tc>
        <w:tc>
          <w:tcPr>
            <w:tcW w:w="132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$ 2,676,825</w:t>
            </w:r>
          </w:p>
        </w:tc>
        <w:tc>
          <w:tcPr>
            <w:tcW w:w="0" w:type="dxa"/>
            <w:vAlign w:val="bottom"/>
          </w:tcPr>
          <w:p>
            <w:pPr>
              <w:spacing w:after="0"/>
              <w:rPr>
                <w:sz w:val="1"/>
                <w:szCs w:val="1"/>
                <w:color w:val="auto"/>
              </w:rPr>
            </w:pPr>
          </w:p>
        </w:tc>
      </w:tr>
      <w:tr>
        <w:trPr>
          <w:trHeight w:val="234"/>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483,185</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218,456</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w:t>
            </w: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(95,306)</w:t>
            </w:r>
          </w:p>
        </w:tc>
        <w:tc>
          <w:tcPr>
            <w:tcW w:w="28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601,688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740" w:hanging="80"/>
        <w:spacing w:after="0" w:line="298" w:lineRule="auto"/>
        <w:rPr>
          <w:sz w:val="20"/>
          <w:szCs w:val="20"/>
          <w:color w:val="auto"/>
        </w:rPr>
      </w:pPr>
      <w:r>
        <w:rPr>
          <w:rFonts w:ascii="Times New Roman" w:cs="Times New Roman" w:eastAsia="Times New Roman" w:hAnsi="Times New Roman"/>
          <w:sz w:val="16"/>
          <w:szCs w:val="16"/>
          <w:color w:val="auto"/>
        </w:rPr>
        <w:t>¹Includes net sales of $143.3 million and net income of $55.2 million (tax affected) related to the acquired KO Energy assets since the date of acquisition, June 12, 2015.</w:t>
      </w:r>
    </w:p>
    <w:p>
      <w:pPr>
        <w:spacing w:after="0" w:line="164" w:lineRule="exact"/>
        <w:rPr>
          <w:sz w:val="20"/>
          <w:szCs w:val="20"/>
          <w:color w:val="auto"/>
        </w:rPr>
      </w:pPr>
    </w:p>
    <w:p>
      <w:pPr>
        <w:jc w:val="both"/>
        <w:ind w:left="740" w:hanging="80"/>
        <w:spacing w:after="0" w:line="281" w:lineRule="auto"/>
        <w:rPr>
          <w:sz w:val="20"/>
          <w:szCs w:val="20"/>
          <w:color w:val="auto"/>
        </w:rPr>
      </w:pPr>
      <w:r>
        <w:rPr>
          <w:rFonts w:ascii="Times New Roman" w:cs="Times New Roman" w:eastAsia="Times New Roman" w:hAnsi="Times New Roman"/>
          <w:sz w:val="16"/>
          <w:szCs w:val="16"/>
          <w:color w:val="auto"/>
        </w:rPr>
        <w:t>²Includes results through June 12, 2015, the date the TCCC Transaction was finalized. Net income for KO Energy includes only net revenues and direct operating expenses, rather than full “carve-out” financial statements, because such financial information would not be meaningful given that it is not possible to provide a meaningful allocation of business unit and corporate costs, interest or tax in respect of KO Energy.</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³Includes results through June 12, 2015. Net income includes gain recognized on the sale of Monster Non-Energy of $161.5 million.</w:t>
      </w:r>
    </w:p>
    <w:p>
      <w:pPr>
        <w:spacing w:after="0" w:line="235" w:lineRule="exact"/>
        <w:rPr>
          <w:sz w:val="20"/>
          <w:szCs w:val="20"/>
          <w:color w:val="auto"/>
        </w:rPr>
      </w:pPr>
    </w:p>
    <w:p>
      <w:pPr>
        <w:jc w:val="both"/>
        <w:ind w:left="740" w:right="20" w:hanging="80"/>
        <w:spacing w:after="0" w:line="232" w:lineRule="auto"/>
        <w:rPr>
          <w:sz w:val="20"/>
          <w:szCs w:val="20"/>
          <w:color w:val="auto"/>
        </w:rPr>
      </w:pP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6"/>
          <w:szCs w:val="16"/>
          <w:color w:val="auto"/>
        </w:rPr>
        <w:t>The $100.6 million and $218.5 million of net income for KO Energy for the years ended December 31, 2015 and 2014, respectively, are presented before tax. The associated estimated provision for income taxes is included in the “Other” category.</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Pro-Forma Adjustments – Other include the following:</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3960" w:type="dxa"/>
            <w:vAlign w:val="bottom"/>
            <w:tcBorders>
              <w:top w:val="single" w:sz="8" w:color="auto"/>
            </w:tcBorders>
          </w:tcPr>
          <w:p>
            <w:pPr>
              <w:spacing w:after="0"/>
              <w:rPr>
                <w:sz w:val="24"/>
                <w:szCs w:val="24"/>
                <w:color w:val="auto"/>
              </w:rPr>
            </w:pPr>
          </w:p>
        </w:tc>
        <w:tc>
          <w:tcPr>
            <w:tcW w:w="2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9"/>
                <w:szCs w:val="19"/>
                <w:color w:val="auto"/>
                <w:w w:val="97"/>
              </w:rPr>
              <w:t>Year Ended</w:t>
            </w:r>
          </w:p>
        </w:tc>
        <w:tc>
          <w:tcPr>
            <w:tcW w:w="220" w:type="dxa"/>
            <w:vAlign w:val="bottom"/>
          </w:tcPr>
          <w:p>
            <w:pPr>
              <w:spacing w:after="0"/>
              <w:rPr>
                <w:sz w:val="24"/>
                <w:szCs w:val="24"/>
                <w:color w:val="auto"/>
              </w:rPr>
            </w:pPr>
          </w:p>
        </w:tc>
        <w:tc>
          <w:tcPr>
            <w:tcW w:w="1160" w:type="dxa"/>
            <w:vAlign w:val="bottom"/>
          </w:tcPr>
          <w:p>
            <w:pPr>
              <w:jc w:val="center"/>
              <w:ind w:right="125"/>
              <w:spacing w:after="0"/>
              <w:rPr>
                <w:sz w:val="20"/>
                <w:szCs w:val="20"/>
                <w:color w:val="auto"/>
              </w:rPr>
            </w:pPr>
            <w:r>
              <w:rPr>
                <w:rFonts w:ascii="Times New Roman" w:cs="Times New Roman" w:eastAsia="Times New Roman" w:hAnsi="Times New Roman"/>
                <w:sz w:val="19"/>
                <w:szCs w:val="19"/>
                <w:color w:val="auto"/>
                <w:w w:val="95"/>
              </w:rPr>
              <w:t>Year Ended</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40" w:type="dxa"/>
            <w:vAlign w:val="bottom"/>
            <w:gridSpan w:val="3"/>
          </w:tcPr>
          <w:p>
            <w:pPr>
              <w:jc w:val="center"/>
              <w:ind w:right="260"/>
              <w:spacing w:after="0" w:line="216" w:lineRule="exact"/>
              <w:rPr>
                <w:sz w:val="20"/>
                <w:szCs w:val="20"/>
                <w:color w:val="auto"/>
              </w:rPr>
            </w:pPr>
            <w:r>
              <w:rPr>
                <w:rFonts w:ascii="Times New Roman" w:cs="Times New Roman" w:eastAsia="Times New Roman" w:hAnsi="Times New Roman"/>
                <w:sz w:val="19"/>
                <w:szCs w:val="19"/>
                <w:color w:val="auto"/>
                <w:w w:val="99"/>
              </w:rPr>
              <w:t>December 31,</w:t>
            </w:r>
          </w:p>
        </w:tc>
        <w:tc>
          <w:tcPr>
            <w:tcW w:w="138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19"/>
                <w:szCs w:val="19"/>
                <w:color w:val="auto"/>
                <w:w w:val="99"/>
              </w:rPr>
              <w:t>December 31,</w:t>
            </w:r>
          </w:p>
        </w:tc>
        <w:tc>
          <w:tcPr>
            <w:tcW w:w="0" w:type="dxa"/>
            <w:vAlign w:val="bottom"/>
          </w:tcPr>
          <w:p>
            <w:pPr>
              <w:spacing w:after="0"/>
              <w:rPr>
                <w:sz w:val="1"/>
                <w:szCs w:val="1"/>
                <w:color w:val="auto"/>
              </w:rPr>
            </w:pPr>
          </w:p>
        </w:tc>
      </w:tr>
      <w:tr>
        <w:trPr>
          <w:trHeight w:val="242"/>
        </w:trPr>
        <w:tc>
          <w:tcPr>
            <w:tcW w:w="61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9"/>
                <w:szCs w:val="19"/>
                <w:color w:val="auto"/>
              </w:rPr>
              <w:t>Net sales:</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9"/>
                <w:szCs w:val="19"/>
                <w:color w:val="auto"/>
              </w:rPr>
              <w:t>2015¹</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9"/>
                <w:szCs w:val="19"/>
                <w:color w:val="auto"/>
                <w:w w:val="99"/>
              </w:rPr>
              <w:t>2014</w:t>
            </w:r>
          </w:p>
        </w:tc>
        <w:tc>
          <w:tcPr>
            <w:tcW w:w="0" w:type="dxa"/>
            <w:vAlign w:val="bottom"/>
          </w:tcPr>
          <w:p>
            <w:pPr>
              <w:spacing w:after="0"/>
              <w:rPr>
                <w:sz w:val="1"/>
                <w:szCs w:val="1"/>
                <w:color w:val="auto"/>
              </w:rPr>
            </w:pPr>
          </w:p>
        </w:tc>
      </w:tr>
      <w:tr>
        <w:trPr>
          <w:trHeight w:val="170"/>
        </w:trPr>
        <w:tc>
          <w:tcPr>
            <w:tcW w:w="6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6180" w:type="dxa"/>
            <w:vAlign w:val="bottom"/>
            <w:gridSpan w:val="2"/>
          </w:tcPr>
          <w:p>
            <w:pPr>
              <w:ind w:left="920"/>
              <w:spacing w:after="0"/>
              <w:rPr>
                <w:sz w:val="20"/>
                <w:szCs w:val="20"/>
                <w:color w:val="auto"/>
              </w:rPr>
            </w:pPr>
            <w:r>
              <w:rPr>
                <w:rFonts w:ascii="Times New Roman" w:cs="Times New Roman" w:eastAsia="Times New Roman" w:hAnsi="Times New Roman"/>
                <w:sz w:val="19"/>
                <w:szCs w:val="19"/>
                <w:color w:val="auto"/>
              </w:rPr>
              <w:t>Amortization of deferred revenue</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8,887</w:t>
            </w:r>
          </w:p>
        </w:tc>
        <w:tc>
          <w:tcPr>
            <w:tcW w:w="2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auto"/>
              </w:rPr>
              <w:t>19,900</w:t>
            </w:r>
          </w:p>
        </w:tc>
        <w:tc>
          <w:tcPr>
            <w:tcW w:w="0" w:type="dxa"/>
            <w:vAlign w:val="bottom"/>
          </w:tcPr>
          <w:p>
            <w:pPr>
              <w:spacing w:after="0"/>
              <w:rPr>
                <w:sz w:val="1"/>
                <w:szCs w:val="1"/>
                <w:color w:val="auto"/>
              </w:rPr>
            </w:pPr>
          </w:p>
        </w:tc>
      </w:tr>
      <w:tr>
        <w:trPr>
          <w:trHeight w:val="417"/>
        </w:trPr>
        <w:tc>
          <w:tcPr>
            <w:tcW w:w="6180" w:type="dxa"/>
            <w:vAlign w:val="bottom"/>
            <w:gridSpan w:val="2"/>
          </w:tcPr>
          <w:p>
            <w:pPr>
              <w:ind w:left="660"/>
              <w:spacing w:after="0"/>
              <w:rPr>
                <w:sz w:val="20"/>
                <w:szCs w:val="20"/>
                <w:color w:val="auto"/>
              </w:rPr>
            </w:pPr>
            <w:r>
              <w:rPr>
                <w:rFonts w:ascii="Times New Roman" w:cs="Times New Roman" w:eastAsia="Times New Roman" w:hAnsi="Times New Roman"/>
                <w:sz w:val="19"/>
                <w:szCs w:val="19"/>
                <w:color w:val="auto"/>
              </w:rPr>
              <w:t>Net income:</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180" w:type="dxa"/>
            <w:vAlign w:val="bottom"/>
            <w:gridSpan w:val="2"/>
          </w:tcPr>
          <w:p>
            <w:pPr>
              <w:ind w:left="920"/>
              <w:spacing w:after="0"/>
              <w:rPr>
                <w:sz w:val="20"/>
                <w:szCs w:val="20"/>
                <w:color w:val="auto"/>
              </w:rPr>
            </w:pPr>
            <w:r>
              <w:rPr>
                <w:rFonts w:ascii="Times New Roman" w:cs="Times New Roman" w:eastAsia="Times New Roman" w:hAnsi="Times New Roman"/>
                <w:sz w:val="19"/>
                <w:szCs w:val="19"/>
                <w:color w:val="auto"/>
              </w:rPr>
              <w:t>Amortization of deferred revenue</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8,887</w:t>
            </w:r>
          </w:p>
        </w:tc>
        <w:tc>
          <w:tcPr>
            <w:tcW w:w="2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auto"/>
              </w:rPr>
              <w:t>19,900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0" w:gutter="0" w:footer="0" w:header="0"/>
        </w:sectPr>
      </w:pPr>
    </w:p>
    <w:bookmarkStart w:id="59" w:name="page60"/>
    <w:bookmarkEnd w:id="59"/>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218"/>
        </w:trPr>
        <w:tc>
          <w:tcPr>
            <w:tcW w:w="5260" w:type="dxa"/>
            <w:vAlign w:val="bottom"/>
          </w:tcPr>
          <w:p>
            <w:pPr>
              <w:spacing w:after="0"/>
              <w:rPr>
                <w:sz w:val="20"/>
                <w:szCs w:val="20"/>
                <w:color w:val="auto"/>
              </w:rPr>
            </w:pPr>
            <w:r>
              <w:rPr>
                <w:rFonts w:ascii="Times New Roman" w:cs="Times New Roman" w:eastAsia="Times New Roman" w:hAnsi="Times New Roman"/>
                <w:sz w:val="19"/>
                <w:szCs w:val="19"/>
                <w:color w:val="auto"/>
              </w:rPr>
              <w:t>To record sales commissions</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(15,470)</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(38,352)</w:t>
            </w:r>
          </w:p>
        </w:tc>
        <w:tc>
          <w:tcPr>
            <w:tcW w:w="0" w:type="dxa"/>
            <w:vAlign w:val="bottom"/>
          </w:tcPr>
          <w:p>
            <w:pPr>
              <w:spacing w:after="0"/>
              <w:rPr>
                <w:sz w:val="1"/>
                <w:szCs w:val="1"/>
                <w:color w:val="auto"/>
              </w:rPr>
            </w:pPr>
          </w:p>
        </w:tc>
      </w:tr>
      <w:tr>
        <w:trPr>
          <w:trHeight w:val="244"/>
        </w:trPr>
        <w:tc>
          <w:tcPr>
            <w:tcW w:w="5260" w:type="dxa"/>
            <w:vAlign w:val="bottom"/>
          </w:tcPr>
          <w:p>
            <w:pPr>
              <w:spacing w:after="0"/>
              <w:rPr>
                <w:sz w:val="20"/>
                <w:szCs w:val="20"/>
                <w:color w:val="auto"/>
              </w:rPr>
            </w:pPr>
            <w:r>
              <w:rPr>
                <w:rFonts w:ascii="Times New Roman" w:cs="Times New Roman" w:eastAsia="Times New Roman" w:hAnsi="Times New Roman"/>
                <w:sz w:val="19"/>
                <w:szCs w:val="19"/>
                <w:color w:val="auto"/>
              </w:rPr>
              <w:t>To record amortization of definite lived KO Energy intangibles</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(3,126)</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(7,000)</w:t>
            </w:r>
          </w:p>
        </w:tc>
        <w:tc>
          <w:tcPr>
            <w:tcW w:w="0" w:type="dxa"/>
            <w:vAlign w:val="bottom"/>
          </w:tcPr>
          <w:p>
            <w:pPr>
              <w:spacing w:after="0"/>
              <w:rPr>
                <w:sz w:val="1"/>
                <w:szCs w:val="1"/>
                <w:color w:val="auto"/>
              </w:rPr>
            </w:pPr>
          </w:p>
        </w:tc>
      </w:tr>
      <w:tr>
        <w:trPr>
          <w:trHeight w:val="284"/>
        </w:trPr>
        <w:tc>
          <w:tcPr>
            <w:tcW w:w="5260" w:type="dxa"/>
            <w:vAlign w:val="bottom"/>
          </w:tcPr>
          <w:p>
            <w:pPr>
              <w:spacing w:after="0"/>
              <w:rPr>
                <w:sz w:val="20"/>
                <w:szCs w:val="20"/>
                <w:color w:val="auto"/>
              </w:rPr>
            </w:pPr>
            <w:r>
              <w:rPr>
                <w:rFonts w:ascii="Times New Roman" w:cs="Times New Roman" w:eastAsia="Times New Roman" w:hAnsi="Times New Roman"/>
                <w:sz w:val="19"/>
                <w:szCs w:val="19"/>
                <w:color w:val="auto"/>
              </w:rPr>
              <w:t>To eliminate TCCC Transaction expenses</w:t>
            </w:r>
          </w:p>
        </w:tc>
        <w:tc>
          <w:tcPr>
            <w:tcW w:w="420" w:type="dxa"/>
            <w:vAlign w:val="bottom"/>
          </w:tcPr>
          <w:p>
            <w:pPr>
              <w:spacing w:after="0"/>
              <w:rPr>
                <w:sz w:val="24"/>
                <w:szCs w:val="24"/>
                <w:color w:val="auto"/>
              </w:rPr>
            </w:pPr>
          </w:p>
        </w:tc>
        <w:tc>
          <w:tcPr>
            <w:tcW w:w="94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15,495</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auto"/>
              </w:rPr>
              <w:t>4,824</w:t>
            </w:r>
          </w:p>
        </w:tc>
        <w:tc>
          <w:tcPr>
            <w:tcW w:w="0" w:type="dxa"/>
            <w:vAlign w:val="bottom"/>
          </w:tcPr>
          <w:p>
            <w:pPr>
              <w:spacing w:after="0"/>
              <w:rPr>
                <w:sz w:val="1"/>
                <w:szCs w:val="1"/>
                <w:color w:val="auto"/>
              </w:rPr>
            </w:pPr>
          </w:p>
        </w:tc>
      </w:tr>
      <w:tr>
        <w:trPr>
          <w:trHeight w:val="284"/>
        </w:trPr>
        <w:tc>
          <w:tcPr>
            <w:tcW w:w="5260" w:type="dxa"/>
            <w:vAlign w:val="bottom"/>
          </w:tcPr>
          <w:p>
            <w:pPr>
              <w:spacing w:after="0"/>
              <w:rPr>
                <w:sz w:val="20"/>
                <w:szCs w:val="20"/>
                <w:color w:val="auto"/>
              </w:rPr>
            </w:pPr>
            <w:r>
              <w:rPr>
                <w:rFonts w:ascii="Times New Roman" w:cs="Times New Roman" w:eastAsia="Times New Roman" w:hAnsi="Times New Roman"/>
                <w:sz w:val="19"/>
                <w:szCs w:val="19"/>
                <w:color w:val="auto"/>
              </w:rPr>
              <w:t>Estimated provision for income taxes on pro forma adjustments</w:t>
            </w:r>
          </w:p>
        </w:tc>
        <w:tc>
          <w:tcPr>
            <w:tcW w:w="420" w:type="dxa"/>
            <w:vAlign w:val="bottom"/>
          </w:tcPr>
          <w:p>
            <w:pPr>
              <w:spacing w:after="0"/>
              <w:rPr>
                <w:sz w:val="24"/>
                <w:szCs w:val="24"/>
                <w:color w:val="auto"/>
              </w:rPr>
            </w:pPr>
          </w:p>
        </w:tc>
        <w:tc>
          <w:tcPr>
            <w:tcW w:w="94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2,545</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auto"/>
              </w:rPr>
              <w:t>9,428</w:t>
            </w:r>
          </w:p>
        </w:tc>
        <w:tc>
          <w:tcPr>
            <w:tcW w:w="0" w:type="dxa"/>
            <w:vAlign w:val="bottom"/>
          </w:tcPr>
          <w:p>
            <w:pPr>
              <w:spacing w:after="0"/>
              <w:rPr>
                <w:sz w:val="1"/>
                <w:szCs w:val="1"/>
                <w:color w:val="auto"/>
              </w:rPr>
            </w:pPr>
          </w:p>
        </w:tc>
      </w:tr>
      <w:tr>
        <w:trPr>
          <w:trHeight w:val="255"/>
        </w:trPr>
        <w:tc>
          <w:tcPr>
            <w:tcW w:w="5260" w:type="dxa"/>
            <w:vAlign w:val="bottom"/>
          </w:tcPr>
          <w:p>
            <w:pPr>
              <w:spacing w:after="0"/>
              <w:rPr>
                <w:sz w:val="20"/>
                <w:szCs w:val="20"/>
                <w:color w:val="auto"/>
              </w:rPr>
            </w:pPr>
            <w:r>
              <w:rPr>
                <w:rFonts w:ascii="Times New Roman" w:cs="Times New Roman" w:eastAsia="Times New Roman" w:hAnsi="Times New Roman"/>
                <w:sz w:val="19"/>
                <w:szCs w:val="19"/>
                <w:color w:val="auto"/>
              </w:rPr>
              <w:t>Estimated provision for income taxes on KO Energy income</w:t>
            </w: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(38,721)</w:t>
            </w: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(84,106)</w:t>
            </w:r>
          </w:p>
        </w:tc>
        <w:tc>
          <w:tcPr>
            <w:tcW w:w="0" w:type="dxa"/>
            <w:vAlign w:val="bottom"/>
          </w:tcPr>
          <w:p>
            <w:pPr>
              <w:spacing w:after="0"/>
              <w:rPr>
                <w:sz w:val="1"/>
                <w:szCs w:val="1"/>
                <w:color w:val="auto"/>
              </w:rPr>
            </w:pPr>
          </w:p>
        </w:tc>
      </w:tr>
      <w:tr>
        <w:trPr>
          <w:trHeight w:val="26"/>
        </w:trPr>
        <w:tc>
          <w:tcPr>
            <w:tcW w:w="52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Total</w:t>
            </w: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420" w:type="dxa"/>
            <w:vAlign w:val="bottom"/>
            <w:tcBorders>
              <w:bottom w:val="single" w:sz="8" w:color="auto"/>
            </w:tcBorders>
          </w:tcPr>
          <w:p>
            <w:pPr>
              <w:jc w:val="right"/>
              <w:ind w:right="145"/>
              <w:spacing w:after="0" w:line="210" w:lineRule="exact"/>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(30,390)</w:t>
            </w:r>
          </w:p>
        </w:tc>
        <w:tc>
          <w:tcPr>
            <w:tcW w:w="280" w:type="dxa"/>
            <w:vAlign w:val="bottom"/>
          </w:tcPr>
          <w:p>
            <w:pPr>
              <w:spacing w:after="0"/>
              <w:rPr>
                <w:sz w:val="18"/>
                <w:szCs w:val="18"/>
                <w:color w:val="auto"/>
              </w:rPr>
            </w:pPr>
          </w:p>
        </w:tc>
        <w:tc>
          <w:tcPr>
            <w:tcW w:w="420" w:type="dxa"/>
            <w:vAlign w:val="bottom"/>
            <w:tcBorders>
              <w:bottom w:val="single" w:sz="8" w:color="auto"/>
            </w:tcBorders>
          </w:tcPr>
          <w:p>
            <w:pPr>
              <w:jc w:val="right"/>
              <w:ind w:right="125"/>
              <w:spacing w:after="0" w:line="210" w:lineRule="exact"/>
              <w:rPr>
                <w:sz w:val="20"/>
                <w:szCs w:val="20"/>
                <w:color w:val="auto"/>
              </w:rPr>
            </w:pPr>
            <w:r>
              <w:rPr>
                <w:rFonts w:ascii="Times New Roman" w:cs="Times New Roman" w:eastAsia="Times New Roman" w:hAnsi="Times New Roman"/>
                <w:sz w:val="19"/>
                <w:szCs w:val="19"/>
                <w:color w:val="auto"/>
              </w:rPr>
              <w:t>$</w:t>
            </w:r>
          </w:p>
        </w:tc>
        <w:tc>
          <w:tcPr>
            <w:tcW w:w="96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(95,306)</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¹Includes amortization of deferred revenue, sales commissions and amortization of intangibles through June 12, 2015, the date the TCCC Transaction was consummated.</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For purposes of the unaudited pro forma financial information, a combined U.S. Federal and state statutory tax rate of 38.5% has been used. This rate does not reflect the Company’s expected effective tax rate, which includes other tax charges and benefits, and does not take into account any historical or possible future tax events that may impact the combined company.</w:t>
      </w:r>
    </w:p>
    <w:p>
      <w:pPr>
        <w:spacing w:after="0" w:line="18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The unaudited pro forma financial information is presented for information purposes only and is not intended to represent or be indicative of the combined results of operations that the Company would have reported had the TCCC Transaction been completed as of the date and for the periods presented, and should not be taken as representative of the Company’s consolidated results of operations following the completion of the TCCC Transaction. In addition, the unaudited pro forma financial information is not intended to project the future financial results of operations of the combined company. The unaudited pro forma combined financial information does not reflect any cost savings, operational synergies or revenue enhancements that the combined company may achieve as a result of the TCCC Transaction, or the costs to combine the operations or costs necessary to achieve cost savings, operating synergies and revenue enhancements.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1" w:lineRule="exact"/>
        <w:rPr>
          <w:sz w:val="20"/>
          <w:szCs w:val="20"/>
          <w:color w:val="auto"/>
        </w:rPr>
      </w:pPr>
    </w:p>
    <w:p>
      <w:pPr>
        <w:ind w:left="640" w:hanging="632"/>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w:t>
      </w:r>
    </w:p>
    <w:p>
      <w:pPr>
        <w:spacing w:after="0" w:line="215"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table summarizes the Company’s investments at: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40" w:type="dxa"/>
            <w:vAlign w:val="bottom"/>
          </w:tcPr>
          <w:p>
            <w:pPr>
              <w:jc w:val="center"/>
              <w:ind w:left="63"/>
              <w:spacing w:after="0"/>
              <w:rPr>
                <w:sz w:val="20"/>
                <w:szCs w:val="20"/>
                <w:color w:val="auto"/>
              </w:rPr>
            </w:pPr>
            <w:r>
              <w:rPr>
                <w:rFonts w:ascii="Times New Roman" w:cs="Times New Roman" w:eastAsia="Times New Roman" w:hAnsi="Times New Roman"/>
                <w:sz w:val="15"/>
                <w:szCs w:val="15"/>
                <w:color w:val="auto"/>
              </w:rPr>
              <w:t>Continuous</w:t>
            </w:r>
          </w:p>
        </w:tc>
        <w:tc>
          <w:tcPr>
            <w:tcW w:w="13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Continuous</w:t>
            </w:r>
          </w:p>
        </w:tc>
      </w:tr>
      <w:tr>
        <w:trPr>
          <w:trHeight w:val="162"/>
        </w:trPr>
        <w:tc>
          <w:tcPr>
            <w:tcW w:w="22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Gross</w:t>
            </w:r>
          </w:p>
        </w:tc>
        <w:tc>
          <w:tcPr>
            <w:tcW w:w="146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Gross</w:t>
            </w:r>
          </w:p>
        </w:tc>
        <w:tc>
          <w:tcPr>
            <w:tcW w:w="1160" w:type="dxa"/>
            <w:vAlign w:val="bottom"/>
          </w:tcPr>
          <w:p>
            <w:pPr>
              <w:spacing w:after="0"/>
              <w:rPr>
                <w:sz w:val="14"/>
                <w:szCs w:val="14"/>
                <w:color w:val="auto"/>
              </w:rPr>
            </w:pPr>
          </w:p>
        </w:tc>
        <w:tc>
          <w:tcPr>
            <w:tcW w:w="1440" w:type="dxa"/>
            <w:vAlign w:val="bottom"/>
          </w:tcPr>
          <w:p>
            <w:pPr>
              <w:jc w:val="center"/>
              <w:ind w:left="63"/>
              <w:spacing w:after="0" w:line="162" w:lineRule="exact"/>
              <w:rPr>
                <w:sz w:val="20"/>
                <w:szCs w:val="20"/>
                <w:color w:val="auto"/>
              </w:rPr>
            </w:pPr>
            <w:r>
              <w:rPr>
                <w:rFonts w:ascii="Times New Roman" w:cs="Times New Roman" w:eastAsia="Times New Roman" w:hAnsi="Times New Roman"/>
                <w:sz w:val="15"/>
                <w:szCs w:val="15"/>
                <w:color w:val="auto"/>
              </w:rPr>
              <w:t>Unrealized</w:t>
            </w: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Unrealized</w:t>
            </w:r>
          </w:p>
        </w:tc>
      </w:tr>
      <w:tr>
        <w:trPr>
          <w:trHeight w:val="162"/>
        </w:trPr>
        <w:tc>
          <w:tcPr>
            <w:tcW w:w="22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Unrealized</w:t>
            </w:r>
          </w:p>
        </w:tc>
        <w:tc>
          <w:tcPr>
            <w:tcW w:w="146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Unrealized</w:t>
            </w:r>
          </w:p>
        </w:tc>
        <w:tc>
          <w:tcPr>
            <w:tcW w:w="1160" w:type="dxa"/>
            <w:vAlign w:val="bottom"/>
          </w:tcPr>
          <w:p>
            <w:pPr>
              <w:spacing w:after="0"/>
              <w:rPr>
                <w:sz w:val="14"/>
                <w:szCs w:val="14"/>
                <w:color w:val="auto"/>
              </w:rPr>
            </w:pPr>
          </w:p>
        </w:tc>
        <w:tc>
          <w:tcPr>
            <w:tcW w:w="1440" w:type="dxa"/>
            <w:vAlign w:val="bottom"/>
          </w:tcPr>
          <w:p>
            <w:pPr>
              <w:jc w:val="center"/>
              <w:ind w:left="63"/>
              <w:spacing w:after="0" w:line="162" w:lineRule="exact"/>
              <w:rPr>
                <w:sz w:val="20"/>
                <w:szCs w:val="20"/>
                <w:color w:val="auto"/>
              </w:rPr>
            </w:pPr>
            <w:r>
              <w:rPr>
                <w:rFonts w:ascii="Times New Roman" w:cs="Times New Roman" w:eastAsia="Times New Roman" w:hAnsi="Times New Roman"/>
                <w:sz w:val="15"/>
                <w:szCs w:val="15"/>
                <w:color w:val="auto"/>
              </w:rPr>
              <w:t>Loss Position</w:t>
            </w: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Loss Position</w:t>
            </w:r>
          </w:p>
        </w:tc>
      </w:tr>
      <w:tr>
        <w:trPr>
          <w:trHeight w:val="162"/>
        </w:trPr>
        <w:tc>
          <w:tcPr>
            <w:tcW w:w="22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Holding</w:t>
            </w:r>
          </w:p>
        </w:tc>
        <w:tc>
          <w:tcPr>
            <w:tcW w:w="146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Holding</w:t>
            </w:r>
          </w:p>
        </w:tc>
        <w:tc>
          <w:tcPr>
            <w:tcW w:w="116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Fair</w:t>
            </w:r>
          </w:p>
        </w:tc>
        <w:tc>
          <w:tcPr>
            <w:tcW w:w="1440" w:type="dxa"/>
            <w:vAlign w:val="bottom"/>
          </w:tcPr>
          <w:p>
            <w:pPr>
              <w:jc w:val="center"/>
              <w:ind w:left="83"/>
              <w:spacing w:after="0" w:line="162" w:lineRule="exact"/>
              <w:rPr>
                <w:sz w:val="20"/>
                <w:szCs w:val="20"/>
                <w:color w:val="auto"/>
              </w:rPr>
            </w:pPr>
            <w:r>
              <w:rPr>
                <w:rFonts w:ascii="Times New Roman" w:cs="Times New Roman" w:eastAsia="Times New Roman" w:hAnsi="Times New Roman"/>
                <w:sz w:val="15"/>
                <w:szCs w:val="15"/>
                <w:color w:val="auto"/>
              </w:rPr>
              <w:t>less than 12</w:t>
            </w: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greater than 12</w:t>
            </w:r>
          </w:p>
        </w:tc>
      </w:tr>
      <w:tr>
        <w:trPr>
          <w:trHeight w:val="186"/>
        </w:trPr>
        <w:tc>
          <w:tcPr>
            <w:tcW w:w="2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December 31, 2016</w:t>
            </w:r>
          </w:p>
        </w:tc>
        <w:tc>
          <w:tcPr>
            <w:tcW w:w="23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5"/>
                <w:szCs w:val="15"/>
                <w:color w:val="auto"/>
              </w:rPr>
              <w:t>Amortized Cost</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Gains</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Losses</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Value</w:t>
            </w:r>
          </w:p>
        </w:tc>
        <w:tc>
          <w:tcPr>
            <w:tcW w:w="1440" w:type="dxa"/>
            <w:vAlign w:val="bottom"/>
            <w:tcBorders>
              <w:bottom w:val="single" w:sz="8" w:color="auto"/>
            </w:tcBorders>
          </w:tcPr>
          <w:p>
            <w:pPr>
              <w:jc w:val="center"/>
              <w:ind w:left="63"/>
              <w:spacing w:after="0"/>
              <w:rPr>
                <w:sz w:val="20"/>
                <w:szCs w:val="20"/>
                <w:color w:val="auto"/>
              </w:rPr>
            </w:pPr>
            <w:r>
              <w:rPr>
                <w:rFonts w:ascii="Times New Roman" w:cs="Times New Roman" w:eastAsia="Times New Roman" w:hAnsi="Times New Roman"/>
                <w:sz w:val="15"/>
                <w:szCs w:val="15"/>
                <w:color w:val="auto"/>
              </w:rPr>
              <w:t>Months</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Months</w:t>
            </w:r>
          </w:p>
        </w:tc>
      </w:tr>
    </w:tbl>
    <w:p>
      <w:pPr>
        <w:ind w:left="40"/>
        <w:spacing w:after="0"/>
        <w:rPr>
          <w:sz w:val="20"/>
          <w:szCs w:val="20"/>
          <w:color w:val="auto"/>
        </w:rPr>
      </w:pPr>
      <w:r>
        <w:rPr>
          <w:rFonts w:ascii="Times New Roman" w:cs="Times New Roman" w:eastAsia="Times New Roman" w:hAnsi="Times New Roman"/>
          <w:sz w:val="18"/>
          <w:szCs w:val="18"/>
          <w:b w:val="1"/>
          <w:bCs w:val="1"/>
          <w:color w:val="auto"/>
        </w:rPr>
        <w:t>Available-for-sale</w:t>
      </w:r>
    </w:p>
    <w:tbl>
      <w:tblPr>
        <w:tblLayout w:type="fixed"/>
        <w:tblInd w:w="0" w:type="dxa"/>
        <w:tblCellMar>
          <w:top w:w="0" w:type="dxa"/>
          <w:left w:w="0" w:type="dxa"/>
          <w:bottom w:w="0" w:type="dxa"/>
          <w:right w:w="0" w:type="dxa"/>
        </w:tblCellMar>
      </w:tblPr>
      <w:tr>
        <w:trPr>
          <w:trHeight w:val="154"/>
        </w:trPr>
        <w:tc>
          <w:tcPr>
            <w:tcW w:w="3120" w:type="dxa"/>
            <w:vAlign w:val="bottom"/>
          </w:tcPr>
          <w:p>
            <w:pPr>
              <w:ind w:left="40"/>
              <w:spacing w:after="0" w:line="154" w:lineRule="exact"/>
              <w:rPr>
                <w:sz w:val="20"/>
                <w:szCs w:val="20"/>
                <w:color w:val="auto"/>
              </w:rPr>
            </w:pPr>
            <w:r>
              <w:rPr>
                <w:rFonts w:ascii="Times New Roman" w:cs="Times New Roman" w:eastAsia="Times New Roman" w:hAnsi="Times New Roman"/>
                <w:sz w:val="15"/>
                <w:szCs w:val="15"/>
                <w:color w:val="auto"/>
              </w:rPr>
              <w:t>Short-term:</w:t>
            </w: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Commercial paper</w:t>
            </w:r>
          </w:p>
        </w:tc>
        <w:tc>
          <w:tcPr>
            <w:tcW w:w="1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40,382</w:t>
            </w:r>
          </w:p>
        </w:tc>
        <w:tc>
          <w:tcPr>
            <w:tcW w:w="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43"/>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42"/>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60" w:type="dxa"/>
            <w:vAlign w:val="bottom"/>
          </w:tcPr>
          <w:p>
            <w:pPr>
              <w:jc w:val="right"/>
              <w:ind w:right="43"/>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40,382</w:t>
            </w:r>
          </w:p>
        </w:tc>
        <w:tc>
          <w:tcPr>
            <w:tcW w:w="1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42"/>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Municipal securities</w:t>
            </w:r>
          </w:p>
        </w:tc>
        <w:tc>
          <w:tcPr>
            <w:tcW w:w="160" w:type="dxa"/>
            <w:vAlign w:val="bottom"/>
          </w:tcPr>
          <w:p>
            <w:pPr>
              <w:spacing w:after="0"/>
              <w:rPr>
                <w:sz w:val="14"/>
                <w:szCs w:val="14"/>
                <w:color w:val="auto"/>
              </w:rPr>
            </w:pPr>
          </w:p>
        </w:tc>
        <w:tc>
          <w:tcPr>
            <w:tcW w:w="14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140,379</w:t>
            </w:r>
          </w:p>
        </w:tc>
        <w:tc>
          <w:tcPr>
            <w:tcW w:w="200" w:type="dxa"/>
            <w:vAlign w:val="bottom"/>
          </w:tcPr>
          <w:p>
            <w:pPr>
              <w:spacing w:after="0"/>
              <w:rPr>
                <w:sz w:val="14"/>
                <w:szCs w:val="14"/>
                <w:color w:val="auto"/>
              </w:rPr>
            </w:pPr>
          </w:p>
        </w:tc>
        <w:tc>
          <w:tcPr>
            <w:tcW w:w="940" w:type="dxa"/>
            <w:vAlign w:val="bottom"/>
          </w:tcPr>
          <w:p>
            <w:pPr>
              <w:jc w:val="right"/>
              <w:ind w:right="43"/>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42"/>
              <w:spacing w:after="0" w:line="162" w:lineRule="exact"/>
              <w:rPr>
                <w:sz w:val="20"/>
                <w:szCs w:val="20"/>
                <w:color w:val="auto"/>
              </w:rPr>
            </w:pPr>
            <w:r>
              <w:rPr>
                <w:rFonts w:ascii="Times New Roman" w:cs="Times New Roman" w:eastAsia="Times New Roman" w:hAnsi="Times New Roman"/>
                <w:sz w:val="15"/>
                <w:szCs w:val="15"/>
                <w:color w:val="auto"/>
              </w:rPr>
              <w:t>181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140,198</w:t>
            </w:r>
          </w:p>
        </w:tc>
        <w:tc>
          <w:tcPr>
            <w:tcW w:w="160" w:type="dxa"/>
            <w:vAlign w:val="bottom"/>
          </w:tcPr>
          <w:p>
            <w:pPr>
              <w:spacing w:after="0"/>
              <w:rPr>
                <w:sz w:val="14"/>
                <w:szCs w:val="14"/>
                <w:color w:val="auto"/>
              </w:rPr>
            </w:pPr>
          </w:p>
        </w:tc>
        <w:tc>
          <w:tcPr>
            <w:tcW w:w="980" w:type="dxa"/>
            <w:vAlign w:val="bottom"/>
          </w:tcPr>
          <w:p>
            <w:pPr>
              <w:jc w:val="right"/>
              <w:ind w:right="42"/>
              <w:spacing w:after="0" w:line="162" w:lineRule="exact"/>
              <w:rPr>
                <w:sz w:val="20"/>
                <w:szCs w:val="20"/>
                <w:color w:val="auto"/>
              </w:rPr>
            </w:pPr>
            <w:r>
              <w:rPr>
                <w:rFonts w:ascii="Times New Roman" w:cs="Times New Roman" w:eastAsia="Times New Roman" w:hAnsi="Times New Roman"/>
                <w:sz w:val="15"/>
                <w:szCs w:val="15"/>
                <w:color w:val="auto"/>
              </w:rPr>
              <w:t>181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U.S. government agency securities</w:t>
            </w:r>
          </w:p>
        </w:tc>
        <w:tc>
          <w:tcPr>
            <w:tcW w:w="160" w:type="dxa"/>
            <w:vAlign w:val="bottom"/>
          </w:tcPr>
          <w:p>
            <w:pPr>
              <w:spacing w:after="0"/>
              <w:rPr>
                <w:sz w:val="14"/>
                <w:szCs w:val="14"/>
                <w:color w:val="auto"/>
              </w:rPr>
            </w:pPr>
          </w:p>
        </w:tc>
        <w:tc>
          <w:tcPr>
            <w:tcW w:w="14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26,057</w:t>
            </w:r>
          </w:p>
        </w:tc>
        <w:tc>
          <w:tcPr>
            <w:tcW w:w="200" w:type="dxa"/>
            <w:vAlign w:val="bottom"/>
          </w:tcPr>
          <w:p>
            <w:pPr>
              <w:spacing w:after="0"/>
              <w:rPr>
                <w:sz w:val="14"/>
                <w:szCs w:val="14"/>
                <w:color w:val="auto"/>
              </w:rPr>
            </w:pPr>
          </w:p>
        </w:tc>
        <w:tc>
          <w:tcPr>
            <w:tcW w:w="940" w:type="dxa"/>
            <w:vAlign w:val="bottom"/>
          </w:tcPr>
          <w:p>
            <w:pPr>
              <w:jc w:val="right"/>
              <w:ind w:right="43"/>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42"/>
              <w:spacing w:after="0" w:line="162" w:lineRule="exact"/>
              <w:rPr>
                <w:sz w:val="20"/>
                <w:szCs w:val="20"/>
                <w:color w:val="auto"/>
              </w:rPr>
            </w:pPr>
            <w:r>
              <w:rPr>
                <w:rFonts w:ascii="Times New Roman" w:cs="Times New Roman" w:eastAsia="Times New Roman" w:hAnsi="Times New Roman"/>
                <w:sz w:val="15"/>
                <w:szCs w:val="15"/>
                <w:color w:val="auto"/>
              </w:rPr>
              <w:t>6</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26,051</w:t>
            </w:r>
          </w:p>
        </w:tc>
        <w:tc>
          <w:tcPr>
            <w:tcW w:w="160" w:type="dxa"/>
            <w:vAlign w:val="bottom"/>
          </w:tcPr>
          <w:p>
            <w:pPr>
              <w:spacing w:after="0"/>
              <w:rPr>
                <w:sz w:val="14"/>
                <w:szCs w:val="14"/>
                <w:color w:val="auto"/>
              </w:rPr>
            </w:pPr>
          </w:p>
        </w:tc>
        <w:tc>
          <w:tcPr>
            <w:tcW w:w="980" w:type="dxa"/>
            <w:vAlign w:val="bottom"/>
          </w:tcPr>
          <w:p>
            <w:pPr>
              <w:jc w:val="right"/>
              <w:ind w:right="42"/>
              <w:spacing w:after="0" w:line="162" w:lineRule="exact"/>
              <w:rPr>
                <w:sz w:val="20"/>
                <w:szCs w:val="20"/>
                <w:color w:val="auto"/>
              </w:rPr>
            </w:pPr>
            <w:r>
              <w:rPr>
                <w:rFonts w:ascii="Times New Roman" w:cs="Times New Roman" w:eastAsia="Times New Roman" w:hAnsi="Times New Roman"/>
                <w:sz w:val="15"/>
                <w:szCs w:val="15"/>
                <w:color w:val="auto"/>
              </w:rPr>
              <w:t>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Variable rate demand notes</w:t>
            </w:r>
          </w:p>
        </w:tc>
        <w:tc>
          <w:tcPr>
            <w:tcW w:w="160" w:type="dxa"/>
            <w:vAlign w:val="bottom"/>
          </w:tcPr>
          <w:p>
            <w:pPr>
              <w:spacing w:after="0"/>
              <w:rPr>
                <w:sz w:val="14"/>
                <w:szCs w:val="14"/>
                <w:color w:val="auto"/>
              </w:rPr>
            </w:pPr>
          </w:p>
        </w:tc>
        <w:tc>
          <w:tcPr>
            <w:tcW w:w="14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13,923</w:t>
            </w:r>
          </w:p>
        </w:tc>
        <w:tc>
          <w:tcPr>
            <w:tcW w:w="200" w:type="dxa"/>
            <w:vAlign w:val="bottom"/>
          </w:tcPr>
          <w:p>
            <w:pPr>
              <w:spacing w:after="0"/>
              <w:rPr>
                <w:sz w:val="14"/>
                <w:szCs w:val="14"/>
                <w:color w:val="auto"/>
              </w:rPr>
            </w:pPr>
          </w:p>
        </w:tc>
        <w:tc>
          <w:tcPr>
            <w:tcW w:w="940" w:type="dxa"/>
            <w:vAlign w:val="bottom"/>
          </w:tcPr>
          <w:p>
            <w:pPr>
              <w:jc w:val="right"/>
              <w:ind w:right="43"/>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42"/>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13,923</w:t>
            </w:r>
          </w:p>
        </w:tc>
        <w:tc>
          <w:tcPr>
            <w:tcW w:w="160" w:type="dxa"/>
            <w:vAlign w:val="bottom"/>
          </w:tcPr>
          <w:p>
            <w:pPr>
              <w:spacing w:after="0"/>
              <w:rPr>
                <w:sz w:val="14"/>
                <w:szCs w:val="14"/>
                <w:color w:val="auto"/>
              </w:rPr>
            </w:pPr>
          </w:p>
        </w:tc>
        <w:tc>
          <w:tcPr>
            <w:tcW w:w="980" w:type="dxa"/>
            <w:vAlign w:val="bottom"/>
          </w:tcPr>
          <w:p>
            <w:pPr>
              <w:jc w:val="right"/>
              <w:ind w:right="42"/>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40"/>
              <w:spacing w:after="0" w:line="162" w:lineRule="exact"/>
              <w:rPr>
                <w:sz w:val="20"/>
                <w:szCs w:val="20"/>
                <w:color w:val="auto"/>
              </w:rPr>
            </w:pPr>
            <w:r>
              <w:rPr>
                <w:rFonts w:ascii="Times New Roman" w:cs="Times New Roman" w:eastAsia="Times New Roman" w:hAnsi="Times New Roman"/>
                <w:sz w:val="15"/>
                <w:szCs w:val="15"/>
                <w:color w:val="auto"/>
              </w:rPr>
              <w:t>Long-term:</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12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Municipal securities</w:t>
            </w:r>
          </w:p>
        </w:tc>
        <w:tc>
          <w:tcPr>
            <w:tcW w:w="160" w:type="dxa"/>
            <w:vAlign w:val="bottom"/>
          </w:tcPr>
          <w:p>
            <w:pPr>
              <w:spacing w:after="0"/>
              <w:rPr>
                <w:sz w:val="15"/>
                <w:szCs w:val="15"/>
                <w:color w:val="auto"/>
              </w:rPr>
            </w:pPr>
          </w:p>
        </w:tc>
        <w:tc>
          <w:tcPr>
            <w:tcW w:w="14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2,403</w:t>
            </w:r>
          </w:p>
        </w:tc>
        <w:tc>
          <w:tcPr>
            <w:tcW w:w="200" w:type="dxa"/>
            <w:vAlign w:val="bottom"/>
          </w:tcPr>
          <w:p>
            <w:pPr>
              <w:spacing w:after="0"/>
              <w:rPr>
                <w:sz w:val="15"/>
                <w:szCs w:val="15"/>
                <w:color w:val="auto"/>
              </w:rPr>
            </w:pPr>
          </w:p>
        </w:tc>
        <w:tc>
          <w:tcPr>
            <w:tcW w:w="940" w:type="dxa"/>
            <w:vAlign w:val="bottom"/>
          </w:tcPr>
          <w:p>
            <w:pPr>
              <w:jc w:val="right"/>
              <w:ind w:right="43"/>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42"/>
              <w:spacing w:after="0" w:line="162" w:lineRule="exact"/>
              <w:rPr>
                <w:sz w:val="20"/>
                <w:szCs w:val="20"/>
                <w:color w:val="auto"/>
              </w:rPr>
            </w:pPr>
            <w:r>
              <w:rPr>
                <w:rFonts w:ascii="Times New Roman" w:cs="Times New Roman" w:eastAsia="Times New Roman" w:hAnsi="Times New Roman"/>
                <w:sz w:val="15"/>
                <w:szCs w:val="15"/>
                <w:color w:val="auto"/>
              </w:rPr>
              <w:t>9</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2,394</w:t>
            </w:r>
          </w:p>
        </w:tc>
        <w:tc>
          <w:tcPr>
            <w:tcW w:w="160" w:type="dxa"/>
            <w:vAlign w:val="bottom"/>
          </w:tcPr>
          <w:p>
            <w:pPr>
              <w:spacing w:after="0"/>
              <w:rPr>
                <w:sz w:val="15"/>
                <w:szCs w:val="15"/>
                <w:color w:val="auto"/>
              </w:rPr>
            </w:pPr>
          </w:p>
        </w:tc>
        <w:tc>
          <w:tcPr>
            <w:tcW w:w="980" w:type="dxa"/>
            <w:vAlign w:val="bottom"/>
          </w:tcPr>
          <w:p>
            <w:pPr>
              <w:jc w:val="right"/>
              <w:ind w:right="42"/>
              <w:spacing w:after="0" w:line="162" w:lineRule="exact"/>
              <w:rPr>
                <w:sz w:val="20"/>
                <w:szCs w:val="20"/>
                <w:color w:val="auto"/>
              </w:rPr>
            </w:pPr>
            <w:r>
              <w:rPr>
                <w:rFonts w:ascii="Times New Roman" w:cs="Times New Roman" w:eastAsia="Times New Roman" w:hAnsi="Times New Roman"/>
                <w:sz w:val="15"/>
                <w:szCs w:val="15"/>
                <w:color w:val="auto"/>
              </w:rPr>
              <w:t>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600"/>
              <w:spacing w:after="0" w:line="162" w:lineRule="exact"/>
              <w:rPr>
                <w:sz w:val="20"/>
                <w:szCs w:val="20"/>
                <w:color w:val="auto"/>
              </w:rPr>
            </w:pPr>
            <w:r>
              <w:rPr>
                <w:rFonts w:ascii="Times New Roman" w:cs="Times New Roman" w:eastAsia="Times New Roman" w:hAnsi="Times New Roman"/>
                <w:sz w:val="15"/>
                <w:szCs w:val="15"/>
                <w:color w:val="auto"/>
              </w:rPr>
              <w:t>Total</w:t>
            </w:r>
          </w:p>
        </w:tc>
        <w:tc>
          <w:tcPr>
            <w:tcW w:w="160" w:type="dxa"/>
            <w:vAlign w:val="bottom"/>
            <w:tcBorders>
              <w:top w:val="single" w:sz="8" w:color="auto"/>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top w:val="single" w:sz="8" w:color="auto"/>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223,144</w:t>
            </w:r>
          </w:p>
        </w:tc>
        <w:tc>
          <w:tcPr>
            <w:tcW w:w="22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bottom w:val="single" w:sz="8" w:color="auto"/>
            </w:tcBorders>
          </w:tcPr>
          <w:p>
            <w:pPr>
              <w:jc w:val="right"/>
              <w:ind w:right="43"/>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tcPr>
          <w:p>
            <w:pPr>
              <w:jc w:val="right"/>
              <w:ind w:right="42"/>
              <w:spacing w:after="0" w:line="162" w:lineRule="exact"/>
              <w:rPr>
                <w:sz w:val="20"/>
                <w:szCs w:val="20"/>
                <w:color w:val="auto"/>
              </w:rPr>
            </w:pPr>
            <w:r>
              <w:rPr>
                <w:rFonts w:ascii="Times New Roman" w:cs="Times New Roman" w:eastAsia="Times New Roman" w:hAnsi="Times New Roman"/>
                <w:sz w:val="15"/>
                <w:szCs w:val="15"/>
                <w:color w:val="auto"/>
              </w:rPr>
              <w:t>196</w:t>
            </w:r>
          </w:p>
        </w:tc>
        <w:tc>
          <w:tcPr>
            <w:tcW w:w="22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43"/>
              <w:spacing w:after="0" w:line="162"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222,948</w:t>
            </w:r>
          </w:p>
        </w:tc>
        <w:tc>
          <w:tcPr>
            <w:tcW w:w="2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bottom w:val="single" w:sz="8" w:color="auto"/>
            </w:tcBorders>
          </w:tcPr>
          <w:p>
            <w:pPr>
              <w:jc w:val="right"/>
              <w:ind w:right="42"/>
              <w:spacing w:after="0" w:line="162" w:lineRule="exact"/>
              <w:rPr>
                <w:sz w:val="20"/>
                <w:szCs w:val="20"/>
                <w:color w:val="auto"/>
              </w:rPr>
            </w:pPr>
            <w:r>
              <w:rPr>
                <w:rFonts w:ascii="Times New Roman" w:cs="Times New Roman" w:eastAsia="Times New Roman" w:hAnsi="Times New Roman"/>
                <w:sz w:val="15"/>
                <w:szCs w:val="15"/>
                <w:color w:val="auto"/>
              </w:rPr>
              <w:t>196</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bottom w:val="single" w:sz="8" w:color="auto"/>
            </w:tcBorders>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3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color w:val="auto"/>
              </w:rPr>
              <w:t>Continuous</w:t>
            </w:r>
          </w:p>
        </w:tc>
        <w:tc>
          <w:tcPr>
            <w:tcW w:w="160" w:type="dxa"/>
            <w:vAlign w:val="bottom"/>
          </w:tcPr>
          <w:p>
            <w:pPr>
              <w:spacing w:after="0"/>
              <w:rPr>
                <w:sz w:val="24"/>
                <w:szCs w:val="24"/>
                <w:color w:val="auto"/>
              </w:rPr>
            </w:pPr>
          </w:p>
        </w:tc>
        <w:tc>
          <w:tcPr>
            <w:tcW w:w="980" w:type="dxa"/>
            <w:vAlign w:val="bottom"/>
          </w:tcPr>
          <w:p>
            <w:pPr>
              <w:jc w:val="center"/>
              <w:ind w:right="83"/>
              <w:spacing w:after="0"/>
              <w:rPr>
                <w:sz w:val="20"/>
                <w:szCs w:val="20"/>
                <w:color w:val="auto"/>
              </w:rPr>
            </w:pPr>
            <w:r>
              <w:rPr>
                <w:rFonts w:ascii="Times New Roman" w:cs="Times New Roman" w:eastAsia="Times New Roman" w:hAnsi="Times New Roman"/>
                <w:sz w:val="15"/>
                <w:szCs w:val="15"/>
                <w:color w:val="auto"/>
              </w:rPr>
              <w:t>Continuous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5"/>
                <w:szCs w:val="15"/>
                <w:color w:val="auto"/>
              </w:rPr>
              <w:t>Gross</w:t>
            </w: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5"/>
                <w:szCs w:val="15"/>
                <w:color w:val="auto"/>
              </w:rPr>
              <w:t>Gross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5"/>
                <w:szCs w:val="15"/>
                <w:color w:val="auto"/>
              </w:rPr>
              <w:t>Unrealized</w:t>
            </w:r>
          </w:p>
        </w:tc>
        <w:tc>
          <w:tcPr>
            <w:tcW w:w="160" w:type="dxa"/>
            <w:vAlign w:val="bottom"/>
          </w:tcPr>
          <w:p>
            <w:pPr>
              <w:spacing w:after="0"/>
              <w:rPr>
                <w:sz w:val="14"/>
                <w:szCs w:val="14"/>
                <w:color w:val="auto"/>
              </w:rPr>
            </w:pPr>
          </w:p>
        </w:tc>
        <w:tc>
          <w:tcPr>
            <w:tcW w:w="980" w:type="dxa"/>
            <w:vAlign w:val="bottom"/>
          </w:tcPr>
          <w:p>
            <w:pPr>
              <w:jc w:val="center"/>
              <w:ind w:right="103"/>
              <w:spacing w:after="0" w:line="162" w:lineRule="exact"/>
              <w:rPr>
                <w:sz w:val="20"/>
                <w:szCs w:val="20"/>
                <w:color w:val="auto"/>
              </w:rPr>
            </w:pPr>
            <w:r>
              <w:rPr>
                <w:rFonts w:ascii="Times New Roman" w:cs="Times New Roman" w:eastAsia="Times New Roman" w:hAnsi="Times New Roman"/>
                <w:sz w:val="15"/>
                <w:szCs w:val="15"/>
                <w:color w:val="auto"/>
              </w:rPr>
              <w:t>Unrealized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5"/>
                <w:szCs w:val="15"/>
                <w:color w:val="auto"/>
              </w:rPr>
              <w:t>Unrealized</w:t>
            </w: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5"/>
                <w:szCs w:val="15"/>
                <w:color w:val="auto"/>
              </w:rPr>
              <w:t>Unrealized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5"/>
                <w:szCs w:val="15"/>
                <w:color w:val="auto"/>
              </w:rPr>
              <w:t>Loss Position</w:t>
            </w:r>
          </w:p>
        </w:tc>
        <w:tc>
          <w:tcPr>
            <w:tcW w:w="160" w:type="dxa"/>
            <w:vAlign w:val="bottom"/>
          </w:tcPr>
          <w:p>
            <w:pPr>
              <w:spacing w:after="0"/>
              <w:rPr>
                <w:sz w:val="14"/>
                <w:szCs w:val="14"/>
                <w:color w:val="auto"/>
              </w:rPr>
            </w:pPr>
          </w:p>
        </w:tc>
        <w:tc>
          <w:tcPr>
            <w:tcW w:w="980" w:type="dxa"/>
            <w:vAlign w:val="bottom"/>
          </w:tcPr>
          <w:p>
            <w:pPr>
              <w:jc w:val="center"/>
              <w:ind w:right="83"/>
              <w:spacing w:after="0" w:line="162" w:lineRule="exact"/>
              <w:rPr>
                <w:sz w:val="20"/>
                <w:szCs w:val="20"/>
                <w:color w:val="auto"/>
              </w:rPr>
            </w:pPr>
            <w:r>
              <w:rPr>
                <w:rFonts w:ascii="Times New Roman" w:cs="Times New Roman" w:eastAsia="Times New Roman" w:hAnsi="Times New Roman"/>
                <w:sz w:val="15"/>
                <w:szCs w:val="15"/>
                <w:color w:val="auto"/>
              </w:rPr>
              <w:t>Loss Position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5"/>
                <w:szCs w:val="15"/>
                <w:color w:val="auto"/>
              </w:rPr>
              <w:t>Holding</w:t>
            </w: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5"/>
                <w:szCs w:val="15"/>
                <w:color w:val="auto"/>
              </w:rPr>
              <w:t>Holding</w:t>
            </w:r>
          </w:p>
        </w:tc>
        <w:tc>
          <w:tcPr>
            <w:tcW w:w="260" w:type="dxa"/>
            <w:vAlign w:val="bottom"/>
          </w:tcPr>
          <w:p>
            <w:pPr>
              <w:spacing w:after="0"/>
              <w:rPr>
                <w:sz w:val="14"/>
                <w:szCs w:val="14"/>
                <w:color w:val="auto"/>
              </w:rPr>
            </w:pPr>
          </w:p>
        </w:tc>
        <w:tc>
          <w:tcPr>
            <w:tcW w:w="1080" w:type="dxa"/>
            <w:vAlign w:val="bottom"/>
            <w:gridSpan w:val="2"/>
          </w:tcPr>
          <w:p>
            <w:pPr>
              <w:jc w:val="center"/>
              <w:ind w:right="480"/>
              <w:spacing w:after="0" w:line="162" w:lineRule="exact"/>
              <w:rPr>
                <w:sz w:val="20"/>
                <w:szCs w:val="20"/>
                <w:color w:val="auto"/>
              </w:rPr>
            </w:pPr>
            <w:r>
              <w:rPr>
                <w:rFonts w:ascii="Times New Roman" w:cs="Times New Roman" w:eastAsia="Times New Roman" w:hAnsi="Times New Roman"/>
                <w:sz w:val="15"/>
                <w:szCs w:val="15"/>
                <w:color w:val="auto"/>
                <w:w w:val="99"/>
              </w:rPr>
              <w:t>Fair</w:t>
            </w:r>
          </w:p>
        </w:tc>
        <w:tc>
          <w:tcPr>
            <w:tcW w:w="160" w:type="dxa"/>
            <w:vAlign w:val="bottom"/>
          </w:tcPr>
          <w:p>
            <w:pPr>
              <w:spacing w:after="0"/>
              <w:rPr>
                <w:sz w:val="14"/>
                <w:szCs w:val="14"/>
                <w:color w:val="auto"/>
              </w:rPr>
            </w:pPr>
          </w:p>
        </w:tc>
        <w:tc>
          <w:tcPr>
            <w:tcW w:w="1200" w:type="dxa"/>
            <w:vAlign w:val="bottom"/>
            <w:gridSpan w:val="2"/>
          </w:tcPr>
          <w:p>
            <w:pPr>
              <w:jc w:val="center"/>
              <w:ind w:right="360"/>
              <w:spacing w:after="0" w:line="162" w:lineRule="exact"/>
              <w:rPr>
                <w:sz w:val="20"/>
                <w:szCs w:val="20"/>
                <w:color w:val="auto"/>
              </w:rPr>
            </w:pPr>
            <w:r>
              <w:rPr>
                <w:rFonts w:ascii="Times New Roman" w:cs="Times New Roman" w:eastAsia="Times New Roman" w:hAnsi="Times New Roman"/>
                <w:sz w:val="15"/>
                <w:szCs w:val="15"/>
                <w:color w:val="auto"/>
              </w:rPr>
              <w:t>less than 12</w:t>
            </w:r>
          </w:p>
        </w:tc>
        <w:tc>
          <w:tcPr>
            <w:tcW w:w="11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color w:val="auto"/>
              </w:rPr>
              <w:t>greater than 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December 31, 2015</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Amortized Cost</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5"/>
                <w:szCs w:val="15"/>
                <w:color w:val="auto"/>
              </w:rPr>
              <w:t>Gains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5"/>
                <w:szCs w:val="15"/>
                <w:color w:val="auto"/>
                <w:w w:val="97"/>
              </w:rPr>
              <w:t>Losses</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5"/>
                <w:szCs w:val="15"/>
                <w:color w:val="auto"/>
              </w:rPr>
              <w:t>Value</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5"/>
                <w:szCs w:val="15"/>
                <w:color w:val="auto"/>
              </w:rPr>
              <w:t>Months</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5"/>
                <w:szCs w:val="15"/>
                <w:color w:val="auto"/>
              </w:rPr>
              <w:t>Months</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3120" w:type="dxa"/>
            <w:vAlign w:val="bottom"/>
          </w:tcPr>
          <w:p>
            <w:pPr>
              <w:ind w:left="40"/>
              <w:spacing w:after="0" w:line="145" w:lineRule="exact"/>
              <w:rPr>
                <w:sz w:val="20"/>
                <w:szCs w:val="20"/>
                <w:color w:val="auto"/>
              </w:rPr>
            </w:pPr>
            <w:r>
              <w:rPr>
                <w:rFonts w:ascii="Times New Roman" w:cs="Times New Roman" w:eastAsia="Times New Roman" w:hAnsi="Times New Roman"/>
                <w:sz w:val="15"/>
                <w:szCs w:val="15"/>
                <w:b w:val="1"/>
                <w:bCs w:val="1"/>
                <w:color w:val="auto"/>
              </w:rPr>
              <w:t>Held-to-Maturity</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40"/>
              <w:spacing w:after="0" w:line="162" w:lineRule="exact"/>
              <w:rPr>
                <w:sz w:val="20"/>
                <w:szCs w:val="20"/>
                <w:color w:val="auto"/>
              </w:rPr>
            </w:pPr>
            <w:r>
              <w:rPr>
                <w:rFonts w:ascii="Times New Roman" w:cs="Times New Roman" w:eastAsia="Times New Roman" w:hAnsi="Times New Roman"/>
                <w:sz w:val="15"/>
                <w:szCs w:val="15"/>
                <w:color w:val="auto"/>
              </w:rPr>
              <w:t>Short-term:</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Commercial paper</w:t>
            </w:r>
          </w:p>
        </w:tc>
        <w:tc>
          <w:tcPr>
            <w:tcW w:w="1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3,978</w:t>
            </w:r>
          </w:p>
        </w:tc>
        <w:tc>
          <w:tcPr>
            <w:tcW w:w="22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43"/>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42"/>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60" w:type="dxa"/>
            <w:vAlign w:val="bottom"/>
          </w:tcPr>
          <w:p>
            <w:pPr>
              <w:jc w:val="right"/>
              <w:ind w:right="43"/>
              <w:spacing w:after="0" w:line="162"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3,978</w:t>
            </w:r>
          </w:p>
        </w:tc>
        <w:tc>
          <w:tcPr>
            <w:tcW w:w="200" w:type="dxa"/>
            <w:vAlign w:val="bottom"/>
          </w:tcPr>
          <w:p>
            <w:pPr>
              <w:spacing w:after="0"/>
              <w:rPr>
                <w:sz w:val="14"/>
                <w:szCs w:val="14"/>
                <w:color w:val="auto"/>
              </w:rPr>
            </w:pPr>
          </w:p>
        </w:tc>
        <w:tc>
          <w:tcPr>
            <w:tcW w:w="1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42"/>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Municipal securities</w:t>
            </w:r>
          </w:p>
        </w:tc>
        <w:tc>
          <w:tcPr>
            <w:tcW w:w="160" w:type="dxa"/>
            <w:vAlign w:val="bottom"/>
          </w:tcPr>
          <w:p>
            <w:pPr>
              <w:spacing w:after="0"/>
              <w:rPr>
                <w:sz w:val="14"/>
                <w:szCs w:val="14"/>
                <w:color w:val="auto"/>
              </w:rPr>
            </w:pPr>
          </w:p>
        </w:tc>
        <w:tc>
          <w:tcPr>
            <w:tcW w:w="122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709,207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43"/>
              <w:spacing w:after="0" w:line="162" w:lineRule="exact"/>
              <w:rPr>
                <w:sz w:val="20"/>
                <w:szCs w:val="20"/>
                <w:color w:val="auto"/>
              </w:rPr>
            </w:pPr>
            <w:r>
              <w:rPr>
                <w:rFonts w:ascii="Times New Roman" w:cs="Times New Roman" w:eastAsia="Times New Roman" w:hAnsi="Times New Roman"/>
                <w:sz w:val="15"/>
                <w:szCs w:val="15"/>
                <w:color w:val="auto"/>
              </w:rPr>
              <w:t>63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42"/>
              <w:spacing w:after="0" w:line="162" w:lineRule="exact"/>
              <w:rPr>
                <w:sz w:val="20"/>
                <w:szCs w:val="20"/>
                <w:color w:val="auto"/>
              </w:rPr>
            </w:pPr>
            <w:r>
              <w:rPr>
                <w:rFonts w:ascii="Times New Roman" w:cs="Times New Roman" w:eastAsia="Times New Roman" w:hAnsi="Times New Roman"/>
                <w:sz w:val="15"/>
                <w:szCs w:val="15"/>
                <w:color w:val="auto"/>
              </w:rPr>
              <w:t>192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709,078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42"/>
              <w:spacing w:after="0" w:line="162" w:lineRule="exact"/>
              <w:rPr>
                <w:sz w:val="20"/>
                <w:szCs w:val="20"/>
                <w:color w:val="auto"/>
              </w:rPr>
            </w:pPr>
            <w:r>
              <w:rPr>
                <w:rFonts w:ascii="Times New Roman" w:cs="Times New Roman" w:eastAsia="Times New Roman" w:hAnsi="Times New Roman"/>
                <w:sz w:val="15"/>
                <w:szCs w:val="15"/>
                <w:color w:val="auto"/>
              </w:rPr>
              <w:t>192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20" w:type="dxa"/>
            <w:vAlign w:val="bottom"/>
          </w:tcPr>
          <w:p>
            <w:pPr>
              <w:ind w:left="220"/>
              <w:spacing w:after="0" w:line="161" w:lineRule="exact"/>
              <w:rPr>
                <w:sz w:val="20"/>
                <w:szCs w:val="20"/>
                <w:color w:val="auto"/>
              </w:rPr>
            </w:pPr>
            <w:r>
              <w:rPr>
                <w:rFonts w:ascii="Times New Roman" w:cs="Times New Roman" w:eastAsia="Times New Roman" w:hAnsi="Times New Roman"/>
                <w:sz w:val="15"/>
                <w:szCs w:val="15"/>
                <w:color w:val="auto"/>
              </w:rPr>
              <w:t>U.S. government agency securities</w:t>
            </w:r>
          </w:p>
        </w:tc>
        <w:tc>
          <w:tcPr>
            <w:tcW w:w="160" w:type="dxa"/>
            <w:vAlign w:val="bottom"/>
          </w:tcPr>
          <w:p>
            <w:pPr>
              <w:spacing w:after="0"/>
              <w:rPr>
                <w:sz w:val="14"/>
                <w:szCs w:val="14"/>
                <w:color w:val="auto"/>
              </w:rPr>
            </w:pPr>
          </w:p>
        </w:tc>
        <w:tc>
          <w:tcPr>
            <w:tcW w:w="1220" w:type="dxa"/>
            <w:vAlign w:val="bottom"/>
          </w:tcPr>
          <w:p>
            <w:pPr>
              <w:jc w:val="right"/>
              <w:ind w:right="63"/>
              <w:spacing w:after="0" w:line="161" w:lineRule="exact"/>
              <w:rPr>
                <w:sz w:val="20"/>
                <w:szCs w:val="20"/>
                <w:color w:val="auto"/>
              </w:rPr>
            </w:pPr>
            <w:r>
              <w:rPr>
                <w:rFonts w:ascii="Times New Roman" w:cs="Times New Roman" w:eastAsia="Times New Roman" w:hAnsi="Times New Roman"/>
                <w:sz w:val="15"/>
                <w:szCs w:val="15"/>
                <w:color w:val="auto"/>
              </w:rPr>
              <w:t>23,369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43"/>
              <w:spacing w:after="0" w:line="161"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42"/>
              <w:spacing w:after="0" w:line="161" w:lineRule="exact"/>
              <w:rPr>
                <w:sz w:val="20"/>
                <w:szCs w:val="20"/>
                <w:color w:val="auto"/>
              </w:rPr>
            </w:pPr>
            <w:r>
              <w:rPr>
                <w:rFonts w:ascii="Times New Roman" w:cs="Times New Roman" w:eastAsia="Times New Roman" w:hAnsi="Times New Roman"/>
                <w:sz w:val="15"/>
                <w:szCs w:val="15"/>
                <w:color w:val="auto"/>
              </w:rPr>
              <w:t>58</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63"/>
              <w:spacing w:after="0" w:line="161" w:lineRule="exact"/>
              <w:rPr>
                <w:sz w:val="20"/>
                <w:szCs w:val="20"/>
                <w:color w:val="auto"/>
              </w:rPr>
            </w:pPr>
            <w:r>
              <w:rPr>
                <w:rFonts w:ascii="Times New Roman" w:cs="Times New Roman" w:eastAsia="Times New Roman" w:hAnsi="Times New Roman"/>
                <w:sz w:val="15"/>
                <w:szCs w:val="15"/>
                <w:color w:val="auto"/>
              </w:rPr>
              <w:t>23,311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42"/>
              <w:spacing w:after="0" w:line="161" w:lineRule="exact"/>
              <w:rPr>
                <w:sz w:val="20"/>
                <w:szCs w:val="20"/>
                <w:color w:val="auto"/>
              </w:rPr>
            </w:pPr>
            <w:r>
              <w:rPr>
                <w:rFonts w:ascii="Times New Roman" w:cs="Times New Roman" w:eastAsia="Times New Roman" w:hAnsi="Times New Roman"/>
                <w:sz w:val="15"/>
                <w:szCs w:val="15"/>
                <w:color w:val="auto"/>
              </w:rPr>
              <w:t>58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63"/>
              <w:spacing w:after="0" w:line="161"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1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U.S. Treasuries</w:t>
            </w:r>
          </w:p>
        </w:tc>
        <w:tc>
          <w:tcPr>
            <w:tcW w:w="160" w:type="dxa"/>
            <w:vAlign w:val="bottom"/>
          </w:tcPr>
          <w:p>
            <w:pPr>
              <w:spacing w:after="0"/>
              <w:rPr>
                <w:sz w:val="18"/>
                <w:szCs w:val="18"/>
                <w:color w:val="auto"/>
              </w:rPr>
            </w:pPr>
          </w:p>
        </w:tc>
        <w:tc>
          <w:tcPr>
            <w:tcW w:w="122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8,056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8,043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5"/>
                <w:szCs w:val="15"/>
                <w:color w:val="auto"/>
              </w:rPr>
              <w:t>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40"/>
              <w:spacing w:after="0" w:line="162" w:lineRule="exact"/>
              <w:rPr>
                <w:sz w:val="20"/>
                <w:szCs w:val="20"/>
                <w:color w:val="auto"/>
              </w:rPr>
            </w:pPr>
            <w:r>
              <w:rPr>
                <w:rFonts w:ascii="Times New Roman" w:cs="Times New Roman" w:eastAsia="Times New Roman" w:hAnsi="Times New Roman"/>
                <w:sz w:val="15"/>
                <w:szCs w:val="15"/>
                <w:color w:val="auto"/>
              </w:rPr>
              <w:t>Long-term:</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restart"/>
          </w:tcPr>
          <w:p>
            <w:pPr>
              <w:jc w:val="right"/>
              <w:ind w:right="42"/>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ind w:right="42"/>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1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Municipal securities</w:t>
            </w:r>
          </w:p>
        </w:tc>
        <w:tc>
          <w:tcPr>
            <w:tcW w:w="160" w:type="dxa"/>
            <w:vAlign w:val="bottom"/>
          </w:tcPr>
          <w:p>
            <w:pPr>
              <w:spacing w:after="0"/>
              <w:rPr>
                <w:sz w:val="18"/>
                <w:szCs w:val="18"/>
                <w:color w:val="auto"/>
              </w:rPr>
            </w:pPr>
          </w:p>
        </w:tc>
        <w:tc>
          <w:tcPr>
            <w:tcW w:w="122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11,071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11,063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1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U.S. government agency securities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4,277</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5"/>
                <w:szCs w:val="15"/>
                <w:color w:val="auto"/>
              </w:rPr>
              <w:t>25</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4,252</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120" w:type="dxa"/>
            <w:vAlign w:val="bottom"/>
          </w:tcPr>
          <w:p>
            <w:pPr>
              <w:ind w:left="540"/>
              <w:spacing w:after="0" w:line="162" w:lineRule="exact"/>
              <w:rPr>
                <w:sz w:val="20"/>
                <w:szCs w:val="20"/>
                <w:color w:val="auto"/>
              </w:rPr>
            </w:pPr>
            <w:r>
              <w:rPr>
                <w:rFonts w:ascii="Times New Roman" w:cs="Times New Roman" w:eastAsia="Times New Roman" w:hAnsi="Times New Roman"/>
                <w:sz w:val="15"/>
                <w:szCs w:val="15"/>
                <w:color w:val="auto"/>
              </w:rPr>
              <w:t>Total</w:t>
            </w:r>
          </w:p>
        </w:tc>
        <w:tc>
          <w:tcPr>
            <w:tcW w:w="1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759,958</w:t>
            </w:r>
          </w:p>
        </w:tc>
        <w:tc>
          <w:tcPr>
            <w:tcW w:w="22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ind w:right="43"/>
              <w:spacing w:after="0" w:line="162" w:lineRule="exact"/>
              <w:rPr>
                <w:sz w:val="20"/>
                <w:szCs w:val="20"/>
                <w:color w:val="auto"/>
              </w:rPr>
            </w:pPr>
            <w:r>
              <w:rPr>
                <w:rFonts w:ascii="Times New Roman" w:cs="Times New Roman" w:eastAsia="Times New Roman" w:hAnsi="Times New Roman"/>
                <w:sz w:val="15"/>
                <w:szCs w:val="15"/>
                <w:color w:val="auto"/>
              </w:rPr>
              <w:t>63</w:t>
            </w:r>
          </w:p>
        </w:tc>
        <w:tc>
          <w:tcPr>
            <w:tcW w:w="24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tcPr>
          <w:p>
            <w:pPr>
              <w:jc w:val="right"/>
              <w:ind w:right="42"/>
              <w:spacing w:after="0" w:line="162" w:lineRule="exact"/>
              <w:rPr>
                <w:sz w:val="20"/>
                <w:szCs w:val="20"/>
                <w:color w:val="auto"/>
              </w:rPr>
            </w:pPr>
            <w:r>
              <w:rPr>
                <w:rFonts w:ascii="Times New Roman" w:cs="Times New Roman" w:eastAsia="Times New Roman" w:hAnsi="Times New Roman"/>
                <w:sz w:val="15"/>
                <w:szCs w:val="15"/>
                <w:color w:val="auto"/>
              </w:rPr>
              <w:t>296</w:t>
            </w:r>
          </w:p>
        </w:tc>
        <w:tc>
          <w:tcPr>
            <w:tcW w:w="220" w:type="dxa"/>
            <w:vAlign w:val="bottom"/>
          </w:tcPr>
          <w:p>
            <w:pPr>
              <w:spacing w:after="0"/>
              <w:rPr>
                <w:sz w:val="14"/>
                <w:szCs w:val="14"/>
                <w:color w:val="auto"/>
              </w:rPr>
            </w:pPr>
          </w:p>
        </w:tc>
        <w:tc>
          <w:tcPr>
            <w:tcW w:w="260" w:type="dxa"/>
            <w:vAlign w:val="bottom"/>
            <w:tcBorders>
              <w:bottom w:val="single" w:sz="8" w:color="auto"/>
            </w:tcBorders>
          </w:tcPr>
          <w:p>
            <w:pPr>
              <w:jc w:val="right"/>
              <w:ind w:right="43"/>
              <w:spacing w:after="0" w:line="162"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759,725</w:t>
            </w:r>
          </w:p>
        </w:tc>
        <w:tc>
          <w:tcPr>
            <w:tcW w:w="200" w:type="dxa"/>
            <w:vAlign w:val="bottom"/>
          </w:tcPr>
          <w:p>
            <w:pPr>
              <w:spacing w:after="0"/>
              <w:rPr>
                <w:sz w:val="14"/>
                <w:szCs w:val="14"/>
                <w:color w:val="auto"/>
              </w:rPr>
            </w:pPr>
          </w:p>
        </w:tc>
        <w:tc>
          <w:tcPr>
            <w:tcW w:w="1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ind w:right="42"/>
              <w:spacing w:after="0" w:line="162" w:lineRule="exact"/>
              <w:rPr>
                <w:sz w:val="20"/>
                <w:szCs w:val="20"/>
                <w:color w:val="auto"/>
              </w:rPr>
            </w:pPr>
            <w:r>
              <w:rPr>
                <w:rFonts w:ascii="Times New Roman" w:cs="Times New Roman" w:eastAsia="Times New Roman" w:hAnsi="Times New Roman"/>
                <w:sz w:val="15"/>
                <w:szCs w:val="15"/>
                <w:color w:val="auto"/>
              </w:rPr>
              <w:t>296</w:t>
            </w:r>
          </w:p>
        </w:tc>
        <w:tc>
          <w:tcPr>
            <w:tcW w:w="220" w:type="dxa"/>
            <w:vAlign w:val="bottom"/>
          </w:tcPr>
          <w:p>
            <w:pPr>
              <w:spacing w:after="0"/>
              <w:rPr>
                <w:sz w:val="14"/>
                <w:szCs w:val="14"/>
                <w:color w:val="auto"/>
              </w:rPr>
            </w:pPr>
          </w:p>
        </w:tc>
        <w:tc>
          <w:tcPr>
            <w:tcW w:w="1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ind w:right="63"/>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During the years ended December 31, 2016 and 2015, realized gains or losses recognized on the sale of investments were not significant. During June 2016, the Company sold a large portion of its held-to-maturity investments prior to maturity in order to fund a portion of a common stock repurchase (see Note 13). As a result, the Company’s remaining held-to-maturity investments of $43.7 million were transferred to available-for-sale effective June 15, 2016.</w:t>
      </w:r>
    </w:p>
    <w:p>
      <w:pPr>
        <w:spacing w:after="0" w:line="19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The Company’s investments at December 31, 2016 and 2015 in commercial paper, municipal securities, U.S. government agency securities, U.S. treasuries and/or variable rate demand notes (“VRDNs”) carried investment grade credit ratings. VRDNs are floating rate municipal bonds with embedded put options that allow the bondholder to sell the security at par plus accrued interest. All of the put options are secured by a pledged liquidity source. While they are classified as marketable investment securities, the put option allows the VRDNs to be liquidated at par on a same day, or more generally, on a seven day settlement basis.</w:t>
      </w:r>
    </w:p>
    <w:p>
      <w:pPr>
        <w:sectPr>
          <w:pgSz w:w="11900" w:h="16838" w:orient="portrait"/>
          <w:cols w:equalWidth="0" w:num="1">
            <w:col w:w="11420"/>
          </w:cols>
          <w:pgMar w:left="240" w:top="111" w:right="239" w:bottom="0" w:gutter="0" w:footer="0" w:header="0"/>
        </w:sectPr>
      </w:pP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type w:val="continuous"/>
        </w:sectPr>
      </w:pPr>
    </w:p>
    <w:bookmarkStart w:id="60" w:name="page61"/>
    <w:bookmarkEnd w:id="60"/>
    <w:p>
      <w:pPr>
        <w:spacing w:after="0" w:line="1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underlying contractual maturities of the Company’s investments at: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5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gridSpan w:val="4"/>
          </w:tcPr>
          <w:p>
            <w:pPr>
              <w:jc w:val="right"/>
              <w:ind w:right="805"/>
              <w:spacing w:after="0"/>
              <w:rPr>
                <w:sz w:val="20"/>
                <w:szCs w:val="20"/>
                <w:color w:val="auto"/>
              </w:rPr>
            </w:pPr>
            <w:r>
              <w:rPr>
                <w:rFonts w:ascii="Times New Roman" w:cs="Times New Roman" w:eastAsia="Times New Roman" w:hAnsi="Times New Roman"/>
                <w:sz w:val="19"/>
                <w:szCs w:val="19"/>
                <w:color w:val="auto"/>
              </w:rPr>
              <w:t>December 31, 2016</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4"/>
          </w:tcPr>
          <w:p>
            <w:pPr>
              <w:jc w:val="right"/>
              <w:ind w:right="785"/>
              <w:spacing w:after="0"/>
              <w:rPr>
                <w:sz w:val="20"/>
                <w:szCs w:val="20"/>
                <w:color w:val="auto"/>
              </w:rPr>
            </w:pPr>
            <w:r>
              <w:rPr>
                <w:rFonts w:ascii="Times New Roman" w:cs="Times New Roman" w:eastAsia="Times New Roman" w:hAnsi="Times New Roman"/>
                <w:sz w:val="19"/>
                <w:szCs w:val="19"/>
                <w:color w:val="auto"/>
              </w:rPr>
              <w:t>December 31, 2015</w:t>
            </w:r>
          </w:p>
        </w:tc>
        <w:tc>
          <w:tcPr>
            <w:tcW w:w="0" w:type="dxa"/>
            <w:vAlign w:val="bottom"/>
          </w:tcPr>
          <w:p>
            <w:pPr>
              <w:spacing w:after="0"/>
              <w:rPr>
                <w:sz w:val="1"/>
                <w:szCs w:val="1"/>
                <w:color w:val="auto"/>
              </w:rPr>
            </w:pPr>
          </w:p>
        </w:tc>
      </w:tr>
      <w:tr>
        <w:trPr>
          <w:trHeight w:val="426"/>
        </w:trPr>
        <w:tc>
          <w:tcPr>
            <w:tcW w:w="45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Less than 1 year:</w:t>
            </w:r>
          </w:p>
        </w:tc>
        <w:tc>
          <w:tcPr>
            <w:tcW w:w="180" w:type="dxa"/>
            <w:vAlign w:val="bottom"/>
          </w:tcPr>
          <w:p>
            <w:pPr>
              <w:spacing w:after="0"/>
              <w:rPr>
                <w:sz w:val="24"/>
                <w:szCs w:val="24"/>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Amortized Cost</w:t>
            </w:r>
          </w:p>
        </w:tc>
        <w:tc>
          <w:tcPr>
            <w:tcW w:w="24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Fair Value</w:t>
            </w:r>
          </w:p>
        </w:tc>
        <w:tc>
          <w:tcPr>
            <w:tcW w:w="20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Amortized Cost</w:t>
            </w:r>
          </w:p>
        </w:tc>
        <w:tc>
          <w:tcPr>
            <w:tcW w:w="240" w:type="dxa"/>
            <w:vAlign w:val="bottom"/>
          </w:tcPr>
          <w:p>
            <w:pPr>
              <w:spacing w:after="0"/>
              <w:rPr>
                <w:sz w:val="24"/>
                <w:szCs w:val="24"/>
                <w:color w:val="auto"/>
              </w:rPr>
            </w:pPr>
          </w:p>
        </w:tc>
        <w:tc>
          <w:tcPr>
            <w:tcW w:w="1120" w:type="dxa"/>
            <w:vAlign w:val="bottom"/>
          </w:tcPr>
          <w:p>
            <w:pPr>
              <w:jc w:val="right"/>
              <w:ind w:right="205"/>
              <w:spacing w:after="0"/>
              <w:rPr>
                <w:sz w:val="20"/>
                <w:szCs w:val="20"/>
                <w:color w:val="auto"/>
              </w:rPr>
            </w:pPr>
            <w:r>
              <w:rPr>
                <w:rFonts w:ascii="Times New Roman" w:cs="Times New Roman" w:eastAsia="Times New Roman" w:hAnsi="Times New Roman"/>
                <w:sz w:val="19"/>
                <w:szCs w:val="19"/>
                <w:color w:val="auto"/>
                <w:w w:val="99"/>
              </w:rPr>
              <w:t>Fair Value</w:t>
            </w:r>
          </w:p>
        </w:tc>
        <w:tc>
          <w:tcPr>
            <w:tcW w:w="0" w:type="dxa"/>
            <w:vAlign w:val="bottom"/>
          </w:tcPr>
          <w:p>
            <w:pPr>
              <w:spacing w:after="0"/>
              <w:rPr>
                <w:sz w:val="1"/>
                <w:szCs w:val="1"/>
                <w:color w:val="auto"/>
              </w:rPr>
            </w:pPr>
          </w:p>
        </w:tc>
      </w:tr>
      <w:tr>
        <w:trPr>
          <w:trHeight w:val="170"/>
        </w:trPr>
        <w:tc>
          <w:tcPr>
            <w:tcW w:w="4540" w:type="dxa"/>
            <w:vAlign w:val="bottom"/>
            <w:vMerge w:val="continue"/>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20"/>
              <w:spacing w:after="0" w:line="216" w:lineRule="exact"/>
              <w:rPr>
                <w:sz w:val="20"/>
                <w:szCs w:val="20"/>
                <w:color w:val="auto"/>
              </w:rPr>
            </w:pPr>
            <w:r>
              <w:rPr>
                <w:rFonts w:ascii="Times New Roman" w:cs="Times New Roman" w:eastAsia="Times New Roman" w:hAnsi="Times New Roman"/>
                <w:sz w:val="19"/>
                <w:szCs w:val="19"/>
                <w:color w:val="auto"/>
              </w:rPr>
              <w:t>Commercial paper</w:t>
            </w:r>
          </w:p>
        </w:tc>
        <w:tc>
          <w:tcPr>
            <w:tcW w:w="1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1420" w:type="dxa"/>
            <w:vAlign w:val="bottom"/>
          </w:tcPr>
          <w:p>
            <w:pPr>
              <w:jc w:val="right"/>
              <w:ind w:right="45"/>
              <w:spacing w:after="0" w:line="216" w:lineRule="exact"/>
              <w:rPr>
                <w:sz w:val="20"/>
                <w:szCs w:val="20"/>
                <w:color w:val="auto"/>
              </w:rPr>
            </w:pPr>
            <w:r>
              <w:rPr>
                <w:rFonts w:ascii="Times New Roman" w:cs="Times New Roman" w:eastAsia="Times New Roman" w:hAnsi="Times New Roman"/>
                <w:sz w:val="19"/>
                <w:szCs w:val="19"/>
                <w:color w:val="auto"/>
              </w:rPr>
              <w:t>40,382</w:t>
            </w:r>
          </w:p>
        </w:tc>
        <w:tc>
          <w:tcPr>
            <w:tcW w:w="300" w:type="dxa"/>
            <w:vAlign w:val="bottom"/>
          </w:tcPr>
          <w:p>
            <w:pPr>
              <w:spacing w:after="0"/>
              <w:rPr>
                <w:sz w:val="18"/>
                <w:szCs w:val="18"/>
                <w:color w:val="auto"/>
              </w:rPr>
            </w:pPr>
          </w:p>
        </w:tc>
        <w:tc>
          <w:tcPr>
            <w:tcW w:w="2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ind w:right="25"/>
              <w:spacing w:after="0" w:line="216" w:lineRule="exact"/>
              <w:rPr>
                <w:sz w:val="20"/>
                <w:szCs w:val="20"/>
                <w:color w:val="auto"/>
              </w:rPr>
            </w:pPr>
            <w:r>
              <w:rPr>
                <w:rFonts w:ascii="Times New Roman" w:cs="Times New Roman" w:eastAsia="Times New Roman" w:hAnsi="Times New Roman"/>
                <w:sz w:val="19"/>
                <w:szCs w:val="19"/>
                <w:color w:val="auto"/>
              </w:rPr>
              <w:t>40,382</w:t>
            </w:r>
          </w:p>
        </w:tc>
        <w:tc>
          <w:tcPr>
            <w:tcW w:w="280" w:type="dxa"/>
            <w:vAlign w:val="bottom"/>
          </w:tcPr>
          <w:p>
            <w:pPr>
              <w:spacing w:after="0"/>
              <w:rPr>
                <w:sz w:val="18"/>
                <w:szCs w:val="18"/>
                <w:color w:val="auto"/>
              </w:rPr>
            </w:pPr>
          </w:p>
        </w:tc>
        <w:tc>
          <w:tcPr>
            <w:tcW w:w="2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1400" w:type="dxa"/>
            <w:vAlign w:val="bottom"/>
          </w:tcPr>
          <w:p>
            <w:pPr>
              <w:jc w:val="right"/>
              <w:ind w:right="45"/>
              <w:spacing w:after="0" w:line="216" w:lineRule="exact"/>
              <w:rPr>
                <w:sz w:val="20"/>
                <w:szCs w:val="20"/>
                <w:color w:val="auto"/>
              </w:rPr>
            </w:pPr>
            <w:r>
              <w:rPr>
                <w:rFonts w:ascii="Times New Roman" w:cs="Times New Roman" w:eastAsia="Times New Roman" w:hAnsi="Times New Roman"/>
                <w:sz w:val="19"/>
                <w:szCs w:val="19"/>
                <w:color w:val="auto"/>
              </w:rPr>
              <w:t>3,978</w:t>
            </w:r>
          </w:p>
        </w:tc>
        <w:tc>
          <w:tcPr>
            <w:tcW w:w="280" w:type="dxa"/>
            <w:vAlign w:val="bottom"/>
          </w:tcPr>
          <w:p>
            <w:pPr>
              <w:spacing w:after="0"/>
              <w:rPr>
                <w:sz w:val="18"/>
                <w:szCs w:val="18"/>
                <w:color w:val="auto"/>
              </w:rPr>
            </w:pPr>
          </w:p>
        </w:tc>
        <w:tc>
          <w:tcPr>
            <w:tcW w:w="2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ind w:right="45"/>
              <w:spacing w:after="0" w:line="216" w:lineRule="exact"/>
              <w:rPr>
                <w:sz w:val="20"/>
                <w:szCs w:val="20"/>
                <w:color w:val="auto"/>
              </w:rPr>
            </w:pPr>
            <w:r>
              <w:rPr>
                <w:rFonts w:ascii="Times New Roman" w:cs="Times New Roman" w:eastAsia="Times New Roman" w:hAnsi="Times New Roman"/>
                <w:sz w:val="19"/>
                <w:szCs w:val="19"/>
                <w:color w:val="auto"/>
              </w:rPr>
              <w:t>3,978</w:t>
            </w:r>
          </w:p>
        </w:tc>
        <w:tc>
          <w:tcPr>
            <w:tcW w:w="0" w:type="dxa"/>
            <w:vAlign w:val="bottom"/>
          </w:tcPr>
          <w:p>
            <w:pPr>
              <w:spacing w:after="0"/>
              <w:rPr>
                <w:sz w:val="1"/>
                <w:szCs w:val="1"/>
                <w:color w:val="auto"/>
              </w:rPr>
            </w:pPr>
          </w:p>
        </w:tc>
      </w:tr>
      <w:tr>
        <w:trPr>
          <w:trHeight w:val="216"/>
        </w:trPr>
        <w:tc>
          <w:tcPr>
            <w:tcW w:w="4540" w:type="dxa"/>
            <w:vAlign w:val="bottom"/>
          </w:tcPr>
          <w:p>
            <w:pPr>
              <w:ind w:left="320"/>
              <w:spacing w:after="0" w:line="216" w:lineRule="exact"/>
              <w:rPr>
                <w:sz w:val="20"/>
                <w:szCs w:val="20"/>
                <w:color w:val="auto"/>
              </w:rPr>
            </w:pPr>
            <w:r>
              <w:rPr>
                <w:rFonts w:ascii="Times New Roman" w:cs="Times New Roman" w:eastAsia="Times New Roman" w:hAnsi="Times New Roman"/>
                <w:sz w:val="19"/>
                <w:szCs w:val="19"/>
                <w:color w:val="auto"/>
              </w:rPr>
              <w:t>Municipal securities</w:t>
            </w:r>
          </w:p>
        </w:tc>
        <w:tc>
          <w:tcPr>
            <w:tcW w:w="180" w:type="dxa"/>
            <w:vAlign w:val="bottom"/>
          </w:tcPr>
          <w:p>
            <w:pPr>
              <w:spacing w:after="0"/>
              <w:rPr>
                <w:sz w:val="18"/>
                <w:szCs w:val="18"/>
                <w:color w:val="auto"/>
              </w:rPr>
            </w:pPr>
          </w:p>
        </w:tc>
        <w:tc>
          <w:tcPr>
            <w:tcW w:w="1420" w:type="dxa"/>
            <w:vAlign w:val="bottom"/>
          </w:tcPr>
          <w:p>
            <w:pPr>
              <w:jc w:val="right"/>
              <w:ind w:right="45"/>
              <w:spacing w:after="0" w:line="216" w:lineRule="exact"/>
              <w:rPr>
                <w:sz w:val="20"/>
                <w:szCs w:val="20"/>
                <w:color w:val="auto"/>
              </w:rPr>
            </w:pPr>
            <w:r>
              <w:rPr>
                <w:rFonts w:ascii="Times New Roman" w:cs="Times New Roman" w:eastAsia="Times New Roman" w:hAnsi="Times New Roman"/>
                <w:sz w:val="19"/>
                <w:szCs w:val="19"/>
                <w:color w:val="auto"/>
              </w:rPr>
              <w:t>140,379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25"/>
              <w:spacing w:after="0" w:line="216" w:lineRule="exact"/>
              <w:rPr>
                <w:sz w:val="20"/>
                <w:szCs w:val="20"/>
                <w:color w:val="auto"/>
              </w:rPr>
            </w:pPr>
            <w:r>
              <w:rPr>
                <w:rFonts w:ascii="Times New Roman" w:cs="Times New Roman" w:eastAsia="Times New Roman" w:hAnsi="Times New Roman"/>
                <w:sz w:val="19"/>
                <w:szCs w:val="19"/>
                <w:color w:val="auto"/>
              </w:rPr>
              <w:t>140,198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45"/>
              <w:spacing w:after="0" w:line="216" w:lineRule="exact"/>
              <w:rPr>
                <w:sz w:val="20"/>
                <w:szCs w:val="20"/>
                <w:color w:val="auto"/>
              </w:rPr>
            </w:pPr>
            <w:r>
              <w:rPr>
                <w:rFonts w:ascii="Times New Roman" w:cs="Times New Roman" w:eastAsia="Times New Roman" w:hAnsi="Times New Roman"/>
                <w:sz w:val="19"/>
                <w:szCs w:val="19"/>
                <w:color w:val="auto"/>
              </w:rPr>
              <w:t>709,207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5"/>
              <w:spacing w:after="0" w:line="216" w:lineRule="exact"/>
              <w:rPr>
                <w:sz w:val="20"/>
                <w:szCs w:val="20"/>
                <w:color w:val="auto"/>
              </w:rPr>
            </w:pPr>
            <w:r>
              <w:rPr>
                <w:rFonts w:ascii="Times New Roman" w:cs="Times New Roman" w:eastAsia="Times New Roman" w:hAnsi="Times New Roman"/>
                <w:sz w:val="19"/>
                <w:szCs w:val="19"/>
                <w:color w:val="auto"/>
              </w:rPr>
              <w:t>709,078</w:t>
            </w:r>
          </w:p>
        </w:tc>
        <w:tc>
          <w:tcPr>
            <w:tcW w:w="0" w:type="dxa"/>
            <w:vAlign w:val="bottom"/>
          </w:tcPr>
          <w:p>
            <w:pPr>
              <w:spacing w:after="0"/>
              <w:rPr>
                <w:sz w:val="1"/>
                <w:szCs w:val="1"/>
                <w:color w:val="auto"/>
              </w:rPr>
            </w:pPr>
          </w:p>
        </w:tc>
      </w:tr>
      <w:tr>
        <w:trPr>
          <w:trHeight w:val="216"/>
        </w:trPr>
        <w:tc>
          <w:tcPr>
            <w:tcW w:w="4540" w:type="dxa"/>
            <w:vAlign w:val="bottom"/>
          </w:tcPr>
          <w:p>
            <w:pPr>
              <w:ind w:left="320"/>
              <w:spacing w:after="0" w:line="216" w:lineRule="exact"/>
              <w:rPr>
                <w:sz w:val="20"/>
                <w:szCs w:val="20"/>
                <w:color w:val="auto"/>
              </w:rPr>
            </w:pPr>
            <w:r>
              <w:rPr>
                <w:rFonts w:ascii="Times New Roman" w:cs="Times New Roman" w:eastAsia="Times New Roman" w:hAnsi="Times New Roman"/>
                <w:sz w:val="19"/>
                <w:szCs w:val="19"/>
                <w:color w:val="auto"/>
              </w:rPr>
              <w:t>U.S. government agency securities</w:t>
            </w:r>
          </w:p>
        </w:tc>
        <w:tc>
          <w:tcPr>
            <w:tcW w:w="180" w:type="dxa"/>
            <w:vAlign w:val="bottom"/>
          </w:tcPr>
          <w:p>
            <w:pPr>
              <w:spacing w:after="0"/>
              <w:rPr>
                <w:sz w:val="18"/>
                <w:szCs w:val="18"/>
                <w:color w:val="auto"/>
              </w:rPr>
            </w:pPr>
          </w:p>
        </w:tc>
        <w:tc>
          <w:tcPr>
            <w:tcW w:w="1420" w:type="dxa"/>
            <w:vAlign w:val="bottom"/>
          </w:tcPr>
          <w:p>
            <w:pPr>
              <w:jc w:val="right"/>
              <w:ind w:right="45"/>
              <w:spacing w:after="0" w:line="216" w:lineRule="exact"/>
              <w:rPr>
                <w:sz w:val="20"/>
                <w:szCs w:val="20"/>
                <w:color w:val="auto"/>
              </w:rPr>
            </w:pPr>
            <w:r>
              <w:rPr>
                <w:rFonts w:ascii="Times New Roman" w:cs="Times New Roman" w:eastAsia="Times New Roman" w:hAnsi="Times New Roman"/>
                <w:sz w:val="19"/>
                <w:szCs w:val="19"/>
                <w:color w:val="auto"/>
              </w:rPr>
              <w:t>26,057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25"/>
              <w:spacing w:after="0" w:line="216" w:lineRule="exact"/>
              <w:rPr>
                <w:sz w:val="20"/>
                <w:szCs w:val="20"/>
                <w:color w:val="auto"/>
              </w:rPr>
            </w:pPr>
            <w:r>
              <w:rPr>
                <w:rFonts w:ascii="Times New Roman" w:cs="Times New Roman" w:eastAsia="Times New Roman" w:hAnsi="Times New Roman"/>
                <w:sz w:val="19"/>
                <w:szCs w:val="19"/>
                <w:color w:val="auto"/>
              </w:rPr>
              <w:t>26,051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45"/>
              <w:spacing w:after="0" w:line="216" w:lineRule="exact"/>
              <w:rPr>
                <w:sz w:val="20"/>
                <w:szCs w:val="20"/>
                <w:color w:val="auto"/>
              </w:rPr>
            </w:pPr>
            <w:r>
              <w:rPr>
                <w:rFonts w:ascii="Times New Roman" w:cs="Times New Roman" w:eastAsia="Times New Roman" w:hAnsi="Times New Roman"/>
                <w:sz w:val="19"/>
                <w:szCs w:val="19"/>
                <w:color w:val="auto"/>
              </w:rPr>
              <w:t>23,369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5"/>
              <w:spacing w:after="0" w:line="216" w:lineRule="exact"/>
              <w:rPr>
                <w:sz w:val="20"/>
                <w:szCs w:val="20"/>
                <w:color w:val="auto"/>
              </w:rPr>
            </w:pPr>
            <w:r>
              <w:rPr>
                <w:rFonts w:ascii="Times New Roman" w:cs="Times New Roman" w:eastAsia="Times New Roman" w:hAnsi="Times New Roman"/>
                <w:sz w:val="19"/>
                <w:szCs w:val="19"/>
                <w:color w:val="auto"/>
              </w:rPr>
              <w:t>23,311</w:t>
            </w:r>
          </w:p>
        </w:tc>
        <w:tc>
          <w:tcPr>
            <w:tcW w:w="0" w:type="dxa"/>
            <w:vAlign w:val="bottom"/>
          </w:tcPr>
          <w:p>
            <w:pPr>
              <w:spacing w:after="0"/>
              <w:rPr>
                <w:sz w:val="1"/>
                <w:szCs w:val="1"/>
                <w:color w:val="auto"/>
              </w:rPr>
            </w:pPr>
          </w:p>
        </w:tc>
      </w:tr>
      <w:tr>
        <w:trPr>
          <w:trHeight w:val="216"/>
        </w:trPr>
        <w:tc>
          <w:tcPr>
            <w:tcW w:w="4540" w:type="dxa"/>
            <w:vAlign w:val="bottom"/>
          </w:tcPr>
          <w:p>
            <w:pPr>
              <w:ind w:left="320"/>
              <w:spacing w:after="0" w:line="216" w:lineRule="exact"/>
              <w:rPr>
                <w:sz w:val="20"/>
                <w:szCs w:val="20"/>
                <w:color w:val="auto"/>
              </w:rPr>
            </w:pPr>
            <w:r>
              <w:rPr>
                <w:rFonts w:ascii="Times New Roman" w:cs="Times New Roman" w:eastAsia="Times New Roman" w:hAnsi="Times New Roman"/>
                <w:sz w:val="19"/>
                <w:szCs w:val="19"/>
                <w:color w:val="auto"/>
              </w:rPr>
              <w:t>U.S. Treasuries</w:t>
            </w:r>
          </w:p>
        </w:tc>
        <w:tc>
          <w:tcPr>
            <w:tcW w:w="180" w:type="dxa"/>
            <w:vAlign w:val="bottom"/>
          </w:tcPr>
          <w:p>
            <w:pPr>
              <w:spacing w:after="0"/>
              <w:rPr>
                <w:sz w:val="18"/>
                <w:szCs w:val="18"/>
                <w:color w:val="auto"/>
              </w:rPr>
            </w:pPr>
          </w:p>
        </w:tc>
        <w:tc>
          <w:tcPr>
            <w:tcW w:w="1420" w:type="dxa"/>
            <w:vAlign w:val="bottom"/>
          </w:tcPr>
          <w:p>
            <w:pPr>
              <w:jc w:val="right"/>
              <w:ind w:right="25"/>
              <w:spacing w:after="0" w:line="216" w:lineRule="exact"/>
              <w:rPr>
                <w:sz w:val="20"/>
                <w:szCs w:val="20"/>
                <w:color w:val="auto"/>
              </w:rPr>
            </w:pPr>
            <w:r>
              <w:rPr>
                <w:rFonts w:ascii="Times New Roman" w:cs="Times New Roman" w:eastAsia="Times New Roman" w:hAnsi="Times New Roman"/>
                <w:sz w:val="19"/>
                <w:szCs w:val="19"/>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25"/>
              <w:spacing w:after="0" w:line="216" w:lineRule="exact"/>
              <w:rPr>
                <w:sz w:val="20"/>
                <w:szCs w:val="20"/>
                <w:color w:val="auto"/>
              </w:rPr>
            </w:pPr>
            <w:r>
              <w:rPr>
                <w:rFonts w:ascii="Times New Roman" w:cs="Times New Roman" w:eastAsia="Times New Roman" w:hAnsi="Times New Roman"/>
                <w:sz w:val="19"/>
                <w:szCs w:val="19"/>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45"/>
              <w:spacing w:after="0" w:line="216" w:lineRule="exact"/>
              <w:rPr>
                <w:sz w:val="20"/>
                <w:szCs w:val="20"/>
                <w:color w:val="auto"/>
              </w:rPr>
            </w:pPr>
            <w:r>
              <w:rPr>
                <w:rFonts w:ascii="Times New Roman" w:cs="Times New Roman" w:eastAsia="Times New Roman" w:hAnsi="Times New Roman"/>
                <w:sz w:val="19"/>
                <w:szCs w:val="19"/>
                <w:color w:val="auto"/>
              </w:rPr>
              <w:t>8,056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5"/>
              <w:spacing w:after="0" w:line="216" w:lineRule="exact"/>
              <w:rPr>
                <w:sz w:val="20"/>
                <w:szCs w:val="20"/>
                <w:color w:val="auto"/>
              </w:rPr>
            </w:pPr>
            <w:r>
              <w:rPr>
                <w:rFonts w:ascii="Times New Roman" w:cs="Times New Roman" w:eastAsia="Times New Roman" w:hAnsi="Times New Roman"/>
                <w:sz w:val="19"/>
                <w:szCs w:val="19"/>
                <w:color w:val="auto"/>
              </w:rPr>
              <w:t>8,043</w:t>
            </w:r>
          </w:p>
        </w:tc>
        <w:tc>
          <w:tcPr>
            <w:tcW w:w="0" w:type="dxa"/>
            <w:vAlign w:val="bottom"/>
          </w:tcPr>
          <w:p>
            <w:pPr>
              <w:spacing w:after="0"/>
              <w:rPr>
                <w:sz w:val="1"/>
                <w:szCs w:val="1"/>
                <w:color w:val="auto"/>
              </w:rPr>
            </w:pPr>
          </w:p>
        </w:tc>
      </w:tr>
      <w:tr>
        <w:trPr>
          <w:trHeight w:val="216"/>
        </w:trPr>
        <w:tc>
          <w:tcPr>
            <w:tcW w:w="45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Due 1 -10 years: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20"/>
              <w:spacing w:after="0" w:line="216" w:lineRule="exact"/>
              <w:rPr>
                <w:sz w:val="20"/>
                <w:szCs w:val="20"/>
                <w:color w:val="auto"/>
              </w:rPr>
            </w:pPr>
            <w:r>
              <w:rPr>
                <w:rFonts w:ascii="Times New Roman" w:cs="Times New Roman" w:eastAsia="Times New Roman" w:hAnsi="Times New Roman"/>
                <w:sz w:val="19"/>
                <w:szCs w:val="19"/>
                <w:color w:val="auto"/>
              </w:rPr>
              <w:t>Municipal securities</w:t>
            </w:r>
          </w:p>
        </w:tc>
        <w:tc>
          <w:tcPr>
            <w:tcW w:w="180" w:type="dxa"/>
            <w:vAlign w:val="bottom"/>
          </w:tcPr>
          <w:p>
            <w:pPr>
              <w:spacing w:after="0"/>
              <w:rPr>
                <w:sz w:val="18"/>
                <w:szCs w:val="18"/>
                <w:color w:val="auto"/>
              </w:rPr>
            </w:pPr>
          </w:p>
        </w:tc>
        <w:tc>
          <w:tcPr>
            <w:tcW w:w="1420" w:type="dxa"/>
            <w:vAlign w:val="bottom"/>
          </w:tcPr>
          <w:p>
            <w:pPr>
              <w:jc w:val="right"/>
              <w:ind w:right="45"/>
              <w:spacing w:after="0" w:line="216" w:lineRule="exact"/>
              <w:rPr>
                <w:sz w:val="20"/>
                <w:szCs w:val="20"/>
                <w:color w:val="auto"/>
              </w:rPr>
            </w:pPr>
            <w:r>
              <w:rPr>
                <w:rFonts w:ascii="Times New Roman" w:cs="Times New Roman" w:eastAsia="Times New Roman" w:hAnsi="Times New Roman"/>
                <w:sz w:val="19"/>
                <w:szCs w:val="19"/>
                <w:color w:val="auto"/>
              </w:rPr>
              <w:t>2,403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25"/>
              <w:spacing w:after="0" w:line="216" w:lineRule="exact"/>
              <w:rPr>
                <w:sz w:val="20"/>
                <w:szCs w:val="20"/>
                <w:color w:val="auto"/>
              </w:rPr>
            </w:pPr>
            <w:r>
              <w:rPr>
                <w:rFonts w:ascii="Times New Roman" w:cs="Times New Roman" w:eastAsia="Times New Roman" w:hAnsi="Times New Roman"/>
                <w:sz w:val="19"/>
                <w:szCs w:val="19"/>
                <w:color w:val="auto"/>
              </w:rPr>
              <w:t>2,394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45"/>
              <w:spacing w:after="0" w:line="216" w:lineRule="exact"/>
              <w:rPr>
                <w:sz w:val="20"/>
                <w:szCs w:val="20"/>
                <w:color w:val="auto"/>
              </w:rPr>
            </w:pPr>
            <w:r>
              <w:rPr>
                <w:rFonts w:ascii="Times New Roman" w:cs="Times New Roman" w:eastAsia="Times New Roman" w:hAnsi="Times New Roman"/>
                <w:sz w:val="19"/>
                <w:szCs w:val="19"/>
                <w:color w:val="auto"/>
              </w:rPr>
              <w:t>11,071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5"/>
              <w:spacing w:after="0" w:line="216" w:lineRule="exact"/>
              <w:rPr>
                <w:sz w:val="20"/>
                <w:szCs w:val="20"/>
                <w:color w:val="auto"/>
              </w:rPr>
            </w:pPr>
            <w:r>
              <w:rPr>
                <w:rFonts w:ascii="Times New Roman" w:cs="Times New Roman" w:eastAsia="Times New Roman" w:hAnsi="Times New Roman"/>
                <w:sz w:val="19"/>
                <w:szCs w:val="19"/>
                <w:color w:val="auto"/>
              </w:rPr>
              <w:t>11,063</w:t>
            </w:r>
          </w:p>
        </w:tc>
        <w:tc>
          <w:tcPr>
            <w:tcW w:w="0" w:type="dxa"/>
            <w:vAlign w:val="bottom"/>
          </w:tcPr>
          <w:p>
            <w:pPr>
              <w:spacing w:after="0"/>
              <w:rPr>
                <w:sz w:val="1"/>
                <w:szCs w:val="1"/>
                <w:color w:val="auto"/>
              </w:rPr>
            </w:pPr>
          </w:p>
        </w:tc>
      </w:tr>
      <w:tr>
        <w:trPr>
          <w:trHeight w:val="216"/>
        </w:trPr>
        <w:tc>
          <w:tcPr>
            <w:tcW w:w="4540" w:type="dxa"/>
            <w:vAlign w:val="bottom"/>
          </w:tcPr>
          <w:p>
            <w:pPr>
              <w:ind w:left="320"/>
              <w:spacing w:after="0" w:line="216" w:lineRule="exact"/>
              <w:rPr>
                <w:sz w:val="20"/>
                <w:szCs w:val="20"/>
                <w:color w:val="auto"/>
              </w:rPr>
            </w:pPr>
            <w:r>
              <w:rPr>
                <w:rFonts w:ascii="Times New Roman" w:cs="Times New Roman" w:eastAsia="Times New Roman" w:hAnsi="Times New Roman"/>
                <w:sz w:val="19"/>
                <w:szCs w:val="19"/>
                <w:color w:val="auto"/>
              </w:rPr>
              <w:t>U.S. government agency securities</w:t>
            </w:r>
          </w:p>
        </w:tc>
        <w:tc>
          <w:tcPr>
            <w:tcW w:w="180" w:type="dxa"/>
            <w:vAlign w:val="bottom"/>
          </w:tcPr>
          <w:p>
            <w:pPr>
              <w:spacing w:after="0"/>
              <w:rPr>
                <w:sz w:val="18"/>
                <w:szCs w:val="18"/>
                <w:color w:val="auto"/>
              </w:rPr>
            </w:pPr>
          </w:p>
        </w:tc>
        <w:tc>
          <w:tcPr>
            <w:tcW w:w="1420" w:type="dxa"/>
            <w:vAlign w:val="bottom"/>
          </w:tcPr>
          <w:p>
            <w:pPr>
              <w:jc w:val="right"/>
              <w:ind w:right="25"/>
              <w:spacing w:after="0" w:line="216" w:lineRule="exact"/>
              <w:rPr>
                <w:sz w:val="20"/>
                <w:szCs w:val="20"/>
                <w:color w:val="auto"/>
              </w:rPr>
            </w:pPr>
            <w:r>
              <w:rPr>
                <w:rFonts w:ascii="Times New Roman" w:cs="Times New Roman" w:eastAsia="Times New Roman" w:hAnsi="Times New Roman"/>
                <w:sz w:val="19"/>
                <w:szCs w:val="19"/>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25"/>
              <w:spacing w:after="0" w:line="216" w:lineRule="exact"/>
              <w:rPr>
                <w:sz w:val="20"/>
                <w:szCs w:val="20"/>
                <w:color w:val="auto"/>
              </w:rPr>
            </w:pPr>
            <w:r>
              <w:rPr>
                <w:rFonts w:ascii="Times New Roman" w:cs="Times New Roman" w:eastAsia="Times New Roman" w:hAnsi="Times New Roman"/>
                <w:sz w:val="19"/>
                <w:szCs w:val="19"/>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45"/>
              <w:spacing w:after="0" w:line="216" w:lineRule="exact"/>
              <w:rPr>
                <w:sz w:val="20"/>
                <w:szCs w:val="20"/>
                <w:color w:val="auto"/>
              </w:rPr>
            </w:pPr>
            <w:r>
              <w:rPr>
                <w:rFonts w:ascii="Times New Roman" w:cs="Times New Roman" w:eastAsia="Times New Roman" w:hAnsi="Times New Roman"/>
                <w:sz w:val="19"/>
                <w:szCs w:val="19"/>
                <w:color w:val="auto"/>
              </w:rPr>
              <w:t>4,277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5"/>
              <w:spacing w:after="0" w:line="216" w:lineRule="exact"/>
              <w:rPr>
                <w:sz w:val="20"/>
                <w:szCs w:val="20"/>
                <w:color w:val="auto"/>
              </w:rPr>
            </w:pPr>
            <w:r>
              <w:rPr>
                <w:rFonts w:ascii="Times New Roman" w:cs="Times New Roman" w:eastAsia="Times New Roman" w:hAnsi="Times New Roman"/>
                <w:sz w:val="19"/>
                <w:szCs w:val="19"/>
                <w:color w:val="auto"/>
              </w:rPr>
              <w:t>4,252</w:t>
            </w:r>
          </w:p>
        </w:tc>
        <w:tc>
          <w:tcPr>
            <w:tcW w:w="0" w:type="dxa"/>
            <w:vAlign w:val="bottom"/>
          </w:tcPr>
          <w:p>
            <w:pPr>
              <w:spacing w:after="0"/>
              <w:rPr>
                <w:sz w:val="1"/>
                <w:szCs w:val="1"/>
                <w:color w:val="auto"/>
              </w:rPr>
            </w:pPr>
          </w:p>
        </w:tc>
      </w:tr>
      <w:tr>
        <w:trPr>
          <w:trHeight w:val="216"/>
        </w:trPr>
        <w:tc>
          <w:tcPr>
            <w:tcW w:w="4540" w:type="dxa"/>
            <w:vAlign w:val="bottom"/>
          </w:tcPr>
          <w:p>
            <w:pPr>
              <w:ind w:left="320"/>
              <w:spacing w:after="0" w:line="216" w:lineRule="exact"/>
              <w:rPr>
                <w:sz w:val="20"/>
                <w:szCs w:val="20"/>
                <w:color w:val="auto"/>
              </w:rPr>
            </w:pPr>
            <w:r>
              <w:rPr>
                <w:rFonts w:ascii="Times New Roman" w:cs="Times New Roman" w:eastAsia="Times New Roman" w:hAnsi="Times New Roman"/>
                <w:sz w:val="19"/>
                <w:szCs w:val="19"/>
                <w:color w:val="auto"/>
              </w:rPr>
              <w:t>Variable rate demand notes</w:t>
            </w:r>
          </w:p>
        </w:tc>
        <w:tc>
          <w:tcPr>
            <w:tcW w:w="180" w:type="dxa"/>
            <w:vAlign w:val="bottom"/>
          </w:tcPr>
          <w:p>
            <w:pPr>
              <w:spacing w:after="0"/>
              <w:rPr>
                <w:sz w:val="18"/>
                <w:szCs w:val="18"/>
                <w:color w:val="auto"/>
              </w:rPr>
            </w:pPr>
          </w:p>
        </w:tc>
        <w:tc>
          <w:tcPr>
            <w:tcW w:w="1420" w:type="dxa"/>
            <w:vAlign w:val="bottom"/>
          </w:tcPr>
          <w:p>
            <w:pPr>
              <w:jc w:val="right"/>
              <w:ind w:right="45"/>
              <w:spacing w:after="0" w:line="216" w:lineRule="exact"/>
              <w:rPr>
                <w:sz w:val="20"/>
                <w:szCs w:val="20"/>
                <w:color w:val="auto"/>
              </w:rPr>
            </w:pPr>
            <w:r>
              <w:rPr>
                <w:rFonts w:ascii="Times New Roman" w:cs="Times New Roman" w:eastAsia="Times New Roman" w:hAnsi="Times New Roman"/>
                <w:sz w:val="19"/>
                <w:szCs w:val="19"/>
                <w:color w:val="auto"/>
              </w:rPr>
              <w:t>3,917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25"/>
              <w:spacing w:after="0" w:line="216" w:lineRule="exact"/>
              <w:rPr>
                <w:sz w:val="20"/>
                <w:szCs w:val="20"/>
                <w:color w:val="auto"/>
              </w:rPr>
            </w:pPr>
            <w:r>
              <w:rPr>
                <w:rFonts w:ascii="Times New Roman" w:cs="Times New Roman" w:eastAsia="Times New Roman" w:hAnsi="Times New Roman"/>
                <w:sz w:val="19"/>
                <w:szCs w:val="19"/>
                <w:color w:val="auto"/>
              </w:rPr>
              <w:t>3,917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45"/>
              <w:spacing w:after="0" w:line="216" w:lineRule="exact"/>
              <w:rPr>
                <w:sz w:val="20"/>
                <w:szCs w:val="20"/>
                <w:color w:val="auto"/>
              </w:rPr>
            </w:pPr>
            <w:r>
              <w:rPr>
                <w:rFonts w:ascii="Times New Roman" w:cs="Times New Roman" w:eastAsia="Times New Roman" w:hAnsi="Times New Roman"/>
                <w:sz w:val="19"/>
                <w:szCs w:val="19"/>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5"/>
              <w:spacing w:after="0" w:line="216" w:lineRule="exact"/>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16"/>
        </w:trPr>
        <w:tc>
          <w:tcPr>
            <w:tcW w:w="45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Due 11 - 20 years: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20"/>
              <w:spacing w:after="0" w:line="216" w:lineRule="exact"/>
              <w:rPr>
                <w:sz w:val="20"/>
                <w:szCs w:val="20"/>
                <w:color w:val="auto"/>
              </w:rPr>
            </w:pPr>
            <w:r>
              <w:rPr>
                <w:rFonts w:ascii="Times New Roman" w:cs="Times New Roman" w:eastAsia="Times New Roman" w:hAnsi="Times New Roman"/>
                <w:sz w:val="19"/>
                <w:szCs w:val="19"/>
                <w:color w:val="auto"/>
              </w:rPr>
              <w:t>Variable rate demand notes</w:t>
            </w:r>
          </w:p>
        </w:tc>
        <w:tc>
          <w:tcPr>
            <w:tcW w:w="180" w:type="dxa"/>
            <w:vAlign w:val="bottom"/>
          </w:tcPr>
          <w:p>
            <w:pPr>
              <w:spacing w:after="0"/>
              <w:rPr>
                <w:sz w:val="18"/>
                <w:szCs w:val="18"/>
                <w:color w:val="auto"/>
              </w:rPr>
            </w:pPr>
          </w:p>
        </w:tc>
        <w:tc>
          <w:tcPr>
            <w:tcW w:w="1420" w:type="dxa"/>
            <w:vAlign w:val="bottom"/>
          </w:tcPr>
          <w:p>
            <w:pPr>
              <w:jc w:val="right"/>
              <w:ind w:right="45"/>
              <w:spacing w:after="0" w:line="216" w:lineRule="exact"/>
              <w:rPr>
                <w:sz w:val="20"/>
                <w:szCs w:val="20"/>
                <w:color w:val="auto"/>
              </w:rPr>
            </w:pPr>
            <w:r>
              <w:rPr>
                <w:rFonts w:ascii="Times New Roman" w:cs="Times New Roman" w:eastAsia="Times New Roman" w:hAnsi="Times New Roman"/>
                <w:sz w:val="19"/>
                <w:szCs w:val="19"/>
                <w:color w:val="auto"/>
              </w:rPr>
              <w:t>6,003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25"/>
              <w:spacing w:after="0" w:line="216" w:lineRule="exact"/>
              <w:rPr>
                <w:sz w:val="20"/>
                <w:szCs w:val="20"/>
                <w:color w:val="auto"/>
              </w:rPr>
            </w:pPr>
            <w:r>
              <w:rPr>
                <w:rFonts w:ascii="Times New Roman" w:cs="Times New Roman" w:eastAsia="Times New Roman" w:hAnsi="Times New Roman"/>
                <w:sz w:val="19"/>
                <w:szCs w:val="19"/>
                <w:color w:val="auto"/>
              </w:rPr>
              <w:t>6,003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45"/>
              <w:spacing w:after="0" w:line="216" w:lineRule="exact"/>
              <w:rPr>
                <w:sz w:val="20"/>
                <w:szCs w:val="20"/>
                <w:color w:val="auto"/>
              </w:rPr>
            </w:pPr>
            <w:r>
              <w:rPr>
                <w:rFonts w:ascii="Times New Roman" w:cs="Times New Roman" w:eastAsia="Times New Roman" w:hAnsi="Times New Roman"/>
                <w:sz w:val="19"/>
                <w:szCs w:val="19"/>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5"/>
              <w:spacing w:after="0" w:line="216" w:lineRule="exact"/>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16"/>
        </w:trPr>
        <w:tc>
          <w:tcPr>
            <w:tcW w:w="45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Due 21 - 30 years: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20"/>
              <w:spacing w:after="0" w:line="216" w:lineRule="exact"/>
              <w:rPr>
                <w:sz w:val="20"/>
                <w:szCs w:val="20"/>
                <w:color w:val="auto"/>
              </w:rPr>
            </w:pPr>
            <w:r>
              <w:rPr>
                <w:rFonts w:ascii="Times New Roman" w:cs="Times New Roman" w:eastAsia="Times New Roman" w:hAnsi="Times New Roman"/>
                <w:sz w:val="19"/>
                <w:szCs w:val="19"/>
                <w:color w:val="auto"/>
              </w:rPr>
              <w:t>Variable rate demand notes</w:t>
            </w:r>
          </w:p>
        </w:tc>
        <w:tc>
          <w:tcPr>
            <w:tcW w:w="180" w:type="dxa"/>
            <w:vAlign w:val="bottom"/>
          </w:tcPr>
          <w:p>
            <w:pPr>
              <w:spacing w:after="0"/>
              <w:rPr>
                <w:sz w:val="18"/>
                <w:szCs w:val="18"/>
                <w:color w:val="auto"/>
              </w:rPr>
            </w:pPr>
          </w:p>
        </w:tc>
        <w:tc>
          <w:tcPr>
            <w:tcW w:w="1420" w:type="dxa"/>
            <w:vAlign w:val="bottom"/>
          </w:tcPr>
          <w:p>
            <w:pPr>
              <w:jc w:val="right"/>
              <w:ind w:right="45"/>
              <w:spacing w:after="0" w:line="216" w:lineRule="exact"/>
              <w:rPr>
                <w:sz w:val="20"/>
                <w:szCs w:val="20"/>
                <w:color w:val="auto"/>
              </w:rPr>
            </w:pPr>
            <w:r>
              <w:rPr>
                <w:rFonts w:ascii="Times New Roman" w:cs="Times New Roman" w:eastAsia="Times New Roman" w:hAnsi="Times New Roman"/>
                <w:sz w:val="19"/>
                <w:szCs w:val="19"/>
                <w:color w:val="auto"/>
              </w:rPr>
              <w:t>4,003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25"/>
              <w:spacing w:after="0" w:line="216" w:lineRule="exact"/>
              <w:rPr>
                <w:sz w:val="20"/>
                <w:szCs w:val="20"/>
                <w:color w:val="auto"/>
              </w:rPr>
            </w:pPr>
            <w:r>
              <w:rPr>
                <w:rFonts w:ascii="Times New Roman" w:cs="Times New Roman" w:eastAsia="Times New Roman" w:hAnsi="Times New Roman"/>
                <w:sz w:val="19"/>
                <w:szCs w:val="19"/>
                <w:color w:val="auto"/>
              </w:rPr>
              <w:t>4,003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45"/>
              <w:spacing w:after="0" w:line="216" w:lineRule="exact"/>
              <w:rPr>
                <w:sz w:val="20"/>
                <w:szCs w:val="20"/>
                <w:color w:val="auto"/>
              </w:rPr>
            </w:pPr>
            <w:r>
              <w:rPr>
                <w:rFonts w:ascii="Times New Roman" w:cs="Times New Roman" w:eastAsia="Times New Roman" w:hAnsi="Times New Roman"/>
                <w:sz w:val="19"/>
                <w:szCs w:val="19"/>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5"/>
              <w:spacing w:after="0" w:line="216" w:lineRule="exact"/>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6"/>
        </w:trPr>
        <w:tc>
          <w:tcPr>
            <w:tcW w:w="4540" w:type="dxa"/>
            <w:vAlign w:val="bottom"/>
            <w:vMerge w:val="restart"/>
          </w:tcPr>
          <w:p>
            <w:pPr>
              <w:ind w:left="140"/>
              <w:spacing w:after="0"/>
              <w:rPr>
                <w:sz w:val="20"/>
                <w:szCs w:val="20"/>
                <w:color w:val="auto"/>
              </w:rPr>
            </w:pPr>
            <w:r>
              <w:rPr>
                <w:rFonts w:ascii="Times New Roman" w:cs="Times New Roman" w:eastAsia="Times New Roman" w:hAnsi="Times New Roman"/>
                <w:sz w:val="19"/>
                <w:szCs w:val="19"/>
                <w:color w:val="auto"/>
              </w:rPr>
              <w:t>Total</w:t>
            </w: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540" w:type="dxa"/>
            <w:vAlign w:val="bottom"/>
            <w:vMerge w:val="continue"/>
          </w:tcPr>
          <w:p>
            <w:pPr>
              <w:spacing w:after="0"/>
              <w:rPr>
                <w:sz w:val="18"/>
                <w:szCs w:val="18"/>
                <w:color w:val="auto"/>
              </w:rPr>
            </w:pPr>
          </w:p>
        </w:tc>
        <w:tc>
          <w:tcPr>
            <w:tcW w:w="18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w:t>
            </w:r>
          </w:p>
        </w:tc>
        <w:tc>
          <w:tcPr>
            <w:tcW w:w="1420" w:type="dxa"/>
            <w:vAlign w:val="bottom"/>
            <w:tcBorders>
              <w:bottom w:val="single" w:sz="8" w:color="auto"/>
            </w:tcBorders>
          </w:tcPr>
          <w:p>
            <w:pPr>
              <w:jc w:val="right"/>
              <w:ind w:right="45"/>
              <w:spacing w:after="0" w:line="210" w:lineRule="exact"/>
              <w:rPr>
                <w:sz w:val="20"/>
                <w:szCs w:val="20"/>
                <w:color w:val="auto"/>
              </w:rPr>
            </w:pPr>
            <w:r>
              <w:rPr>
                <w:rFonts w:ascii="Times New Roman" w:cs="Times New Roman" w:eastAsia="Times New Roman" w:hAnsi="Times New Roman"/>
                <w:sz w:val="19"/>
                <w:szCs w:val="19"/>
                <w:color w:val="auto"/>
              </w:rPr>
              <w:t>223,144</w:t>
            </w:r>
          </w:p>
        </w:tc>
        <w:tc>
          <w:tcPr>
            <w:tcW w:w="300" w:type="dxa"/>
            <w:vAlign w:val="bottom"/>
          </w:tcPr>
          <w:p>
            <w:pPr>
              <w:spacing w:after="0"/>
              <w:rPr>
                <w:sz w:val="18"/>
                <w:szCs w:val="18"/>
                <w:color w:val="auto"/>
              </w:rPr>
            </w:pPr>
          </w:p>
        </w:tc>
        <w:tc>
          <w:tcPr>
            <w:tcW w:w="24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tcPr>
          <w:p>
            <w:pPr>
              <w:jc w:val="right"/>
              <w:ind w:right="25"/>
              <w:spacing w:after="0" w:line="210" w:lineRule="exact"/>
              <w:rPr>
                <w:sz w:val="20"/>
                <w:szCs w:val="20"/>
                <w:color w:val="auto"/>
              </w:rPr>
            </w:pPr>
            <w:r>
              <w:rPr>
                <w:rFonts w:ascii="Times New Roman" w:cs="Times New Roman" w:eastAsia="Times New Roman" w:hAnsi="Times New Roman"/>
                <w:sz w:val="19"/>
                <w:szCs w:val="19"/>
                <w:color w:val="auto"/>
              </w:rPr>
              <w:t>222,948</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w:t>
            </w:r>
          </w:p>
        </w:tc>
        <w:tc>
          <w:tcPr>
            <w:tcW w:w="1400" w:type="dxa"/>
            <w:vAlign w:val="bottom"/>
            <w:tcBorders>
              <w:bottom w:val="single" w:sz="8" w:color="auto"/>
            </w:tcBorders>
          </w:tcPr>
          <w:p>
            <w:pPr>
              <w:jc w:val="right"/>
              <w:ind w:right="45"/>
              <w:spacing w:after="0" w:line="210" w:lineRule="exact"/>
              <w:rPr>
                <w:sz w:val="20"/>
                <w:szCs w:val="20"/>
                <w:color w:val="auto"/>
              </w:rPr>
            </w:pPr>
            <w:r>
              <w:rPr>
                <w:rFonts w:ascii="Times New Roman" w:cs="Times New Roman" w:eastAsia="Times New Roman" w:hAnsi="Times New Roman"/>
                <w:sz w:val="19"/>
                <w:szCs w:val="19"/>
                <w:color w:val="auto"/>
              </w:rPr>
              <w:t>759,958</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tcPr>
          <w:p>
            <w:pPr>
              <w:jc w:val="right"/>
              <w:ind w:right="45"/>
              <w:spacing w:after="0" w:line="210" w:lineRule="exact"/>
              <w:rPr>
                <w:sz w:val="20"/>
                <w:szCs w:val="20"/>
                <w:color w:val="auto"/>
              </w:rPr>
            </w:pPr>
            <w:r>
              <w:rPr>
                <w:rFonts w:ascii="Times New Roman" w:cs="Times New Roman" w:eastAsia="Times New Roman" w:hAnsi="Times New Roman"/>
                <w:sz w:val="19"/>
                <w:szCs w:val="19"/>
                <w:color w:val="auto"/>
              </w:rPr>
              <w:t>759,725</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recognized a net gain through earnings on its trading securities as follows for the years ended: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5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Gain (loss) on transfer from available-for-sale to trading</w:t>
            </w:r>
          </w:p>
        </w:tc>
        <w:tc>
          <w:tcPr>
            <w:tcW w:w="10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2016</w:t>
            </w:r>
          </w:p>
        </w:tc>
        <w:tc>
          <w:tcPr>
            <w:tcW w:w="34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2015</w:t>
            </w:r>
          </w:p>
        </w:tc>
        <w:tc>
          <w:tcPr>
            <w:tcW w:w="40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2014</w:t>
            </w:r>
          </w:p>
        </w:tc>
        <w:tc>
          <w:tcPr>
            <w:tcW w:w="0" w:type="dxa"/>
            <w:vAlign w:val="bottom"/>
          </w:tcPr>
          <w:p>
            <w:pPr>
              <w:spacing w:after="0"/>
              <w:rPr>
                <w:sz w:val="1"/>
                <w:szCs w:val="1"/>
                <w:color w:val="auto"/>
              </w:rPr>
            </w:pPr>
          </w:p>
        </w:tc>
      </w:tr>
      <w:tr>
        <w:trPr>
          <w:trHeight w:val="200"/>
        </w:trPr>
        <w:tc>
          <w:tcPr>
            <w:tcW w:w="5500" w:type="dxa"/>
            <w:vAlign w:val="bottom"/>
            <w:vMerge w:val="continue"/>
          </w:tcPr>
          <w:p>
            <w:pPr>
              <w:spacing w:after="0"/>
              <w:rPr>
                <w:sz w:val="17"/>
                <w:szCs w:val="17"/>
                <w:color w:val="auto"/>
              </w:rPr>
            </w:pPr>
          </w:p>
        </w:tc>
        <w:tc>
          <w:tcPr>
            <w:tcW w:w="1020" w:type="dxa"/>
            <w:vAlign w:val="bottom"/>
          </w:tcPr>
          <w:p>
            <w:pPr>
              <w:jc w:val="right"/>
              <w:ind w:right="721"/>
              <w:spacing w:after="0" w:line="200" w:lineRule="exact"/>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17"/>
                <w:szCs w:val="17"/>
                <w:color w:val="auto"/>
              </w:rPr>
            </w:pPr>
          </w:p>
        </w:tc>
        <w:tc>
          <w:tcPr>
            <w:tcW w:w="960" w:type="dxa"/>
            <w:vAlign w:val="bottom"/>
          </w:tcPr>
          <w:p>
            <w:pPr>
              <w:jc w:val="right"/>
              <w:ind w:right="661"/>
              <w:spacing w:after="0" w:line="200" w:lineRule="exact"/>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7"/>
                <w:szCs w:val="17"/>
                <w:color w:val="auto"/>
              </w:rPr>
            </w:pPr>
          </w:p>
        </w:tc>
        <w:tc>
          <w:tcPr>
            <w:tcW w:w="34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Gain on trading securities sold</w:t>
            </w:r>
          </w:p>
        </w:tc>
        <w:tc>
          <w:tcPr>
            <w:tcW w:w="102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250</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978</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(Loss) gain on trading securities held</w:t>
            </w:r>
          </w:p>
        </w:tc>
        <w:tc>
          <w:tcPr>
            <w:tcW w:w="102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w:t>
            </w:r>
          </w:p>
        </w:tc>
        <w:tc>
          <w:tcPr>
            <w:tcW w:w="0" w:type="dxa"/>
            <w:vAlign w:val="bottom"/>
          </w:tcPr>
          <w:p>
            <w:pPr>
              <w:spacing w:after="0"/>
              <w:rPr>
                <w:sz w:val="1"/>
                <w:szCs w:val="1"/>
                <w:color w:val="auto"/>
              </w:rPr>
            </w:pPr>
          </w:p>
        </w:tc>
      </w:tr>
      <w:tr>
        <w:trPr>
          <w:trHeight w:val="23"/>
        </w:trPr>
        <w:tc>
          <w:tcPr>
            <w:tcW w:w="55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Gain on trading securites</w:t>
            </w: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500" w:type="dxa"/>
            <w:vAlign w:val="bottom"/>
            <w:vMerge w:val="continue"/>
          </w:tcPr>
          <w:p>
            <w:pPr>
              <w:spacing w:after="0"/>
              <w:rPr>
                <w:sz w:val="19"/>
                <w:szCs w:val="19"/>
                <w:color w:val="auto"/>
              </w:rPr>
            </w:pPr>
          </w:p>
        </w:tc>
        <w:tc>
          <w:tcPr>
            <w:tcW w:w="1020" w:type="dxa"/>
            <w:vAlign w:val="bottom"/>
            <w:tcBorders>
              <w:bottom w:val="single" w:sz="8" w:color="auto"/>
            </w:tcBorders>
          </w:tcPr>
          <w:p>
            <w:pPr>
              <w:jc w:val="right"/>
              <w:ind w:right="7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34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19"/>
                <w:szCs w:val="19"/>
                <w:color w:val="auto"/>
              </w:rPr>
            </w:pPr>
          </w:p>
        </w:tc>
        <w:tc>
          <w:tcPr>
            <w:tcW w:w="960" w:type="dxa"/>
            <w:vAlign w:val="bottom"/>
            <w:tcBorders>
              <w:bottom w:val="single" w:sz="8" w:color="auto"/>
            </w:tcBorders>
          </w:tcPr>
          <w:p>
            <w:pPr>
              <w:jc w:val="right"/>
              <w:ind w:right="6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4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250</w:t>
            </w:r>
          </w:p>
        </w:tc>
        <w:tc>
          <w:tcPr>
            <w:tcW w:w="280" w:type="dxa"/>
            <w:vAlign w:val="bottom"/>
            <w:vMerge w:val="continue"/>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801</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40" w:hanging="632"/>
        <w:spacing w:after="0"/>
        <w:tabs>
          <w:tab w:leader="none" w:pos="6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FAIR VALUE OF CERTAIN FINANCIAL ASSETS AND LIABILITIES</w:t>
      </w:r>
    </w:p>
    <w:p>
      <w:pPr>
        <w:spacing w:after="0" w:line="22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FASB ASC 820 provides a framework for measuring fair value and requires expanded disclosures regarding fair value measurements. FASB ASC 820 defines fair value as the price that would be received to sell an asset or paid to transfer a liability in an orderly transaction between market participants at the measurement date. FASB ASC 820 also establishes a fair value hierarchy which requires an entity to maximize the use of observable inputs, where available. The three levels of inputs required by the standard that the Company uses to measure fair value are summarized below.</w:t>
      </w:r>
    </w:p>
    <w:p>
      <w:pPr>
        <w:spacing w:after="0" w:line="190" w:lineRule="exact"/>
        <w:rPr>
          <w:sz w:val="20"/>
          <w:szCs w:val="20"/>
          <w:color w:val="auto"/>
        </w:rPr>
      </w:pPr>
    </w:p>
    <w:p>
      <w:pPr>
        <w:ind w:left="620" w:hanging="288"/>
        <w:spacing w:after="0"/>
        <w:tabs>
          <w:tab w:leader="none" w:pos="6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Level 1: </w:t>
      </w:r>
      <w:r>
        <w:rPr>
          <w:rFonts w:ascii="Times New Roman" w:cs="Times New Roman" w:eastAsia="Times New Roman" w:hAnsi="Times New Roman"/>
          <w:sz w:val="20"/>
          <w:szCs w:val="20"/>
          <w:color w:val="auto"/>
        </w:rPr>
        <w:t>Quoted prices in active markets for identical assets or liabilities.</w:t>
      </w:r>
    </w:p>
    <w:p>
      <w:pPr>
        <w:spacing w:after="0" w:line="229" w:lineRule="exact"/>
        <w:rPr>
          <w:rFonts w:ascii="Times New Roman" w:cs="Times New Roman" w:eastAsia="Times New Roman" w:hAnsi="Times New Roman"/>
          <w:sz w:val="20"/>
          <w:szCs w:val="20"/>
          <w:color w:val="auto"/>
        </w:rPr>
      </w:pPr>
    </w:p>
    <w:p>
      <w:pPr>
        <w:jc w:val="both"/>
        <w:ind w:left="660" w:hanging="328"/>
        <w:spacing w:after="0" w:line="256" w:lineRule="auto"/>
        <w:tabs>
          <w:tab w:leader="none" w:pos="642"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Level 2: </w:t>
      </w:r>
      <w:r>
        <w:rPr>
          <w:rFonts w:ascii="Times New Roman" w:cs="Times New Roman" w:eastAsia="Times New Roman" w:hAnsi="Times New Roman"/>
          <w:sz w:val="20"/>
          <w:szCs w:val="20"/>
          <w:color w:val="auto"/>
        </w:rPr>
        <w:t>Observable inputs other than Level 1 prices, such as quoted prices for similar assets or liabilities; quoted prices in markets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are not active; or other inputs that are observable or can be corroborated by observable market data for substantially the full term of the related assets or liabilities.</w:t>
      </w:r>
    </w:p>
    <w:p>
      <w:pPr>
        <w:spacing w:after="0" w:line="182" w:lineRule="exact"/>
        <w:rPr>
          <w:rFonts w:ascii="Times New Roman" w:cs="Times New Roman" w:eastAsia="Times New Roman" w:hAnsi="Times New Roman"/>
          <w:sz w:val="20"/>
          <w:szCs w:val="20"/>
          <w:color w:val="auto"/>
        </w:rPr>
      </w:pPr>
    </w:p>
    <w:p>
      <w:pPr>
        <w:ind w:left="660" w:hanging="328"/>
        <w:spacing w:after="0" w:line="273" w:lineRule="auto"/>
        <w:tabs>
          <w:tab w:leader="none" w:pos="709"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Level 3: </w:t>
      </w:r>
      <w:r>
        <w:rPr>
          <w:rFonts w:ascii="Times New Roman" w:cs="Times New Roman" w:eastAsia="Times New Roman" w:hAnsi="Times New Roman"/>
          <w:sz w:val="20"/>
          <w:szCs w:val="20"/>
          <w:color w:val="auto"/>
        </w:rPr>
        <w:t>Unobservable inputs that are supported by little or no market activity and that are significant to the fair value of the assets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liabilities.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FASB ASC 820 requires the use of observable market inputs (quoted market prices) when measuring fair value and requires a Level 1 quoted price to be used to measure fair value whenever possible.</w:t>
      </w:r>
    </w:p>
    <w:p>
      <w:pPr>
        <w:spacing w:after="0" w:line="17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following tables present the Company’s financial assets that are recorded at fair value on a recurring basis, segregated among the appropriate levels within the fair value hierarchy at: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December 31, 2016</w:t>
            </w:r>
          </w:p>
        </w:tc>
        <w:tc>
          <w:tcPr>
            <w:tcW w:w="17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Level 1</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rPr>
              <w:t>Level 2</w:t>
            </w:r>
          </w:p>
        </w:tc>
        <w:tc>
          <w:tcPr>
            <w:tcW w:w="12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Level 3</w:t>
            </w:r>
          </w:p>
        </w:tc>
        <w:tc>
          <w:tcPr>
            <w:tcW w:w="7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color w:val="auto"/>
              </w:rPr>
              <w:t>Total</w:t>
            </w:r>
          </w:p>
        </w:tc>
      </w:tr>
      <w:tr>
        <w:trPr>
          <w:trHeight w:val="200"/>
        </w:trPr>
        <w:tc>
          <w:tcPr>
            <w:tcW w:w="368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rPr>
              <w:t>Cash</w:t>
            </w:r>
          </w:p>
        </w:tc>
        <w:tc>
          <w:tcPr>
            <w:tcW w:w="172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278,972</w:t>
            </w:r>
          </w:p>
        </w:tc>
        <w:tc>
          <w:tcPr>
            <w:tcW w:w="36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961"/>
              <w:spacing w:after="0" w:line="200"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ind w:left="160"/>
              <w:spacing w:after="0" w:line="200" w:lineRule="exact"/>
              <w:rPr>
                <w:sz w:val="20"/>
                <w:szCs w:val="20"/>
                <w:color w:val="auto"/>
              </w:rPr>
            </w:pPr>
            <w:r>
              <w:rPr>
                <w:rFonts w:ascii="Times New Roman" w:cs="Times New Roman" w:eastAsia="Times New Roman" w:hAnsi="Times New Roman"/>
                <w:sz w:val="20"/>
                <w:szCs w:val="20"/>
                <w:color w:val="auto"/>
              </w:rPr>
              <w:t>-  $</w:t>
            </w:r>
          </w:p>
        </w:tc>
        <w:tc>
          <w:tcPr>
            <w:tcW w:w="118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278,972</w:t>
            </w:r>
          </w:p>
        </w:tc>
      </w:tr>
      <w:tr>
        <w:trPr>
          <w:trHeight w:val="230"/>
        </w:trPr>
        <w:tc>
          <w:tcPr>
            <w:tcW w:w="3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Money market funds</w:t>
            </w:r>
          </w:p>
        </w:tc>
        <w:tc>
          <w:tcPr>
            <w:tcW w:w="172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76,112</w:t>
            </w:r>
          </w:p>
        </w:tc>
        <w:tc>
          <w:tcPr>
            <w:tcW w:w="360" w:type="dxa"/>
            <w:vAlign w:val="bottom"/>
          </w:tcPr>
          <w:p>
            <w:pPr>
              <w:spacing w:after="0"/>
              <w:rPr>
                <w:sz w:val="19"/>
                <w:szCs w:val="19"/>
                <w:color w:val="auto"/>
              </w:rPr>
            </w:pP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spacing w:after="0"/>
              <w:rPr>
                <w:sz w:val="19"/>
                <w:szCs w:val="19"/>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76,112</w:t>
            </w:r>
          </w:p>
        </w:tc>
      </w:tr>
      <w:tr>
        <w:trPr>
          <w:trHeight w:val="230"/>
        </w:trPr>
        <w:tc>
          <w:tcPr>
            <w:tcW w:w="3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Commercial paper</w:t>
            </w:r>
          </w:p>
        </w:tc>
        <w:tc>
          <w:tcPr>
            <w:tcW w:w="172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19"/>
                <w:szCs w:val="19"/>
                <w:color w:val="auto"/>
              </w:rPr>
            </w:pP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47,855</w:t>
            </w:r>
          </w:p>
        </w:tc>
        <w:tc>
          <w:tcPr>
            <w:tcW w:w="1260" w:type="dxa"/>
            <w:vAlign w:val="bottom"/>
          </w:tcPr>
          <w:p>
            <w:pPr>
              <w:spacing w:after="0"/>
              <w:rPr>
                <w:sz w:val="19"/>
                <w:szCs w:val="19"/>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47,855</w:t>
            </w:r>
          </w:p>
        </w:tc>
      </w:tr>
      <w:tr>
        <w:trPr>
          <w:trHeight w:val="258"/>
        </w:trPr>
        <w:tc>
          <w:tcPr>
            <w:tcW w:w="3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Variable rate demand notes</w:t>
            </w:r>
          </w:p>
        </w:tc>
        <w:tc>
          <w:tcPr>
            <w:tcW w:w="1720" w:type="dxa"/>
            <w:vAlign w:val="bottom"/>
          </w:tcPr>
          <w:p>
            <w:pPr>
              <w:spacing w:after="0"/>
              <w:rPr>
                <w:sz w:val="22"/>
                <w:szCs w:val="22"/>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13,923</w:t>
            </w:r>
          </w:p>
        </w:tc>
        <w:tc>
          <w:tcPr>
            <w:tcW w:w="12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13,923</w:t>
            </w:r>
          </w:p>
        </w:tc>
      </w:tr>
    </w:tbl>
    <w:p>
      <w:pPr>
        <w:sectPr>
          <w:pgSz w:w="11900" w:h="16849" w:orient="portrait"/>
          <w:cols w:equalWidth="0" w:num="1">
            <w:col w:w="11420"/>
          </w:cols>
          <w:pgMar w:left="240" w:top="364" w:right="239" w:bottom="0" w:gutter="0" w:footer="0" w:header="0"/>
        </w:sectPr>
      </w:pPr>
    </w:p>
    <w:bookmarkStart w:id="61" w:name="page62"/>
    <w:bookmarkEnd w:id="61"/>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Municipal securities</w:t>
            </w:r>
          </w:p>
        </w:tc>
        <w:tc>
          <w:tcPr>
            <w:tcW w:w="24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157,617</w:t>
            </w:r>
          </w:p>
        </w:tc>
        <w:tc>
          <w:tcPr>
            <w:tcW w:w="124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157,617</w:t>
            </w: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U.S. government agency securities</w:t>
            </w:r>
          </w:p>
        </w:tc>
        <w:tc>
          <w:tcPr>
            <w:tcW w:w="24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26,051</w:t>
            </w:r>
          </w:p>
        </w:tc>
        <w:tc>
          <w:tcPr>
            <w:tcW w:w="124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26,051</w:t>
            </w: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Foreign currency derivatives</w:t>
            </w:r>
          </w:p>
        </w:tc>
        <w:tc>
          <w:tcPr>
            <w:tcW w:w="24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(528)</w:t>
            </w:r>
          </w:p>
        </w:tc>
        <w:tc>
          <w:tcPr>
            <w:tcW w:w="124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(528)</w:t>
            </w:r>
          </w:p>
        </w:tc>
        <w:tc>
          <w:tcPr>
            <w:tcW w:w="0" w:type="dxa"/>
            <w:vAlign w:val="bottom"/>
          </w:tcPr>
          <w:p>
            <w:pPr>
              <w:spacing w:after="0"/>
              <w:rPr>
                <w:sz w:val="1"/>
                <w:szCs w:val="1"/>
                <w:color w:val="auto"/>
              </w:rPr>
            </w:pPr>
          </w:p>
        </w:tc>
      </w:tr>
      <w:tr>
        <w:trPr>
          <w:trHeight w:val="23"/>
        </w:trPr>
        <w:tc>
          <w:tcPr>
            <w:tcW w:w="516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Total</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160" w:type="dxa"/>
            <w:vAlign w:val="bottom"/>
            <w:vMerge w:val="continue"/>
          </w:tcPr>
          <w:p>
            <w:pPr>
              <w:spacing w:after="0"/>
              <w:rPr>
                <w:sz w:val="19"/>
                <w:szCs w:val="19"/>
                <w:color w:val="auto"/>
              </w:rPr>
            </w:pPr>
          </w:p>
        </w:tc>
        <w:tc>
          <w:tcPr>
            <w:tcW w:w="2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355,084</w:t>
            </w:r>
          </w:p>
        </w:tc>
        <w:tc>
          <w:tcPr>
            <w:tcW w:w="36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244,918</w:t>
            </w:r>
          </w:p>
        </w:tc>
        <w:tc>
          <w:tcPr>
            <w:tcW w:w="1240" w:type="dxa"/>
            <w:vAlign w:val="bottom"/>
            <w:tcBorders>
              <w:bottom w:val="single" w:sz="8" w:color="auto"/>
            </w:tcBorders>
          </w:tcPr>
          <w:p>
            <w:pPr>
              <w:jc w:val="right"/>
              <w:ind w:right="9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34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38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600,002</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Amounts included in:</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1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355,084</w:t>
            </w:r>
          </w:p>
        </w:tc>
        <w:tc>
          <w:tcPr>
            <w:tcW w:w="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22,498</w:t>
            </w:r>
          </w:p>
        </w:tc>
        <w:tc>
          <w:tcPr>
            <w:tcW w:w="1240" w:type="dxa"/>
            <w:vAlign w:val="bottom"/>
          </w:tcPr>
          <w:p>
            <w:pPr>
              <w:jc w:val="right"/>
              <w:ind w:right="961"/>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377,582</w:t>
            </w: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Short-term investments</w:t>
            </w:r>
          </w:p>
        </w:tc>
        <w:tc>
          <w:tcPr>
            <w:tcW w:w="24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220,554</w:t>
            </w:r>
          </w:p>
        </w:tc>
        <w:tc>
          <w:tcPr>
            <w:tcW w:w="124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220,554</w:t>
            </w: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Accounts receivable, net</w:t>
            </w:r>
          </w:p>
        </w:tc>
        <w:tc>
          <w:tcPr>
            <w:tcW w:w="24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236</w:t>
            </w:r>
          </w:p>
        </w:tc>
        <w:tc>
          <w:tcPr>
            <w:tcW w:w="124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236</w:t>
            </w: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Investments</w:t>
            </w:r>
          </w:p>
        </w:tc>
        <w:tc>
          <w:tcPr>
            <w:tcW w:w="24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2,394</w:t>
            </w:r>
          </w:p>
        </w:tc>
        <w:tc>
          <w:tcPr>
            <w:tcW w:w="124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2,394</w:t>
            </w: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Accrued liabilities</w:t>
            </w:r>
          </w:p>
        </w:tc>
        <w:tc>
          <w:tcPr>
            <w:tcW w:w="24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(764)</w:t>
            </w:r>
          </w:p>
        </w:tc>
        <w:tc>
          <w:tcPr>
            <w:tcW w:w="124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(764)</w:t>
            </w:r>
          </w:p>
        </w:tc>
        <w:tc>
          <w:tcPr>
            <w:tcW w:w="0" w:type="dxa"/>
            <w:vAlign w:val="bottom"/>
          </w:tcPr>
          <w:p>
            <w:pPr>
              <w:spacing w:after="0"/>
              <w:rPr>
                <w:sz w:val="1"/>
                <w:szCs w:val="1"/>
                <w:color w:val="auto"/>
              </w:rPr>
            </w:pPr>
          </w:p>
        </w:tc>
      </w:tr>
      <w:tr>
        <w:trPr>
          <w:trHeight w:val="23"/>
        </w:trPr>
        <w:tc>
          <w:tcPr>
            <w:tcW w:w="516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Total</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160" w:type="dxa"/>
            <w:vAlign w:val="bottom"/>
            <w:vMerge w:val="continue"/>
          </w:tcPr>
          <w:p>
            <w:pPr>
              <w:spacing w:after="0"/>
              <w:rPr>
                <w:sz w:val="19"/>
                <w:szCs w:val="19"/>
                <w:color w:val="auto"/>
              </w:rPr>
            </w:pPr>
          </w:p>
        </w:tc>
        <w:tc>
          <w:tcPr>
            <w:tcW w:w="2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355,084</w:t>
            </w:r>
          </w:p>
        </w:tc>
        <w:tc>
          <w:tcPr>
            <w:tcW w:w="36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244,918</w:t>
            </w:r>
          </w:p>
        </w:tc>
        <w:tc>
          <w:tcPr>
            <w:tcW w:w="1240" w:type="dxa"/>
            <w:vAlign w:val="bottom"/>
            <w:tcBorders>
              <w:bottom w:val="single" w:sz="8" w:color="auto"/>
            </w:tcBorders>
          </w:tcPr>
          <w:p>
            <w:pPr>
              <w:jc w:val="right"/>
              <w:ind w:right="9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34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38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600,002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December 31, 2015</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Level 1</w:t>
            </w: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rPr>
              <w:t>Level 2</w:t>
            </w:r>
          </w:p>
        </w:tc>
        <w:tc>
          <w:tcPr>
            <w:tcW w:w="1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Level 3</w:t>
            </w: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color w:val="auto"/>
              </w:rPr>
              <w:t>Total</w:t>
            </w:r>
          </w:p>
        </w:tc>
        <w:tc>
          <w:tcPr>
            <w:tcW w:w="0" w:type="dxa"/>
            <w:vAlign w:val="bottom"/>
          </w:tcPr>
          <w:p>
            <w:pPr>
              <w:spacing w:after="0"/>
              <w:rPr>
                <w:sz w:val="1"/>
                <w:szCs w:val="1"/>
                <w:color w:val="auto"/>
              </w:rPr>
            </w:pPr>
          </w:p>
        </w:tc>
      </w:tr>
      <w:tr>
        <w:trPr>
          <w:trHeight w:val="200"/>
        </w:trPr>
        <w:tc>
          <w:tcPr>
            <w:tcW w:w="516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rPr>
              <w:t>Cash</w:t>
            </w:r>
          </w:p>
        </w:tc>
        <w:tc>
          <w:tcPr>
            <w:tcW w:w="24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255,723</w:t>
            </w:r>
          </w:p>
        </w:tc>
        <w:tc>
          <w:tcPr>
            <w:tcW w:w="36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961"/>
              <w:spacing w:after="0" w:line="200" w:lineRule="exact"/>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ind w:right="8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255,723</w:t>
            </w: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Money market funds</w:t>
            </w:r>
          </w:p>
        </w:tc>
        <w:tc>
          <w:tcPr>
            <w:tcW w:w="24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664,005</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664,005</w:t>
            </w: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Certificates of deposit</w:t>
            </w:r>
          </w:p>
        </w:tc>
        <w:tc>
          <w:tcPr>
            <w:tcW w:w="24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85,007</w:t>
            </w:r>
          </w:p>
        </w:tc>
        <w:tc>
          <w:tcPr>
            <w:tcW w:w="124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85,007</w:t>
            </w: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Commercial paper</w:t>
            </w:r>
          </w:p>
        </w:tc>
        <w:tc>
          <w:tcPr>
            <w:tcW w:w="24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430,605</w:t>
            </w:r>
          </w:p>
        </w:tc>
        <w:tc>
          <w:tcPr>
            <w:tcW w:w="124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430,605</w:t>
            </w: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U.S. Treasuries</w:t>
            </w:r>
          </w:p>
        </w:tc>
        <w:tc>
          <w:tcPr>
            <w:tcW w:w="24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260,035</w:t>
            </w:r>
          </w:p>
        </w:tc>
        <w:tc>
          <w:tcPr>
            <w:tcW w:w="124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260,035</w:t>
            </w: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Municipal securities</w:t>
            </w:r>
          </w:p>
        </w:tc>
        <w:tc>
          <w:tcPr>
            <w:tcW w:w="24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731,744</w:t>
            </w:r>
          </w:p>
        </w:tc>
        <w:tc>
          <w:tcPr>
            <w:tcW w:w="124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731,744</w:t>
            </w: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U.S. government agency securities</w:t>
            </w:r>
          </w:p>
        </w:tc>
        <w:tc>
          <w:tcPr>
            <w:tcW w:w="24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508,256</w:t>
            </w:r>
          </w:p>
        </w:tc>
        <w:tc>
          <w:tcPr>
            <w:tcW w:w="124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508,256</w:t>
            </w: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Foreign currency derivatives</w:t>
            </w:r>
          </w:p>
        </w:tc>
        <w:tc>
          <w:tcPr>
            <w:tcW w:w="24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w:t>
            </w:r>
          </w:p>
        </w:tc>
        <w:tc>
          <w:tcPr>
            <w:tcW w:w="124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w:t>
            </w:r>
          </w:p>
        </w:tc>
        <w:tc>
          <w:tcPr>
            <w:tcW w:w="0" w:type="dxa"/>
            <w:vAlign w:val="bottom"/>
          </w:tcPr>
          <w:p>
            <w:pPr>
              <w:spacing w:after="0"/>
              <w:rPr>
                <w:sz w:val="1"/>
                <w:szCs w:val="1"/>
                <w:color w:val="auto"/>
              </w:rPr>
            </w:pPr>
          </w:p>
        </w:tc>
      </w:tr>
      <w:tr>
        <w:trPr>
          <w:trHeight w:val="23"/>
        </w:trPr>
        <w:tc>
          <w:tcPr>
            <w:tcW w:w="516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Total</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160" w:type="dxa"/>
            <w:vAlign w:val="bottom"/>
            <w:vMerge w:val="continue"/>
          </w:tcPr>
          <w:p>
            <w:pPr>
              <w:spacing w:after="0"/>
              <w:rPr>
                <w:sz w:val="19"/>
                <w:szCs w:val="19"/>
                <w:color w:val="auto"/>
              </w:rPr>
            </w:pPr>
          </w:p>
        </w:tc>
        <w:tc>
          <w:tcPr>
            <w:tcW w:w="2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919,728</w:t>
            </w:r>
          </w:p>
        </w:tc>
        <w:tc>
          <w:tcPr>
            <w:tcW w:w="36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2,015,430</w:t>
            </w:r>
          </w:p>
        </w:tc>
        <w:tc>
          <w:tcPr>
            <w:tcW w:w="1240" w:type="dxa"/>
            <w:vAlign w:val="bottom"/>
            <w:tcBorders>
              <w:bottom w:val="single" w:sz="8" w:color="auto"/>
            </w:tcBorders>
          </w:tcPr>
          <w:p>
            <w:pPr>
              <w:jc w:val="right"/>
              <w:ind w:right="9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34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38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2,935,158</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Amounts included in:</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1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919,728</w:t>
            </w:r>
          </w:p>
        </w:tc>
        <w:tc>
          <w:tcPr>
            <w:tcW w:w="3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1,255,689</w:t>
            </w:r>
          </w:p>
        </w:tc>
        <w:tc>
          <w:tcPr>
            <w:tcW w:w="1240" w:type="dxa"/>
            <w:vAlign w:val="bottom"/>
          </w:tcPr>
          <w:p>
            <w:pPr>
              <w:jc w:val="right"/>
              <w:ind w:right="961"/>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2,175,417</w:t>
            </w: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Short-term investments</w:t>
            </w:r>
          </w:p>
        </w:tc>
        <w:tc>
          <w:tcPr>
            <w:tcW w:w="24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744,610</w:t>
            </w:r>
          </w:p>
        </w:tc>
        <w:tc>
          <w:tcPr>
            <w:tcW w:w="124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744,610</w:t>
            </w: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Accounts receivable, net</w:t>
            </w:r>
          </w:p>
        </w:tc>
        <w:tc>
          <w:tcPr>
            <w:tcW w:w="24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371</w:t>
            </w:r>
          </w:p>
        </w:tc>
        <w:tc>
          <w:tcPr>
            <w:tcW w:w="124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371</w:t>
            </w: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Investments</w:t>
            </w:r>
          </w:p>
        </w:tc>
        <w:tc>
          <w:tcPr>
            <w:tcW w:w="24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15,348</w:t>
            </w:r>
          </w:p>
        </w:tc>
        <w:tc>
          <w:tcPr>
            <w:tcW w:w="124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15,348</w:t>
            </w: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Accrued liabilities</w:t>
            </w:r>
          </w:p>
        </w:tc>
        <w:tc>
          <w:tcPr>
            <w:tcW w:w="24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(588)</w:t>
            </w:r>
          </w:p>
        </w:tc>
        <w:tc>
          <w:tcPr>
            <w:tcW w:w="124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(588)</w:t>
            </w:r>
          </w:p>
        </w:tc>
        <w:tc>
          <w:tcPr>
            <w:tcW w:w="0" w:type="dxa"/>
            <w:vAlign w:val="bottom"/>
          </w:tcPr>
          <w:p>
            <w:pPr>
              <w:spacing w:after="0"/>
              <w:rPr>
                <w:sz w:val="1"/>
                <w:szCs w:val="1"/>
                <w:color w:val="auto"/>
              </w:rPr>
            </w:pPr>
          </w:p>
        </w:tc>
      </w:tr>
      <w:tr>
        <w:trPr>
          <w:trHeight w:val="23"/>
        </w:trPr>
        <w:tc>
          <w:tcPr>
            <w:tcW w:w="516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Total</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160" w:type="dxa"/>
            <w:vAlign w:val="bottom"/>
            <w:vMerge w:val="continue"/>
          </w:tcPr>
          <w:p>
            <w:pPr>
              <w:spacing w:after="0"/>
              <w:rPr>
                <w:sz w:val="19"/>
                <w:szCs w:val="19"/>
                <w:color w:val="auto"/>
              </w:rPr>
            </w:pPr>
          </w:p>
        </w:tc>
        <w:tc>
          <w:tcPr>
            <w:tcW w:w="2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919,728</w:t>
            </w:r>
          </w:p>
        </w:tc>
        <w:tc>
          <w:tcPr>
            <w:tcW w:w="36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2,015,430</w:t>
            </w:r>
          </w:p>
        </w:tc>
        <w:tc>
          <w:tcPr>
            <w:tcW w:w="1240" w:type="dxa"/>
            <w:vAlign w:val="bottom"/>
            <w:tcBorders>
              <w:bottom w:val="single" w:sz="8" w:color="auto"/>
            </w:tcBorders>
          </w:tcPr>
          <w:p>
            <w:pPr>
              <w:jc w:val="right"/>
              <w:ind w:right="9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34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38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2,935,158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All of the Company’s short-term investments are classified within Level 1 or Level 2 of the fair value hierarchy. The Company’s valuation of its Level 1 investments, which include money market funds, is based on quoted market prices in active markets for identical securities. The Company’s valuation of its Level 2 investments, which include municipal securities, commercial paper, U.S. Treasuries, certificates of deposit, VRDNs and U.S. government agency securities, is based on other observable inputs, specifically a market approach which utilizes valuation models, pricing systems,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mathematical tools and other relevant information for the same or similar securities. The Company’s valuation of its Level 2 foreign currency exchange contracts is based on quoted market prices of the same or similar instruments, adjusted for counterparty risk. There were no transfers between Level 1 and Level 2 measurements during the years ended December 31, 2016 and 2015, and there were no changes in the Company’s valuation techniques.</w:t>
      </w:r>
    </w:p>
    <w:p>
      <w:pPr>
        <w:spacing w:after="0" w:line="180" w:lineRule="exact"/>
        <w:rPr>
          <w:sz w:val="20"/>
          <w:szCs w:val="20"/>
          <w:color w:val="auto"/>
        </w:rPr>
      </w:pPr>
    </w:p>
    <w:p>
      <w:pPr>
        <w:ind w:left="640" w:hanging="632"/>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DERIVATIVE INSTRUMENTS AND HEDGING ACTIVITIES</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Company is exposed to foreign currency exchange rate risks related primarily to its foreign business operations. During the years ended December 31, 2016 and 2015, respectively,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entered into by the Company that were outstanding as of December 31, 2016 have terms of one month or less. The Company does not enter into forward currency exchange contracts for speculation or trading purposes.</w:t>
      </w:r>
    </w:p>
    <w:p>
      <w:pPr>
        <w:spacing w:after="0" w:line="19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has not designated its foreign currency exchange contracts as hedge transactions under FASB ASC 815. Therefore, gains and losses on the Company’s foreign currency exchange contracts are recognized in other expense, net, in the consolidated statements of income, and are largely offset by the changes in the fair value of the underlying economically hedged item.</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notional amount and fair value of all outstanding foreign currency derivative instruments in the consolidated balance sheets consist of the following at:</w:t>
      </w:r>
    </w:p>
    <w:p>
      <w:pPr>
        <w:spacing w:after="0" w:line="160" w:lineRule="exact"/>
        <w:rPr>
          <w:sz w:val="20"/>
          <w:szCs w:val="20"/>
          <w:color w:val="auto"/>
        </w:rPr>
      </w:pPr>
    </w:p>
    <w:tbl>
      <w:tblPr>
        <w:tblLayout w:type="fixed"/>
        <w:tblInd w:w="1160" w:type="dxa"/>
        <w:tblCellMar>
          <w:top w:w="0" w:type="dxa"/>
          <w:left w:w="0" w:type="dxa"/>
          <w:bottom w:w="0" w:type="dxa"/>
          <w:right w:w="0" w:type="dxa"/>
        </w:tblCellMar>
      </w:tblPr>
      <w:tr>
        <w:trPr>
          <w:trHeight w:val="252"/>
        </w:trPr>
        <w:tc>
          <w:tcPr>
            <w:tcW w:w="3780" w:type="dxa"/>
            <w:vAlign w:val="bottom"/>
            <w:vMerge w:val="restart"/>
          </w:tcPr>
          <w:p>
            <w:pPr>
              <w:jc w:val="center"/>
              <w:ind w:right="1361"/>
              <w:spacing w:after="0"/>
              <w:rPr>
                <w:sz w:val="20"/>
                <w:szCs w:val="20"/>
                <w:color w:val="auto"/>
              </w:rPr>
            </w:pPr>
            <w:r>
              <w:rPr>
                <w:rFonts w:ascii="Times New Roman" w:cs="Times New Roman" w:eastAsia="Times New Roman" w:hAnsi="Times New Roman"/>
                <w:sz w:val="20"/>
                <w:szCs w:val="20"/>
                <w:color w:val="auto"/>
                <w:w w:val="98"/>
              </w:rPr>
              <w:t>Derivatives not designated as</w:t>
            </w:r>
          </w:p>
        </w:tc>
        <w:tc>
          <w:tcPr>
            <w:tcW w:w="184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20"/>
                <w:szCs w:val="20"/>
                <w:color w:val="auto"/>
              </w:rPr>
              <w:t>December 31, 2016</w:t>
            </w:r>
          </w:p>
        </w:tc>
        <w:tc>
          <w:tcPr>
            <w:tcW w:w="23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3780" w:type="dxa"/>
            <w:vAlign w:val="bottom"/>
            <w:vMerge w:val="continue"/>
          </w:tcPr>
          <w:p>
            <w:pPr>
              <w:spacing w:after="0"/>
              <w:rPr>
                <w:sz w:val="19"/>
                <w:szCs w:val="19"/>
                <w:color w:val="auto"/>
              </w:rPr>
            </w:pPr>
          </w:p>
        </w:tc>
        <w:tc>
          <w:tcPr>
            <w:tcW w:w="1840" w:type="dxa"/>
            <w:vAlign w:val="bottom"/>
          </w:tcPr>
          <w:p>
            <w:pPr>
              <w:ind w:left="520"/>
              <w:spacing w:after="0" w:line="228" w:lineRule="exact"/>
              <w:rPr>
                <w:sz w:val="20"/>
                <w:szCs w:val="20"/>
                <w:color w:val="auto"/>
              </w:rPr>
            </w:pPr>
            <w:r>
              <w:rPr>
                <w:rFonts w:ascii="Times New Roman" w:cs="Times New Roman" w:eastAsia="Times New Roman" w:hAnsi="Times New Roman"/>
                <w:sz w:val="20"/>
                <w:szCs w:val="20"/>
                <w:color w:val="auto"/>
              </w:rPr>
              <w:t>Notional</w:t>
            </w:r>
          </w:p>
        </w:tc>
        <w:tc>
          <w:tcPr>
            <w:tcW w:w="2320" w:type="dxa"/>
            <w:vAlign w:val="bottom"/>
          </w:tcPr>
          <w:p>
            <w:pPr>
              <w:jc w:val="center"/>
              <w:ind w:right="181"/>
              <w:spacing w:after="0" w:line="228" w:lineRule="exact"/>
              <w:rPr>
                <w:sz w:val="20"/>
                <w:szCs w:val="20"/>
                <w:color w:val="auto"/>
              </w:rPr>
            </w:pPr>
            <w:r>
              <w:rPr>
                <w:rFonts w:ascii="Times New Roman" w:cs="Times New Roman" w:eastAsia="Times New Roman" w:hAnsi="Times New Roman"/>
                <w:sz w:val="20"/>
                <w:szCs w:val="20"/>
                <w:color w:val="auto"/>
                <w:w w:val="99"/>
              </w:rPr>
              <w:t>Fair</w:t>
            </w:r>
          </w:p>
        </w:tc>
        <w:tc>
          <w:tcPr>
            <w:tcW w:w="2320" w:type="dxa"/>
            <w:vAlign w:val="bottom"/>
          </w:tcPr>
          <w:p>
            <w:pPr>
              <w:ind w:left="140"/>
              <w:spacing w:after="0" w:line="228" w:lineRule="exact"/>
              <w:rPr>
                <w:sz w:val="20"/>
                <w:szCs w:val="20"/>
                <w:color w:val="auto"/>
              </w:rPr>
            </w:pPr>
            <w:r>
              <w:rPr>
                <w:rFonts w:ascii="Times New Roman" w:cs="Times New Roman" w:eastAsia="Times New Roman" w:hAnsi="Times New Roman"/>
                <w:sz w:val="20"/>
                <w:szCs w:val="20"/>
                <w:color w:val="auto"/>
              </w:rPr>
              <w:t>Balance Sheet Location</w:t>
            </w:r>
          </w:p>
        </w:tc>
        <w:tc>
          <w:tcPr>
            <w:tcW w:w="0" w:type="dxa"/>
            <w:vAlign w:val="bottom"/>
          </w:tcPr>
          <w:p>
            <w:pPr>
              <w:spacing w:after="0"/>
              <w:rPr>
                <w:sz w:val="1"/>
                <w:szCs w:val="1"/>
                <w:color w:val="auto"/>
              </w:rPr>
            </w:pPr>
          </w:p>
        </w:tc>
      </w:tr>
      <w:tr>
        <w:trPr>
          <w:trHeight w:val="272"/>
        </w:trPr>
        <w:tc>
          <w:tcPr>
            <w:tcW w:w="3780" w:type="dxa"/>
            <w:vAlign w:val="bottom"/>
          </w:tcPr>
          <w:p>
            <w:pPr>
              <w:jc w:val="center"/>
              <w:ind w:right="1361"/>
              <w:spacing w:after="0"/>
              <w:rPr>
                <w:sz w:val="20"/>
                <w:szCs w:val="20"/>
                <w:color w:val="auto"/>
              </w:rPr>
            </w:pPr>
            <w:r>
              <w:rPr>
                <w:rFonts w:ascii="Times New Roman" w:cs="Times New Roman" w:eastAsia="Times New Roman" w:hAnsi="Times New Roman"/>
                <w:sz w:val="20"/>
                <w:szCs w:val="20"/>
                <w:color w:val="auto"/>
                <w:w w:val="99"/>
              </w:rPr>
              <w:t>hedging instruments under</w:t>
            </w:r>
          </w:p>
        </w:tc>
        <w:tc>
          <w:tcPr>
            <w:tcW w:w="18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Amount</w:t>
            </w:r>
          </w:p>
        </w:tc>
        <w:tc>
          <w:tcPr>
            <w:tcW w:w="2320" w:type="dxa"/>
            <w:vAlign w:val="bottom"/>
          </w:tcPr>
          <w:p>
            <w:pPr>
              <w:jc w:val="center"/>
              <w:ind w:right="201"/>
              <w:spacing w:after="0"/>
              <w:rPr>
                <w:sz w:val="20"/>
                <w:szCs w:val="20"/>
                <w:color w:val="auto"/>
              </w:rPr>
            </w:pPr>
            <w:r>
              <w:rPr>
                <w:rFonts w:ascii="Times New Roman" w:cs="Times New Roman" w:eastAsia="Times New Roman" w:hAnsi="Times New Roman"/>
                <w:sz w:val="20"/>
                <w:szCs w:val="20"/>
                <w:color w:val="auto"/>
                <w:w w:val="96"/>
              </w:rPr>
              <w:t>Value</w:t>
            </w: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917" w:orient="portrait"/>
          <w:cols w:equalWidth="0" w:num="1">
            <w:col w:w="11420"/>
          </w:cols>
          <w:pgMar w:left="240" w:top="116" w:right="239" w:bottom="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64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20"/>
                <w:szCs w:val="20"/>
                <w:color w:val="auto"/>
              </w:rPr>
              <w:t>FASB ASC 815-20</w:t>
            </w:r>
          </w:p>
        </w:tc>
        <w:tc>
          <w:tcPr>
            <w:tcW w:w="3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308"/>
        </w:trPr>
        <w:tc>
          <w:tcPr>
            <w:tcW w:w="4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Assets:</w:t>
            </w: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494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Foreign currency exchange contracts:</w:t>
            </w: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94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auto"/>
              </w:rPr>
              <w:t>Receive CAD/pay USD</w:t>
            </w:r>
          </w:p>
        </w:tc>
        <w:tc>
          <w:tcPr>
            <w:tcW w:w="4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22,314</w:t>
            </w:r>
          </w:p>
        </w:tc>
        <w:tc>
          <w:tcPr>
            <w:tcW w:w="280" w:type="dxa"/>
            <w:vAlign w:val="bottom"/>
          </w:tcPr>
          <w:p>
            <w:pPr>
              <w:spacing w:after="0"/>
              <w:rPr>
                <w:sz w:val="19"/>
                <w:szCs w:val="19"/>
                <w:color w:val="auto"/>
              </w:rPr>
            </w:pPr>
          </w:p>
        </w:tc>
        <w:tc>
          <w:tcPr>
            <w:tcW w:w="72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173</w:t>
            </w:r>
          </w:p>
        </w:tc>
        <w:tc>
          <w:tcPr>
            <w:tcW w:w="27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Accounts receivable, net</w:t>
            </w:r>
          </w:p>
        </w:tc>
        <w:tc>
          <w:tcPr>
            <w:tcW w:w="40" w:type="dxa"/>
            <w:vAlign w:val="bottom"/>
          </w:tcPr>
          <w:p>
            <w:pPr>
              <w:spacing w:after="0"/>
              <w:rPr>
                <w:sz w:val="19"/>
                <w:szCs w:val="19"/>
                <w:color w:val="auto"/>
              </w:rPr>
            </w:pPr>
          </w:p>
        </w:tc>
      </w:tr>
      <w:tr>
        <w:trPr>
          <w:trHeight w:val="230"/>
        </w:trPr>
        <w:tc>
          <w:tcPr>
            <w:tcW w:w="494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auto"/>
              </w:rPr>
              <w:t>Receive SGD/pay USD</w:t>
            </w:r>
          </w:p>
        </w:tc>
        <w:tc>
          <w:tcPr>
            <w:tcW w:w="480" w:type="dxa"/>
            <w:vAlign w:val="bottom"/>
          </w:tcPr>
          <w:p>
            <w:pPr>
              <w:spacing w:after="0"/>
              <w:rPr>
                <w:sz w:val="19"/>
                <w:szCs w:val="19"/>
                <w:color w:val="auto"/>
              </w:rPr>
            </w:pPr>
          </w:p>
        </w:tc>
        <w:tc>
          <w:tcPr>
            <w:tcW w:w="12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7,915</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24</w:t>
            </w:r>
          </w:p>
        </w:tc>
        <w:tc>
          <w:tcPr>
            <w:tcW w:w="27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Accounts receivable, net</w:t>
            </w:r>
          </w:p>
        </w:tc>
        <w:tc>
          <w:tcPr>
            <w:tcW w:w="40" w:type="dxa"/>
            <w:vAlign w:val="bottom"/>
          </w:tcPr>
          <w:p>
            <w:pPr>
              <w:spacing w:after="0"/>
              <w:rPr>
                <w:sz w:val="19"/>
                <w:szCs w:val="19"/>
                <w:color w:val="auto"/>
              </w:rPr>
            </w:pPr>
          </w:p>
        </w:tc>
      </w:tr>
      <w:tr>
        <w:trPr>
          <w:trHeight w:val="230"/>
        </w:trPr>
        <w:tc>
          <w:tcPr>
            <w:tcW w:w="494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auto"/>
              </w:rPr>
              <w:t>Receive NOK/pay USD</w:t>
            </w:r>
          </w:p>
        </w:tc>
        <w:tc>
          <w:tcPr>
            <w:tcW w:w="480" w:type="dxa"/>
            <w:vAlign w:val="bottom"/>
          </w:tcPr>
          <w:p>
            <w:pPr>
              <w:spacing w:after="0"/>
              <w:rPr>
                <w:sz w:val="19"/>
                <w:szCs w:val="19"/>
                <w:color w:val="auto"/>
              </w:rPr>
            </w:pPr>
          </w:p>
        </w:tc>
        <w:tc>
          <w:tcPr>
            <w:tcW w:w="12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2,138</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28</w:t>
            </w:r>
          </w:p>
        </w:tc>
        <w:tc>
          <w:tcPr>
            <w:tcW w:w="27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Accounts receivable, net</w:t>
            </w:r>
          </w:p>
        </w:tc>
        <w:tc>
          <w:tcPr>
            <w:tcW w:w="40" w:type="dxa"/>
            <w:vAlign w:val="bottom"/>
          </w:tcPr>
          <w:p>
            <w:pPr>
              <w:spacing w:after="0"/>
              <w:rPr>
                <w:sz w:val="19"/>
                <w:szCs w:val="19"/>
                <w:color w:val="auto"/>
              </w:rPr>
            </w:pPr>
          </w:p>
        </w:tc>
      </w:tr>
      <w:tr>
        <w:trPr>
          <w:trHeight w:val="230"/>
        </w:trPr>
        <w:tc>
          <w:tcPr>
            <w:tcW w:w="494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auto"/>
              </w:rPr>
              <w:t>Receive USD/pay CLP</w:t>
            </w:r>
          </w:p>
        </w:tc>
        <w:tc>
          <w:tcPr>
            <w:tcW w:w="480" w:type="dxa"/>
            <w:vAlign w:val="bottom"/>
          </w:tcPr>
          <w:p>
            <w:pPr>
              <w:spacing w:after="0"/>
              <w:rPr>
                <w:sz w:val="19"/>
                <w:szCs w:val="19"/>
                <w:color w:val="auto"/>
              </w:rPr>
            </w:pPr>
          </w:p>
        </w:tc>
        <w:tc>
          <w:tcPr>
            <w:tcW w:w="12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4,094</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9</w:t>
            </w:r>
          </w:p>
        </w:tc>
        <w:tc>
          <w:tcPr>
            <w:tcW w:w="27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Accounts receivable, net</w:t>
            </w:r>
          </w:p>
        </w:tc>
        <w:tc>
          <w:tcPr>
            <w:tcW w:w="40" w:type="dxa"/>
            <w:vAlign w:val="bottom"/>
          </w:tcPr>
          <w:p>
            <w:pPr>
              <w:spacing w:after="0"/>
              <w:rPr>
                <w:sz w:val="19"/>
                <w:szCs w:val="19"/>
                <w:color w:val="auto"/>
              </w:rPr>
            </w:pPr>
          </w:p>
        </w:tc>
      </w:tr>
      <w:tr>
        <w:trPr>
          <w:trHeight w:val="258"/>
        </w:trPr>
        <w:tc>
          <w:tcPr>
            <w:tcW w:w="494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auto"/>
              </w:rPr>
              <w:t>Receive USD/pay COP</w:t>
            </w:r>
          </w:p>
        </w:tc>
        <w:tc>
          <w:tcPr>
            <w:tcW w:w="480" w:type="dxa"/>
            <w:vAlign w:val="bottom"/>
          </w:tcPr>
          <w:p>
            <w:pPr>
              <w:spacing w:after="0"/>
              <w:rPr>
                <w:sz w:val="22"/>
                <w:szCs w:val="22"/>
                <w:color w:val="auto"/>
              </w:rPr>
            </w:pPr>
          </w:p>
        </w:tc>
        <w:tc>
          <w:tcPr>
            <w:tcW w:w="12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2,330</w:t>
            </w: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w:t>
            </w:r>
          </w:p>
        </w:tc>
        <w:tc>
          <w:tcPr>
            <w:tcW w:w="27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Accounts receivable, net</w:t>
            </w:r>
          </w:p>
        </w:tc>
        <w:tc>
          <w:tcPr>
            <w:tcW w:w="40" w:type="dxa"/>
            <w:vAlign w:val="bottom"/>
          </w:tcPr>
          <w:p>
            <w:pPr>
              <w:spacing w:after="0"/>
              <w:rPr>
                <w:sz w:val="22"/>
                <w:szCs w:val="22"/>
                <w:color w:val="auto"/>
              </w:rPr>
            </w:pPr>
          </w:p>
        </w:tc>
      </w:tr>
      <w:tr>
        <w:trPr>
          <w:trHeight w:val="890"/>
        </w:trPr>
        <w:tc>
          <w:tcPr>
            <w:tcW w:w="4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Liabilities:</w:t>
            </w: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494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Foreign currency exchange contracts:</w:t>
            </w: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94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auto"/>
              </w:rPr>
              <w:t>Receive USD/pay GBP</w:t>
            </w:r>
          </w:p>
        </w:tc>
        <w:tc>
          <w:tcPr>
            <w:tcW w:w="48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7,718</w:t>
            </w:r>
          </w:p>
        </w:tc>
        <w:tc>
          <w:tcPr>
            <w:tcW w:w="280" w:type="dxa"/>
            <w:vAlign w:val="bottom"/>
          </w:tcPr>
          <w:p>
            <w:pPr>
              <w:spacing w:after="0"/>
              <w:rPr>
                <w:sz w:val="19"/>
                <w:szCs w:val="19"/>
                <w:color w:val="auto"/>
              </w:rPr>
            </w:pPr>
          </w:p>
        </w:tc>
        <w:tc>
          <w:tcPr>
            <w:tcW w:w="72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27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Accrued liabilities</w:t>
            </w:r>
          </w:p>
        </w:tc>
        <w:tc>
          <w:tcPr>
            <w:tcW w:w="40" w:type="dxa"/>
            <w:vAlign w:val="bottom"/>
          </w:tcPr>
          <w:p>
            <w:pPr>
              <w:spacing w:after="0"/>
              <w:rPr>
                <w:sz w:val="19"/>
                <w:szCs w:val="19"/>
                <w:color w:val="auto"/>
              </w:rPr>
            </w:pPr>
          </w:p>
        </w:tc>
      </w:tr>
      <w:tr>
        <w:trPr>
          <w:trHeight w:val="230"/>
        </w:trPr>
        <w:tc>
          <w:tcPr>
            <w:tcW w:w="494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auto"/>
              </w:rPr>
              <w:t>Receive USD/pay EUR</w:t>
            </w:r>
          </w:p>
        </w:tc>
        <w:tc>
          <w:tcPr>
            <w:tcW w:w="480" w:type="dxa"/>
            <w:vAlign w:val="bottom"/>
          </w:tcPr>
          <w:p>
            <w:pPr>
              <w:spacing w:after="0"/>
              <w:rPr>
                <w:sz w:val="19"/>
                <w:szCs w:val="19"/>
                <w:color w:val="auto"/>
              </w:rPr>
            </w:pPr>
          </w:p>
        </w:tc>
        <w:tc>
          <w:tcPr>
            <w:tcW w:w="12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29,621</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w:t>
            </w:r>
          </w:p>
        </w:tc>
        <w:tc>
          <w:tcPr>
            <w:tcW w:w="27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Accrued liabilities</w:t>
            </w:r>
          </w:p>
        </w:tc>
        <w:tc>
          <w:tcPr>
            <w:tcW w:w="40" w:type="dxa"/>
            <w:vAlign w:val="bottom"/>
          </w:tcPr>
          <w:p>
            <w:pPr>
              <w:spacing w:after="0"/>
              <w:rPr>
                <w:sz w:val="19"/>
                <w:szCs w:val="19"/>
                <w:color w:val="auto"/>
              </w:rPr>
            </w:pPr>
          </w:p>
        </w:tc>
      </w:tr>
      <w:tr>
        <w:trPr>
          <w:trHeight w:val="230"/>
        </w:trPr>
        <w:tc>
          <w:tcPr>
            <w:tcW w:w="494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auto"/>
              </w:rPr>
              <w:t>Receive USD/pay AUD</w:t>
            </w:r>
          </w:p>
        </w:tc>
        <w:tc>
          <w:tcPr>
            <w:tcW w:w="480" w:type="dxa"/>
            <w:vAlign w:val="bottom"/>
          </w:tcPr>
          <w:p>
            <w:pPr>
              <w:spacing w:after="0"/>
              <w:rPr>
                <w:sz w:val="19"/>
                <w:szCs w:val="19"/>
                <w:color w:val="auto"/>
              </w:rPr>
            </w:pPr>
          </w:p>
        </w:tc>
        <w:tc>
          <w:tcPr>
            <w:tcW w:w="12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15,135</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27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Accrued liabilities</w:t>
            </w:r>
          </w:p>
        </w:tc>
        <w:tc>
          <w:tcPr>
            <w:tcW w:w="40" w:type="dxa"/>
            <w:vAlign w:val="bottom"/>
          </w:tcPr>
          <w:p>
            <w:pPr>
              <w:spacing w:after="0"/>
              <w:rPr>
                <w:sz w:val="19"/>
                <w:szCs w:val="19"/>
                <w:color w:val="auto"/>
              </w:rPr>
            </w:pPr>
          </w:p>
        </w:tc>
      </w:tr>
      <w:tr>
        <w:trPr>
          <w:trHeight w:val="230"/>
        </w:trPr>
        <w:tc>
          <w:tcPr>
            <w:tcW w:w="494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auto"/>
              </w:rPr>
              <w:t>Receive USD/pay ZAR</w:t>
            </w:r>
          </w:p>
        </w:tc>
        <w:tc>
          <w:tcPr>
            <w:tcW w:w="480" w:type="dxa"/>
            <w:vAlign w:val="bottom"/>
          </w:tcPr>
          <w:p>
            <w:pPr>
              <w:spacing w:after="0"/>
              <w:rPr>
                <w:sz w:val="19"/>
                <w:szCs w:val="19"/>
                <w:color w:val="auto"/>
              </w:rPr>
            </w:pPr>
          </w:p>
        </w:tc>
        <w:tc>
          <w:tcPr>
            <w:tcW w:w="12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20,405</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w:t>
            </w:r>
          </w:p>
        </w:tc>
        <w:tc>
          <w:tcPr>
            <w:tcW w:w="27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Accrued liabilities</w:t>
            </w:r>
          </w:p>
        </w:tc>
        <w:tc>
          <w:tcPr>
            <w:tcW w:w="40" w:type="dxa"/>
            <w:vAlign w:val="bottom"/>
          </w:tcPr>
          <w:p>
            <w:pPr>
              <w:spacing w:after="0"/>
              <w:rPr>
                <w:sz w:val="19"/>
                <w:szCs w:val="19"/>
                <w:color w:val="auto"/>
              </w:rPr>
            </w:pPr>
          </w:p>
        </w:tc>
      </w:tr>
      <w:tr>
        <w:trPr>
          <w:trHeight w:val="230"/>
        </w:trPr>
        <w:tc>
          <w:tcPr>
            <w:tcW w:w="494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auto"/>
              </w:rPr>
              <w:t>Receive USD/pay MXN</w:t>
            </w:r>
          </w:p>
        </w:tc>
        <w:tc>
          <w:tcPr>
            <w:tcW w:w="480" w:type="dxa"/>
            <w:vAlign w:val="bottom"/>
          </w:tcPr>
          <w:p>
            <w:pPr>
              <w:spacing w:after="0"/>
              <w:rPr>
                <w:sz w:val="19"/>
                <w:szCs w:val="19"/>
                <w:color w:val="auto"/>
              </w:rPr>
            </w:pPr>
          </w:p>
        </w:tc>
        <w:tc>
          <w:tcPr>
            <w:tcW w:w="12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25,864</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7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Accrued liabilities</w:t>
            </w:r>
          </w:p>
        </w:tc>
        <w:tc>
          <w:tcPr>
            <w:tcW w:w="40" w:type="dxa"/>
            <w:vAlign w:val="bottom"/>
          </w:tcPr>
          <w:p>
            <w:pPr>
              <w:spacing w:after="0"/>
              <w:rPr>
                <w:sz w:val="19"/>
                <w:szCs w:val="19"/>
                <w:color w:val="auto"/>
              </w:rPr>
            </w:pPr>
          </w:p>
        </w:tc>
      </w:tr>
      <w:tr>
        <w:trPr>
          <w:trHeight w:val="230"/>
        </w:trPr>
        <w:tc>
          <w:tcPr>
            <w:tcW w:w="494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auto"/>
              </w:rPr>
              <w:t>Receive USD/pay BRL</w:t>
            </w:r>
          </w:p>
        </w:tc>
        <w:tc>
          <w:tcPr>
            <w:tcW w:w="480" w:type="dxa"/>
            <w:vAlign w:val="bottom"/>
          </w:tcPr>
          <w:p>
            <w:pPr>
              <w:spacing w:after="0"/>
              <w:rPr>
                <w:sz w:val="19"/>
                <w:szCs w:val="19"/>
                <w:color w:val="auto"/>
              </w:rPr>
            </w:pPr>
          </w:p>
        </w:tc>
        <w:tc>
          <w:tcPr>
            <w:tcW w:w="12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3,138</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7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Accrued liabilities</w:t>
            </w:r>
          </w:p>
        </w:tc>
        <w:tc>
          <w:tcPr>
            <w:tcW w:w="40" w:type="dxa"/>
            <w:vAlign w:val="bottom"/>
          </w:tcPr>
          <w:p>
            <w:pPr>
              <w:spacing w:after="0"/>
              <w:rPr>
                <w:sz w:val="19"/>
                <w:szCs w:val="19"/>
                <w:color w:val="auto"/>
              </w:rPr>
            </w:pPr>
          </w:p>
        </w:tc>
      </w:tr>
      <w:tr>
        <w:trPr>
          <w:trHeight w:val="258"/>
        </w:trPr>
        <w:tc>
          <w:tcPr>
            <w:tcW w:w="494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auto"/>
              </w:rPr>
              <w:t>Receive USD/pay NZD</w:t>
            </w:r>
          </w:p>
        </w:tc>
        <w:tc>
          <w:tcPr>
            <w:tcW w:w="480" w:type="dxa"/>
            <w:vAlign w:val="bottom"/>
          </w:tcPr>
          <w:p>
            <w:pPr>
              <w:spacing w:after="0"/>
              <w:rPr>
                <w:sz w:val="22"/>
                <w:szCs w:val="22"/>
                <w:color w:val="auto"/>
              </w:rPr>
            </w:pPr>
          </w:p>
        </w:tc>
        <w:tc>
          <w:tcPr>
            <w:tcW w:w="12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2,076</w:t>
            </w: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27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Accrued liabilities</w:t>
            </w:r>
          </w:p>
        </w:tc>
        <w:tc>
          <w:tcPr>
            <w:tcW w:w="40" w:type="dxa"/>
            <w:vAlign w:val="bottom"/>
          </w:tcPr>
          <w:p>
            <w:pPr>
              <w:spacing w:after="0"/>
              <w:rPr>
                <w:sz w:val="22"/>
                <w:szCs w:val="22"/>
                <w:color w:val="auto"/>
              </w:rPr>
            </w:pPr>
          </w:p>
        </w:tc>
      </w:tr>
      <w:tr>
        <w:trPr>
          <w:trHeight w:val="407"/>
        </w:trPr>
        <w:tc>
          <w:tcPr>
            <w:tcW w:w="4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rPr>
              <w:t>95</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8"/>
        </w:trPr>
        <w:tc>
          <w:tcPr>
            <w:tcW w:w="46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30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December 31, 2015</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4100" w:type="dxa"/>
            <w:vAlign w:val="bottom"/>
            <w:tcBorders>
              <w:top w:val="single" w:sz="8" w:color="auto"/>
            </w:tcBorders>
            <w:gridSpan w:val="2"/>
          </w:tcPr>
          <w:p>
            <w:pPr>
              <w:jc w:val="center"/>
              <w:ind w:left="981"/>
              <w:spacing w:after="0" w:line="200" w:lineRule="exact"/>
              <w:rPr>
                <w:sz w:val="20"/>
                <w:szCs w:val="20"/>
                <w:color w:val="auto"/>
              </w:rPr>
            </w:pPr>
            <w:r>
              <w:rPr>
                <w:rFonts w:ascii="Times New Roman" w:cs="Times New Roman" w:eastAsia="Times New Roman" w:hAnsi="Times New Roman"/>
                <w:sz w:val="20"/>
                <w:szCs w:val="20"/>
                <w:color w:val="auto"/>
                <w:w w:val="99"/>
              </w:rPr>
              <w:t>Derivatives not designated as</w:t>
            </w:r>
          </w:p>
        </w:tc>
        <w:tc>
          <w:tcPr>
            <w:tcW w:w="10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jc w:val="center"/>
              <w:ind w:left="981"/>
              <w:spacing w:after="0"/>
              <w:rPr>
                <w:sz w:val="20"/>
                <w:szCs w:val="20"/>
                <w:color w:val="auto"/>
              </w:rPr>
            </w:pPr>
            <w:r>
              <w:rPr>
                <w:rFonts w:ascii="Times New Roman" w:cs="Times New Roman" w:eastAsia="Times New Roman" w:hAnsi="Times New Roman"/>
                <w:sz w:val="20"/>
                <w:szCs w:val="20"/>
                <w:color w:val="auto"/>
                <w:w w:val="98"/>
              </w:rPr>
              <w:t>hedging instruments under</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Notional</w:t>
            </w:r>
          </w:p>
        </w:tc>
        <w:tc>
          <w:tcPr>
            <w:tcW w:w="340" w:type="dxa"/>
            <w:vAlign w:val="bottom"/>
          </w:tcPr>
          <w:p>
            <w:pPr>
              <w:spacing w:after="0"/>
              <w:rPr>
                <w:sz w:val="19"/>
                <w:szCs w:val="19"/>
                <w:color w:val="auto"/>
              </w:rPr>
            </w:pPr>
          </w:p>
        </w:tc>
        <w:tc>
          <w:tcPr>
            <w:tcW w:w="1020" w:type="dxa"/>
            <w:vAlign w:val="bottom"/>
            <w:gridSpan w:val="3"/>
          </w:tcPr>
          <w:p>
            <w:pPr>
              <w:jc w:val="right"/>
              <w:ind w:right="421"/>
              <w:spacing w:after="0"/>
              <w:rPr>
                <w:sz w:val="20"/>
                <w:szCs w:val="20"/>
                <w:color w:val="auto"/>
              </w:rPr>
            </w:pPr>
            <w:r>
              <w:rPr>
                <w:rFonts w:ascii="Times New Roman" w:cs="Times New Roman" w:eastAsia="Times New Roman" w:hAnsi="Times New Roman"/>
                <w:sz w:val="20"/>
                <w:szCs w:val="20"/>
                <w:color w:val="auto"/>
              </w:rPr>
              <w:t>Fair</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100" w:type="dxa"/>
            <w:vAlign w:val="bottom"/>
            <w:gridSpan w:val="2"/>
          </w:tcPr>
          <w:p>
            <w:pPr>
              <w:jc w:val="center"/>
              <w:ind w:left="981"/>
              <w:spacing w:after="0"/>
              <w:rPr>
                <w:sz w:val="20"/>
                <w:szCs w:val="20"/>
                <w:color w:val="auto"/>
              </w:rPr>
            </w:pPr>
            <w:r>
              <w:rPr>
                <w:rFonts w:ascii="Times New Roman" w:cs="Times New Roman" w:eastAsia="Times New Roman" w:hAnsi="Times New Roman"/>
                <w:sz w:val="20"/>
                <w:szCs w:val="20"/>
                <w:color w:val="auto"/>
                <w:w w:val="96"/>
              </w:rPr>
              <w:t>FASB ASC 815-20</w:t>
            </w: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Amount</w:t>
            </w:r>
          </w:p>
        </w:tc>
        <w:tc>
          <w:tcPr>
            <w:tcW w:w="340" w:type="dxa"/>
            <w:vAlign w:val="bottom"/>
          </w:tcPr>
          <w:p>
            <w:pPr>
              <w:spacing w:after="0"/>
              <w:rPr>
                <w:sz w:val="21"/>
                <w:szCs w:val="21"/>
                <w:color w:val="auto"/>
              </w:rPr>
            </w:pPr>
          </w:p>
        </w:tc>
        <w:tc>
          <w:tcPr>
            <w:tcW w:w="1020" w:type="dxa"/>
            <w:vAlign w:val="bottom"/>
            <w:gridSpan w:val="3"/>
          </w:tcPr>
          <w:p>
            <w:pPr>
              <w:jc w:val="right"/>
              <w:ind w:right="341"/>
              <w:spacing w:after="0"/>
              <w:rPr>
                <w:sz w:val="20"/>
                <w:szCs w:val="20"/>
                <w:color w:val="auto"/>
              </w:rPr>
            </w:pPr>
            <w:r>
              <w:rPr>
                <w:rFonts w:ascii="Times New Roman" w:cs="Times New Roman" w:eastAsia="Times New Roman" w:hAnsi="Times New Roman"/>
                <w:sz w:val="20"/>
                <w:szCs w:val="20"/>
                <w:color w:val="auto"/>
              </w:rPr>
              <w:t>Value</w:t>
            </w:r>
          </w:p>
        </w:tc>
        <w:tc>
          <w:tcPr>
            <w:tcW w:w="300" w:type="dxa"/>
            <w:vAlign w:val="bottom"/>
          </w:tcPr>
          <w:p>
            <w:pPr>
              <w:spacing w:after="0"/>
              <w:rPr>
                <w:sz w:val="21"/>
                <w:szCs w:val="21"/>
                <w:color w:val="auto"/>
              </w:rPr>
            </w:pPr>
          </w:p>
        </w:tc>
        <w:tc>
          <w:tcPr>
            <w:tcW w:w="2500" w:type="dxa"/>
            <w:vAlign w:val="bottom"/>
            <w:gridSpan w:val="4"/>
          </w:tcPr>
          <w:p>
            <w:pPr>
              <w:jc w:val="right"/>
              <w:ind w:right="221"/>
              <w:spacing w:after="0"/>
              <w:rPr>
                <w:sz w:val="20"/>
                <w:szCs w:val="20"/>
                <w:color w:val="auto"/>
              </w:rPr>
            </w:pPr>
            <w:r>
              <w:rPr>
                <w:rFonts w:ascii="Times New Roman" w:cs="Times New Roman" w:eastAsia="Times New Roman" w:hAnsi="Times New Roman"/>
                <w:sz w:val="20"/>
                <w:szCs w:val="20"/>
                <w:color w:val="auto"/>
              </w:rPr>
              <w:t>Balance Sheet Location</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100" w:type="dxa"/>
            <w:vAlign w:val="bottom"/>
            <w:tcBorders>
              <w:top w:val="single" w:sz="8" w:color="auto"/>
            </w:tcBorders>
            <w:gridSpan w:val="2"/>
          </w:tcPr>
          <w:p>
            <w:pPr>
              <w:spacing w:after="0" w:line="200" w:lineRule="exact"/>
              <w:rPr>
                <w:sz w:val="20"/>
                <w:szCs w:val="20"/>
                <w:color w:val="auto"/>
              </w:rPr>
            </w:pPr>
            <w:r>
              <w:rPr>
                <w:rFonts w:ascii="Times New Roman" w:cs="Times New Roman" w:eastAsia="Times New Roman" w:hAnsi="Times New Roman"/>
                <w:sz w:val="20"/>
                <w:szCs w:val="20"/>
                <w:color w:val="auto"/>
              </w:rPr>
              <w:t>Assets:</w:t>
            </w:r>
          </w:p>
        </w:tc>
        <w:tc>
          <w:tcPr>
            <w:tcW w:w="10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Foreign currency exchange contracts:</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Receive USD/pay GBP</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18,146</w:t>
            </w:r>
          </w:p>
        </w:tc>
        <w:tc>
          <w:tcPr>
            <w:tcW w:w="280" w:type="dxa"/>
            <w:vAlign w:val="bottom"/>
          </w:tcPr>
          <w:p>
            <w:pPr>
              <w:spacing w:after="0"/>
              <w:rPr>
                <w:sz w:val="19"/>
                <w:szCs w:val="19"/>
                <w:color w:val="auto"/>
              </w:rPr>
            </w:pP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3"/>
          </w:tcPr>
          <w:p>
            <w:pPr>
              <w:jc w:val="right"/>
              <w:ind w:right="21"/>
              <w:spacing w:after="0"/>
              <w:rPr>
                <w:sz w:val="20"/>
                <w:szCs w:val="20"/>
                <w:color w:val="auto"/>
              </w:rPr>
            </w:pPr>
            <w:r>
              <w:rPr>
                <w:rFonts w:ascii="Times New Roman" w:cs="Times New Roman" w:eastAsia="Times New Roman" w:hAnsi="Times New Roman"/>
                <w:sz w:val="20"/>
                <w:szCs w:val="20"/>
                <w:color w:val="auto"/>
              </w:rPr>
              <w:t>168</w:t>
            </w:r>
          </w:p>
        </w:tc>
        <w:tc>
          <w:tcPr>
            <w:tcW w:w="2800" w:type="dxa"/>
            <w:vAlign w:val="bottom"/>
            <w:gridSpan w:val="5"/>
          </w:tcPr>
          <w:p>
            <w:pPr>
              <w:ind w:left="300"/>
              <w:spacing w:after="0"/>
              <w:rPr>
                <w:sz w:val="20"/>
                <w:szCs w:val="20"/>
                <w:color w:val="auto"/>
              </w:rPr>
            </w:pPr>
            <w:r>
              <w:rPr>
                <w:rFonts w:ascii="Times New Roman" w:cs="Times New Roman" w:eastAsia="Times New Roman" w:hAnsi="Times New Roman"/>
                <w:sz w:val="20"/>
                <w:szCs w:val="20"/>
                <w:color w:val="auto"/>
              </w:rPr>
              <w:t>Accounts receivable, net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Receive USD/pay ZAR</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17,411</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3"/>
          </w:tcPr>
          <w:p>
            <w:pPr>
              <w:jc w:val="right"/>
              <w:ind w:right="21"/>
              <w:spacing w:after="0"/>
              <w:rPr>
                <w:sz w:val="20"/>
                <w:szCs w:val="20"/>
                <w:color w:val="auto"/>
              </w:rPr>
            </w:pPr>
            <w:r>
              <w:rPr>
                <w:rFonts w:ascii="Times New Roman" w:cs="Times New Roman" w:eastAsia="Times New Roman" w:hAnsi="Times New Roman"/>
                <w:sz w:val="20"/>
                <w:szCs w:val="20"/>
                <w:color w:val="auto"/>
              </w:rPr>
              <w:t>144</w:t>
            </w:r>
          </w:p>
        </w:tc>
        <w:tc>
          <w:tcPr>
            <w:tcW w:w="2800" w:type="dxa"/>
            <w:vAlign w:val="bottom"/>
            <w:gridSpan w:val="5"/>
          </w:tcPr>
          <w:p>
            <w:pPr>
              <w:ind w:left="300"/>
              <w:spacing w:after="0"/>
              <w:rPr>
                <w:sz w:val="20"/>
                <w:szCs w:val="20"/>
                <w:color w:val="auto"/>
              </w:rPr>
            </w:pPr>
            <w:r>
              <w:rPr>
                <w:rFonts w:ascii="Times New Roman" w:cs="Times New Roman" w:eastAsia="Times New Roman" w:hAnsi="Times New Roman"/>
                <w:sz w:val="20"/>
                <w:szCs w:val="20"/>
                <w:color w:val="auto"/>
              </w:rPr>
              <w:t>Accounts receivable, net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Receive USD/pay RUB</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2,173</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3"/>
          </w:tcPr>
          <w:p>
            <w:pPr>
              <w:jc w:val="right"/>
              <w:ind w:right="21"/>
              <w:spacing w:after="0"/>
              <w:rPr>
                <w:sz w:val="20"/>
                <w:szCs w:val="20"/>
                <w:color w:val="auto"/>
              </w:rPr>
            </w:pPr>
            <w:r>
              <w:rPr>
                <w:rFonts w:ascii="Times New Roman" w:cs="Times New Roman" w:eastAsia="Times New Roman" w:hAnsi="Times New Roman"/>
                <w:sz w:val="20"/>
                <w:szCs w:val="20"/>
                <w:color w:val="auto"/>
              </w:rPr>
              <w:t>9</w:t>
            </w:r>
          </w:p>
        </w:tc>
        <w:tc>
          <w:tcPr>
            <w:tcW w:w="2800" w:type="dxa"/>
            <w:vAlign w:val="bottom"/>
            <w:gridSpan w:val="5"/>
          </w:tcPr>
          <w:p>
            <w:pPr>
              <w:ind w:left="300"/>
              <w:spacing w:after="0"/>
              <w:rPr>
                <w:sz w:val="20"/>
                <w:szCs w:val="20"/>
                <w:color w:val="auto"/>
              </w:rPr>
            </w:pPr>
            <w:r>
              <w:rPr>
                <w:rFonts w:ascii="Times New Roman" w:cs="Times New Roman" w:eastAsia="Times New Roman" w:hAnsi="Times New Roman"/>
                <w:sz w:val="20"/>
                <w:szCs w:val="20"/>
                <w:color w:val="auto"/>
              </w:rPr>
              <w:t>Accounts receivable, net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Receive USD/pay BRL</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2,478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3"/>
          </w:tcPr>
          <w:p>
            <w:pPr>
              <w:jc w:val="right"/>
              <w:ind w:right="21"/>
              <w:spacing w:after="0"/>
              <w:rPr>
                <w:sz w:val="20"/>
                <w:szCs w:val="20"/>
                <w:color w:val="auto"/>
              </w:rPr>
            </w:pPr>
            <w:r>
              <w:rPr>
                <w:rFonts w:ascii="Times New Roman" w:cs="Times New Roman" w:eastAsia="Times New Roman" w:hAnsi="Times New Roman"/>
                <w:sz w:val="20"/>
                <w:szCs w:val="20"/>
                <w:color w:val="auto"/>
              </w:rPr>
              <w:t>49</w:t>
            </w:r>
          </w:p>
        </w:tc>
        <w:tc>
          <w:tcPr>
            <w:tcW w:w="2800" w:type="dxa"/>
            <w:vAlign w:val="bottom"/>
            <w:gridSpan w:val="5"/>
          </w:tcPr>
          <w:p>
            <w:pPr>
              <w:ind w:left="300"/>
              <w:spacing w:after="0"/>
              <w:rPr>
                <w:sz w:val="20"/>
                <w:szCs w:val="20"/>
                <w:color w:val="auto"/>
              </w:rPr>
            </w:pPr>
            <w:r>
              <w:rPr>
                <w:rFonts w:ascii="Times New Roman" w:cs="Times New Roman" w:eastAsia="Times New Roman" w:hAnsi="Times New Roman"/>
                <w:sz w:val="20"/>
                <w:szCs w:val="20"/>
                <w:color w:val="auto"/>
              </w:rPr>
              <w:t>Accounts receivable, net</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Receive USD/pay COP</w:t>
            </w: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1,351</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gridSpan w:val="3"/>
          </w:tcPr>
          <w:p>
            <w:pPr>
              <w:jc w:val="right"/>
              <w:ind w:right="21"/>
              <w:spacing w:after="0"/>
              <w:rPr>
                <w:sz w:val="20"/>
                <w:szCs w:val="20"/>
                <w:color w:val="auto"/>
              </w:rPr>
            </w:pPr>
            <w:r>
              <w:rPr>
                <w:rFonts w:ascii="Times New Roman" w:cs="Times New Roman" w:eastAsia="Times New Roman" w:hAnsi="Times New Roman"/>
                <w:sz w:val="20"/>
                <w:szCs w:val="20"/>
                <w:color w:val="auto"/>
              </w:rPr>
              <w:t>1</w:t>
            </w:r>
          </w:p>
        </w:tc>
        <w:tc>
          <w:tcPr>
            <w:tcW w:w="2800" w:type="dxa"/>
            <w:vAlign w:val="bottom"/>
            <w:gridSpan w:val="5"/>
          </w:tcPr>
          <w:p>
            <w:pPr>
              <w:ind w:left="300"/>
              <w:spacing w:after="0"/>
              <w:rPr>
                <w:sz w:val="20"/>
                <w:szCs w:val="20"/>
                <w:color w:val="auto"/>
              </w:rPr>
            </w:pPr>
            <w:r>
              <w:rPr>
                <w:rFonts w:ascii="Times New Roman" w:cs="Times New Roman" w:eastAsia="Times New Roman" w:hAnsi="Times New Roman"/>
                <w:sz w:val="20"/>
                <w:szCs w:val="20"/>
                <w:color w:val="auto"/>
              </w:rPr>
              <w:t>Accounts receivable, net</w:t>
            </w:r>
          </w:p>
        </w:tc>
        <w:tc>
          <w:tcPr>
            <w:tcW w:w="0" w:type="dxa"/>
            <w:vAlign w:val="bottom"/>
          </w:tcPr>
          <w:p>
            <w:pPr>
              <w:spacing w:after="0"/>
              <w:rPr>
                <w:sz w:val="1"/>
                <w:szCs w:val="1"/>
                <w:color w:val="auto"/>
              </w:rPr>
            </w:pPr>
          </w:p>
        </w:tc>
      </w:tr>
      <w:tr>
        <w:trPr>
          <w:trHeight w:val="430"/>
        </w:trPr>
        <w:tc>
          <w:tcPr>
            <w:tcW w:w="41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Liabilities:</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Foreign currency exchange contracts:</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Receive EUR/pay USD</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39,578</w:t>
            </w:r>
          </w:p>
        </w:tc>
        <w:tc>
          <w:tcPr>
            <w:tcW w:w="280" w:type="dxa"/>
            <w:vAlign w:val="bottom"/>
          </w:tcPr>
          <w:p>
            <w:pPr>
              <w:spacing w:after="0"/>
              <w:rPr>
                <w:sz w:val="19"/>
                <w:szCs w:val="19"/>
                <w:color w:val="auto"/>
              </w:rPr>
            </w:pP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(429)</w:t>
            </w:r>
          </w:p>
        </w:tc>
        <w:tc>
          <w:tcPr>
            <w:tcW w:w="1800" w:type="dxa"/>
            <w:vAlign w:val="bottom"/>
            <w:gridSpan w:val="4"/>
          </w:tcPr>
          <w:p>
            <w:pPr>
              <w:ind w:left="300"/>
              <w:spacing w:after="0"/>
              <w:rPr>
                <w:sz w:val="20"/>
                <w:szCs w:val="20"/>
                <w:color w:val="auto"/>
              </w:rPr>
            </w:pPr>
            <w:r>
              <w:rPr>
                <w:rFonts w:ascii="Times New Roman" w:cs="Times New Roman" w:eastAsia="Times New Roman" w:hAnsi="Times New Roman"/>
                <w:sz w:val="20"/>
                <w:szCs w:val="20"/>
                <w:color w:val="auto"/>
              </w:rPr>
              <w:t>Accrued liabilities</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Receive USD/pay AUD</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14,040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1800" w:type="dxa"/>
            <w:vAlign w:val="bottom"/>
            <w:gridSpan w:val="4"/>
          </w:tcPr>
          <w:p>
            <w:pPr>
              <w:ind w:left="300"/>
              <w:spacing w:after="0"/>
              <w:rPr>
                <w:sz w:val="20"/>
                <w:szCs w:val="20"/>
                <w:color w:val="auto"/>
              </w:rPr>
            </w:pPr>
            <w:r>
              <w:rPr>
                <w:rFonts w:ascii="Times New Roman" w:cs="Times New Roman" w:eastAsia="Times New Roman" w:hAnsi="Times New Roman"/>
                <w:sz w:val="20"/>
                <w:szCs w:val="20"/>
                <w:color w:val="auto"/>
              </w:rPr>
              <w:t>Accrued liabilities</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Receive USD/pay CAD</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2,804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1800" w:type="dxa"/>
            <w:vAlign w:val="bottom"/>
            <w:gridSpan w:val="4"/>
          </w:tcPr>
          <w:p>
            <w:pPr>
              <w:ind w:left="300"/>
              <w:spacing w:after="0"/>
              <w:rPr>
                <w:sz w:val="20"/>
                <w:szCs w:val="20"/>
                <w:color w:val="auto"/>
              </w:rPr>
            </w:pPr>
            <w:r>
              <w:rPr>
                <w:rFonts w:ascii="Times New Roman" w:cs="Times New Roman" w:eastAsia="Times New Roman" w:hAnsi="Times New Roman"/>
                <w:sz w:val="20"/>
                <w:szCs w:val="20"/>
                <w:color w:val="auto"/>
              </w:rPr>
              <w:t>Accrued liabilities</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Receive USD/pay JPY</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2,495</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800" w:type="dxa"/>
            <w:vAlign w:val="bottom"/>
            <w:gridSpan w:val="4"/>
          </w:tcPr>
          <w:p>
            <w:pPr>
              <w:ind w:left="300"/>
              <w:spacing w:after="0"/>
              <w:rPr>
                <w:sz w:val="20"/>
                <w:szCs w:val="20"/>
                <w:color w:val="auto"/>
              </w:rPr>
            </w:pPr>
            <w:r>
              <w:rPr>
                <w:rFonts w:ascii="Times New Roman" w:cs="Times New Roman" w:eastAsia="Times New Roman" w:hAnsi="Times New Roman"/>
                <w:sz w:val="20"/>
                <w:szCs w:val="20"/>
                <w:color w:val="auto"/>
              </w:rPr>
              <w:t>Accrued liabilities</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Receive USD/pay MXN</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8,122</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1800" w:type="dxa"/>
            <w:vAlign w:val="bottom"/>
            <w:gridSpan w:val="4"/>
          </w:tcPr>
          <w:p>
            <w:pPr>
              <w:ind w:left="300"/>
              <w:spacing w:after="0"/>
              <w:rPr>
                <w:sz w:val="20"/>
                <w:szCs w:val="20"/>
                <w:color w:val="auto"/>
              </w:rPr>
            </w:pPr>
            <w:r>
              <w:rPr>
                <w:rFonts w:ascii="Times New Roman" w:cs="Times New Roman" w:eastAsia="Times New Roman" w:hAnsi="Times New Roman"/>
                <w:sz w:val="20"/>
                <w:szCs w:val="20"/>
                <w:color w:val="auto"/>
              </w:rPr>
              <w:t>Accrued liabilities</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Receive SGD/pay USD</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3,837</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800" w:type="dxa"/>
            <w:vAlign w:val="bottom"/>
            <w:gridSpan w:val="4"/>
          </w:tcPr>
          <w:p>
            <w:pPr>
              <w:ind w:left="300"/>
              <w:spacing w:after="0"/>
              <w:rPr>
                <w:sz w:val="20"/>
                <w:szCs w:val="20"/>
                <w:color w:val="auto"/>
              </w:rPr>
            </w:pPr>
            <w:r>
              <w:rPr>
                <w:rFonts w:ascii="Times New Roman" w:cs="Times New Roman" w:eastAsia="Times New Roman" w:hAnsi="Times New Roman"/>
                <w:sz w:val="20"/>
                <w:szCs w:val="20"/>
                <w:color w:val="auto"/>
              </w:rPr>
              <w:t>Accrued liabilities</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Receive USD/pay NZD</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1,978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800" w:type="dxa"/>
            <w:vAlign w:val="bottom"/>
            <w:gridSpan w:val="4"/>
          </w:tcPr>
          <w:p>
            <w:pPr>
              <w:ind w:left="300"/>
              <w:spacing w:after="0"/>
              <w:rPr>
                <w:sz w:val="20"/>
                <w:szCs w:val="20"/>
                <w:color w:val="auto"/>
              </w:rPr>
            </w:pPr>
            <w:r>
              <w:rPr>
                <w:rFonts w:ascii="Times New Roman" w:cs="Times New Roman" w:eastAsia="Times New Roman" w:hAnsi="Times New Roman"/>
                <w:sz w:val="20"/>
                <w:szCs w:val="20"/>
                <w:color w:val="auto"/>
              </w:rPr>
              <w:t>Accrued liabilities</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Receive USD/pay CLP</w:t>
            </w: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3,519</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800" w:type="dxa"/>
            <w:vAlign w:val="bottom"/>
            <w:gridSpan w:val="4"/>
          </w:tcPr>
          <w:p>
            <w:pPr>
              <w:ind w:left="300"/>
              <w:spacing w:after="0"/>
              <w:rPr>
                <w:sz w:val="20"/>
                <w:szCs w:val="20"/>
                <w:color w:val="auto"/>
              </w:rPr>
            </w:pPr>
            <w:r>
              <w:rPr>
                <w:rFonts w:ascii="Times New Roman" w:cs="Times New Roman" w:eastAsia="Times New Roman" w:hAnsi="Times New Roman"/>
                <w:sz w:val="20"/>
                <w:szCs w:val="20"/>
                <w:color w:val="auto"/>
              </w:rPr>
              <w:t>Accrued liabilities</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71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net gain on derivative instruments in the consolidated statements of income were as follows:</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gridSpan w:val="3"/>
          </w:tcPr>
          <w:p>
            <w:pPr>
              <w:jc w:val="center"/>
              <w:ind w:left="101"/>
              <w:spacing w:after="0"/>
              <w:rPr>
                <w:sz w:val="20"/>
                <w:szCs w:val="20"/>
                <w:color w:val="auto"/>
              </w:rPr>
            </w:pPr>
            <w:r>
              <w:rPr>
                <w:rFonts w:ascii="Times New Roman" w:cs="Times New Roman" w:eastAsia="Times New Roman" w:hAnsi="Times New Roman"/>
                <w:sz w:val="20"/>
                <w:szCs w:val="20"/>
                <w:color w:val="auto"/>
                <w:w w:val="99"/>
              </w:rPr>
              <w:t>Amount of gain</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0" w:type="dxa"/>
            <w:vAlign w:val="bottom"/>
            <w:gridSpan w:val="5"/>
          </w:tcPr>
          <w:p>
            <w:pPr>
              <w:jc w:val="center"/>
              <w:ind w:right="421"/>
              <w:spacing w:after="0"/>
              <w:rPr>
                <w:sz w:val="20"/>
                <w:szCs w:val="20"/>
                <w:color w:val="auto"/>
              </w:rPr>
            </w:pPr>
            <w:r>
              <w:rPr>
                <w:rFonts w:ascii="Times New Roman" w:cs="Times New Roman" w:eastAsia="Times New Roman" w:hAnsi="Times New Roman"/>
                <w:sz w:val="20"/>
                <w:szCs w:val="20"/>
                <w:color w:val="auto"/>
                <w:w w:val="99"/>
              </w:rPr>
              <w:t>recognized in income on</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center"/>
              <w:ind w:left="101"/>
              <w:spacing w:after="0"/>
              <w:rPr>
                <w:sz w:val="20"/>
                <w:szCs w:val="20"/>
                <w:color w:val="auto"/>
              </w:rPr>
            </w:pPr>
            <w:r>
              <w:rPr>
                <w:rFonts w:ascii="Times New Roman" w:cs="Times New Roman" w:eastAsia="Times New Roman" w:hAnsi="Times New Roman"/>
                <w:sz w:val="20"/>
                <w:szCs w:val="20"/>
                <w:color w:val="auto"/>
                <w:w w:val="97"/>
              </w:rPr>
              <w:t>derivatives</w:t>
            </w: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20"/>
                <w:szCs w:val="20"/>
                <w:color w:val="auto"/>
                <w:w w:val="98"/>
              </w:rPr>
              <w:t>Derivatives not designated as</w:t>
            </w:r>
          </w:p>
        </w:tc>
        <w:tc>
          <w:tcPr>
            <w:tcW w:w="1080" w:type="dxa"/>
            <w:vAlign w:val="bottom"/>
          </w:tcPr>
          <w:p>
            <w:pPr>
              <w:spacing w:after="0"/>
              <w:rPr>
                <w:sz w:val="19"/>
                <w:szCs w:val="19"/>
                <w:color w:val="auto"/>
              </w:rPr>
            </w:pPr>
          </w:p>
        </w:tc>
        <w:tc>
          <w:tcPr>
            <w:tcW w:w="1960" w:type="dxa"/>
            <w:vAlign w:val="bottom"/>
            <w:gridSpan w:val="4"/>
            <w:vMerge w:val="restart"/>
          </w:tcPr>
          <w:p>
            <w:pPr>
              <w:jc w:val="center"/>
              <w:ind w:right="440"/>
              <w:spacing w:after="0"/>
              <w:rPr>
                <w:sz w:val="20"/>
                <w:szCs w:val="20"/>
                <w:color w:val="auto"/>
              </w:rPr>
            </w:pPr>
            <w:r>
              <w:rPr>
                <w:rFonts w:ascii="Times New Roman" w:cs="Times New Roman" w:eastAsia="Times New Roman" w:hAnsi="Times New Roman"/>
                <w:sz w:val="20"/>
                <w:szCs w:val="20"/>
                <w:color w:val="auto"/>
                <w:w w:val="99"/>
              </w:rPr>
              <w:t>Location of gain</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center"/>
              <w:ind w:left="81"/>
              <w:spacing w:after="0" w:line="223" w:lineRule="exact"/>
              <w:rPr>
                <w:sz w:val="20"/>
                <w:szCs w:val="20"/>
                <w:color w:val="auto"/>
              </w:rPr>
            </w:pPr>
            <w:r>
              <w:rPr>
                <w:rFonts w:ascii="Times New Roman" w:cs="Times New Roman" w:eastAsia="Times New Roman" w:hAnsi="Times New Roman"/>
                <w:sz w:val="20"/>
                <w:szCs w:val="20"/>
                <w:color w:val="auto"/>
                <w:w w:val="95"/>
              </w:rPr>
              <w:t>Year ended</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1960" w:type="dxa"/>
            <w:vAlign w:val="bottom"/>
            <w:gridSpan w:val="4"/>
            <w:vMerge w:val="continue"/>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8"/>
              </w:rPr>
              <w:t>hedging instruments under</w:t>
            </w:r>
          </w:p>
        </w:tc>
        <w:tc>
          <w:tcPr>
            <w:tcW w:w="3040" w:type="dxa"/>
            <w:vAlign w:val="bottom"/>
            <w:gridSpan w:val="5"/>
          </w:tcPr>
          <w:p>
            <w:pPr>
              <w:jc w:val="center"/>
              <w:ind w:left="541"/>
              <w:spacing w:after="0"/>
              <w:rPr>
                <w:sz w:val="20"/>
                <w:szCs w:val="20"/>
                <w:color w:val="auto"/>
              </w:rPr>
            </w:pPr>
            <w:r>
              <w:rPr>
                <w:rFonts w:ascii="Times New Roman" w:cs="Times New Roman" w:eastAsia="Times New Roman" w:hAnsi="Times New Roman"/>
                <w:sz w:val="20"/>
                <w:szCs w:val="20"/>
                <w:color w:val="auto"/>
                <w:w w:val="99"/>
              </w:rPr>
              <w:t>recognized in income on</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60" w:type="dxa"/>
            <w:vAlign w:val="bottom"/>
            <w:gridSpan w:val="4"/>
          </w:tcPr>
          <w:p>
            <w:pPr>
              <w:ind w:left="220"/>
              <w:spacing w:after="0"/>
              <w:rPr>
                <w:sz w:val="20"/>
                <w:szCs w:val="20"/>
                <w:color w:val="auto"/>
              </w:rPr>
            </w:pPr>
            <w:r>
              <w:rPr>
                <w:rFonts w:ascii="Times New Roman" w:cs="Times New Roman" w:eastAsia="Times New Roman" w:hAnsi="Times New Roman"/>
                <w:sz w:val="20"/>
                <w:szCs w:val="20"/>
                <w:color w:val="auto"/>
              </w:rPr>
              <w:t>December 31,</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December 31,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FASB ASC 815-20</w:t>
            </w:r>
          </w:p>
        </w:tc>
        <w:tc>
          <w:tcPr>
            <w:tcW w:w="22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jc w:val="center"/>
              <w:ind w:right="740"/>
              <w:spacing w:after="0"/>
              <w:rPr>
                <w:sz w:val="20"/>
                <w:szCs w:val="20"/>
                <w:color w:val="auto"/>
              </w:rPr>
            </w:pPr>
            <w:r>
              <w:rPr>
                <w:rFonts w:ascii="Times New Roman" w:cs="Times New Roman" w:eastAsia="Times New Roman" w:hAnsi="Times New Roman"/>
                <w:sz w:val="20"/>
                <w:szCs w:val="20"/>
                <w:color w:val="auto"/>
              </w:rPr>
              <w:t>derivatives</w:t>
            </w:r>
          </w:p>
        </w:tc>
        <w:tc>
          <w:tcPr>
            <w:tcW w:w="3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2016</w:t>
            </w:r>
          </w:p>
        </w:tc>
        <w:tc>
          <w:tcPr>
            <w:tcW w:w="2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color w:val="auto"/>
                <w:w w:val="99"/>
              </w:rPr>
              <w:t>2015</w:t>
            </w:r>
          </w:p>
        </w:tc>
        <w:tc>
          <w:tcPr>
            <w:tcW w:w="0" w:type="dxa"/>
            <w:vAlign w:val="bottom"/>
          </w:tcPr>
          <w:p>
            <w:pPr>
              <w:spacing w:after="0"/>
              <w:rPr>
                <w:sz w:val="1"/>
                <w:szCs w:val="1"/>
                <w:color w:val="auto"/>
              </w:rPr>
            </w:pPr>
          </w:p>
        </w:tc>
      </w:tr>
      <w:tr>
        <w:trPr>
          <w:trHeight w:val="345"/>
        </w:trPr>
        <w:tc>
          <w:tcPr>
            <w:tcW w:w="41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Foreign currency exchange contracts</w:t>
            </w:r>
          </w:p>
        </w:tc>
        <w:tc>
          <w:tcPr>
            <w:tcW w:w="1080" w:type="dxa"/>
            <w:vAlign w:val="bottom"/>
          </w:tcPr>
          <w:p>
            <w:pPr>
              <w:spacing w:after="0"/>
              <w:rPr>
                <w:sz w:val="24"/>
                <w:szCs w:val="24"/>
                <w:color w:val="auto"/>
              </w:rPr>
            </w:pPr>
          </w:p>
        </w:tc>
        <w:tc>
          <w:tcPr>
            <w:tcW w:w="1960" w:type="dxa"/>
            <w:vAlign w:val="bottom"/>
            <w:gridSpan w:val="4"/>
          </w:tcPr>
          <w:p>
            <w:pPr>
              <w:jc w:val="center"/>
              <w:ind w:right="440"/>
              <w:spacing w:after="0"/>
              <w:rPr>
                <w:sz w:val="20"/>
                <w:szCs w:val="20"/>
                <w:color w:val="auto"/>
              </w:rPr>
            </w:pPr>
            <w:r>
              <w:rPr>
                <w:rFonts w:ascii="Times New Roman" w:cs="Times New Roman" w:eastAsia="Times New Roman" w:hAnsi="Times New Roman"/>
                <w:sz w:val="20"/>
                <w:szCs w:val="20"/>
                <w:color w:val="auto"/>
                <w:w w:val="99"/>
              </w:rPr>
              <w:t>Other expense, net</w:t>
            </w:r>
          </w:p>
        </w:tc>
        <w:tc>
          <w:tcPr>
            <w:tcW w:w="340" w:type="dxa"/>
            <w:vAlign w:val="bottom"/>
          </w:tcPr>
          <w:p>
            <w:pPr>
              <w:spacing w:after="0"/>
              <w:rPr>
                <w:sz w:val="24"/>
                <w:szCs w:val="24"/>
                <w:color w:val="auto"/>
              </w:rPr>
            </w:pPr>
          </w:p>
        </w:tc>
        <w:tc>
          <w:tcPr>
            <w:tcW w:w="1020" w:type="dxa"/>
            <w:vAlign w:val="bottom"/>
            <w:gridSpan w:val="3"/>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1,819</w:t>
            </w:r>
          </w:p>
        </w:tc>
        <w:tc>
          <w:tcPr>
            <w:tcW w:w="220" w:type="dxa"/>
            <w:vAlign w:val="bottom"/>
          </w:tcPr>
          <w:p>
            <w:pPr>
              <w:spacing w:after="0"/>
              <w:rPr>
                <w:sz w:val="24"/>
                <w:szCs w:val="24"/>
                <w:color w:val="auto"/>
              </w:rPr>
            </w:pPr>
          </w:p>
        </w:tc>
        <w:tc>
          <w:tcPr>
            <w:tcW w:w="54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40" w:hanging="632"/>
        <w:spacing w:after="0"/>
        <w:tabs>
          <w:tab w:leader="none" w:pos="6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INVENTORIES</w:t>
      </w:r>
    </w:p>
    <w:p>
      <w:pPr>
        <w:spacing w:after="0" w:line="229"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Inventories consist of the following at December 31:</w:t>
      </w:r>
    </w:p>
    <w:p>
      <w:pPr>
        <w:spacing w:after="0" w:line="216" w:lineRule="exact"/>
        <w:rPr>
          <w:sz w:val="20"/>
          <w:szCs w:val="20"/>
          <w:color w:val="auto"/>
        </w:rPr>
      </w:pPr>
    </w:p>
    <w:p>
      <w:pPr>
        <w:ind w:left="8140"/>
        <w:spacing w:after="0"/>
        <w:tabs>
          <w:tab w:leader="none" w:pos="10140" w:val="left"/>
        </w:tabs>
        <w:rPr>
          <w:sz w:val="20"/>
          <w:szCs w:val="20"/>
          <w:color w:val="auto"/>
        </w:rPr>
      </w:pPr>
      <w:r>
        <w:rPr>
          <w:rFonts w:ascii="Times New Roman" w:cs="Times New Roman" w:eastAsia="Times New Roman" w:hAnsi="Times New Roman"/>
          <w:sz w:val="20"/>
          <w:szCs w:val="20"/>
          <w:color w:val="auto"/>
        </w:rPr>
        <w:t>2016</w:t>
      </w:r>
      <w:r>
        <w:rPr>
          <w:sz w:val="20"/>
          <w:szCs w:val="20"/>
          <w:color w:val="auto"/>
        </w:rPr>
        <w:tab/>
      </w:r>
      <w:r>
        <w:rPr>
          <w:rFonts w:ascii="Times New Roman" w:cs="Times New Roman" w:eastAsia="Times New Roman" w:hAnsi="Times New Roman"/>
          <w:sz w:val="20"/>
          <w:szCs w:val="20"/>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13970</wp:posOffset>
            </wp:positionV>
            <wp:extent cx="22980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ectPr>
          <w:pgSz w:w="11900" w:h="16838" w:orient="portrait"/>
          <w:cols w:equalWidth="0" w:num="1">
            <w:col w:w="11460"/>
          </w:cols>
          <w:pgMar w:left="240" w:top="157" w:right="199" w:bottom="0" w:gutter="0" w:footer="0" w:header="0"/>
        </w:sectPr>
      </w:pPr>
    </w:p>
    <w:bookmarkStart w:id="63" w:name="page64"/>
    <w:bookmarkEnd w:id="63"/>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Raw materials</w:t>
            </w:r>
          </w:p>
        </w:tc>
        <w:tc>
          <w:tcPr>
            <w:tcW w:w="4320" w:type="dxa"/>
            <w:vAlign w:val="bottom"/>
            <w:gridSpan w:val="2"/>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58,658</w:t>
            </w:r>
          </w:p>
        </w:tc>
        <w:tc>
          <w:tcPr>
            <w:tcW w:w="440" w:type="dxa"/>
            <w:vAlign w:val="bottom"/>
          </w:tcPr>
          <w:p>
            <w:pPr>
              <w:spacing w:after="0"/>
              <w:rPr>
                <w:sz w:val="19"/>
                <w:szCs w:val="19"/>
                <w:color w:val="auto"/>
              </w:rPr>
            </w:pPr>
          </w:p>
        </w:tc>
        <w:tc>
          <w:tcPr>
            <w:tcW w:w="5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52,043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76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Finished goods</w:t>
            </w:r>
          </w:p>
        </w:tc>
        <w:tc>
          <w:tcPr>
            <w:tcW w:w="378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103,313</w:t>
            </w:r>
          </w:p>
        </w:tc>
        <w:tc>
          <w:tcPr>
            <w:tcW w:w="44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104,078</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540" w:type="dxa"/>
            <w:vAlign w:val="bottom"/>
            <w:tcBorders>
              <w:bottom w:val="single" w:sz="8" w:color="auto"/>
            </w:tcBorders>
          </w:tcPr>
          <w:p>
            <w:pPr>
              <w:jc w:val="right"/>
              <w:ind w:right="1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161,971</w:t>
            </w:r>
          </w:p>
        </w:tc>
        <w:tc>
          <w:tcPr>
            <w:tcW w:w="440" w:type="dxa"/>
            <w:vAlign w:val="bottom"/>
          </w:tcPr>
          <w:p>
            <w:pPr>
              <w:spacing w:after="0"/>
              <w:rPr>
                <w:sz w:val="19"/>
                <w:szCs w:val="19"/>
                <w:color w:val="auto"/>
              </w:rPr>
            </w:pPr>
          </w:p>
        </w:tc>
        <w:tc>
          <w:tcPr>
            <w:tcW w:w="540" w:type="dxa"/>
            <w:vAlign w:val="bottom"/>
            <w:tcBorders>
              <w:bottom w:val="single" w:sz="8" w:color="auto"/>
            </w:tcBorders>
          </w:tcPr>
          <w:p>
            <w:pPr>
              <w:jc w:val="right"/>
              <w:ind w:right="1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156,121</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3780" w:type="dxa"/>
            <w:vAlign w:val="bottom"/>
            <w:vMerge w:val="restart"/>
          </w:tcPr>
          <w:p>
            <w:pPr>
              <w:jc w:val="right"/>
              <w:ind w:right="1650"/>
              <w:spacing w:after="0"/>
              <w:rPr>
                <w:sz w:val="20"/>
                <w:szCs w:val="20"/>
                <w:color w:val="auto"/>
              </w:rPr>
            </w:pPr>
            <w:r>
              <w:rPr>
                <w:rFonts w:ascii="Times New Roman" w:cs="Times New Roman" w:eastAsia="Times New Roman" w:hAnsi="Times New Roman"/>
                <w:sz w:val="16"/>
                <w:szCs w:val="16"/>
                <w:color w:val="auto"/>
              </w:rPr>
              <w:t>96</w:t>
            </w: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376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760" w:type="dxa"/>
            <w:vAlign w:val="bottom"/>
            <w:tcBorders>
              <w:bottom w:val="single" w:sz="8" w:color="808080"/>
            </w:tcBorders>
          </w:tcPr>
          <w:p>
            <w:pPr>
              <w:spacing w:after="0"/>
              <w:rPr>
                <w:sz w:val="11"/>
                <w:szCs w:val="11"/>
                <w:color w:val="auto"/>
              </w:rPr>
            </w:pPr>
          </w:p>
        </w:tc>
        <w:tc>
          <w:tcPr>
            <w:tcW w:w="37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right="530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8" w:lineRule="exact"/>
        <w:rPr>
          <w:sz w:val="20"/>
          <w:szCs w:val="20"/>
          <w:color w:val="auto"/>
        </w:rPr>
      </w:pPr>
    </w:p>
    <w:p>
      <w:pPr>
        <w:ind w:left="640" w:hanging="632"/>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PROPERTY AND EQUIPMENT, Net</w:t>
      </w:r>
    </w:p>
    <w:p>
      <w:pPr>
        <w:spacing w:after="0" w:line="229"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Property and equipment consist of the following at December 31:</w:t>
      </w:r>
    </w:p>
    <w:p>
      <w:pPr>
        <w:spacing w:after="0" w:line="243" w:lineRule="exact"/>
        <w:rPr>
          <w:sz w:val="20"/>
          <w:szCs w:val="20"/>
          <w:color w:val="auto"/>
        </w:rPr>
      </w:pPr>
    </w:p>
    <w:tbl>
      <w:tblPr>
        <w:tblLayout w:type="fixed"/>
        <w:tblInd w:w="660" w:type="dxa"/>
        <w:tblCellMar>
          <w:top w:w="0" w:type="dxa"/>
          <w:left w:w="0" w:type="dxa"/>
          <w:bottom w:w="0" w:type="dxa"/>
          <w:right w:w="0" w:type="dxa"/>
        </w:tblCellMar>
      </w:tblPr>
      <w:tr>
        <w:trPr>
          <w:trHeight w:val="252"/>
        </w:trPr>
        <w:tc>
          <w:tcPr>
            <w:tcW w:w="72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Land</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color w:val="auto"/>
              </w:rPr>
              <w:t>2016</w:t>
            </w:r>
          </w:p>
        </w:tc>
        <w:tc>
          <w:tcPr>
            <w:tcW w:w="4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color w:val="auto"/>
              </w:rPr>
              <w:t>2015</w:t>
            </w:r>
          </w:p>
        </w:tc>
        <w:tc>
          <w:tcPr>
            <w:tcW w:w="0" w:type="dxa"/>
            <w:vAlign w:val="bottom"/>
          </w:tcPr>
          <w:p>
            <w:pPr>
              <w:spacing w:after="0"/>
              <w:rPr>
                <w:sz w:val="1"/>
                <w:szCs w:val="1"/>
                <w:color w:val="auto"/>
              </w:rPr>
            </w:pPr>
          </w:p>
        </w:tc>
      </w:tr>
      <w:tr>
        <w:trPr>
          <w:trHeight w:val="200"/>
        </w:trPr>
        <w:tc>
          <w:tcPr>
            <w:tcW w:w="7260" w:type="dxa"/>
            <w:vAlign w:val="bottom"/>
            <w:vMerge w:val="continue"/>
          </w:tcPr>
          <w:p>
            <w:pPr>
              <w:spacing w:after="0"/>
              <w:rPr>
                <w:sz w:val="17"/>
                <w:szCs w:val="17"/>
                <w:color w:val="auto"/>
              </w:rPr>
            </w:pPr>
          </w:p>
        </w:tc>
        <w:tc>
          <w:tcPr>
            <w:tcW w:w="34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46,596</w:t>
            </w:r>
          </w:p>
        </w:tc>
        <w:tc>
          <w:tcPr>
            <w:tcW w:w="400" w:type="dxa"/>
            <w:vAlign w:val="bottom"/>
          </w:tcPr>
          <w:p>
            <w:pPr>
              <w:spacing w:after="0"/>
              <w:rPr>
                <w:sz w:val="17"/>
                <w:szCs w:val="17"/>
                <w:color w:val="auto"/>
              </w:rPr>
            </w:pPr>
          </w:p>
        </w:tc>
        <w:tc>
          <w:tcPr>
            <w:tcW w:w="34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6,792</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34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2,687</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2,804</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Times New Roman" w:cs="Times New Roman" w:eastAsia="Times New Roman" w:hAnsi="Times New Roman"/>
                <w:sz w:val="20"/>
                <w:szCs w:val="20"/>
                <w:color w:val="auto"/>
              </w:rPr>
              <w:t>Furniture and fixtures</w:t>
            </w:r>
          </w:p>
        </w:tc>
        <w:tc>
          <w:tcPr>
            <w:tcW w:w="34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3,635</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3,551</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Times New Roman" w:cs="Times New Roman" w:eastAsia="Times New Roman" w:hAnsi="Times New Roman"/>
                <w:sz w:val="20"/>
                <w:szCs w:val="20"/>
                <w:color w:val="auto"/>
              </w:rPr>
              <w:t>Office and computer equipment</w:t>
            </w:r>
          </w:p>
        </w:tc>
        <w:tc>
          <w:tcPr>
            <w:tcW w:w="34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11,701</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11,080</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Times New Roman" w:cs="Times New Roman" w:eastAsia="Times New Roman" w:hAnsi="Times New Roman"/>
                <w:sz w:val="20"/>
                <w:szCs w:val="20"/>
                <w:color w:val="auto"/>
              </w:rPr>
              <w:t>Computer software</w:t>
            </w:r>
          </w:p>
        </w:tc>
        <w:tc>
          <w:tcPr>
            <w:tcW w:w="34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3,274</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2,530</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Times New Roman" w:cs="Times New Roman" w:eastAsia="Times New Roman" w:hAnsi="Times New Roman"/>
                <w:sz w:val="20"/>
                <w:szCs w:val="20"/>
                <w:color w:val="auto"/>
              </w:rPr>
              <w:t>Equipment</w:t>
            </w:r>
          </w:p>
        </w:tc>
        <w:tc>
          <w:tcPr>
            <w:tcW w:w="34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114,230</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93,465</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Times New Roman" w:cs="Times New Roman" w:eastAsia="Times New Roman" w:hAnsi="Times New Roman"/>
                <w:sz w:val="20"/>
                <w:szCs w:val="20"/>
                <w:color w:val="auto"/>
              </w:rPr>
              <w:t>Building</w:t>
            </w:r>
          </w:p>
        </w:tc>
        <w:tc>
          <w:tcPr>
            <w:tcW w:w="34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69,547</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39,848</w:t>
            </w:r>
          </w:p>
        </w:tc>
        <w:tc>
          <w:tcPr>
            <w:tcW w:w="0" w:type="dxa"/>
            <w:vAlign w:val="bottom"/>
          </w:tcPr>
          <w:p>
            <w:pPr>
              <w:spacing w:after="0"/>
              <w:rPr>
                <w:sz w:val="1"/>
                <w:szCs w:val="1"/>
                <w:color w:val="auto"/>
              </w:rPr>
            </w:pPr>
          </w:p>
        </w:tc>
      </w:tr>
      <w:tr>
        <w:trPr>
          <w:trHeight w:val="252"/>
        </w:trPr>
        <w:tc>
          <w:tcPr>
            <w:tcW w:w="7260" w:type="dxa"/>
            <w:vAlign w:val="bottom"/>
          </w:tcPr>
          <w:p>
            <w:pPr>
              <w:spacing w:after="0"/>
              <w:rPr>
                <w:sz w:val="20"/>
                <w:szCs w:val="20"/>
                <w:color w:val="auto"/>
              </w:rPr>
            </w:pPr>
            <w:r>
              <w:rPr>
                <w:rFonts w:ascii="Times New Roman" w:cs="Times New Roman" w:eastAsia="Times New Roman" w:hAnsi="Times New Roman"/>
                <w:sz w:val="20"/>
                <w:szCs w:val="20"/>
                <w:color w:val="auto"/>
              </w:rPr>
              <w:t>Vehicles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31,582</w:t>
            </w:r>
          </w:p>
        </w:tc>
        <w:tc>
          <w:tcPr>
            <w:tcW w:w="4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29,804</w:t>
            </w:r>
          </w:p>
        </w:tc>
        <w:tc>
          <w:tcPr>
            <w:tcW w:w="0" w:type="dxa"/>
            <w:vAlign w:val="bottom"/>
          </w:tcPr>
          <w:p>
            <w:pPr>
              <w:spacing w:after="0"/>
              <w:rPr>
                <w:sz w:val="1"/>
                <w:szCs w:val="1"/>
                <w:color w:val="auto"/>
              </w:rPr>
            </w:pPr>
          </w:p>
        </w:tc>
      </w:tr>
      <w:tr>
        <w:trPr>
          <w:trHeight w:val="200"/>
        </w:trPr>
        <w:tc>
          <w:tcPr>
            <w:tcW w:w="7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283,252</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189,874</w:t>
            </w:r>
          </w:p>
        </w:tc>
        <w:tc>
          <w:tcPr>
            <w:tcW w:w="0" w:type="dxa"/>
            <w:vAlign w:val="bottom"/>
          </w:tcPr>
          <w:p>
            <w:pPr>
              <w:spacing w:after="0"/>
              <w:rPr>
                <w:sz w:val="1"/>
                <w:szCs w:val="1"/>
                <w:color w:val="auto"/>
              </w:rPr>
            </w:pPr>
          </w:p>
        </w:tc>
      </w:tr>
      <w:tr>
        <w:trPr>
          <w:trHeight w:val="252"/>
        </w:trPr>
        <w:tc>
          <w:tcPr>
            <w:tcW w:w="7260" w:type="dxa"/>
            <w:vAlign w:val="bottom"/>
          </w:tcPr>
          <w:p>
            <w:pPr>
              <w:spacing w:after="0"/>
              <w:rPr>
                <w:sz w:val="20"/>
                <w:szCs w:val="20"/>
                <w:color w:val="auto"/>
              </w:rPr>
            </w:pPr>
            <w:r>
              <w:rPr>
                <w:rFonts w:ascii="Times New Roman" w:cs="Times New Roman" w:eastAsia="Times New Roman" w:hAnsi="Times New Roman"/>
                <w:sz w:val="20"/>
                <w:szCs w:val="20"/>
                <w:color w:val="auto"/>
              </w:rPr>
              <w:t>Less: accumulated depreciation and amortization</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(109,909)</w:t>
            </w:r>
          </w:p>
        </w:tc>
        <w:tc>
          <w:tcPr>
            <w:tcW w:w="4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(92,520)</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173,343</w:t>
            </w:r>
          </w:p>
        </w:tc>
        <w:tc>
          <w:tcPr>
            <w:tcW w:w="40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97,354</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Total depreciation and amortization expense recorded was $30.2 million, $27.0 million and $25.3 million for the years ended December 31, 2016, 2015 and 2014, respectively.</w:t>
      </w:r>
    </w:p>
    <w:p>
      <w:pPr>
        <w:spacing w:after="0" w:line="173" w:lineRule="exact"/>
        <w:rPr>
          <w:sz w:val="20"/>
          <w:szCs w:val="20"/>
          <w:color w:val="auto"/>
        </w:rPr>
      </w:pPr>
    </w:p>
    <w:p>
      <w:pPr>
        <w:ind w:left="640" w:hanging="632"/>
        <w:spacing w:after="0"/>
        <w:tabs>
          <w:tab w:leader="none" w:pos="6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GOODWILL AND OTHER INTANGIBLES ASSETS</w:t>
      </w:r>
    </w:p>
    <w:p>
      <w:pPr>
        <w:spacing w:after="0" w:line="229"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is a roll-forward of goodwill for the year ended December 31, 2016 by reportable segment:</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center"/>
              <w:ind w:right="580"/>
              <w:spacing w:after="0"/>
              <w:rPr>
                <w:sz w:val="20"/>
                <w:szCs w:val="20"/>
                <w:color w:val="auto"/>
              </w:rPr>
            </w:pPr>
            <w:r>
              <w:rPr>
                <w:rFonts w:ascii="Times New Roman" w:cs="Times New Roman" w:eastAsia="Times New Roman" w:hAnsi="Times New Roman"/>
                <w:sz w:val="20"/>
                <w:szCs w:val="20"/>
                <w:color w:val="auto"/>
                <w:w w:val="98"/>
              </w:rPr>
              <w:t>Monster</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center"/>
              <w:ind w:right="560"/>
              <w:spacing w:after="0"/>
              <w:rPr>
                <w:sz w:val="20"/>
                <w:szCs w:val="20"/>
                <w:color w:val="auto"/>
              </w:rPr>
            </w:pPr>
            <w:r>
              <w:rPr>
                <w:rFonts w:ascii="Times New Roman" w:cs="Times New Roman" w:eastAsia="Times New Roman" w:hAnsi="Times New Roman"/>
                <w:sz w:val="20"/>
                <w:szCs w:val="20"/>
                <w:color w:val="auto"/>
                <w:w w:val="98"/>
              </w:rPr>
              <w:t>Energy®</w:t>
            </w:r>
          </w:p>
        </w:tc>
        <w:tc>
          <w:tcPr>
            <w:tcW w:w="280" w:type="dxa"/>
            <w:vAlign w:val="bottom"/>
          </w:tcPr>
          <w:p>
            <w:pPr>
              <w:spacing w:after="0"/>
              <w:rPr>
                <w:sz w:val="19"/>
                <w:szCs w:val="19"/>
                <w:color w:val="auto"/>
              </w:rPr>
            </w:pPr>
          </w:p>
        </w:tc>
        <w:tc>
          <w:tcPr>
            <w:tcW w:w="1460" w:type="dxa"/>
            <w:vAlign w:val="bottom"/>
            <w:gridSpan w:val="2"/>
          </w:tcPr>
          <w:p>
            <w:pPr>
              <w:jc w:val="center"/>
              <w:ind w:right="560"/>
              <w:spacing w:after="0"/>
              <w:rPr>
                <w:sz w:val="20"/>
                <w:szCs w:val="20"/>
                <w:color w:val="auto"/>
              </w:rPr>
            </w:pPr>
            <w:r>
              <w:rPr>
                <w:rFonts w:ascii="Times New Roman" w:cs="Times New Roman" w:eastAsia="Times New Roman" w:hAnsi="Times New Roman"/>
                <w:sz w:val="20"/>
                <w:szCs w:val="20"/>
                <w:color w:val="auto"/>
                <w:w w:val="98"/>
              </w:rPr>
              <w:t>Strategic</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7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Balance at December 31, 2015</w:t>
            </w:r>
          </w:p>
        </w:tc>
        <w:tc>
          <w:tcPr>
            <w:tcW w:w="280" w:type="dxa"/>
            <w:vAlign w:val="bottom"/>
          </w:tcPr>
          <w:p>
            <w:pPr>
              <w:spacing w:after="0"/>
              <w:rPr>
                <w:sz w:val="21"/>
                <w:szCs w:val="21"/>
                <w:color w:val="auto"/>
              </w:rPr>
            </w:pPr>
          </w:p>
        </w:tc>
        <w:tc>
          <w:tcPr>
            <w:tcW w:w="1480" w:type="dxa"/>
            <w:vAlign w:val="bottom"/>
            <w:gridSpan w:val="2"/>
          </w:tcPr>
          <w:p>
            <w:pPr>
              <w:jc w:val="center"/>
              <w:ind w:right="580"/>
              <w:spacing w:after="0"/>
              <w:rPr>
                <w:sz w:val="20"/>
                <w:szCs w:val="20"/>
                <w:color w:val="auto"/>
              </w:rPr>
            </w:pPr>
            <w:r>
              <w:rPr>
                <w:rFonts w:ascii="Times New Roman" w:cs="Times New Roman" w:eastAsia="Times New Roman" w:hAnsi="Times New Roman"/>
                <w:sz w:val="20"/>
                <w:szCs w:val="20"/>
                <w:color w:val="auto"/>
                <w:w w:val="99"/>
              </w:rPr>
              <w:t>Drinks</w:t>
            </w:r>
          </w:p>
        </w:tc>
        <w:tc>
          <w:tcPr>
            <w:tcW w:w="280" w:type="dxa"/>
            <w:vAlign w:val="bottom"/>
          </w:tcPr>
          <w:p>
            <w:pPr>
              <w:spacing w:after="0"/>
              <w:rPr>
                <w:sz w:val="21"/>
                <w:szCs w:val="21"/>
                <w:color w:val="auto"/>
              </w:rPr>
            </w:pPr>
          </w:p>
        </w:tc>
        <w:tc>
          <w:tcPr>
            <w:tcW w:w="1460" w:type="dxa"/>
            <w:vAlign w:val="bottom"/>
            <w:gridSpan w:val="2"/>
          </w:tcPr>
          <w:p>
            <w:pPr>
              <w:jc w:val="center"/>
              <w:ind w:right="580"/>
              <w:spacing w:after="0"/>
              <w:rPr>
                <w:sz w:val="20"/>
                <w:szCs w:val="20"/>
                <w:color w:val="auto"/>
              </w:rPr>
            </w:pPr>
            <w:r>
              <w:rPr>
                <w:rFonts w:ascii="Times New Roman" w:cs="Times New Roman" w:eastAsia="Times New Roman" w:hAnsi="Times New Roman"/>
                <w:sz w:val="20"/>
                <w:szCs w:val="20"/>
                <w:color w:val="auto"/>
                <w:w w:val="98"/>
              </w:rPr>
              <w:t>Brands</w:t>
            </w:r>
          </w:p>
        </w:tc>
        <w:tc>
          <w:tcPr>
            <w:tcW w:w="11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Other</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Total</w:t>
            </w:r>
          </w:p>
        </w:tc>
        <w:tc>
          <w:tcPr>
            <w:tcW w:w="0" w:type="dxa"/>
            <w:vAlign w:val="bottom"/>
          </w:tcPr>
          <w:p>
            <w:pPr>
              <w:spacing w:after="0"/>
              <w:rPr>
                <w:sz w:val="1"/>
                <w:szCs w:val="1"/>
                <w:color w:val="auto"/>
              </w:rPr>
            </w:pPr>
          </w:p>
        </w:tc>
      </w:tr>
      <w:tr>
        <w:trPr>
          <w:trHeight w:val="200"/>
        </w:trPr>
        <w:tc>
          <w:tcPr>
            <w:tcW w:w="3740" w:type="dxa"/>
            <w:vAlign w:val="bottom"/>
            <w:vMerge w:val="continue"/>
          </w:tcPr>
          <w:p>
            <w:pPr>
              <w:spacing w:after="0"/>
              <w:rPr>
                <w:sz w:val="17"/>
                <w:szCs w:val="17"/>
                <w:color w:val="auto"/>
              </w:rPr>
            </w:pPr>
          </w:p>
        </w:tc>
        <w:tc>
          <w:tcPr>
            <w:tcW w:w="28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641,716</w:t>
            </w:r>
          </w:p>
        </w:tc>
        <w:tc>
          <w:tcPr>
            <w:tcW w:w="300" w:type="dxa"/>
            <w:vAlign w:val="bottom"/>
          </w:tcPr>
          <w:p>
            <w:pPr>
              <w:spacing w:after="0"/>
              <w:rPr>
                <w:sz w:val="17"/>
                <w:szCs w:val="17"/>
                <w:color w:val="auto"/>
              </w:rPr>
            </w:pPr>
          </w:p>
        </w:tc>
        <w:tc>
          <w:tcPr>
            <w:tcW w:w="28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637,999</w:t>
            </w:r>
          </w:p>
        </w:tc>
        <w:tc>
          <w:tcPr>
            <w:tcW w:w="280" w:type="dxa"/>
            <w:vAlign w:val="bottom"/>
          </w:tcPr>
          <w:p>
            <w:pPr>
              <w:spacing w:after="0"/>
              <w:rPr>
                <w:sz w:val="17"/>
                <w:szCs w:val="17"/>
                <w:color w:val="auto"/>
              </w:rPr>
            </w:pPr>
          </w:p>
        </w:tc>
        <w:tc>
          <w:tcPr>
            <w:tcW w:w="1140" w:type="dxa"/>
            <w:vAlign w:val="bottom"/>
            <w:tcBorders>
              <w:top w:val="single" w:sz="8" w:color="auto"/>
            </w:tcBorders>
          </w:tcPr>
          <w:p>
            <w:pPr>
              <w:jc w:val="right"/>
              <w:ind w:right="8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17"/>
                <w:szCs w:val="17"/>
                <w:color w:val="auto"/>
              </w:rPr>
            </w:pPr>
          </w:p>
        </w:tc>
        <w:tc>
          <w:tcPr>
            <w:tcW w:w="360" w:type="dxa"/>
            <w:vAlign w:val="bottom"/>
            <w:tcBorders>
              <w:top w:val="single" w:sz="8" w:color="auto"/>
            </w:tcBorders>
          </w:tcPr>
          <w:p>
            <w:pPr>
              <w:jc w:val="right"/>
              <w:ind w:right="8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1,279,715</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20"/>
                <w:szCs w:val="20"/>
                <w:color w:val="auto"/>
              </w:rPr>
              <w:t>Acquisitions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51,928</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51,928</w:t>
            </w:r>
          </w:p>
        </w:tc>
        <w:tc>
          <w:tcPr>
            <w:tcW w:w="0" w:type="dxa"/>
            <w:vAlign w:val="bottom"/>
          </w:tcPr>
          <w:p>
            <w:pPr>
              <w:spacing w:after="0"/>
              <w:rPr>
                <w:sz w:val="1"/>
                <w:szCs w:val="1"/>
                <w:color w:val="auto"/>
              </w:rPr>
            </w:pPr>
          </w:p>
        </w:tc>
      </w:tr>
      <w:tr>
        <w:trPr>
          <w:trHeight w:val="23"/>
        </w:trPr>
        <w:tc>
          <w:tcPr>
            <w:tcW w:w="37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Balance at December 31, 2016</w:t>
            </w: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740" w:type="dxa"/>
            <w:vAlign w:val="bottom"/>
            <w:vMerge w:val="continue"/>
          </w:tcPr>
          <w:p>
            <w:pPr>
              <w:spacing w:after="0"/>
              <w:rPr>
                <w:sz w:val="19"/>
                <w:szCs w:val="19"/>
                <w:color w:val="auto"/>
              </w:rPr>
            </w:pPr>
          </w:p>
        </w:tc>
        <w:tc>
          <w:tcPr>
            <w:tcW w:w="2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693,644</w:t>
            </w:r>
          </w:p>
        </w:tc>
        <w:tc>
          <w:tcPr>
            <w:tcW w:w="300" w:type="dxa"/>
            <w:vAlign w:val="bottom"/>
          </w:tcPr>
          <w:p>
            <w:pPr>
              <w:spacing w:after="0"/>
              <w:rPr>
                <w:sz w:val="19"/>
                <w:szCs w:val="19"/>
                <w:color w:val="auto"/>
              </w:rPr>
            </w:pPr>
          </w:p>
        </w:tc>
        <w:tc>
          <w:tcPr>
            <w:tcW w:w="2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637,999</w:t>
            </w:r>
          </w:p>
        </w:tc>
        <w:tc>
          <w:tcPr>
            <w:tcW w:w="280" w:type="dxa"/>
            <w:vAlign w:val="bottom"/>
          </w:tcPr>
          <w:p>
            <w:pPr>
              <w:spacing w:after="0"/>
              <w:rPr>
                <w:sz w:val="19"/>
                <w:szCs w:val="19"/>
                <w:color w:val="auto"/>
              </w:rPr>
            </w:pPr>
          </w:p>
        </w:tc>
        <w:tc>
          <w:tcPr>
            <w:tcW w:w="1140" w:type="dxa"/>
            <w:vAlign w:val="bottom"/>
            <w:tcBorders>
              <w:bottom w:val="single" w:sz="8" w:color="auto"/>
            </w:tcBorders>
          </w:tcPr>
          <w:p>
            <w:pPr>
              <w:jc w:val="right"/>
              <w:ind w:right="8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19"/>
                <w:szCs w:val="19"/>
                <w:color w:val="auto"/>
              </w:rPr>
            </w:pPr>
          </w:p>
        </w:tc>
        <w:tc>
          <w:tcPr>
            <w:tcW w:w="36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1,331,643</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58"/>
        </w:trPr>
        <w:tc>
          <w:tcPr>
            <w:tcW w:w="7060" w:type="dxa"/>
            <w:vAlign w:val="bottom"/>
          </w:tcPr>
          <w:p>
            <w:pPr>
              <w:spacing w:after="0"/>
              <w:rPr>
                <w:sz w:val="20"/>
                <w:szCs w:val="20"/>
                <w:color w:val="auto"/>
              </w:rPr>
            </w:pPr>
            <w:r>
              <w:rPr>
                <w:rFonts w:ascii="Times New Roman" w:cs="Times New Roman" w:eastAsia="Times New Roman" w:hAnsi="Times New Roman"/>
                <w:sz w:val="20"/>
                <w:szCs w:val="20"/>
                <w:color w:val="auto"/>
              </w:rPr>
              <w:t>Intangible assets consist of the following at:</w:t>
            </w: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0"/>
        </w:trPr>
        <w:tc>
          <w:tcPr>
            <w:tcW w:w="7060" w:type="dxa"/>
            <w:vAlign w:val="bottom"/>
          </w:tcPr>
          <w:p>
            <w:pPr>
              <w:spacing w:after="0"/>
              <w:rPr>
                <w:sz w:val="24"/>
                <w:szCs w:val="24"/>
                <w:color w:val="auto"/>
              </w:rPr>
            </w:pPr>
          </w:p>
        </w:tc>
        <w:tc>
          <w:tcPr>
            <w:tcW w:w="198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December 31,</w:t>
            </w:r>
          </w:p>
        </w:tc>
        <w:tc>
          <w:tcPr>
            <w:tcW w:w="1560" w:type="dxa"/>
            <w:vAlign w:val="bottom"/>
            <w:gridSpan w:val="2"/>
          </w:tcPr>
          <w:p>
            <w:pPr>
              <w:jc w:val="right"/>
              <w:ind w:right="181"/>
              <w:spacing w:after="0"/>
              <w:rPr>
                <w:sz w:val="20"/>
                <w:szCs w:val="20"/>
                <w:color w:val="auto"/>
              </w:rPr>
            </w:pPr>
            <w:r>
              <w:rPr>
                <w:rFonts w:ascii="Times New Roman" w:cs="Times New Roman" w:eastAsia="Times New Roman" w:hAnsi="Times New Roman"/>
                <w:sz w:val="20"/>
                <w:szCs w:val="20"/>
                <w:color w:val="auto"/>
              </w:rPr>
              <w:t>December 31,</w:t>
            </w:r>
          </w:p>
        </w:tc>
        <w:tc>
          <w:tcPr>
            <w:tcW w:w="0" w:type="dxa"/>
            <w:vAlign w:val="bottom"/>
          </w:tcPr>
          <w:p>
            <w:pPr>
              <w:spacing w:after="0"/>
              <w:rPr>
                <w:sz w:val="1"/>
                <w:szCs w:val="1"/>
                <w:color w:val="auto"/>
              </w:rPr>
            </w:pPr>
          </w:p>
        </w:tc>
      </w:tr>
      <w:tr>
        <w:trPr>
          <w:trHeight w:val="252"/>
        </w:trPr>
        <w:tc>
          <w:tcPr>
            <w:tcW w:w="70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Amortizing intangibles</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color w:val="auto"/>
              </w:rPr>
              <w:t>2016</w:t>
            </w:r>
          </w:p>
        </w:tc>
        <w:tc>
          <w:tcPr>
            <w:tcW w:w="3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color w:val="auto"/>
              </w:rPr>
              <w:t>2015</w:t>
            </w:r>
          </w:p>
        </w:tc>
        <w:tc>
          <w:tcPr>
            <w:tcW w:w="0" w:type="dxa"/>
            <w:vAlign w:val="bottom"/>
          </w:tcPr>
          <w:p>
            <w:pPr>
              <w:spacing w:after="0"/>
              <w:rPr>
                <w:sz w:val="1"/>
                <w:szCs w:val="1"/>
                <w:color w:val="auto"/>
              </w:rPr>
            </w:pPr>
          </w:p>
        </w:tc>
      </w:tr>
      <w:tr>
        <w:trPr>
          <w:trHeight w:val="200"/>
        </w:trPr>
        <w:tc>
          <w:tcPr>
            <w:tcW w:w="7060" w:type="dxa"/>
            <w:vAlign w:val="bottom"/>
            <w:vMerge w:val="continue"/>
          </w:tcPr>
          <w:p>
            <w:pPr>
              <w:spacing w:after="0"/>
              <w:rPr>
                <w:sz w:val="17"/>
                <w:szCs w:val="17"/>
                <w:color w:val="auto"/>
              </w:rPr>
            </w:pPr>
          </w:p>
        </w:tc>
        <w:tc>
          <w:tcPr>
            <w:tcW w:w="380" w:type="dxa"/>
            <w:vAlign w:val="bottom"/>
          </w:tcPr>
          <w:p>
            <w:pPr>
              <w:jc w:val="right"/>
              <w:ind w:right="8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71,290</w:t>
            </w:r>
          </w:p>
        </w:tc>
        <w:tc>
          <w:tcPr>
            <w:tcW w:w="380" w:type="dxa"/>
            <w:vAlign w:val="bottom"/>
          </w:tcPr>
          <w:p>
            <w:pPr>
              <w:spacing w:after="0"/>
              <w:rPr>
                <w:sz w:val="17"/>
                <w:szCs w:val="17"/>
                <w:color w:val="auto"/>
              </w:rPr>
            </w:pPr>
          </w:p>
        </w:tc>
        <w:tc>
          <w:tcPr>
            <w:tcW w:w="360" w:type="dxa"/>
            <w:vAlign w:val="bottom"/>
          </w:tcPr>
          <w:p>
            <w:pPr>
              <w:jc w:val="right"/>
              <w:ind w:right="8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35,263</w:t>
            </w:r>
          </w:p>
        </w:tc>
        <w:tc>
          <w:tcPr>
            <w:tcW w:w="0" w:type="dxa"/>
            <w:vAlign w:val="bottom"/>
          </w:tcPr>
          <w:p>
            <w:pPr>
              <w:spacing w:after="0"/>
              <w:rPr>
                <w:sz w:val="1"/>
                <w:szCs w:val="1"/>
                <w:color w:val="auto"/>
              </w:rPr>
            </w:pPr>
          </w:p>
        </w:tc>
      </w:tr>
      <w:tr>
        <w:trPr>
          <w:trHeight w:val="252"/>
        </w:trPr>
        <w:tc>
          <w:tcPr>
            <w:tcW w:w="7060" w:type="dxa"/>
            <w:vAlign w:val="bottom"/>
          </w:tcPr>
          <w:p>
            <w:pPr>
              <w:spacing w:after="0"/>
              <w:rPr>
                <w:sz w:val="20"/>
                <w:szCs w:val="20"/>
                <w:color w:val="auto"/>
              </w:rPr>
            </w:pPr>
            <w:r>
              <w:rPr>
                <w:rFonts w:ascii="Times New Roman" w:cs="Times New Roman" w:eastAsia="Times New Roman" w:hAnsi="Times New Roman"/>
                <w:sz w:val="20"/>
                <w:szCs w:val="20"/>
                <w:color w:val="auto"/>
              </w:rPr>
              <w:t>Accumulated amortization</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(14,535)</w:t>
            </w:r>
          </w:p>
        </w:tc>
        <w:tc>
          <w:tcPr>
            <w:tcW w:w="3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(3,899)</w:t>
            </w:r>
          </w:p>
        </w:tc>
        <w:tc>
          <w:tcPr>
            <w:tcW w:w="0" w:type="dxa"/>
            <w:vAlign w:val="bottom"/>
          </w:tcPr>
          <w:p>
            <w:pPr>
              <w:spacing w:after="0"/>
              <w:rPr>
                <w:sz w:val="1"/>
                <w:szCs w:val="1"/>
                <w:color w:val="auto"/>
              </w:rPr>
            </w:pPr>
          </w:p>
        </w:tc>
      </w:tr>
      <w:tr>
        <w:trPr>
          <w:trHeight w:val="200"/>
        </w:trPr>
        <w:tc>
          <w:tcPr>
            <w:tcW w:w="7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56,755</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31,364</w:t>
            </w:r>
          </w:p>
        </w:tc>
        <w:tc>
          <w:tcPr>
            <w:tcW w:w="0" w:type="dxa"/>
            <w:vAlign w:val="bottom"/>
          </w:tcPr>
          <w:p>
            <w:pPr>
              <w:spacing w:after="0"/>
              <w:rPr>
                <w:sz w:val="1"/>
                <w:szCs w:val="1"/>
                <w:color w:val="auto"/>
              </w:rPr>
            </w:pPr>
          </w:p>
        </w:tc>
      </w:tr>
      <w:tr>
        <w:trPr>
          <w:trHeight w:val="252"/>
        </w:trPr>
        <w:tc>
          <w:tcPr>
            <w:tcW w:w="7060" w:type="dxa"/>
            <w:vAlign w:val="bottom"/>
          </w:tcPr>
          <w:p>
            <w:pPr>
              <w:spacing w:after="0"/>
              <w:rPr>
                <w:sz w:val="20"/>
                <w:szCs w:val="20"/>
                <w:color w:val="auto"/>
              </w:rPr>
            </w:pPr>
            <w:r>
              <w:rPr>
                <w:rFonts w:ascii="Times New Roman" w:cs="Times New Roman" w:eastAsia="Times New Roman" w:hAnsi="Times New Roman"/>
                <w:sz w:val="20"/>
                <w:szCs w:val="20"/>
                <w:color w:val="auto"/>
              </w:rPr>
              <w:t>Non-amortizing intangibles</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975,880</w:t>
            </w:r>
          </w:p>
        </w:tc>
        <w:tc>
          <w:tcPr>
            <w:tcW w:w="3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396,622</w:t>
            </w:r>
          </w:p>
        </w:tc>
        <w:tc>
          <w:tcPr>
            <w:tcW w:w="0" w:type="dxa"/>
            <w:vAlign w:val="bottom"/>
          </w:tcPr>
          <w:p>
            <w:pPr>
              <w:spacing w:after="0"/>
              <w:rPr>
                <w:sz w:val="1"/>
                <w:szCs w:val="1"/>
                <w:color w:val="auto"/>
              </w:rPr>
            </w:pPr>
          </w:p>
        </w:tc>
      </w:tr>
      <w:tr>
        <w:trPr>
          <w:trHeight w:val="223"/>
        </w:trPr>
        <w:tc>
          <w:tcPr>
            <w:tcW w:w="7060" w:type="dxa"/>
            <w:vAlign w:val="bottom"/>
          </w:tcPr>
          <w:p>
            <w:pPr>
              <w:spacing w:after="0"/>
              <w:rPr>
                <w:sz w:val="19"/>
                <w:szCs w:val="19"/>
                <w:color w:val="auto"/>
              </w:rPr>
            </w:pPr>
          </w:p>
        </w:tc>
        <w:tc>
          <w:tcPr>
            <w:tcW w:w="38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1,032,635</w:t>
            </w:r>
          </w:p>
        </w:tc>
        <w:tc>
          <w:tcPr>
            <w:tcW w:w="380" w:type="dxa"/>
            <w:vAlign w:val="bottom"/>
          </w:tcPr>
          <w:p>
            <w:pPr>
              <w:spacing w:after="0"/>
              <w:rPr>
                <w:sz w:val="19"/>
                <w:szCs w:val="19"/>
                <w:color w:val="auto"/>
              </w:rPr>
            </w:pPr>
          </w:p>
        </w:tc>
        <w:tc>
          <w:tcPr>
            <w:tcW w:w="36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427,986</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right="40" w:firstLine="648"/>
        <w:spacing w:after="0" w:line="269" w:lineRule="auto"/>
        <w:rPr>
          <w:sz w:val="20"/>
          <w:szCs w:val="20"/>
          <w:color w:val="auto"/>
        </w:rPr>
      </w:pPr>
      <w:r>
        <w:rPr>
          <w:rFonts w:ascii="Times New Roman" w:cs="Times New Roman" w:eastAsia="Times New Roman" w:hAnsi="Times New Roman"/>
          <w:sz w:val="20"/>
          <w:szCs w:val="20"/>
          <w:color w:val="auto"/>
        </w:rPr>
        <w:t>During the fourth quarter of 2016, the Company finalized its goodwill allocation by reporting unit in connection with the final AFF Transaction purchase price allocation.</w:t>
      </w:r>
    </w:p>
    <w:p>
      <w:pPr>
        <w:spacing w:after="0" w:line="173" w:lineRule="exact"/>
        <w:rPr>
          <w:sz w:val="20"/>
          <w:szCs w:val="20"/>
          <w:color w:val="auto"/>
        </w:rPr>
      </w:pPr>
    </w:p>
    <w:p>
      <w:pPr>
        <w:jc w:val="both"/>
        <w:ind w:right="40" w:firstLine="648"/>
        <w:spacing w:after="0" w:line="249" w:lineRule="auto"/>
        <w:rPr>
          <w:sz w:val="20"/>
          <w:szCs w:val="20"/>
          <w:color w:val="auto"/>
        </w:rPr>
      </w:pPr>
      <w:r>
        <w:rPr>
          <w:rFonts w:ascii="Times New Roman" w:cs="Times New Roman" w:eastAsia="Times New Roman" w:hAnsi="Times New Roman"/>
          <w:sz w:val="20"/>
          <w:szCs w:val="20"/>
          <w:color w:val="auto"/>
        </w:rPr>
        <w:t>Amortizing intangibles primarily consist of customer relationships. All amortizing intangibles have been assigned an estimated finite useful life and such intangibles are amortized on a straight-line basis over the number of years that approximate their respective useful lives, generally five to seven years. Total amortization expense recorded was $10.6 million, $3.9 million and $0.4 million for the years ended December 31, 2016, 2015 and 2014, respectively.</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ectPr>
          <w:pgSz w:w="11900" w:h="16890" w:orient="portrait"/>
          <w:cols w:equalWidth="0" w:num="1">
            <w:col w:w="11460"/>
          </w:cols>
          <w:pgMar w:left="240" w:top="116" w:right="199" w:bottom="0" w:gutter="0" w:footer="0" w:header="0"/>
        </w:sectPr>
      </w:pPr>
    </w:p>
    <w:p>
      <w:pPr>
        <w:spacing w:after="0" w:line="239" w:lineRule="exact"/>
        <w:rPr>
          <w:sz w:val="20"/>
          <w:szCs w:val="20"/>
          <w:color w:val="auto"/>
        </w:rPr>
      </w:pPr>
    </w:p>
    <w:p>
      <w:pPr>
        <w:ind w:right="530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90" w:orient="portrait"/>
          <w:cols w:equalWidth="0" w:num="1">
            <w:col w:w="11460"/>
          </w:cols>
          <w:pgMar w:left="240" w:top="116" w:right="199" w:bottom="0" w:gutter="0" w:footer="0" w:header="0"/>
          <w:type w:val="continuous"/>
        </w:sectPr>
      </w:pPr>
    </w:p>
    <w:bookmarkStart w:id="64" w:name="page65"/>
    <w:bookmarkEnd w:id="64"/>
    <w:p>
      <w:pPr>
        <w:ind w:left="660"/>
        <w:spacing w:after="0"/>
        <w:rPr>
          <w:sz w:val="20"/>
          <w:szCs w:val="20"/>
          <w:color w:val="auto"/>
        </w:rPr>
      </w:pPr>
      <w:r>
        <w:rPr>
          <w:rFonts w:ascii="Times New Roman" w:cs="Times New Roman" w:eastAsia="Times New Roman" w:hAnsi="Times New Roman"/>
          <w:sz w:val="20"/>
          <w:szCs w:val="20"/>
          <w:color w:val="auto"/>
        </w:rPr>
        <w:t>The following is the future estimated amortization expense related to amortizing intangibles as of December 31, 2016:</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58"/>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Year Ending December 31:</w:t>
            </w: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417"/>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2017</w:t>
            </w:r>
          </w:p>
        </w:tc>
        <w:tc>
          <w:tcPr>
            <w:tcW w:w="4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11,845</w:t>
            </w: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2018</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11,845</w:t>
            </w: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2019</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11,845</w:t>
            </w: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2020</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7,963</w:t>
            </w: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2021</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4,721</w:t>
            </w:r>
          </w:p>
        </w:tc>
      </w:tr>
      <w:tr>
        <w:trPr>
          <w:trHeight w:val="252"/>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2022 and thereafter</w:t>
            </w:r>
          </w:p>
        </w:tc>
        <w:tc>
          <w:tcPr>
            <w:tcW w:w="4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8,536</w:t>
            </w:r>
          </w:p>
        </w:tc>
      </w:tr>
      <w:tr>
        <w:trPr>
          <w:trHeight w:val="223"/>
        </w:trPr>
        <w:tc>
          <w:tcPr>
            <w:tcW w:w="42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56,755</w:t>
            </w:r>
          </w:p>
        </w:tc>
      </w:tr>
      <w:tr>
        <w:trPr>
          <w:trHeight w:val="20"/>
        </w:trPr>
        <w:tc>
          <w:tcPr>
            <w:tcW w:w="4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At December 31, 2016, non-amortizing intangibles primarily consist of indefinite-lived tradenames.</w:t>
      </w:r>
    </w:p>
    <w:p>
      <w:pPr>
        <w:spacing w:after="0" w:line="229" w:lineRule="exact"/>
        <w:rPr>
          <w:sz w:val="20"/>
          <w:szCs w:val="20"/>
          <w:color w:val="auto"/>
        </w:rPr>
      </w:pPr>
    </w:p>
    <w:p>
      <w:pPr>
        <w:ind w:left="640" w:hanging="632"/>
        <w:spacing w:after="0"/>
        <w:tabs>
          <w:tab w:leader="none" w:pos="6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 AGREEMENTS</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accordance with FASB ASC No. 420 “Exit or Disposal Cost Obligations”, the Company expenses distributor termination costs in the period in which the written notification of termination occurs. As a result, the Company incurred termination costs of $79.8 million, $224.0 million and ($0.2) million for the years ended December 31, 2016, 2015 and 2014, respectively. Such termination costs have been expensed in full and are included in operating expenses for the years ended December 31, 2016, 2015 and 2014, respectively.</w:t>
      </w:r>
    </w:p>
    <w:p>
      <w:pPr>
        <w:spacing w:after="0" w:line="19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In the normal course of business, amounts received pursuant to new and/or amended distribution agreements entered into with certain distributors, relating to the costs associated with terminating agreements with the Company’s prior distributors, are accounted for as deferred revenue and are recognized as revenue ratably over the anticipated life of the respective distribution agreement, generally 20 years. Revenue recognized was $26.1 million, $50.5 million and $7.8 million for the years ended December 31, 2016, 2015 and 2014, respectively. Included in the $26.1 million of revenue recognized for the year ended December 31, 2016 was $5.7 million related to the accelerated amortization of the deferred revenue balances associated with certain of the Company’s prior distributors who were sent notices of termination during the year ended December 31, 2016. Included in the $50.5 million of revenue recognized for the year ended December 31, 2015 was $39.8 million related to the accelerated amortization of the deferred revenue balances associated with certain of the Company’s prior distributors who were sent notices of termination during the year ended December 31, 2015. There was no acceleration of deferred revenue in the year ended December 31, 2014.</w:t>
      </w:r>
    </w:p>
    <w:p>
      <w:pPr>
        <w:spacing w:after="0" w:line="207" w:lineRule="exact"/>
        <w:rPr>
          <w:sz w:val="20"/>
          <w:szCs w:val="20"/>
          <w:color w:val="auto"/>
        </w:rPr>
      </w:pPr>
    </w:p>
    <w:p>
      <w:pPr>
        <w:ind w:left="640" w:hanging="632"/>
        <w:spacing w:after="0"/>
        <w:tabs>
          <w:tab w:leader="none" w:pos="6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w:t>
      </w:r>
    </w:p>
    <w:p>
      <w:pPr>
        <w:spacing w:after="0" w:line="22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Company entered into a credit facility with Comerica Bank (“Comerica”) consisting of a revolving line of credit, which was amended in April 2015, under which the Company may borrow up to $10.0 million of non-collateralized debt. The revolving line of credit is effective through June 1, 2017. Interest on borrowings under the line of credit is based on Comerica’s base (prime) rate minus 1% to 1.5%, or London Interbank Offered Rates plus an additional percentage of 1.25% to 1.75%, depending upon certain financial ratios maintained by the Company. The Company had no outstanding borrowings on this line of credit at December 31, 2016. Under this revolving line of credit, the Company may also issue standby Letters of Credit with an aggregate amount of up to $4.0 million. The fee on the standby Letters of Credit ranges from 1.00% to 1.50% depending upon certain financial ratios maintained by the Company. The Company had no outstanding standby Letters of Credit at December 31, 2016.</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December 2016, the Company entered into a credit facility with HSBC Bank (China) Company Limited, Shanghai Branch consisting of a working capital line of credit under which the Company may borrow up to $4.0 million of non-collateralized debt. Interest on borrowings under the line of credit is based on the People’s Bank of China benchmark lending rates multiplied by 1.05. The Company had no outstanding borrowings on this line of credit at December 31, 2016.</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Company’s debt of $1.1 million and $0.8 million at December 31, 2016 and 2015, respectively, consisted of capital leases, collateralized by vehicles, payable over 12 months in monthly installments at various effective interest rates, with final payments ending on or before December 31, 2016.</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At December 31, 2016 and 2015, the assets acquired under capital leases had a net book value of $4.5 million and $3.6 million, net of accumulated depreciation of $4.5 million and $4.4 million, respectively.</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Interest expense for capital lease obligations amounted to $0.07 million, $0.03 million and $0.03 million for the years ended December 31, 2016, 2015 and 2014, respectively.</w:t>
      </w:r>
    </w:p>
    <w:p>
      <w:pPr>
        <w:spacing w:after="0" w:line="173" w:lineRule="exact"/>
        <w:rPr>
          <w:sz w:val="20"/>
          <w:szCs w:val="20"/>
          <w:color w:val="auto"/>
        </w:rPr>
      </w:pPr>
    </w:p>
    <w:p>
      <w:pPr>
        <w:ind w:left="620" w:hanging="612"/>
        <w:spacing w:after="0"/>
        <w:tabs>
          <w:tab w:leader="none" w:pos="6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COMMITMENTS AND CONTINGENCIES</w:t>
      </w:r>
    </w:p>
    <w:p>
      <w:pPr>
        <w:sectPr>
          <w:pgSz w:w="11900" w:h="16838" w:orient="portrait"/>
          <w:cols w:equalWidth="0" w:num="1">
            <w:col w:w="11420"/>
          </w:cols>
          <w:pgMar w:left="240" w:top="360" w:right="239" w:bottom="166" w:gutter="0" w:footer="0" w:header="0"/>
        </w:sectPr>
      </w:pPr>
    </w:p>
    <w:bookmarkStart w:id="65" w:name="page66"/>
    <w:bookmarkEnd w:id="65"/>
    <w:p>
      <w:pPr>
        <w:ind w:right="40" w:firstLine="648"/>
        <w:spacing w:after="0" w:line="268" w:lineRule="auto"/>
        <w:rPr>
          <w:sz w:val="20"/>
          <w:szCs w:val="20"/>
          <w:color w:val="auto"/>
        </w:rPr>
      </w:pPr>
      <w:r>
        <w:rPr>
          <w:rFonts w:ascii="Times New Roman" w:cs="Times New Roman" w:eastAsia="Times New Roman" w:hAnsi="Times New Roman"/>
          <w:sz w:val="20"/>
          <w:szCs w:val="20"/>
          <w:color w:val="auto"/>
        </w:rPr>
        <w:t>The Company is obligated under various non-cancellable lease agreements providing for office space, warehouse space, and automobiles that expire at various dates through the year 2031.</w:t>
      </w:r>
    </w:p>
    <w:p>
      <w:pPr>
        <w:spacing w:after="0" w:line="174"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Rent expense under operating leases was $9.9 million, $10.7 million and $6.8 million for the years ended December 31, 2016, 2015 and 2014, respectively.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Future minimum rental payments at December 31, 2016 under the operating leases referred to above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8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Year Ending December 31:</w:t>
            </w: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160" w:type="dxa"/>
            <w:vAlign w:val="bottom"/>
          </w:tcPr>
          <w:p>
            <w:pPr>
              <w:spacing w:after="0"/>
              <w:rPr>
                <w:sz w:val="22"/>
                <w:szCs w:val="22"/>
                <w:color w:val="auto"/>
              </w:rPr>
            </w:pPr>
          </w:p>
        </w:tc>
      </w:tr>
      <w:tr>
        <w:trPr>
          <w:trHeight w:val="417"/>
        </w:trPr>
        <w:tc>
          <w:tcPr>
            <w:tcW w:w="48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2017</w:t>
            </w:r>
          </w:p>
        </w:tc>
        <w:tc>
          <w:tcPr>
            <w:tcW w:w="48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5,677</w:t>
            </w:r>
          </w:p>
        </w:tc>
        <w:tc>
          <w:tcPr>
            <w:tcW w:w="5160" w:type="dxa"/>
            <w:vAlign w:val="bottom"/>
          </w:tcPr>
          <w:p>
            <w:pPr>
              <w:spacing w:after="0"/>
              <w:rPr>
                <w:sz w:val="24"/>
                <w:szCs w:val="24"/>
                <w:color w:val="auto"/>
              </w:rPr>
            </w:pPr>
          </w:p>
        </w:tc>
      </w:tr>
      <w:tr>
        <w:trPr>
          <w:trHeight w:val="230"/>
        </w:trPr>
        <w:tc>
          <w:tcPr>
            <w:tcW w:w="48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2018</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1,777</w:t>
            </w:r>
          </w:p>
        </w:tc>
        <w:tc>
          <w:tcPr>
            <w:tcW w:w="5160" w:type="dxa"/>
            <w:vAlign w:val="bottom"/>
          </w:tcPr>
          <w:p>
            <w:pPr>
              <w:spacing w:after="0"/>
              <w:rPr>
                <w:sz w:val="19"/>
                <w:szCs w:val="19"/>
                <w:color w:val="auto"/>
              </w:rPr>
            </w:pPr>
          </w:p>
        </w:tc>
      </w:tr>
      <w:tr>
        <w:trPr>
          <w:trHeight w:val="230"/>
        </w:trPr>
        <w:tc>
          <w:tcPr>
            <w:tcW w:w="48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2019</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1,231</w:t>
            </w:r>
          </w:p>
        </w:tc>
        <w:tc>
          <w:tcPr>
            <w:tcW w:w="5160" w:type="dxa"/>
            <w:vAlign w:val="bottom"/>
          </w:tcPr>
          <w:p>
            <w:pPr>
              <w:spacing w:after="0"/>
              <w:rPr>
                <w:sz w:val="19"/>
                <w:szCs w:val="19"/>
                <w:color w:val="auto"/>
              </w:rPr>
            </w:pPr>
          </w:p>
        </w:tc>
      </w:tr>
      <w:tr>
        <w:trPr>
          <w:trHeight w:val="230"/>
        </w:trPr>
        <w:tc>
          <w:tcPr>
            <w:tcW w:w="48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2020</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1,093</w:t>
            </w:r>
          </w:p>
        </w:tc>
        <w:tc>
          <w:tcPr>
            <w:tcW w:w="5160" w:type="dxa"/>
            <w:vAlign w:val="bottom"/>
          </w:tcPr>
          <w:p>
            <w:pPr>
              <w:spacing w:after="0"/>
              <w:rPr>
                <w:sz w:val="19"/>
                <w:szCs w:val="19"/>
                <w:color w:val="auto"/>
              </w:rPr>
            </w:pPr>
          </w:p>
        </w:tc>
      </w:tr>
      <w:tr>
        <w:trPr>
          <w:trHeight w:val="230"/>
        </w:trPr>
        <w:tc>
          <w:tcPr>
            <w:tcW w:w="48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2021</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992</w:t>
            </w:r>
          </w:p>
        </w:tc>
        <w:tc>
          <w:tcPr>
            <w:tcW w:w="5160" w:type="dxa"/>
            <w:vAlign w:val="bottom"/>
          </w:tcPr>
          <w:p>
            <w:pPr>
              <w:spacing w:after="0"/>
              <w:rPr>
                <w:sz w:val="19"/>
                <w:szCs w:val="19"/>
                <w:color w:val="auto"/>
              </w:rPr>
            </w:pPr>
          </w:p>
        </w:tc>
      </w:tr>
      <w:tr>
        <w:trPr>
          <w:trHeight w:val="252"/>
        </w:trPr>
        <w:tc>
          <w:tcPr>
            <w:tcW w:w="48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2022 and thereafter</w:t>
            </w:r>
          </w:p>
        </w:tc>
        <w:tc>
          <w:tcPr>
            <w:tcW w:w="4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8,012</w:t>
            </w:r>
          </w:p>
        </w:tc>
        <w:tc>
          <w:tcPr>
            <w:tcW w:w="5160" w:type="dxa"/>
            <w:vAlign w:val="bottom"/>
          </w:tcPr>
          <w:p>
            <w:pPr>
              <w:spacing w:after="0"/>
              <w:rPr>
                <w:sz w:val="21"/>
                <w:szCs w:val="21"/>
                <w:color w:val="auto"/>
              </w:rPr>
            </w:pPr>
          </w:p>
        </w:tc>
      </w:tr>
      <w:tr>
        <w:trPr>
          <w:trHeight w:val="223"/>
        </w:trPr>
        <w:tc>
          <w:tcPr>
            <w:tcW w:w="4860" w:type="dxa"/>
            <w:vAlign w:val="bottom"/>
          </w:tcPr>
          <w:p>
            <w:pPr>
              <w:spacing w:after="0"/>
              <w:rPr>
                <w:sz w:val="19"/>
                <w:szCs w:val="19"/>
                <w:color w:val="auto"/>
              </w:rPr>
            </w:pPr>
          </w:p>
        </w:tc>
        <w:tc>
          <w:tcPr>
            <w:tcW w:w="480" w:type="dxa"/>
            <w:vAlign w:val="bottom"/>
            <w:tcBorders>
              <w:bottom w:val="single" w:sz="8" w:color="auto"/>
            </w:tcBorders>
          </w:tcPr>
          <w:p>
            <w:pPr>
              <w:jc w:val="right"/>
              <w:ind w:right="1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18,782</w:t>
            </w:r>
          </w:p>
        </w:tc>
        <w:tc>
          <w:tcPr>
            <w:tcW w:w="516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407"/>
        </w:trPr>
        <w:tc>
          <w:tcPr>
            <w:tcW w:w="4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ind w:right="403"/>
              <w:spacing w:after="0"/>
              <w:rPr>
                <w:sz w:val="20"/>
                <w:szCs w:val="20"/>
                <w:color w:val="auto"/>
              </w:rPr>
            </w:pPr>
            <w:r>
              <w:rPr>
                <w:rFonts w:ascii="Times New Roman" w:cs="Times New Roman" w:eastAsia="Times New Roman" w:hAnsi="Times New Roman"/>
                <w:sz w:val="16"/>
                <w:szCs w:val="16"/>
                <w:color w:val="auto"/>
              </w:rPr>
              <w:t>99</w:t>
            </w:r>
          </w:p>
        </w:tc>
        <w:tc>
          <w:tcPr>
            <w:tcW w:w="5160" w:type="dxa"/>
            <w:vAlign w:val="bottom"/>
          </w:tcPr>
          <w:p>
            <w:pPr>
              <w:spacing w:after="0"/>
              <w:rPr>
                <w:sz w:val="24"/>
                <w:szCs w:val="24"/>
                <w:color w:val="auto"/>
              </w:rPr>
            </w:pPr>
          </w:p>
        </w:tc>
      </w:tr>
      <w:tr>
        <w:trPr>
          <w:trHeight w:val="138"/>
        </w:trPr>
        <w:tc>
          <w:tcPr>
            <w:tcW w:w="486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51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right="530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jc w:val="both"/>
        <w:ind w:right="40"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Contractual obligations </w:t>
      </w:r>
      <w:r>
        <w:rPr>
          <w:rFonts w:ascii="Times New Roman" w:cs="Times New Roman" w:eastAsia="Times New Roman" w:hAnsi="Times New Roman"/>
          <w:sz w:val="20"/>
          <w:szCs w:val="20"/>
          <w:color w:val="auto"/>
        </w:rPr>
        <w:t>– The Company has the following contractual obligations related primarily to sponsorships and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commitments as of December 31, 2016:</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58"/>
        </w:trPr>
        <w:tc>
          <w:tcPr>
            <w:tcW w:w="4180" w:type="dxa"/>
            <w:vAlign w:val="bottom"/>
          </w:tcPr>
          <w:p>
            <w:pPr>
              <w:spacing w:after="0"/>
              <w:rPr>
                <w:sz w:val="20"/>
                <w:szCs w:val="20"/>
                <w:color w:val="auto"/>
              </w:rPr>
            </w:pPr>
            <w:r>
              <w:rPr>
                <w:rFonts w:ascii="Times New Roman" w:cs="Times New Roman" w:eastAsia="Times New Roman" w:hAnsi="Times New Roman"/>
                <w:sz w:val="20"/>
                <w:szCs w:val="20"/>
                <w:color w:val="auto"/>
              </w:rPr>
              <w:t>Year Ending December 31:</w:t>
            </w:r>
          </w:p>
        </w:tc>
        <w:tc>
          <w:tcPr>
            <w:tcW w:w="4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430"/>
        </w:trPr>
        <w:tc>
          <w:tcPr>
            <w:tcW w:w="4180" w:type="dxa"/>
            <w:vAlign w:val="bottom"/>
          </w:tcPr>
          <w:p>
            <w:pPr>
              <w:spacing w:after="0"/>
              <w:rPr>
                <w:sz w:val="20"/>
                <w:szCs w:val="20"/>
                <w:color w:val="auto"/>
              </w:rPr>
            </w:pPr>
            <w:r>
              <w:rPr>
                <w:rFonts w:ascii="Times New Roman" w:cs="Times New Roman" w:eastAsia="Times New Roman" w:hAnsi="Times New Roman"/>
                <w:sz w:val="20"/>
                <w:szCs w:val="20"/>
                <w:color w:val="auto"/>
              </w:rPr>
              <w:t>2017</w:t>
            </w:r>
          </w:p>
        </w:tc>
        <w:tc>
          <w:tcPr>
            <w:tcW w:w="4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91,003</w:t>
            </w: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20"/>
                <w:szCs w:val="20"/>
                <w:color w:val="auto"/>
              </w:rPr>
              <w:t>2018</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49,133</w:t>
            </w: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20"/>
                <w:szCs w:val="20"/>
                <w:color w:val="auto"/>
              </w:rPr>
              <w:t>2019</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8,257</w:t>
            </w: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20"/>
                <w:szCs w:val="20"/>
                <w:color w:val="auto"/>
              </w:rPr>
              <w:t>2020</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8,130</w:t>
            </w: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20"/>
                <w:szCs w:val="20"/>
                <w:color w:val="auto"/>
              </w:rPr>
              <w:t>2021</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6,750</w:t>
            </w:r>
          </w:p>
        </w:tc>
      </w:tr>
      <w:tr>
        <w:trPr>
          <w:trHeight w:val="252"/>
        </w:trPr>
        <w:tc>
          <w:tcPr>
            <w:tcW w:w="4180" w:type="dxa"/>
            <w:vAlign w:val="bottom"/>
          </w:tcPr>
          <w:p>
            <w:pPr>
              <w:spacing w:after="0"/>
              <w:rPr>
                <w:sz w:val="20"/>
                <w:szCs w:val="20"/>
                <w:color w:val="auto"/>
              </w:rPr>
            </w:pPr>
            <w:r>
              <w:rPr>
                <w:rFonts w:ascii="Times New Roman" w:cs="Times New Roman" w:eastAsia="Times New Roman" w:hAnsi="Times New Roman"/>
                <w:sz w:val="20"/>
                <w:szCs w:val="20"/>
                <w:color w:val="auto"/>
              </w:rPr>
              <w:t>2022 and thereafter</w:t>
            </w:r>
          </w:p>
        </w:tc>
        <w:tc>
          <w:tcPr>
            <w:tcW w:w="4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3"/>
        </w:trPr>
        <w:tc>
          <w:tcPr>
            <w:tcW w:w="4180" w:type="dxa"/>
            <w:vAlign w:val="bottom"/>
          </w:tcPr>
          <w:p>
            <w:pPr>
              <w:spacing w:after="0"/>
              <w:rPr>
                <w:sz w:val="19"/>
                <w:szCs w:val="19"/>
                <w:color w:val="auto"/>
              </w:rPr>
            </w:pPr>
          </w:p>
        </w:tc>
        <w:tc>
          <w:tcPr>
            <w:tcW w:w="460" w:type="dxa"/>
            <w:vAlign w:val="bottom"/>
            <w:tcBorders>
              <w:bottom w:val="single" w:sz="8" w:color="auto"/>
            </w:tcBorders>
          </w:tcPr>
          <w:p>
            <w:pPr>
              <w:jc w:val="right"/>
              <w:ind w:right="1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163,273</w:t>
            </w:r>
          </w:p>
        </w:tc>
      </w:tr>
      <w:tr>
        <w:trPr>
          <w:trHeight w:val="20"/>
        </w:trPr>
        <w:tc>
          <w:tcPr>
            <w:tcW w:w="4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jc w:val="both"/>
        <w:ind w:right="40"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Purchase Commitments </w:t>
      </w:r>
      <w:r>
        <w:rPr>
          <w:rFonts w:ascii="Times New Roman" w:cs="Times New Roman" w:eastAsia="Times New Roman" w:hAnsi="Times New Roman"/>
          <w:sz w:val="20"/>
          <w:szCs w:val="20"/>
          <w:color w:val="auto"/>
        </w:rPr>
        <w:t>– The Company has purchase commitments aggregating approximately $47.0 million at December 31, 2016,</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which represent commitments made by the Company and its subsidiaries to various suppliers of raw materials for the production of its products. These obligations vary in terms, but are generally satisfied within one year.</w:t>
      </w:r>
    </w:p>
    <w:p>
      <w:pPr>
        <w:spacing w:after="0" w:line="186" w:lineRule="exact"/>
        <w:rPr>
          <w:sz w:val="20"/>
          <w:szCs w:val="20"/>
          <w:color w:val="auto"/>
        </w:rPr>
      </w:pPr>
    </w:p>
    <w:p>
      <w:pPr>
        <w:jc w:val="both"/>
        <w:ind w:right="40" w:firstLine="648"/>
        <w:spacing w:after="0" w:line="247" w:lineRule="auto"/>
        <w:rPr>
          <w:sz w:val="20"/>
          <w:szCs w:val="20"/>
          <w:color w:val="auto"/>
        </w:rPr>
      </w:pPr>
      <w:r>
        <w:rPr>
          <w:rFonts w:ascii="Times New Roman" w:cs="Times New Roman" w:eastAsia="Times New Roman" w:hAnsi="Times New Roman"/>
          <w:sz w:val="20"/>
          <w:szCs w:val="20"/>
          <w:color w:val="auto"/>
        </w:rPr>
        <w:t>The Company purchases various raw material items, including, but not limited to, flavors, ingredients, dietary ingredients, containers, milk, glucose, sucralose, cream and protein, from a limited number of resources. An interruption in supply from any of such resources could result in the Company’s inability to produce certain products for limited or possibly extended periods of time. The aggregate value of purchases from suppliers of such limited resources described above for the years ended December 31, 2016, 2015 and 2014 was $205.9 million, $332.0 million and $292.8 million, respectively.</w:t>
      </w:r>
    </w:p>
    <w:p>
      <w:pPr>
        <w:spacing w:after="0" w:line="194" w:lineRule="exact"/>
        <w:rPr>
          <w:sz w:val="20"/>
          <w:szCs w:val="20"/>
          <w:color w:val="auto"/>
        </w:rPr>
      </w:pPr>
    </w:p>
    <w:p>
      <w:pPr>
        <w:jc w:val="both"/>
        <w:ind w:right="40" w:firstLine="648"/>
        <w:spacing w:after="0" w:line="247" w:lineRule="auto"/>
        <w:rPr>
          <w:sz w:val="20"/>
          <w:szCs w:val="20"/>
          <w:color w:val="auto"/>
        </w:rPr>
      </w:pPr>
      <w:r>
        <w:rPr>
          <w:rFonts w:ascii="Times New Roman" w:cs="Times New Roman" w:eastAsia="Times New Roman" w:hAnsi="Times New Roman"/>
          <w:sz w:val="20"/>
          <w:szCs w:val="20"/>
          <w:color w:val="auto"/>
        </w:rPr>
        <w:t>In September 2016, the Company completed its acquisition of approximately 49 acres of land, located in Rialto, CA, for a purchase price of approximately $39.1 million. The Company has begun construction of an approximately 1,000,000 square-foot building, which it hopes to have LEED certified, to replace its current leased warehouse and distribution facilities located in Corona, CA. The Company has entered into an approximately $36.8 million guaranteed maximum price construction contract for the construction of the building of which $33.7 million remained outstanding as of December 31, 2016.</w:t>
      </w:r>
    </w:p>
    <w:p>
      <w:pPr>
        <w:spacing w:after="0" w:line="190" w:lineRule="exact"/>
        <w:rPr>
          <w:sz w:val="20"/>
          <w:szCs w:val="20"/>
          <w:color w:val="auto"/>
        </w:rPr>
      </w:pPr>
    </w:p>
    <w:p>
      <w:pPr>
        <w:jc w:val="both"/>
        <w:ind w:right="40"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Guarantees </w:t>
      </w:r>
      <w:r>
        <w:rPr>
          <w:rFonts w:ascii="Times New Roman" w:cs="Times New Roman" w:eastAsia="Times New Roman" w:hAnsi="Times New Roman"/>
          <w:sz w:val="20"/>
          <w:szCs w:val="20"/>
          <w:color w:val="auto"/>
        </w:rPr>
        <w:t>– The Company from time to time enters into certain types of contracts that contingently require the Company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indemnify parties against third-party claims. These contracts primarily relate to: (i) certain agreements with the Company’s officers, directors and employees under which the Company may be required to indemnify such persons for liabilities arising out of their employment relationship, (ii) certain distribution or purchase agreements under which the Company may have to indemnify the Company’s customers from any claim, liability or loss arising out of any actual or alleged injury or damages suffered in connection with the consumption or purchase of the Company’s products or the use of Company trademarks, and (iii) certain real estate leases, under which the Company may be required to indemnify property owners for liabilities and other claims arising from the Company’s use of the applicable premises. The terms of such obligations vary and typically, a maximum obligation is not explicitly stated. Generally, the Company believes that its insurance coverage is adequate to cover any resulting liabilities or claims.</w:t>
      </w:r>
    </w:p>
    <w:p>
      <w:pPr>
        <w:spacing w:after="0" w:line="200" w:lineRule="exact"/>
        <w:rPr>
          <w:sz w:val="20"/>
          <w:szCs w:val="20"/>
          <w:color w:val="auto"/>
        </w:rPr>
      </w:pPr>
    </w:p>
    <w:p>
      <w:pPr>
        <w:jc w:val="both"/>
        <w:ind w:right="40"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Litigation – </w:t>
      </w:r>
      <w:r>
        <w:rPr>
          <w:rFonts w:ascii="Times New Roman" w:cs="Times New Roman" w:eastAsia="Times New Roman" w:hAnsi="Times New Roman"/>
          <w:sz w:val="20"/>
          <w:szCs w:val="20"/>
          <w:color w:val="auto"/>
        </w:rPr>
        <w:t>The Company has been named a defendant in numerous personal injury lawsuits, claiming that the death or other serious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injury of the plaintiffs was caused by consumption of Monster Energy® brand energy drinks. The plaintiffs in these lawsuits allege strict product liability, negligence, fraudulent concealment, breach of implied warranties and wrongful death. The Company believes that each</w:t>
      </w:r>
    </w:p>
    <w:p>
      <w:pPr>
        <w:sectPr>
          <w:pgSz w:w="11900" w:h="16838" w:orient="portrait"/>
          <w:cols w:equalWidth="0" w:num="1">
            <w:col w:w="11460"/>
          </w:cols>
          <w:pgMar w:left="240" w:top="118" w:right="199" w:bottom="0" w:gutter="0" w:footer="0" w:header="0"/>
        </w:sectPr>
      </w:pPr>
    </w:p>
    <w:bookmarkStart w:id="66" w:name="page67"/>
    <w:bookmarkEnd w:id="66"/>
    <w:p>
      <w:pPr>
        <w:spacing w:after="0" w:line="268" w:lineRule="auto"/>
        <w:rPr>
          <w:sz w:val="20"/>
          <w:szCs w:val="20"/>
          <w:color w:val="auto"/>
        </w:rPr>
      </w:pPr>
      <w:r>
        <w:rPr>
          <w:rFonts w:ascii="Times New Roman" w:cs="Times New Roman" w:eastAsia="Times New Roman" w:hAnsi="Times New Roman"/>
          <w:sz w:val="20"/>
          <w:szCs w:val="20"/>
          <w:color w:val="auto"/>
        </w:rPr>
        <w:t>complaint is without merit and plans a vigorous defense. The Company also believes that any damages, if awarded, would not have a material adverse effect on the Company’s financial position or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State Attorney General Inquiry </w:t>
      </w:r>
      <w:r>
        <w:rPr>
          <w:rFonts w:ascii="Times New Roman" w:cs="Times New Roman" w:eastAsia="Times New Roman" w:hAnsi="Times New Roman"/>
          <w:sz w:val="20"/>
          <w:szCs w:val="20"/>
          <w:color w:val="auto"/>
        </w:rPr>
        <w:t>– In July 2012, the Company received a subpoena from the Attorney General for the State of New York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connection with its investigation concerning the Company’s advertising, marketing, promotion, ingredients, usage and sale of its Monster Energy® brand energy drinks. Production of documents pursuant to that subpoena was completed in approximately May 2014.</w:t>
      </w:r>
    </w:p>
    <w:p>
      <w:pPr>
        <w:spacing w:after="0" w:line="18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On August 6, 2014, the Attorney General for the State of New York issued a second subpoena seeking additional documents and the deposition of a Company employee. On September 8, 2014, the Company moved to quash the second subpoena in the Supreme Court, New York County. The motion was fully briefed and was argued on March 17, 2015. On January 13, 2017, the Court issued an opinion in which it agreed with certain Company arguments regarding the scope of the subpoena and the Attorney General’s investigation, but denied the motion to quash and granted the Attorney General’s cross-motion to compel compliance. It is unknown what, if any, action the state Attorney General may take against the Company, the relief which may be sought in the event of any such proceeding or whether such proceeding could have a material adverse effect on the Company’s business, financial condition or results of operations.</w:t>
      </w:r>
    </w:p>
    <w:p>
      <w:pPr>
        <w:spacing w:after="0" w:line="19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San Francisco City Attorney Litigation </w:t>
      </w:r>
      <w:r>
        <w:rPr>
          <w:rFonts w:ascii="Times New Roman" w:cs="Times New Roman" w:eastAsia="Times New Roman" w:hAnsi="Times New Roman"/>
          <w:sz w:val="20"/>
          <w:szCs w:val="20"/>
          <w:color w:val="auto"/>
        </w:rPr>
        <w:t>– On October 31, 2012, the Company received a written request for information from the City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Attorney for the City and County of San Francisco concerning the Company’s advertising and marketing of its Monster Energy® brand energy drinks and specifically concerning the safety of its products for consumption by adolescents. In a letter dated March 29, 2013, the San Francisco City Attorney threatened to bring suit against the Company if it did not agree to take the following five steps immediately:</w:t>
      </w:r>
    </w:p>
    <w:p>
      <w:pPr>
        <w:spacing w:after="0" w:line="1" w:lineRule="exact"/>
        <w:rPr>
          <w:sz w:val="20"/>
          <w:szCs w:val="20"/>
          <w:color w:val="auto"/>
        </w:rPr>
      </w:pPr>
    </w:p>
    <w:p>
      <w:pPr>
        <w:ind w:firstLine="8"/>
        <w:spacing w:after="0" w:line="246" w:lineRule="auto"/>
        <w:tabs>
          <w:tab w:leader="none" w:pos="24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“Reformulate its products to lower the caffeine content to safe levels”; (ii) “Provide adequate warning labels”; (iii) “Cease promoting over-consumption in marketing”; (iv) “Cease use of alcohol and drug references in marketing” and (v) “Cease targeting minors.”</w:t>
      </w:r>
    </w:p>
    <w:p>
      <w:pPr>
        <w:spacing w:after="0" w:line="195" w:lineRule="exact"/>
        <w:rPr>
          <w:sz w:val="20"/>
          <w:szCs w:val="20"/>
          <w:color w:val="auto"/>
        </w:rPr>
      </w:pPr>
    </w:p>
    <w:p>
      <w:pPr>
        <w:jc w:val="both"/>
        <w:ind w:firstLine="689"/>
        <w:spacing w:after="0" w:line="242" w:lineRule="auto"/>
        <w:rPr>
          <w:sz w:val="20"/>
          <w:szCs w:val="20"/>
          <w:color w:val="auto"/>
        </w:rPr>
      </w:pPr>
      <w:r>
        <w:rPr>
          <w:rFonts w:ascii="Times New Roman" w:cs="Times New Roman" w:eastAsia="Times New Roman" w:hAnsi="Times New Roman"/>
          <w:sz w:val="20"/>
          <w:szCs w:val="20"/>
          <w:color w:val="auto"/>
        </w:rPr>
        <w:t xml:space="preserve">On May 6, 2013, the San Francisco City Attorney filed a complaint for declaratory and injunctive relief, civil penalties and restitution for alleged violation of California’s Unfair Competition Law, Business &amp; Professions Code sections 17200,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(“UCL”), styled </w:t>
      </w:r>
      <w:r>
        <w:rPr>
          <w:rFonts w:ascii="Times New Roman" w:cs="Times New Roman" w:eastAsia="Times New Roman" w:hAnsi="Times New Roman"/>
          <w:sz w:val="20"/>
          <w:szCs w:val="20"/>
          <w:i w:val="1"/>
          <w:iCs w:val="1"/>
          <w:color w:val="auto"/>
        </w:rPr>
        <w:t>People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The State Of California ex rel. Dennis Herrera, San Francisco City Attorney v. Monster Beverage Corporation</w:t>
      </w:r>
      <w:r>
        <w:rPr>
          <w:rFonts w:ascii="Times New Roman" w:cs="Times New Roman" w:eastAsia="Times New Roman" w:hAnsi="Times New Roman"/>
          <w:sz w:val="20"/>
          <w:szCs w:val="20"/>
          <w:color w:val="auto"/>
        </w:rPr>
        <w:t>, in San Francisco Superior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Court. The City Attorney alleged that the Company (1) mislabeled its products as a dietary supplement, in violation of California’s Sherman Food, Drug, and Cosmetic Law, California Health &amp; Safety Code section 109875,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(2) is selling an “adulterated” product because caffeine is not generally recognized as safe due to the alleged lack of scientific consensus concerning the safety of the levels of caffeine in the Company’s products; and (3) is engaged in unfair and misleading business practices because its marketing (a) does not disclose the health risks that energy drinks pose for children and teens, (b) fails to warn against and promotes unsafe consumption, (c) implicitly promotes mixing of energy drinks with alcohol or drugs and (d) is deceptive because it includes unsubstantiated claims about the purported special benefits of its “killer” ingredients and “energy blend.” The City Attorney sought a declaration that the Company has engaged in unfair and unlawful business acts and practices in violation of the UCL, an injunction from performing or proposing to perform any acts in violation of the UCL, restitution and civil penalties.</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On September 5, 2014, the City Attorney filed a second amended complaint, adding Monster Energy Company as a defendant. The Company and Monster Energy Company filed answers to the second amended complaint on October 4, 2014 and November 10, 2014, respectively.</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City Attorney and the Company settled the action in January 2017, on terms acceptable to the Company. The settlement does not include any penalty or fine under the UCL; any finding or admission of liability or wrongdoing; or any change to the formulation of Monster Energy® drinks or to whom the drinks may be sold. In consideration for a release of claims and dismissal of the action with prejudice, the Company agreed to maintain various current marketing and labeling practices for its energy drink products through December 31, 2018.</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Furthermore, from time to time in the normal course of business, the Company is named in other litigation, including consumer class actions, intellectual property litigation and claims from prior distributors. Although it is not possible to predict the ultimate outcome of such litigation, based on the facts known to the Company, management believes that such litigation in the aggregate will likely not have a material adverse effect on the Company’s financial position or results of operations.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evaluates, on a quarterly basis, developments in legal proceedings and other matters that could cause an increase or decrease in the amount of the liability that is accrued, if any, or in the amount of any related insurance reimbursements recorded. As of December 31, 2016, the Company’s consolidated balance sheet includes accrued loss contingencies of approximately $2.8 million.</w:t>
      </w:r>
    </w:p>
    <w:p>
      <w:pPr>
        <w:sectPr>
          <w:pgSz w:w="11900" w:h="16838" w:orient="portrait"/>
          <w:cols w:equalWidth="0" w:num="1">
            <w:col w:w="11420"/>
          </w:cols>
          <w:pgMar w:left="240" w:top="118" w:right="239" w:bottom="0" w:gutter="0" w:footer="0" w:header="0"/>
        </w:sectPr>
      </w:pPr>
    </w:p>
    <w:bookmarkStart w:id="67" w:name="page68"/>
    <w:bookmarkEnd w:id="67"/>
    <w:p>
      <w:pPr>
        <w:ind w:left="640" w:hanging="632"/>
        <w:spacing w:after="0"/>
        <w:tabs>
          <w:tab w:leader="none" w:pos="6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ACCUMULATED OTHER COMPREHENSIVE LOSS</w:t>
      </w:r>
    </w:p>
    <w:p>
      <w:pPr>
        <w:spacing w:after="0" w:line="2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The components of accumulated other comprehensive loss are as follows at December 31: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6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Accumulated net unrealized loss on available-for-sale securities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2016</w:t>
            </w:r>
          </w:p>
        </w:tc>
        <w:tc>
          <w:tcPr>
            <w:tcW w:w="64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color w:val="auto"/>
              </w:rPr>
              <w:t>2015</w:t>
            </w:r>
          </w:p>
        </w:tc>
        <w:tc>
          <w:tcPr>
            <w:tcW w:w="0" w:type="dxa"/>
            <w:vAlign w:val="bottom"/>
          </w:tcPr>
          <w:p>
            <w:pPr>
              <w:spacing w:after="0"/>
              <w:rPr>
                <w:sz w:val="1"/>
                <w:szCs w:val="1"/>
                <w:color w:val="auto"/>
              </w:rPr>
            </w:pPr>
          </w:p>
        </w:tc>
      </w:tr>
      <w:tr>
        <w:trPr>
          <w:trHeight w:val="200"/>
        </w:trPr>
        <w:tc>
          <w:tcPr>
            <w:tcW w:w="7620" w:type="dxa"/>
            <w:vAlign w:val="bottom"/>
            <w:vMerge w:val="continue"/>
          </w:tcPr>
          <w:p>
            <w:pPr>
              <w:spacing w:after="0"/>
              <w:rPr>
                <w:sz w:val="17"/>
                <w:szCs w:val="17"/>
                <w:color w:val="auto"/>
              </w:rPr>
            </w:pPr>
          </w:p>
        </w:tc>
        <w:tc>
          <w:tcPr>
            <w:tcW w:w="1060" w:type="dxa"/>
            <w:vAlign w:val="bottom"/>
          </w:tcPr>
          <w:p>
            <w:pPr>
              <w:jc w:val="right"/>
              <w:ind w:right="781"/>
              <w:spacing w:after="0" w:line="200" w:lineRule="exact"/>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193</w:t>
            </w:r>
          </w:p>
        </w:tc>
        <w:tc>
          <w:tcPr>
            <w:tcW w:w="300" w:type="dxa"/>
            <w:vAlign w:val="bottom"/>
          </w:tcPr>
          <w:p>
            <w:pPr>
              <w:spacing w:after="0"/>
              <w:rPr>
                <w:sz w:val="17"/>
                <w:szCs w:val="17"/>
                <w:color w:val="auto"/>
              </w:rPr>
            </w:pPr>
          </w:p>
        </w:tc>
        <w:tc>
          <w:tcPr>
            <w:tcW w:w="420" w:type="dxa"/>
            <w:vAlign w:val="bottom"/>
          </w:tcPr>
          <w:p>
            <w:pPr>
              <w:jc w:val="right"/>
              <w:ind w:right="1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translation adjustments, net of tax</w:t>
            </w: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23,056</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21,878</w:t>
            </w:r>
          </w:p>
        </w:tc>
        <w:tc>
          <w:tcPr>
            <w:tcW w:w="0" w:type="dxa"/>
            <w:vAlign w:val="bottom"/>
          </w:tcPr>
          <w:p>
            <w:pPr>
              <w:spacing w:after="0"/>
              <w:rPr>
                <w:sz w:val="1"/>
                <w:szCs w:val="1"/>
                <w:color w:val="auto"/>
              </w:rPr>
            </w:pPr>
          </w:p>
        </w:tc>
      </w:tr>
      <w:tr>
        <w:trPr>
          <w:trHeight w:val="23"/>
        </w:trPr>
        <w:tc>
          <w:tcPr>
            <w:tcW w:w="76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Total accumulated other comprehensive loss</w:t>
            </w: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620" w:type="dxa"/>
            <w:vAlign w:val="bottom"/>
            <w:vMerge w:val="continue"/>
          </w:tcPr>
          <w:p>
            <w:pPr>
              <w:spacing w:after="0"/>
              <w:rPr>
                <w:sz w:val="19"/>
                <w:szCs w:val="19"/>
                <w:color w:val="auto"/>
              </w:rPr>
            </w:pPr>
          </w:p>
        </w:tc>
        <w:tc>
          <w:tcPr>
            <w:tcW w:w="1060" w:type="dxa"/>
            <w:vAlign w:val="bottom"/>
            <w:tcBorders>
              <w:bottom w:val="single" w:sz="8" w:color="auto"/>
            </w:tcBorders>
          </w:tcPr>
          <w:p>
            <w:pPr>
              <w:jc w:val="right"/>
              <w:ind w:right="7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98"/>
              </w:rPr>
              <w:t>23,249</w:t>
            </w:r>
          </w:p>
        </w:tc>
        <w:tc>
          <w:tcPr>
            <w:tcW w:w="300" w:type="dxa"/>
            <w:vAlign w:val="bottom"/>
          </w:tcPr>
          <w:p>
            <w:pPr>
              <w:spacing w:after="0"/>
              <w:rPr>
                <w:sz w:val="19"/>
                <w:szCs w:val="19"/>
                <w:color w:val="auto"/>
              </w:rPr>
            </w:pPr>
          </w:p>
        </w:tc>
        <w:tc>
          <w:tcPr>
            <w:tcW w:w="420" w:type="dxa"/>
            <w:vAlign w:val="bottom"/>
            <w:tcBorders>
              <w:bottom w:val="single" w:sz="8" w:color="auto"/>
            </w:tcBorders>
          </w:tcPr>
          <w:p>
            <w:pPr>
              <w:jc w:val="right"/>
              <w:ind w:right="1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21,878</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20"/>
          <w:szCs w:val="20"/>
          <w:color w:val="auto"/>
        </w:rPr>
        <w:t>TREASURY STOCK PURCHASE</w:t>
      </w:r>
    </w:p>
    <w:p>
      <w:pPr>
        <w:spacing w:after="0" w:line="2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On April 28, 2016, the Company’s Board of Directors authorized the Company to commence a “modified Dutch auction” tender offer to repurchase up to $2.0 billion of its outstanding shares of common stock. The repurchase was authorized under the Company’s existing share repurchase authority and was funded with cash on hand. The Company commenced this tender offer in May 2016. On June 15, 2016, the Company accepted for payment an aggregate of 38.5 million shares of common stock at a purchase price of $52.00 per share, for a total amount of $2.0 billion (excluding commissions), which exhausted the availability under all previously authorized share repurchase plans. Such shares of common stock are included in common stock in treasury in the accompanying consolidated balance sheet at December 31, 2016.</w:t>
      </w:r>
    </w:p>
    <w:p>
      <w:pPr>
        <w:spacing w:after="0" w:line="18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On August 2, 2016, the Company’s Board of Directors authorized a new share repurchase program for the repurchase of up to $250.0 million of the Company’s outstanding shares of common stock (the “August 2016 Repurchase Plan”). During the year ended December 31, 2016, the Company purchased 5.8 million shares of common stock at an average purchase price of $43.40 per share, for a total amount of $249.9 million (excluding broker commissions), which exhausted the availability under the August 2016 Repurchase Plan. Such shares of common stock are included in common stock in treasury in the accompanying consolidated balance sheet at December 31, 2016.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During the year ended December 31, 2016, 56,820 shares of common stock were purchased from employees in lieu of cash payments for options exercised or withholding taxes due for a total amount of $2.6 million. While such purchases are considered common stock repurchases, they are not counted as purchases against the Company’s authorized share repurchase programs. Such shares are included in common stock in treasury in the accompanying consolidated balance sheet at December 31, 2016.</w:t>
      </w:r>
    </w:p>
    <w:p>
      <w:pPr>
        <w:spacing w:after="0" w:line="194" w:lineRule="exact"/>
        <w:rPr>
          <w:sz w:val="20"/>
          <w:szCs w:val="20"/>
          <w:color w:val="auto"/>
        </w:rPr>
      </w:pPr>
    </w:p>
    <w:p>
      <w:pPr>
        <w:ind w:left="640" w:hanging="632"/>
        <w:spacing w:after="0"/>
        <w:tabs>
          <w:tab w:leader="none" w:pos="6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STOCK-BASED COMPENSATION</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 has two stock-based compensation plans under which shares were available for grant at December 31, 2016: the Monster Beverage Corporation 2011 Omnibus Incentive Plan (the “2011 Omnibus Incentive Plan”), including the Monster Beverage Deferred Compensation Plan (the “Deferred Compensation Plan”) as a sub plan thereunder, and the 2009 Monster Beverage Corporation Stock Incentive Plan for Non-Employee Directors (the “2009 Directors Plan”).</w:t>
      </w:r>
    </w:p>
    <w:p>
      <w:pPr>
        <w:spacing w:after="0" w:line="19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The 2011 Omnibus Incentive Plan permits the granting of options, stock appreciation rights, restricted stock, restricted stock units, performance awards and other stock-based awards up to an aggregate of 43,500,000 shares of the common stock of the Company to employees or consultants of the Company and its subsidiaries. Shares authorized under the 2011 Omnibus Incentive Plan are reduced by 2.16 shares for each share granted or issued with respect to a Full Value Award. A Full Value Award is an award other than an incentive stock option, a non-qualified stock option, or a stock appreciation right, which is settled by the issuance of shares. Options granted under the 2011 Omnibus Incentive Plan may be incentive stock options under Section 422 of the Internal Revenue Code, as amended, or non-qualified stock options. The Compensation Committee of the Board of Directors (the “Compensation Committee”) has sole and exclusive authority to grant stock awards to all employees who are not new hires and to all new hires who are subject to Section 16 of the Exchange Act. The Compensation Committee and the Executive Committee of the Board of Directors (the “Executive Committee”) each independently has the authority to grant stock awards to new hires who are not Section 16 employees. Awards granted by the Executive Committee are not subject to approval or ratification by the Board or the Compensation Committee. Options granted under the 2011 Omnibus Incentive Plan generally vest over a five-year period from the grant date and are generally exercisable up to 10 years after the grant date. As of December 31, 2016, 18,799,813 shares of the Company’s common stock have been granted, net of cancellations, and 21,120,151 shares (as adjusted for Full Value Awards) of the Company’s common stock remain available for grant under the 2011 Omnibus Incentive Plan.</w:t>
      </w:r>
    </w:p>
    <w:p>
      <w:pPr>
        <w:spacing w:after="0" w:line="21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9"/>
          <w:szCs w:val="19"/>
          <w:color w:val="auto"/>
        </w:rPr>
        <w:t>In 2016, the Company adopted the Deferred Compensation Plan (as a sub plan to the 2011 Omnibus Incentive Plan), pursuant to which eligible employees may elect to defer cash and/or equity based compensation and to receive the deferred amounts, together with an investment return (positive or negative), either at a pre-determined time in the future or upon termination of their employment with the Company or its subsidiaries or affiliates that are participating employers under the Deferred Compensation Plan, as provided under the Deferred Compensation Plan and in relevant deferral elections. Deferrals under the Deferred Compensation Plan are unfunded and unsecured. As of December 31, 2016, there were no deferrals under the Deferred Compensation Plan. As of February 10, 2017, deferrals under the Deferred Compensation Plan are solely comprised of cash compensation and equity compensation coming due after March, 2018 and are not material in the aggregate.</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2009 Directors Plan permits the granting of options, stock appreciation rights (each, a “SAR”), and other stock-based awards to purchase up to an aggregate of 4,800,000 shares of common stock of the Company to non-employee directors of the Company. The 2009 Directors Plan is administered by the Board of Directors. Each award granted under the 2009 Directors Plan will be evidenced by a written</w:t>
      </w:r>
    </w:p>
    <w:p>
      <w:pPr>
        <w:sectPr>
          <w:pgSz w:w="11900" w:h="16838" w:orient="portrait"/>
          <w:cols w:equalWidth="0" w:num="1">
            <w:col w:w="11420"/>
          </w:cols>
          <w:pgMar w:left="240" w:top="118" w:right="239" w:bottom="0" w:gutter="0" w:footer="0" w:header="0"/>
        </w:sectPr>
      </w:pPr>
    </w:p>
    <w:bookmarkStart w:id="68" w:name="page69"/>
    <w:bookmarkEnd w:id="68"/>
    <w:p>
      <w:pPr>
        <w:spacing w:after="0" w:line="268" w:lineRule="auto"/>
        <w:rPr>
          <w:sz w:val="20"/>
          <w:szCs w:val="20"/>
          <w:color w:val="auto"/>
        </w:rPr>
      </w:pPr>
      <w:r>
        <w:rPr>
          <w:rFonts w:ascii="Times New Roman" w:cs="Times New Roman" w:eastAsia="Times New Roman" w:hAnsi="Times New Roman"/>
          <w:sz w:val="20"/>
          <w:szCs w:val="20"/>
          <w:color w:val="auto"/>
        </w:rPr>
        <w:t>agreement and will contain the terms and conditions that the Board of Directors deems appropriate. The Board of Directors may grant such awards on the last business day prior to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date of the annual meeting of stockholders. Any award granted under the 2009 Directors Plan will vest, with respect to 100% of such award, on the last business day prior to the date of the annual meeting, in the calendar year following the calendar year in which such award is granted. The Board of Directors may determine the exercise price per share of the Company’s common stock under each option, but such price may not be less than 100% of the closing price of the Company’s common stock on the date an option is granted. Option grants may be made under the 2009 Directors Plan for 10 years from June 4, 2009. The Board of Directors may also grant SARs, independently, or in connection with an option grant. The Board of Directors may determine the exercise price per share of the Company’s common stock under each SAR, but such price may not be less than the greater of (i) the fair market value of a share on the date the SAR is granted and (ii) the price of the related option, if the SAR is granted in connection with an option grant. Additionally, the Board of Directors may grant other stock-based awards, which include awards of shares of the Company’s common stock, restricted shares of the Company’s common stock, and awards that are valued based on the fair market value of shares of the Company’s common stock. SARs and other stock-based awards are subject to the general provisions of the 2009 Directors Plan. The Board of Directors may amend or terminate the 2009 Directors Plan at any time. As of December 31, 2016, 286,551 shares of the Company’s common stock had been granted under the 2009 Directors Plan, and 4,513,449 shares of the Company’s common stock remained available for grant.</w:t>
      </w:r>
    </w:p>
    <w:p>
      <w:pPr>
        <w:spacing w:after="0" w:line="20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Company recorded $45.8 million, $32.7 million and $28.6 million of compensation expense relating to stock options, restricted stock awards, SARs and restricted stock units during the years ended December 31, 2016, 2015 and 2014, respectively.</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The excess tax benefit realized for tax deductions from non-qualified stock option exercises, disqualifying dispositions of incentive stock options, vesting of restricted stock units and restricted stock awards for the years ended December 31, 2016, 2015 and 2014 was $20.8 million, $314.7 million and $11.9 million, respectively. As a result of the Company’s early adoption of ASU No. 2016-09 effective January 1, 2016, the Company recorded excess tax benefits of $20.8 million in net income for the year ended December 31, 2016. The excess tax benefits for the years ended December 31, 2015 and 2014 of $314.7 million and $11.9 million, respectively, were recorded in additional paid-in-capital.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Stock Options</w:t>
      </w:r>
    </w:p>
    <w:p>
      <w:pPr>
        <w:spacing w:after="0" w:line="23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Under the Company’s stock-based compensation plans, all stock options granted as of December 31, 2016 were granted at prices based on the fair value of the Company’s common stock on the date of grant. The Company records compensation expense for employee stock options based on the estimated fair value of the options on the date of grant using the Black-Scholes-Merton option pricing formula with the assumptions included in the table below.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with the assumptions included in the table below. The Company uses historical data to determine the exercise behavior, volatility and forfeiture rate of the options.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weighted-average assumptions were used to estimate the fair value of options granted during:</w:t>
      </w:r>
    </w:p>
    <w:p>
      <w:pPr>
        <w:spacing w:after="0" w:line="229" w:lineRule="exact"/>
        <w:rPr>
          <w:sz w:val="20"/>
          <w:szCs w:val="20"/>
          <w:color w:val="auto"/>
        </w:rPr>
      </w:pPr>
    </w:p>
    <w:tbl>
      <w:tblPr>
        <w:tblLayout w:type="fixed"/>
        <w:tblInd w:w="980" w:type="dxa"/>
        <w:tblCellMar>
          <w:top w:w="0" w:type="dxa"/>
          <w:left w:w="0" w:type="dxa"/>
          <w:bottom w:w="0" w:type="dxa"/>
          <w:right w:w="0" w:type="dxa"/>
        </w:tblCellMar>
      </w:tblPr>
      <w:tr>
        <w:trPr>
          <w:trHeight w:val="252"/>
        </w:trPr>
        <w:tc>
          <w:tcPr>
            <w:tcW w:w="44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13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2016</w:t>
            </w:r>
          </w:p>
        </w:tc>
        <w:tc>
          <w:tcPr>
            <w:tcW w:w="300" w:type="dxa"/>
            <w:vAlign w:val="bottom"/>
          </w:tcPr>
          <w:p>
            <w:pPr>
              <w:spacing w:after="0"/>
              <w:rPr>
                <w:sz w:val="21"/>
                <w:szCs w:val="21"/>
                <w:color w:val="auto"/>
              </w:rPr>
            </w:pPr>
          </w:p>
        </w:tc>
        <w:tc>
          <w:tcPr>
            <w:tcW w:w="13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2015</w:t>
            </w:r>
          </w:p>
        </w:tc>
        <w:tc>
          <w:tcPr>
            <w:tcW w:w="300" w:type="dxa"/>
            <w:vAlign w:val="bottom"/>
          </w:tcPr>
          <w:p>
            <w:pPr>
              <w:spacing w:after="0"/>
              <w:rPr>
                <w:sz w:val="21"/>
                <w:szCs w:val="21"/>
                <w:color w:val="auto"/>
              </w:rPr>
            </w:pPr>
          </w:p>
        </w:tc>
        <w:tc>
          <w:tcPr>
            <w:tcW w:w="13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2014</w:t>
            </w:r>
          </w:p>
        </w:tc>
        <w:tc>
          <w:tcPr>
            <w:tcW w:w="0" w:type="dxa"/>
            <w:vAlign w:val="bottom"/>
          </w:tcPr>
          <w:p>
            <w:pPr>
              <w:spacing w:after="0"/>
              <w:rPr>
                <w:sz w:val="1"/>
                <w:szCs w:val="1"/>
                <w:color w:val="auto"/>
              </w:rPr>
            </w:pPr>
          </w:p>
        </w:tc>
      </w:tr>
      <w:tr>
        <w:trPr>
          <w:trHeight w:val="200"/>
        </w:trPr>
        <w:tc>
          <w:tcPr>
            <w:tcW w:w="4420" w:type="dxa"/>
            <w:vAlign w:val="bottom"/>
            <w:vMerge w:val="continue"/>
          </w:tcPr>
          <w:p>
            <w:pPr>
              <w:spacing w:after="0"/>
              <w:rPr>
                <w:sz w:val="17"/>
                <w:szCs w:val="17"/>
                <w:color w:val="auto"/>
              </w:rPr>
            </w:pPr>
          </w:p>
        </w:tc>
        <w:tc>
          <w:tcPr>
            <w:tcW w:w="13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0.0 %</w:t>
            </w:r>
          </w:p>
        </w:tc>
        <w:tc>
          <w:tcPr>
            <w:tcW w:w="300" w:type="dxa"/>
            <w:vAlign w:val="bottom"/>
          </w:tcPr>
          <w:p>
            <w:pPr>
              <w:spacing w:after="0"/>
              <w:rPr>
                <w:sz w:val="17"/>
                <w:szCs w:val="17"/>
                <w:color w:val="auto"/>
              </w:rPr>
            </w:pPr>
          </w:p>
        </w:tc>
        <w:tc>
          <w:tcPr>
            <w:tcW w:w="13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0.0 %</w:t>
            </w:r>
          </w:p>
        </w:tc>
        <w:tc>
          <w:tcPr>
            <w:tcW w:w="300" w:type="dxa"/>
            <w:vAlign w:val="bottom"/>
          </w:tcPr>
          <w:p>
            <w:pPr>
              <w:spacing w:after="0"/>
              <w:rPr>
                <w:sz w:val="17"/>
                <w:szCs w:val="17"/>
                <w:color w:val="auto"/>
              </w:rPr>
            </w:pPr>
          </w:p>
        </w:tc>
        <w:tc>
          <w:tcPr>
            <w:tcW w:w="13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0.0 %</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36.2 %</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37.1 %</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41.4 %</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1.57 %</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1.57 %</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1.55 %</w:t>
            </w:r>
          </w:p>
        </w:tc>
        <w:tc>
          <w:tcPr>
            <w:tcW w:w="0" w:type="dxa"/>
            <w:vAlign w:val="bottom"/>
          </w:tcPr>
          <w:p>
            <w:pPr>
              <w:spacing w:after="0"/>
              <w:rPr>
                <w:sz w:val="1"/>
                <w:szCs w:val="1"/>
                <w:color w:val="auto"/>
              </w:rPr>
            </w:pPr>
          </w:p>
        </w:tc>
      </w:tr>
      <w:tr>
        <w:trPr>
          <w:trHeight w:val="258"/>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w:t>
            </w:r>
          </w:p>
        </w:tc>
        <w:tc>
          <w:tcPr>
            <w:tcW w:w="168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auto"/>
              </w:rPr>
              <w:t>6.3 Years</w:t>
            </w:r>
          </w:p>
        </w:tc>
        <w:tc>
          <w:tcPr>
            <w:tcW w:w="1660" w:type="dxa"/>
            <w:vAlign w:val="bottom"/>
            <w:gridSpan w:val="2"/>
          </w:tcPr>
          <w:p>
            <w:pPr>
              <w:ind w:left="560"/>
              <w:spacing w:after="0"/>
              <w:rPr>
                <w:sz w:val="20"/>
                <w:szCs w:val="20"/>
                <w:color w:val="auto"/>
              </w:rPr>
            </w:pPr>
            <w:r>
              <w:rPr>
                <w:rFonts w:ascii="Times New Roman" w:cs="Times New Roman" w:eastAsia="Times New Roman" w:hAnsi="Times New Roman"/>
                <w:sz w:val="20"/>
                <w:szCs w:val="20"/>
                <w:color w:val="auto"/>
              </w:rPr>
              <w:t>5.8 Years</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 Years</w:t>
            </w:r>
          </w:p>
        </w:tc>
        <w:tc>
          <w:tcPr>
            <w:tcW w:w="0" w:type="dxa"/>
            <w:vAlign w:val="bottom"/>
          </w:tcPr>
          <w:p>
            <w:pPr>
              <w:spacing w:after="0"/>
              <w:rPr>
                <w:sz w:val="1"/>
                <w:szCs w:val="1"/>
                <w:color w:val="auto"/>
              </w:rPr>
            </w:pPr>
          </w:p>
        </w:tc>
      </w:tr>
    </w:tbl>
    <w:p>
      <w:pPr>
        <w:spacing w:after="0" w:line="399"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Expected Volatility</w:t>
      </w:r>
      <w:r>
        <w:rPr>
          <w:rFonts w:ascii="Times New Roman" w:cs="Times New Roman" w:eastAsia="Times New Roman" w:hAnsi="Times New Roman"/>
          <w:sz w:val="20"/>
          <w:szCs w:val="20"/>
          <w:color w:val="auto"/>
        </w:rPr>
        <w:t>: The Company uses historical volatility as it provides a reasonable estimate of the expected volatility. Historical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volatility is based on the most recent volatility of the stock price over a period of time equivalent to the expected term of the option.</w:t>
      </w:r>
    </w:p>
    <w:p>
      <w:pPr>
        <w:spacing w:after="0" w:line="166"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Risk-Free Interest Rate</w:t>
      </w:r>
      <w:r>
        <w:rPr>
          <w:rFonts w:ascii="Times New Roman" w:cs="Times New Roman" w:eastAsia="Times New Roman" w:hAnsi="Times New Roman"/>
          <w:sz w:val="20"/>
          <w:szCs w:val="20"/>
          <w:color w:val="auto"/>
        </w:rPr>
        <w:t>: The risk-free interest rate is based on the U.S. Treasury zero coupon yield curve in effect at the time of grant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the expected term of the option.</w:t>
      </w:r>
    </w:p>
    <w:p>
      <w:pPr>
        <w:sectPr>
          <w:pgSz w:w="11900" w:h="16838" w:orient="portrait"/>
          <w:cols w:equalWidth="0" w:num="1">
            <w:col w:w="11420"/>
          </w:cols>
          <w:pgMar w:left="240" w:top="118" w:right="239" w:bottom="66" w:gutter="0" w:footer="0" w:header="0"/>
        </w:sectPr>
      </w:pPr>
    </w:p>
    <w:bookmarkStart w:id="69" w:name="page70"/>
    <w:bookmarkEnd w:id="69"/>
    <w:p>
      <w:pPr>
        <w:jc w:val="both"/>
        <w:ind w:right="40"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Expected Term</w:t>
      </w:r>
      <w:r>
        <w:rPr>
          <w:rFonts w:ascii="Times New Roman" w:cs="Times New Roman" w:eastAsia="Times New Roman" w:hAnsi="Times New Roman"/>
          <w:sz w:val="20"/>
          <w:szCs w:val="20"/>
          <w:color w:val="auto"/>
        </w:rPr>
        <w:t>: The Company’s expected term represents the weighted-average period that the Company’s stock options are expected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be outstanding. The expected term is based on expected time to post-vesting exercise of options by employees. The Company uses historical exercise patterns of previously granted options to derive employee behavioral patterns used to forecast expected exercise patterns.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Company’s activities with respect to its stock option plans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color w:val="auto"/>
                <w:w w:val="97"/>
              </w:rPr>
              <w:t>Weighted-</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center"/>
              <w:ind w:right="520"/>
              <w:spacing w:after="0"/>
              <w:rPr>
                <w:sz w:val="20"/>
                <w:szCs w:val="20"/>
                <w:color w:val="auto"/>
              </w:rPr>
            </w:pPr>
            <w:r>
              <w:rPr>
                <w:rFonts w:ascii="Times New Roman" w:cs="Times New Roman" w:eastAsia="Times New Roman" w:hAnsi="Times New Roman"/>
                <w:sz w:val="20"/>
                <w:szCs w:val="20"/>
                <w:color w:val="auto"/>
                <w:w w:val="97"/>
              </w:rPr>
              <w:t>Weighted-</w:t>
            </w: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color w:val="auto"/>
                <w:w w:val="97"/>
              </w:rPr>
              <w:t>Average</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center"/>
              <w:ind w:right="520"/>
              <w:spacing w:after="0"/>
              <w:rPr>
                <w:sz w:val="20"/>
                <w:szCs w:val="20"/>
                <w:color w:val="auto"/>
              </w:rPr>
            </w:pPr>
            <w:r>
              <w:rPr>
                <w:rFonts w:ascii="Times New Roman" w:cs="Times New Roman" w:eastAsia="Times New Roman" w:hAnsi="Times New Roman"/>
                <w:sz w:val="20"/>
                <w:szCs w:val="20"/>
                <w:color w:val="auto"/>
                <w:w w:val="97"/>
              </w:rPr>
              <w:t>Average</w:t>
            </w: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color w:val="auto"/>
                <w:w w:val="97"/>
              </w:rPr>
              <w:t>Remaining</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Number of</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20"/>
                <w:szCs w:val="20"/>
                <w:color w:val="auto"/>
                <w:w w:val="98"/>
              </w:rPr>
              <w:t>Exercise</w:t>
            </w: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8"/>
              </w:rPr>
              <w:t>Contractual</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Shares (In</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20"/>
                <w:szCs w:val="20"/>
                <w:color w:val="auto"/>
                <w:w w:val="98"/>
              </w:rPr>
              <w:t>Price Per</w:t>
            </w: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color w:val="auto"/>
                <w:w w:val="97"/>
              </w:rPr>
              <w:t>Term (In</w:t>
            </w:r>
          </w:p>
        </w:tc>
        <w:tc>
          <w:tcPr>
            <w:tcW w:w="200" w:type="dxa"/>
            <w:vAlign w:val="bottom"/>
          </w:tcPr>
          <w:p>
            <w:pPr>
              <w:spacing w:after="0"/>
              <w:rPr>
                <w:sz w:val="19"/>
                <w:szCs w:val="19"/>
                <w:color w:val="auto"/>
              </w:rPr>
            </w:pPr>
          </w:p>
        </w:tc>
        <w:tc>
          <w:tcPr>
            <w:tcW w:w="140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Aggregate</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740" w:type="dxa"/>
            <w:vAlign w:val="bottom"/>
            <w:gridSpan w:val="2"/>
          </w:tcPr>
          <w:p>
            <w:pPr>
              <w:ind w:left="1900"/>
              <w:spacing w:after="0"/>
              <w:rPr>
                <w:sz w:val="20"/>
                <w:szCs w:val="20"/>
                <w:color w:val="auto"/>
              </w:rPr>
            </w:pPr>
            <w:r>
              <w:rPr>
                <w:rFonts w:ascii="Times New Roman" w:cs="Times New Roman" w:eastAsia="Times New Roman" w:hAnsi="Times New Roman"/>
                <w:sz w:val="20"/>
                <w:szCs w:val="20"/>
                <w:color w:val="auto"/>
              </w:rPr>
              <w:t>Options</w:t>
            </w: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thousands)</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2"/>
          </w:tcPr>
          <w:p>
            <w:pPr>
              <w:jc w:val="center"/>
              <w:ind w:right="520"/>
              <w:spacing w:after="0"/>
              <w:rPr>
                <w:sz w:val="20"/>
                <w:szCs w:val="20"/>
                <w:color w:val="auto"/>
              </w:rPr>
            </w:pPr>
            <w:r>
              <w:rPr>
                <w:rFonts w:ascii="Times New Roman" w:cs="Times New Roman" w:eastAsia="Times New Roman" w:hAnsi="Times New Roman"/>
                <w:sz w:val="20"/>
                <w:szCs w:val="20"/>
                <w:color w:val="auto"/>
              </w:rPr>
              <w:t>Share</w:t>
            </w: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8"/>
              </w:rPr>
              <w:t>years)</w:t>
            </w:r>
          </w:p>
        </w:tc>
        <w:tc>
          <w:tcPr>
            <w:tcW w:w="200" w:type="dxa"/>
            <w:vAlign w:val="bottom"/>
          </w:tcPr>
          <w:p>
            <w:pPr>
              <w:spacing w:after="0"/>
              <w:rPr>
                <w:sz w:val="21"/>
                <w:szCs w:val="21"/>
                <w:color w:val="auto"/>
              </w:rPr>
            </w:pPr>
          </w:p>
        </w:tc>
        <w:tc>
          <w:tcPr>
            <w:tcW w:w="140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w w:val="97"/>
              </w:rPr>
              <w:t>Intrinsic Value</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44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Outstanding at January 1, 2016</w:t>
            </w:r>
          </w:p>
        </w:tc>
        <w:tc>
          <w:tcPr>
            <w:tcW w:w="300" w:type="dxa"/>
            <w:vAlign w:val="bottom"/>
          </w:tcPr>
          <w:p>
            <w:pPr>
              <w:spacing w:after="0"/>
              <w:rPr>
                <w:sz w:val="17"/>
                <w:szCs w:val="17"/>
                <w:color w:val="auto"/>
              </w:rPr>
            </w:pPr>
          </w:p>
        </w:tc>
        <w:tc>
          <w:tcPr>
            <w:tcW w:w="138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19,770</w:t>
            </w:r>
          </w:p>
        </w:tc>
        <w:tc>
          <w:tcPr>
            <w:tcW w:w="300" w:type="dxa"/>
            <w:vAlign w:val="bottom"/>
          </w:tcPr>
          <w:p>
            <w:pPr>
              <w:spacing w:after="0"/>
              <w:rPr>
                <w:sz w:val="17"/>
                <w:szCs w:val="17"/>
                <w:color w:val="auto"/>
              </w:rPr>
            </w:pPr>
          </w:p>
        </w:tc>
        <w:tc>
          <w:tcPr>
            <w:tcW w:w="2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16.95</w:t>
            </w:r>
          </w:p>
        </w:tc>
        <w:tc>
          <w:tcPr>
            <w:tcW w:w="300" w:type="dxa"/>
            <w:vAlign w:val="bottom"/>
          </w:tcPr>
          <w:p>
            <w:pPr>
              <w:spacing w:after="0"/>
              <w:rPr>
                <w:sz w:val="17"/>
                <w:szCs w:val="17"/>
                <w:color w:val="auto"/>
              </w:rPr>
            </w:pPr>
          </w:p>
        </w:tc>
        <w:tc>
          <w:tcPr>
            <w:tcW w:w="136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5.6</w:t>
            </w:r>
          </w:p>
        </w:tc>
        <w:tc>
          <w:tcPr>
            <w:tcW w:w="280" w:type="dxa"/>
            <w:vAlign w:val="bottom"/>
          </w:tcPr>
          <w:p>
            <w:pPr>
              <w:spacing w:after="0"/>
              <w:rPr>
                <w:sz w:val="17"/>
                <w:szCs w:val="17"/>
                <w:color w:val="auto"/>
              </w:rPr>
            </w:pPr>
          </w:p>
        </w:tc>
        <w:tc>
          <w:tcPr>
            <w:tcW w:w="2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4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646,497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Granted 01/01/16 - 03/31/16</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2,883</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44.02</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Granted 04/01/16 - 06/30/16</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657</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46.18</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Granted 07/01/16 - 09/30/16</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52.60</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Granted 10/01/16 - 12/31/16</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43.87</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Exercised</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(1,887)</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8.72</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Cancelled or forfeited</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33.65</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76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Outstanding at December 31, 2016</w:t>
            </w:r>
          </w:p>
        </w:tc>
        <w:tc>
          <w:tcPr>
            <w:tcW w:w="1380" w:type="dxa"/>
            <w:vAlign w:val="bottom"/>
            <w:tcBorders>
              <w:bottom w:val="single" w:sz="8" w:color="auto"/>
            </w:tcBorders>
          </w:tcPr>
          <w:p>
            <w:pPr>
              <w:spacing w:after="0" w:line="20" w:lineRule="exact"/>
              <w:rPr>
                <w:sz w:val="1"/>
                <w:szCs w:val="1"/>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23.55</w:t>
            </w:r>
          </w:p>
        </w:tc>
        <w:tc>
          <w:tcPr>
            <w:tcW w:w="300" w:type="dxa"/>
            <w:vAlign w:val="bottom"/>
            <w:vMerge w:val="restart"/>
          </w:tcPr>
          <w:p>
            <w:pPr>
              <w:spacing w:after="0" w:line="20" w:lineRule="exact"/>
              <w:rPr>
                <w:sz w:val="1"/>
                <w:szCs w:val="1"/>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280" w:type="dxa"/>
            <w:vAlign w:val="bottom"/>
            <w:vMerge w:val="restart"/>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474,739</w:t>
            </w: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760" w:type="dxa"/>
            <w:vAlign w:val="bottom"/>
            <w:gridSpan w:val="3"/>
            <w:vMerge w:val="continue"/>
          </w:tcPr>
          <w:p>
            <w:pPr>
              <w:spacing w:after="0"/>
              <w:rPr>
                <w:sz w:val="17"/>
                <w:szCs w:val="17"/>
                <w:color w:val="auto"/>
              </w:rPr>
            </w:pPr>
          </w:p>
        </w:tc>
        <w:tc>
          <w:tcPr>
            <w:tcW w:w="13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22,643</w:t>
            </w:r>
          </w:p>
        </w:tc>
        <w:tc>
          <w:tcPr>
            <w:tcW w:w="520" w:type="dxa"/>
            <w:vAlign w:val="bottom"/>
            <w:gridSpan w:val="2"/>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4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Vested and expected to vest in the</w:t>
            </w: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future at December 31, 2016</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21,269</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22.40</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470,017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7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Exercisable at December 31, 2016</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12,231</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11.26</w:t>
            </w:r>
          </w:p>
        </w:tc>
        <w:tc>
          <w:tcPr>
            <w:tcW w:w="3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2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404,982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105</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Borders>
              <w:bottom w:val="single" w:sz="8" w:color="808080"/>
            </w:tcBorders>
          </w:tcPr>
          <w:p>
            <w:pPr>
              <w:spacing w:after="0"/>
              <w:rPr>
                <w:sz w:val="11"/>
                <w:szCs w:val="11"/>
                <w:color w:val="auto"/>
              </w:rPr>
            </w:pPr>
          </w:p>
        </w:tc>
        <w:tc>
          <w:tcPr>
            <w:tcW w:w="44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4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6" w:lineRule="exact"/>
        <w:rPr>
          <w:sz w:val="20"/>
          <w:szCs w:val="20"/>
          <w:color w:val="auto"/>
        </w:rPr>
      </w:pPr>
    </w:p>
    <w:p>
      <w:pPr>
        <w:ind w:right="530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information about stock options outstanding and exercisable at December 31, 2016:</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8"/>
              </w:rPr>
              <w:t>Options Outstanding</w:t>
            </w:r>
          </w:p>
        </w:tc>
        <w:tc>
          <w:tcPr>
            <w:tcW w:w="15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020" w:type="dxa"/>
            <w:vAlign w:val="bottom"/>
            <w:tcBorders>
              <w:bottom w:val="single" w:sz="8" w:color="auto"/>
            </w:tcBorders>
            <w:gridSpan w:val="3"/>
          </w:tcPr>
          <w:p>
            <w:pPr>
              <w:jc w:val="right"/>
              <w:ind w:right="601"/>
              <w:spacing w:after="0"/>
              <w:rPr>
                <w:sz w:val="20"/>
                <w:szCs w:val="20"/>
                <w:color w:val="auto"/>
              </w:rPr>
            </w:pPr>
            <w:r>
              <w:rPr>
                <w:rFonts w:ascii="Times New Roman" w:cs="Times New Roman" w:eastAsia="Times New Roman" w:hAnsi="Times New Roman"/>
                <w:sz w:val="20"/>
                <w:szCs w:val="20"/>
                <w:color w:val="auto"/>
              </w:rPr>
              <w:t>Options Exercisable</w:t>
            </w:r>
          </w:p>
        </w:tc>
        <w:tc>
          <w:tcPr>
            <w:tcW w:w="0" w:type="dxa"/>
            <w:vAlign w:val="bottom"/>
          </w:tcPr>
          <w:p>
            <w:pPr>
              <w:spacing w:after="0"/>
              <w:rPr>
                <w:sz w:val="1"/>
                <w:szCs w:val="1"/>
                <w:color w:val="auto"/>
              </w:rPr>
            </w:pPr>
          </w:p>
        </w:tc>
      </w:tr>
      <w:tr>
        <w:trPr>
          <w:trHeight w:val="200"/>
        </w:trPr>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gridSpan w:val="2"/>
          </w:tcPr>
          <w:p>
            <w:pPr>
              <w:jc w:val="center"/>
              <w:ind w:right="260"/>
              <w:spacing w:after="0" w:line="200" w:lineRule="exact"/>
              <w:rPr>
                <w:sz w:val="20"/>
                <w:szCs w:val="20"/>
                <w:color w:val="auto"/>
              </w:rPr>
            </w:pPr>
            <w:r>
              <w:rPr>
                <w:rFonts w:ascii="Times New Roman" w:cs="Times New Roman" w:eastAsia="Times New Roman" w:hAnsi="Times New Roman"/>
                <w:sz w:val="20"/>
                <w:szCs w:val="20"/>
                <w:color w:val="auto"/>
                <w:w w:val="95"/>
              </w:rPr>
              <w:t>Weighted</w:t>
            </w: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w w:val="97"/>
              </w:rPr>
              <w:t>Average</w:t>
            </w: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5"/>
              </w:rPr>
              <w:t>Weighted</w:t>
            </w: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Number</w:t>
            </w:r>
          </w:p>
        </w:tc>
        <w:tc>
          <w:tcPr>
            <w:tcW w:w="2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Weighted</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Number</w:t>
            </w:r>
          </w:p>
        </w:tc>
        <w:tc>
          <w:tcPr>
            <w:tcW w:w="260" w:type="dxa"/>
            <w:vAlign w:val="bottom"/>
          </w:tcPr>
          <w:p>
            <w:pPr>
              <w:spacing w:after="0"/>
              <w:rPr>
                <w:sz w:val="19"/>
                <w:szCs w:val="19"/>
                <w:color w:val="auto"/>
              </w:rPr>
            </w:pP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w w:val="97"/>
              </w:rPr>
              <w:t>Remaining</w:t>
            </w: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7"/>
              </w:rPr>
              <w:t>Average</w:t>
            </w: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Exercisable</w:t>
            </w:r>
          </w:p>
        </w:tc>
        <w:tc>
          <w:tcPr>
            <w:tcW w:w="2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Average</w:t>
            </w:r>
          </w:p>
        </w:tc>
        <w:tc>
          <w:tcPr>
            <w:tcW w:w="0" w:type="dxa"/>
            <w:vAlign w:val="bottom"/>
          </w:tcPr>
          <w:p>
            <w:pPr>
              <w:spacing w:after="0"/>
              <w:rPr>
                <w:sz w:val="1"/>
                <w:szCs w:val="1"/>
                <w:color w:val="auto"/>
              </w:rPr>
            </w:pPr>
          </w:p>
        </w:tc>
      </w:tr>
      <w:tr>
        <w:trPr>
          <w:trHeight w:val="230"/>
        </w:trPr>
        <w:tc>
          <w:tcPr>
            <w:tcW w:w="2880" w:type="dxa"/>
            <w:vAlign w:val="bottom"/>
            <w:gridSpan w:val="4"/>
          </w:tcPr>
          <w:p>
            <w:pPr>
              <w:jc w:val="center"/>
              <w:ind w:right="220"/>
              <w:spacing w:after="0"/>
              <w:rPr>
                <w:sz w:val="20"/>
                <w:szCs w:val="20"/>
                <w:color w:val="auto"/>
              </w:rPr>
            </w:pPr>
            <w:r>
              <w:rPr>
                <w:rFonts w:ascii="Times New Roman" w:cs="Times New Roman" w:eastAsia="Times New Roman" w:hAnsi="Times New Roman"/>
                <w:sz w:val="20"/>
                <w:szCs w:val="20"/>
                <w:color w:val="auto"/>
                <w:w w:val="99"/>
              </w:rPr>
              <w:t>Range of Exercise</w:t>
            </w: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Outstanding (In</w:t>
            </w:r>
          </w:p>
        </w:tc>
        <w:tc>
          <w:tcPr>
            <w:tcW w:w="260" w:type="dxa"/>
            <w:vAlign w:val="bottom"/>
          </w:tcPr>
          <w:p>
            <w:pPr>
              <w:spacing w:after="0"/>
              <w:rPr>
                <w:sz w:val="19"/>
                <w:szCs w:val="19"/>
                <w:color w:val="auto"/>
              </w:rPr>
            </w:pP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8"/>
              </w:rPr>
              <w:t>Contractual</w:t>
            </w: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w w:val="98"/>
              </w:rPr>
              <w:t>Exercise</w:t>
            </w: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(In</w:t>
            </w:r>
          </w:p>
        </w:tc>
        <w:tc>
          <w:tcPr>
            <w:tcW w:w="2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Exercise</w:t>
            </w:r>
          </w:p>
        </w:tc>
        <w:tc>
          <w:tcPr>
            <w:tcW w:w="0" w:type="dxa"/>
            <w:vAlign w:val="bottom"/>
          </w:tcPr>
          <w:p>
            <w:pPr>
              <w:spacing w:after="0"/>
              <w:rPr>
                <w:sz w:val="1"/>
                <w:szCs w:val="1"/>
                <w:color w:val="auto"/>
              </w:rPr>
            </w:pPr>
          </w:p>
        </w:tc>
      </w:tr>
      <w:tr>
        <w:trPr>
          <w:trHeight w:val="252"/>
        </w:trPr>
        <w:tc>
          <w:tcPr>
            <w:tcW w:w="940" w:type="dxa"/>
            <w:vAlign w:val="bottom"/>
          </w:tcPr>
          <w:p>
            <w:pPr>
              <w:spacing w:after="0"/>
              <w:rPr>
                <w:sz w:val="21"/>
                <w:szCs w:val="21"/>
                <w:color w:val="auto"/>
              </w:rPr>
            </w:pPr>
          </w:p>
        </w:tc>
        <w:tc>
          <w:tcPr>
            <w:tcW w:w="19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Prices ($)</w:t>
            </w: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Thousands)</w:t>
            </w:r>
          </w:p>
        </w:tc>
        <w:tc>
          <w:tcPr>
            <w:tcW w:w="260" w:type="dxa"/>
            <w:vAlign w:val="bottom"/>
          </w:tcPr>
          <w:p>
            <w:pPr>
              <w:spacing w:after="0"/>
              <w:rPr>
                <w:sz w:val="21"/>
                <w:szCs w:val="21"/>
                <w:color w:val="auto"/>
              </w:rPr>
            </w:pP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5"/>
              </w:rPr>
              <w:t>Term (Years)</w:t>
            </w: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rPr>
              <w:t>Price ($)</w:t>
            </w: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Thousands)</w:t>
            </w:r>
          </w:p>
        </w:tc>
        <w:tc>
          <w:tcPr>
            <w:tcW w:w="24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Price ($)</w:t>
            </w:r>
          </w:p>
        </w:tc>
        <w:tc>
          <w:tcPr>
            <w:tcW w:w="0" w:type="dxa"/>
            <w:vAlign w:val="bottom"/>
          </w:tcPr>
          <w:p>
            <w:pPr>
              <w:spacing w:after="0"/>
              <w:rPr>
                <w:sz w:val="1"/>
                <w:szCs w:val="1"/>
                <w:color w:val="auto"/>
              </w:rPr>
            </w:pPr>
          </w:p>
        </w:tc>
      </w:tr>
      <w:tr>
        <w:trPr>
          <w:trHeight w:val="200"/>
        </w:trPr>
        <w:tc>
          <w:tcPr>
            <w:tcW w:w="940" w:type="dxa"/>
            <w:vAlign w:val="bottom"/>
            <w:tcBorders>
              <w:top w:val="single" w:sz="8" w:color="auto"/>
            </w:tcBorders>
          </w:tcPr>
          <w:p>
            <w:pPr>
              <w:jc w:val="center"/>
              <w:ind w:left="121"/>
              <w:spacing w:after="0" w:line="200" w:lineRule="exact"/>
              <w:rPr>
                <w:sz w:val="20"/>
                <w:szCs w:val="20"/>
                <w:color w:val="auto"/>
              </w:rPr>
            </w:pPr>
            <w:r>
              <w:rPr>
                <w:rFonts w:ascii="Times New Roman" w:cs="Times New Roman" w:eastAsia="Times New Roman" w:hAnsi="Times New Roman"/>
                <w:sz w:val="20"/>
                <w:szCs w:val="20"/>
                <w:color w:val="auto"/>
                <w:w w:val="97"/>
              </w:rPr>
              <w:t>$4.51</w:t>
            </w:r>
          </w:p>
        </w:tc>
        <w:tc>
          <w:tcPr>
            <w:tcW w:w="600" w:type="dxa"/>
            <w:vAlign w:val="bottom"/>
            <w:tcBorders>
              <w:top w:val="single" w:sz="8" w:color="auto"/>
            </w:tcBorders>
          </w:tcPr>
          <w:p>
            <w:pPr>
              <w:jc w:val="center"/>
              <w:ind w:left="41"/>
              <w:spacing w:after="0" w:line="200" w:lineRule="exact"/>
              <w:rPr>
                <w:sz w:val="20"/>
                <w:szCs w:val="20"/>
                <w:color w:val="auto"/>
              </w:rPr>
            </w:pPr>
            <w:r>
              <w:rPr>
                <w:rFonts w:ascii="Times New Roman" w:cs="Times New Roman" w:eastAsia="Times New Roman" w:hAnsi="Times New Roman"/>
                <w:sz w:val="20"/>
                <w:szCs w:val="20"/>
                <w:color w:val="auto"/>
                <w:w w:val="89"/>
              </w:rPr>
              <w:t>-</w:t>
            </w:r>
          </w:p>
        </w:tc>
        <w:tc>
          <w:tcPr>
            <w:tcW w:w="1080" w:type="dxa"/>
            <w:vAlign w:val="bottom"/>
            <w:tcBorders>
              <w:top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$4.51</w:t>
            </w:r>
          </w:p>
        </w:tc>
        <w:tc>
          <w:tcPr>
            <w:tcW w:w="260" w:type="dxa"/>
            <w:vAlign w:val="bottom"/>
          </w:tcPr>
          <w:p>
            <w:pPr>
              <w:spacing w:after="0"/>
              <w:rPr>
                <w:sz w:val="17"/>
                <w:szCs w:val="17"/>
                <w:color w:val="auto"/>
              </w:rPr>
            </w:pPr>
          </w:p>
        </w:tc>
        <w:tc>
          <w:tcPr>
            <w:tcW w:w="1600" w:type="dxa"/>
            <w:vAlign w:val="bottom"/>
            <w:tcBorders>
              <w:top w:val="single" w:sz="8" w:color="auto"/>
            </w:tcBorders>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52</w:t>
            </w:r>
          </w:p>
        </w:tc>
        <w:tc>
          <w:tcPr>
            <w:tcW w:w="260" w:type="dxa"/>
            <w:vAlign w:val="bottom"/>
          </w:tcPr>
          <w:p>
            <w:pPr>
              <w:spacing w:after="0"/>
              <w:rPr>
                <w:sz w:val="17"/>
                <w:szCs w:val="17"/>
                <w:color w:val="auto"/>
              </w:rPr>
            </w:pPr>
          </w:p>
        </w:tc>
        <w:tc>
          <w:tcPr>
            <w:tcW w:w="1580" w:type="dxa"/>
            <w:vAlign w:val="bottom"/>
            <w:tcBorders>
              <w:top w:val="single" w:sz="8" w:color="auto"/>
            </w:tcBorders>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1.9</w:t>
            </w:r>
          </w:p>
        </w:tc>
        <w:tc>
          <w:tcPr>
            <w:tcW w:w="260" w:type="dxa"/>
            <w:vAlign w:val="bottom"/>
          </w:tcPr>
          <w:p>
            <w:pPr>
              <w:spacing w:after="0"/>
              <w:rPr>
                <w:sz w:val="17"/>
                <w:szCs w:val="17"/>
                <w:color w:val="auto"/>
              </w:rPr>
            </w:pPr>
          </w:p>
        </w:tc>
        <w:tc>
          <w:tcPr>
            <w:tcW w:w="1580" w:type="dxa"/>
            <w:vAlign w:val="bottom"/>
            <w:tcBorders>
              <w:top w:val="single" w:sz="8" w:color="auto"/>
            </w:tcBorders>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$4.51</w:t>
            </w:r>
          </w:p>
        </w:tc>
        <w:tc>
          <w:tcPr>
            <w:tcW w:w="240" w:type="dxa"/>
            <w:vAlign w:val="bottom"/>
          </w:tcPr>
          <w:p>
            <w:pPr>
              <w:spacing w:after="0"/>
              <w:rPr>
                <w:sz w:val="17"/>
                <w:szCs w:val="17"/>
                <w:color w:val="auto"/>
              </w:rPr>
            </w:pPr>
          </w:p>
        </w:tc>
        <w:tc>
          <w:tcPr>
            <w:tcW w:w="1600" w:type="dxa"/>
            <w:vAlign w:val="bottom"/>
            <w:tcBorders>
              <w:top w:val="single" w:sz="8" w:color="auto"/>
            </w:tcBorders>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52</w:t>
            </w:r>
          </w:p>
        </w:tc>
        <w:tc>
          <w:tcPr>
            <w:tcW w:w="240" w:type="dxa"/>
            <w:vAlign w:val="bottom"/>
          </w:tcPr>
          <w:p>
            <w:pPr>
              <w:spacing w:after="0"/>
              <w:rPr>
                <w:sz w:val="17"/>
                <w:szCs w:val="17"/>
                <w:color w:val="auto"/>
              </w:rPr>
            </w:pPr>
          </w:p>
        </w:tc>
        <w:tc>
          <w:tcPr>
            <w:tcW w:w="1180" w:type="dxa"/>
            <w:vAlign w:val="bottom"/>
            <w:tcBorders>
              <w:top w:val="single" w:sz="8" w:color="auto"/>
            </w:tcBorders>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$4.51</w:t>
            </w:r>
          </w:p>
        </w:tc>
        <w:tc>
          <w:tcPr>
            <w:tcW w:w="0" w:type="dxa"/>
            <w:vAlign w:val="bottom"/>
          </w:tcPr>
          <w:p>
            <w:pPr>
              <w:spacing w:after="0"/>
              <w:rPr>
                <w:sz w:val="1"/>
                <w:szCs w:val="1"/>
                <w:color w:val="auto"/>
              </w:rPr>
            </w:pPr>
          </w:p>
        </w:tc>
      </w:tr>
      <w:tr>
        <w:trPr>
          <w:trHeight w:val="230"/>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7"/>
              </w:rPr>
              <w:t>$5.29</w:t>
            </w:r>
          </w:p>
        </w:tc>
        <w:tc>
          <w:tcPr>
            <w:tcW w:w="60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89"/>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$5.29</w:t>
            </w:r>
          </w:p>
        </w:tc>
        <w:tc>
          <w:tcPr>
            <w:tcW w:w="260" w:type="dxa"/>
            <w:vAlign w:val="bottom"/>
          </w:tcPr>
          <w:p>
            <w:pPr>
              <w:spacing w:after="0"/>
              <w:rPr>
                <w:sz w:val="19"/>
                <w:szCs w:val="19"/>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3,945</w:t>
            </w:r>
          </w:p>
        </w:tc>
        <w:tc>
          <w:tcPr>
            <w:tcW w:w="184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1.4</w:t>
            </w:r>
          </w:p>
        </w:tc>
        <w:tc>
          <w:tcPr>
            <w:tcW w:w="260" w:type="dxa"/>
            <w:vAlign w:val="bottom"/>
          </w:tcPr>
          <w:p>
            <w:pPr>
              <w:spacing w:after="0"/>
              <w:rPr>
                <w:sz w:val="19"/>
                <w:szCs w:val="19"/>
                <w:color w:val="auto"/>
              </w:rPr>
            </w:pP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$5.29</w:t>
            </w:r>
          </w:p>
        </w:tc>
        <w:tc>
          <w:tcPr>
            <w:tcW w:w="240" w:type="dxa"/>
            <w:vAlign w:val="bottom"/>
          </w:tcPr>
          <w:p>
            <w:pPr>
              <w:spacing w:after="0"/>
              <w:rPr>
                <w:sz w:val="19"/>
                <w:szCs w:val="19"/>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3,945</w:t>
            </w:r>
          </w:p>
        </w:tc>
        <w:tc>
          <w:tcPr>
            <w:tcW w:w="142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$5.29</w:t>
            </w:r>
          </w:p>
        </w:tc>
        <w:tc>
          <w:tcPr>
            <w:tcW w:w="0" w:type="dxa"/>
            <w:vAlign w:val="bottom"/>
          </w:tcPr>
          <w:p>
            <w:pPr>
              <w:spacing w:after="0"/>
              <w:rPr>
                <w:sz w:val="1"/>
                <w:szCs w:val="1"/>
                <w:color w:val="auto"/>
              </w:rPr>
            </w:pPr>
          </w:p>
        </w:tc>
      </w:tr>
      <w:tr>
        <w:trPr>
          <w:trHeight w:val="230"/>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7"/>
              </w:rPr>
              <w:t>$5.61</w:t>
            </w:r>
          </w:p>
        </w:tc>
        <w:tc>
          <w:tcPr>
            <w:tcW w:w="60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89"/>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$5.61</w:t>
            </w:r>
          </w:p>
        </w:tc>
        <w:tc>
          <w:tcPr>
            <w:tcW w:w="260" w:type="dxa"/>
            <w:vAlign w:val="bottom"/>
          </w:tcPr>
          <w:p>
            <w:pPr>
              <w:spacing w:after="0"/>
              <w:rPr>
                <w:sz w:val="19"/>
                <w:szCs w:val="19"/>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55</w:t>
            </w:r>
          </w:p>
        </w:tc>
        <w:tc>
          <w:tcPr>
            <w:tcW w:w="184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2.1</w:t>
            </w:r>
          </w:p>
        </w:tc>
        <w:tc>
          <w:tcPr>
            <w:tcW w:w="260" w:type="dxa"/>
            <w:vAlign w:val="bottom"/>
          </w:tcPr>
          <w:p>
            <w:pPr>
              <w:spacing w:after="0"/>
              <w:rPr>
                <w:sz w:val="19"/>
                <w:szCs w:val="19"/>
                <w:color w:val="auto"/>
              </w:rPr>
            </w:pP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$5.61</w:t>
            </w:r>
          </w:p>
        </w:tc>
        <w:tc>
          <w:tcPr>
            <w:tcW w:w="240" w:type="dxa"/>
            <w:vAlign w:val="bottom"/>
          </w:tcPr>
          <w:p>
            <w:pPr>
              <w:spacing w:after="0"/>
              <w:rPr>
                <w:sz w:val="19"/>
                <w:szCs w:val="19"/>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55</w:t>
            </w:r>
          </w:p>
        </w:tc>
        <w:tc>
          <w:tcPr>
            <w:tcW w:w="142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$5.61</w:t>
            </w:r>
          </w:p>
        </w:tc>
        <w:tc>
          <w:tcPr>
            <w:tcW w:w="0" w:type="dxa"/>
            <w:vAlign w:val="bottom"/>
          </w:tcPr>
          <w:p>
            <w:pPr>
              <w:spacing w:after="0"/>
              <w:rPr>
                <w:sz w:val="1"/>
                <w:szCs w:val="1"/>
                <w:color w:val="auto"/>
              </w:rPr>
            </w:pPr>
          </w:p>
        </w:tc>
      </w:tr>
      <w:tr>
        <w:trPr>
          <w:trHeight w:val="230"/>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7"/>
              </w:rPr>
              <w:t>$5.94</w:t>
            </w:r>
          </w:p>
        </w:tc>
        <w:tc>
          <w:tcPr>
            <w:tcW w:w="60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89"/>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$5.94</w:t>
            </w:r>
          </w:p>
        </w:tc>
        <w:tc>
          <w:tcPr>
            <w:tcW w:w="260" w:type="dxa"/>
            <w:vAlign w:val="bottom"/>
          </w:tcPr>
          <w:p>
            <w:pPr>
              <w:spacing w:after="0"/>
              <w:rPr>
                <w:sz w:val="19"/>
                <w:szCs w:val="19"/>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3,427</w:t>
            </w:r>
          </w:p>
        </w:tc>
        <w:tc>
          <w:tcPr>
            <w:tcW w:w="184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2.9</w:t>
            </w:r>
          </w:p>
        </w:tc>
        <w:tc>
          <w:tcPr>
            <w:tcW w:w="260" w:type="dxa"/>
            <w:vAlign w:val="bottom"/>
          </w:tcPr>
          <w:p>
            <w:pPr>
              <w:spacing w:after="0"/>
              <w:rPr>
                <w:sz w:val="19"/>
                <w:szCs w:val="19"/>
                <w:color w:val="auto"/>
              </w:rPr>
            </w:pP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$5.94</w:t>
            </w:r>
          </w:p>
        </w:tc>
        <w:tc>
          <w:tcPr>
            <w:tcW w:w="240" w:type="dxa"/>
            <w:vAlign w:val="bottom"/>
          </w:tcPr>
          <w:p>
            <w:pPr>
              <w:spacing w:after="0"/>
              <w:rPr>
                <w:sz w:val="19"/>
                <w:szCs w:val="19"/>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3,427</w:t>
            </w:r>
          </w:p>
        </w:tc>
        <w:tc>
          <w:tcPr>
            <w:tcW w:w="142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$5.94</w:t>
            </w:r>
          </w:p>
        </w:tc>
        <w:tc>
          <w:tcPr>
            <w:tcW w:w="0" w:type="dxa"/>
            <w:vAlign w:val="bottom"/>
          </w:tcPr>
          <w:p>
            <w:pPr>
              <w:spacing w:after="0"/>
              <w:rPr>
                <w:sz w:val="1"/>
                <w:szCs w:val="1"/>
                <w:color w:val="auto"/>
              </w:rPr>
            </w:pPr>
          </w:p>
        </w:tc>
      </w:tr>
      <w:tr>
        <w:trPr>
          <w:trHeight w:val="230"/>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7"/>
              </w:rPr>
              <w:t>$6.02</w:t>
            </w:r>
          </w:p>
        </w:tc>
        <w:tc>
          <w:tcPr>
            <w:tcW w:w="60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89"/>
              </w:rPr>
              <w:t>-</w:t>
            </w:r>
          </w:p>
        </w:tc>
        <w:tc>
          <w:tcPr>
            <w:tcW w:w="10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8"/>
              </w:rPr>
              <w:t>$15.71</w:t>
            </w:r>
          </w:p>
        </w:tc>
        <w:tc>
          <w:tcPr>
            <w:tcW w:w="260" w:type="dxa"/>
            <w:vAlign w:val="bottom"/>
          </w:tcPr>
          <w:p>
            <w:pPr>
              <w:spacing w:after="0"/>
              <w:rPr>
                <w:sz w:val="19"/>
                <w:szCs w:val="19"/>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2,286</w:t>
            </w:r>
          </w:p>
        </w:tc>
        <w:tc>
          <w:tcPr>
            <w:tcW w:w="184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4.9</w:t>
            </w:r>
          </w:p>
        </w:tc>
        <w:tc>
          <w:tcPr>
            <w:tcW w:w="260" w:type="dxa"/>
            <w:vAlign w:val="bottom"/>
          </w:tcPr>
          <w:p>
            <w:pPr>
              <w:spacing w:after="0"/>
              <w:rPr>
                <w:sz w:val="19"/>
                <w:szCs w:val="19"/>
                <w:color w:val="auto"/>
              </w:rPr>
            </w:pP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$12.57</w:t>
            </w:r>
          </w:p>
        </w:tc>
        <w:tc>
          <w:tcPr>
            <w:tcW w:w="240" w:type="dxa"/>
            <w:vAlign w:val="bottom"/>
          </w:tcPr>
          <w:p>
            <w:pPr>
              <w:spacing w:after="0"/>
              <w:rPr>
                <w:sz w:val="19"/>
                <w:szCs w:val="19"/>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1,440</w:t>
            </w:r>
          </w:p>
        </w:tc>
        <w:tc>
          <w:tcPr>
            <w:tcW w:w="142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$10.73</w:t>
            </w:r>
          </w:p>
        </w:tc>
        <w:tc>
          <w:tcPr>
            <w:tcW w:w="0" w:type="dxa"/>
            <w:vAlign w:val="bottom"/>
          </w:tcPr>
          <w:p>
            <w:pPr>
              <w:spacing w:after="0"/>
              <w:rPr>
                <w:sz w:val="1"/>
                <w:szCs w:val="1"/>
                <w:color w:val="auto"/>
              </w:rPr>
            </w:pPr>
          </w:p>
        </w:tc>
      </w:tr>
      <w:tr>
        <w:trPr>
          <w:trHeight w:val="230"/>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rPr>
              <w:t>$15.88</w:t>
            </w:r>
          </w:p>
        </w:tc>
        <w:tc>
          <w:tcPr>
            <w:tcW w:w="60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89"/>
              </w:rPr>
              <w:t>-</w:t>
            </w:r>
          </w:p>
        </w:tc>
        <w:tc>
          <w:tcPr>
            <w:tcW w:w="10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8"/>
              </w:rPr>
              <w:t>$22.26</w:t>
            </w:r>
          </w:p>
        </w:tc>
        <w:tc>
          <w:tcPr>
            <w:tcW w:w="260" w:type="dxa"/>
            <w:vAlign w:val="bottom"/>
          </w:tcPr>
          <w:p>
            <w:pPr>
              <w:spacing w:after="0"/>
              <w:rPr>
                <w:sz w:val="19"/>
                <w:szCs w:val="19"/>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2,268</w:t>
            </w:r>
          </w:p>
        </w:tc>
        <w:tc>
          <w:tcPr>
            <w:tcW w:w="184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6.2</w:t>
            </w:r>
          </w:p>
        </w:tc>
        <w:tc>
          <w:tcPr>
            <w:tcW w:w="260" w:type="dxa"/>
            <w:vAlign w:val="bottom"/>
          </w:tcPr>
          <w:p>
            <w:pPr>
              <w:spacing w:after="0"/>
              <w:rPr>
                <w:sz w:val="19"/>
                <w:szCs w:val="19"/>
                <w:color w:val="auto"/>
              </w:rPr>
            </w:pP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$18.60</w:t>
            </w:r>
          </w:p>
        </w:tc>
        <w:tc>
          <w:tcPr>
            <w:tcW w:w="240" w:type="dxa"/>
            <w:vAlign w:val="bottom"/>
          </w:tcPr>
          <w:p>
            <w:pPr>
              <w:spacing w:after="0"/>
              <w:rPr>
                <w:sz w:val="19"/>
                <w:szCs w:val="19"/>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1,666</w:t>
            </w:r>
          </w:p>
        </w:tc>
        <w:tc>
          <w:tcPr>
            <w:tcW w:w="142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$18.43</w:t>
            </w:r>
          </w:p>
        </w:tc>
        <w:tc>
          <w:tcPr>
            <w:tcW w:w="0" w:type="dxa"/>
            <w:vAlign w:val="bottom"/>
          </w:tcPr>
          <w:p>
            <w:pPr>
              <w:spacing w:after="0"/>
              <w:rPr>
                <w:sz w:val="1"/>
                <w:szCs w:val="1"/>
                <w:color w:val="auto"/>
              </w:rPr>
            </w:pPr>
          </w:p>
        </w:tc>
      </w:tr>
      <w:tr>
        <w:trPr>
          <w:trHeight w:val="230"/>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rPr>
              <w:t>$23.00</w:t>
            </w:r>
          </w:p>
        </w:tc>
        <w:tc>
          <w:tcPr>
            <w:tcW w:w="60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89"/>
              </w:rPr>
              <w:t>-</w:t>
            </w:r>
          </w:p>
        </w:tc>
        <w:tc>
          <w:tcPr>
            <w:tcW w:w="10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8"/>
              </w:rPr>
              <w:t>$36.05</w:t>
            </w:r>
          </w:p>
        </w:tc>
        <w:tc>
          <w:tcPr>
            <w:tcW w:w="260" w:type="dxa"/>
            <w:vAlign w:val="bottom"/>
          </w:tcPr>
          <w:p>
            <w:pPr>
              <w:spacing w:after="0"/>
              <w:rPr>
                <w:sz w:val="19"/>
                <w:szCs w:val="19"/>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2,289</w:t>
            </w:r>
          </w:p>
        </w:tc>
        <w:tc>
          <w:tcPr>
            <w:tcW w:w="184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7.2</w:t>
            </w:r>
          </w:p>
        </w:tc>
        <w:tc>
          <w:tcPr>
            <w:tcW w:w="260" w:type="dxa"/>
            <w:vAlign w:val="bottom"/>
          </w:tcPr>
          <w:p>
            <w:pPr>
              <w:spacing w:after="0"/>
              <w:rPr>
                <w:sz w:val="19"/>
                <w:szCs w:val="19"/>
                <w:color w:val="auto"/>
              </w:rPr>
            </w:pP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$23.83</w:t>
            </w:r>
          </w:p>
        </w:tc>
        <w:tc>
          <w:tcPr>
            <w:tcW w:w="240" w:type="dxa"/>
            <w:vAlign w:val="bottom"/>
          </w:tcPr>
          <w:p>
            <w:pPr>
              <w:spacing w:after="0"/>
              <w:rPr>
                <w:sz w:val="19"/>
                <w:szCs w:val="19"/>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1,075</w:t>
            </w:r>
          </w:p>
        </w:tc>
        <w:tc>
          <w:tcPr>
            <w:tcW w:w="142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$23.45</w:t>
            </w:r>
          </w:p>
        </w:tc>
        <w:tc>
          <w:tcPr>
            <w:tcW w:w="0" w:type="dxa"/>
            <w:vAlign w:val="bottom"/>
          </w:tcPr>
          <w:p>
            <w:pPr>
              <w:spacing w:after="0"/>
              <w:rPr>
                <w:sz w:val="1"/>
                <w:szCs w:val="1"/>
                <w:color w:val="auto"/>
              </w:rPr>
            </w:pPr>
          </w:p>
        </w:tc>
      </w:tr>
      <w:tr>
        <w:trPr>
          <w:trHeight w:val="230"/>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rPr>
              <w:t>$37.10</w:t>
            </w:r>
          </w:p>
        </w:tc>
        <w:tc>
          <w:tcPr>
            <w:tcW w:w="60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89"/>
              </w:rPr>
              <w:t>-</w:t>
            </w:r>
          </w:p>
        </w:tc>
        <w:tc>
          <w:tcPr>
            <w:tcW w:w="10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8"/>
              </w:rPr>
              <w:t>$43.64</w:t>
            </w:r>
          </w:p>
        </w:tc>
        <w:tc>
          <w:tcPr>
            <w:tcW w:w="260" w:type="dxa"/>
            <w:vAlign w:val="bottom"/>
          </w:tcPr>
          <w:p>
            <w:pPr>
              <w:spacing w:after="0"/>
              <w:rPr>
                <w:sz w:val="19"/>
                <w:szCs w:val="19"/>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2,218</w:t>
            </w:r>
          </w:p>
        </w:tc>
        <w:tc>
          <w:tcPr>
            <w:tcW w:w="184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9.2</w:t>
            </w:r>
          </w:p>
        </w:tc>
        <w:tc>
          <w:tcPr>
            <w:tcW w:w="260" w:type="dxa"/>
            <w:vAlign w:val="bottom"/>
          </w:tcPr>
          <w:p>
            <w:pPr>
              <w:spacing w:after="0"/>
              <w:rPr>
                <w:sz w:val="19"/>
                <w:szCs w:val="19"/>
                <w:color w:val="auto"/>
              </w:rPr>
            </w:pP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$41.64</w:t>
            </w:r>
          </w:p>
        </w:tc>
        <w:tc>
          <w:tcPr>
            <w:tcW w:w="240" w:type="dxa"/>
            <w:vAlign w:val="bottom"/>
          </w:tcPr>
          <w:p>
            <w:pPr>
              <w:spacing w:after="0"/>
              <w:rPr>
                <w:sz w:val="19"/>
                <w:szCs w:val="19"/>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162</w:t>
            </w:r>
          </w:p>
        </w:tc>
        <w:tc>
          <w:tcPr>
            <w:tcW w:w="142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$37.42</w:t>
            </w:r>
          </w:p>
        </w:tc>
        <w:tc>
          <w:tcPr>
            <w:tcW w:w="0" w:type="dxa"/>
            <w:vAlign w:val="bottom"/>
          </w:tcPr>
          <w:p>
            <w:pPr>
              <w:spacing w:after="0"/>
              <w:rPr>
                <w:sz w:val="1"/>
                <w:szCs w:val="1"/>
                <w:color w:val="auto"/>
              </w:rPr>
            </w:pPr>
          </w:p>
        </w:tc>
      </w:tr>
      <w:tr>
        <w:trPr>
          <w:trHeight w:val="230"/>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rPr>
              <w:t>$43.99</w:t>
            </w:r>
          </w:p>
        </w:tc>
        <w:tc>
          <w:tcPr>
            <w:tcW w:w="60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89"/>
              </w:rPr>
              <w:t>-</w:t>
            </w:r>
          </w:p>
        </w:tc>
        <w:tc>
          <w:tcPr>
            <w:tcW w:w="10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8"/>
              </w:rPr>
              <w:t>$43.99</w:t>
            </w:r>
          </w:p>
        </w:tc>
        <w:tc>
          <w:tcPr>
            <w:tcW w:w="260" w:type="dxa"/>
            <w:vAlign w:val="bottom"/>
          </w:tcPr>
          <w:p>
            <w:pPr>
              <w:spacing w:after="0"/>
              <w:rPr>
                <w:sz w:val="19"/>
                <w:szCs w:val="19"/>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2,774</w:t>
            </w:r>
          </w:p>
        </w:tc>
        <w:tc>
          <w:tcPr>
            <w:tcW w:w="184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9.1</w:t>
            </w:r>
          </w:p>
        </w:tc>
        <w:tc>
          <w:tcPr>
            <w:tcW w:w="260" w:type="dxa"/>
            <w:vAlign w:val="bottom"/>
          </w:tcPr>
          <w:p>
            <w:pPr>
              <w:spacing w:after="0"/>
              <w:rPr>
                <w:sz w:val="19"/>
                <w:szCs w:val="19"/>
                <w:color w:val="auto"/>
              </w:rPr>
            </w:pP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$43.99</w:t>
            </w:r>
          </w:p>
        </w:tc>
        <w:tc>
          <w:tcPr>
            <w:tcW w:w="240" w:type="dxa"/>
            <w:vAlign w:val="bottom"/>
          </w:tcPr>
          <w:p>
            <w:pPr>
              <w:spacing w:after="0"/>
              <w:rPr>
                <w:sz w:val="19"/>
                <w:szCs w:val="19"/>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$0.00</w:t>
            </w:r>
          </w:p>
        </w:tc>
        <w:tc>
          <w:tcPr>
            <w:tcW w:w="0" w:type="dxa"/>
            <w:vAlign w:val="bottom"/>
          </w:tcPr>
          <w:p>
            <w:pPr>
              <w:spacing w:after="0"/>
              <w:rPr>
                <w:sz w:val="1"/>
                <w:szCs w:val="1"/>
                <w:color w:val="auto"/>
              </w:rPr>
            </w:pPr>
          </w:p>
        </w:tc>
      </w:tr>
      <w:tr>
        <w:trPr>
          <w:trHeight w:val="230"/>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rPr>
              <w:t>$44.73</w:t>
            </w:r>
          </w:p>
        </w:tc>
        <w:tc>
          <w:tcPr>
            <w:tcW w:w="60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89"/>
              </w:rPr>
              <w:t>-</w:t>
            </w:r>
          </w:p>
        </w:tc>
        <w:tc>
          <w:tcPr>
            <w:tcW w:w="108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8"/>
              </w:rPr>
              <w:t>$53.24</w:t>
            </w:r>
          </w:p>
        </w:tc>
        <w:tc>
          <w:tcPr>
            <w:tcW w:w="260" w:type="dxa"/>
            <w:vAlign w:val="bottom"/>
          </w:tcPr>
          <w:p>
            <w:pPr>
              <w:spacing w:after="0"/>
              <w:rPr>
                <w:sz w:val="19"/>
                <w:szCs w:val="19"/>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3,329</w:t>
            </w:r>
          </w:p>
        </w:tc>
        <w:tc>
          <w:tcPr>
            <w:tcW w:w="184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8.5</w:t>
            </w:r>
          </w:p>
        </w:tc>
        <w:tc>
          <w:tcPr>
            <w:tcW w:w="260" w:type="dxa"/>
            <w:vAlign w:val="bottom"/>
          </w:tcPr>
          <w:p>
            <w:pPr>
              <w:spacing w:after="0"/>
              <w:rPr>
                <w:sz w:val="19"/>
                <w:szCs w:val="19"/>
                <w:color w:val="auto"/>
              </w:rPr>
            </w:pP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$45.53</w:t>
            </w:r>
          </w:p>
        </w:tc>
        <w:tc>
          <w:tcPr>
            <w:tcW w:w="240" w:type="dxa"/>
            <w:vAlign w:val="bottom"/>
          </w:tcPr>
          <w:p>
            <w:pPr>
              <w:spacing w:after="0"/>
              <w:rPr>
                <w:sz w:val="19"/>
                <w:szCs w:val="19"/>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409</w:t>
            </w:r>
          </w:p>
        </w:tc>
        <w:tc>
          <w:tcPr>
            <w:tcW w:w="142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$45.15</w:t>
            </w:r>
          </w:p>
        </w:tc>
        <w:tc>
          <w:tcPr>
            <w:tcW w:w="0" w:type="dxa"/>
            <w:vAlign w:val="bottom"/>
          </w:tcPr>
          <w:p>
            <w:pPr>
              <w:spacing w:after="0"/>
              <w:rPr>
                <w:sz w:val="1"/>
                <w:szCs w:val="1"/>
                <w:color w:val="auto"/>
              </w:rPr>
            </w:pPr>
          </w:p>
        </w:tc>
      </w:tr>
      <w:tr>
        <w:trPr>
          <w:trHeight w:val="23"/>
        </w:trPr>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4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5.8</w:t>
            </w:r>
          </w:p>
        </w:tc>
        <w:tc>
          <w:tcPr>
            <w:tcW w:w="260" w:type="dxa"/>
            <w:vAlign w:val="bottom"/>
            <w:vMerge w:val="restart"/>
          </w:tcPr>
          <w:p>
            <w:pPr>
              <w:spacing w:after="0" w:line="20" w:lineRule="exact"/>
              <w:rPr>
                <w:sz w:val="1"/>
                <w:szCs w:val="1"/>
                <w:color w:val="auto"/>
              </w:rPr>
            </w:pPr>
          </w:p>
        </w:tc>
        <w:tc>
          <w:tcPr>
            <w:tcW w:w="158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$23.55</w:t>
            </w:r>
          </w:p>
        </w:tc>
        <w:tc>
          <w:tcPr>
            <w:tcW w:w="240" w:type="dxa"/>
            <w:vAlign w:val="bottom"/>
            <w:vMerge w:val="restart"/>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2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$11.26</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22,643</w:t>
            </w:r>
          </w:p>
        </w:tc>
        <w:tc>
          <w:tcPr>
            <w:tcW w:w="184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58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60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12,231</w:t>
            </w:r>
          </w:p>
        </w:tc>
        <w:tc>
          <w:tcPr>
            <w:tcW w:w="14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right="40" w:firstLine="648"/>
        <w:spacing w:after="0" w:line="254" w:lineRule="auto"/>
        <w:rPr>
          <w:sz w:val="20"/>
          <w:szCs w:val="20"/>
          <w:color w:val="auto"/>
        </w:rPr>
      </w:pPr>
      <w:r>
        <w:rPr>
          <w:rFonts w:ascii="Times New Roman" w:cs="Times New Roman" w:eastAsia="Times New Roman" w:hAnsi="Times New Roman"/>
          <w:sz w:val="20"/>
          <w:szCs w:val="20"/>
          <w:color w:val="auto"/>
        </w:rPr>
        <w:t>The weighted-average grant-date fair value of options granted during the years ended December 31, 2016, 2015 and 2014 was $16.90 per share, $16.73 per share and $10.50 per share, respectively. The total intrinsic value of options exercised during the years ended December 31, 2016, 2015 and 2014 was $70.6 million, $870.1 million and $47.1 million, respectively.</w:t>
      </w:r>
    </w:p>
    <w:p>
      <w:pPr>
        <w:spacing w:after="0" w:line="188" w:lineRule="exact"/>
        <w:rPr>
          <w:sz w:val="20"/>
          <w:szCs w:val="20"/>
          <w:color w:val="auto"/>
        </w:rPr>
      </w:pPr>
    </w:p>
    <w:p>
      <w:pPr>
        <w:jc w:val="both"/>
        <w:ind w:right="40" w:firstLine="648"/>
        <w:spacing w:after="0" w:line="269" w:lineRule="auto"/>
        <w:rPr>
          <w:sz w:val="20"/>
          <w:szCs w:val="20"/>
          <w:color w:val="auto"/>
        </w:rPr>
      </w:pPr>
      <w:r>
        <w:rPr>
          <w:rFonts w:ascii="Times New Roman" w:cs="Times New Roman" w:eastAsia="Times New Roman" w:hAnsi="Times New Roman"/>
          <w:sz w:val="20"/>
          <w:szCs w:val="20"/>
          <w:color w:val="auto"/>
        </w:rPr>
        <w:t>Cash received from option exercises under all plans for the years ended December 31, 2016, 2015 and 2014 was approximately $16.4 million, $49.2 million and $17.2 million, respectively.</w:t>
      </w:r>
    </w:p>
    <w:p>
      <w:pPr>
        <w:spacing w:after="0" w:line="173" w:lineRule="exact"/>
        <w:rPr>
          <w:sz w:val="20"/>
          <w:szCs w:val="20"/>
          <w:color w:val="auto"/>
        </w:rPr>
      </w:pPr>
    </w:p>
    <w:p>
      <w:pPr>
        <w:jc w:val="both"/>
        <w:ind w:right="40" w:firstLine="648"/>
        <w:spacing w:after="0" w:line="254" w:lineRule="auto"/>
        <w:rPr>
          <w:sz w:val="20"/>
          <w:szCs w:val="20"/>
          <w:color w:val="auto"/>
        </w:rPr>
      </w:pPr>
      <w:r>
        <w:rPr>
          <w:rFonts w:ascii="Times New Roman" w:cs="Times New Roman" w:eastAsia="Times New Roman" w:hAnsi="Times New Roman"/>
          <w:sz w:val="20"/>
          <w:szCs w:val="20"/>
          <w:color w:val="auto"/>
        </w:rPr>
        <w:t>At December 31, 2016, there was $99.6 million of total unrecognized compensation expense related to non-vested options granted to employees under the Company’s share-based payment plans. That cost is expected to be recognized over a weighted-average period of 3.1 years.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Restricted Stock Awards and Restricted Stock Units</w:t>
      </w:r>
    </w:p>
    <w:p>
      <w:pPr>
        <w:spacing w:after="0" w:line="233" w:lineRule="exact"/>
        <w:rPr>
          <w:sz w:val="20"/>
          <w:szCs w:val="20"/>
          <w:color w:val="auto"/>
        </w:rPr>
      </w:pPr>
    </w:p>
    <w:p>
      <w:pPr>
        <w:jc w:val="both"/>
        <w:ind w:right="40" w:firstLine="648"/>
        <w:spacing w:after="0" w:line="249" w:lineRule="auto"/>
        <w:rPr>
          <w:sz w:val="20"/>
          <w:szCs w:val="20"/>
          <w:color w:val="auto"/>
        </w:rPr>
      </w:pPr>
      <w:r>
        <w:rPr>
          <w:rFonts w:ascii="Times New Roman" w:cs="Times New Roman" w:eastAsia="Times New Roman" w:hAnsi="Times New Roman"/>
          <w:sz w:val="20"/>
          <w:szCs w:val="20"/>
          <w:color w:val="auto"/>
        </w:rPr>
        <w:t>Stock-based compensation cost for restricted stock awards and restricted stock units is measured based on the closing fair market value of the Company’s common stock at the date of grant. In the event that the Company has the option and intent to settle a restricted stock unit in cash, the award is classified as a liability and revalued at each balance sheet date. Total cash paid to settle restricted stock unit liabilities and the increase in the liabilities for future cash settlements during the years ended December 31, 2016 and 2015 were not material.</w:t>
      </w:r>
    </w:p>
    <w:p>
      <w:pPr>
        <w:sectPr>
          <w:pgSz w:w="11900" w:h="16838" w:orient="portrait"/>
          <w:cols w:equalWidth="0" w:num="1">
            <w:col w:w="11460"/>
          </w:cols>
          <w:pgMar w:left="240" w:top="114" w:right="199" w:bottom="0" w:gutter="0" w:footer="0" w:header="0"/>
        </w:sectPr>
      </w:pPr>
    </w:p>
    <w:bookmarkStart w:id="70" w:name="page71"/>
    <w:bookmarkEnd w:id="70"/>
    <w:p>
      <w:pPr>
        <w:jc w:val="center"/>
        <w:ind w:right="40"/>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6" w:lineRule="exact"/>
        <w:rPr>
          <w:sz w:val="20"/>
          <w:szCs w:val="20"/>
          <w:color w:val="auto"/>
        </w:rPr>
      </w:pPr>
    </w:p>
    <w:p>
      <w:pPr>
        <w:ind w:right="530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Company’s activities with respect to non-vested restricted stock units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center"/>
              <w:ind w:right="101"/>
              <w:spacing w:after="0"/>
              <w:rPr>
                <w:sz w:val="20"/>
                <w:szCs w:val="20"/>
                <w:color w:val="auto"/>
              </w:rPr>
            </w:pPr>
            <w:r>
              <w:rPr>
                <w:rFonts w:ascii="Times New Roman" w:cs="Times New Roman" w:eastAsia="Times New Roman" w:hAnsi="Times New Roman"/>
                <w:sz w:val="20"/>
                <w:szCs w:val="20"/>
                <w:color w:val="auto"/>
                <w:w w:val="95"/>
              </w:rPr>
              <w:t>Weighted</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Number of</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center"/>
              <w:ind w:right="101"/>
              <w:spacing w:after="0"/>
              <w:rPr>
                <w:sz w:val="20"/>
                <w:szCs w:val="20"/>
                <w:color w:val="auto"/>
              </w:rPr>
            </w:pPr>
            <w:r>
              <w:rPr>
                <w:rFonts w:ascii="Times New Roman" w:cs="Times New Roman" w:eastAsia="Times New Roman" w:hAnsi="Times New Roman"/>
                <w:sz w:val="20"/>
                <w:szCs w:val="20"/>
                <w:color w:val="auto"/>
                <w:w w:val="97"/>
              </w:rPr>
              <w:t>Average</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Shares (in</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center"/>
              <w:ind w:right="101"/>
              <w:spacing w:after="0"/>
              <w:rPr>
                <w:sz w:val="20"/>
                <w:szCs w:val="20"/>
                <w:color w:val="auto"/>
              </w:rPr>
            </w:pPr>
            <w:r>
              <w:rPr>
                <w:rFonts w:ascii="Times New Roman" w:cs="Times New Roman" w:eastAsia="Times New Roman" w:hAnsi="Times New Roman"/>
                <w:sz w:val="20"/>
                <w:szCs w:val="20"/>
                <w:color w:val="auto"/>
                <w:w w:val="99"/>
              </w:rPr>
              <w:t>Grant-Date</w:t>
            </w:r>
          </w:p>
        </w:tc>
        <w:tc>
          <w:tcPr>
            <w:tcW w:w="0" w:type="dxa"/>
            <w:vAlign w:val="bottom"/>
          </w:tcPr>
          <w:p>
            <w:pPr>
              <w:spacing w:after="0"/>
              <w:rPr>
                <w:sz w:val="1"/>
                <w:szCs w:val="1"/>
                <w:color w:val="auto"/>
              </w:rPr>
            </w:pPr>
          </w:p>
        </w:tc>
      </w:tr>
      <w:tr>
        <w:trPr>
          <w:trHeight w:val="252"/>
        </w:trPr>
        <w:tc>
          <w:tcPr>
            <w:tcW w:w="42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Non-vested at January 1, 2016</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thousands)</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20"/>
                <w:szCs w:val="20"/>
                <w:color w:val="auto"/>
                <w:w w:val="96"/>
              </w:rPr>
              <w:t>Fair Value</w:t>
            </w:r>
          </w:p>
        </w:tc>
        <w:tc>
          <w:tcPr>
            <w:tcW w:w="0" w:type="dxa"/>
            <w:vAlign w:val="bottom"/>
          </w:tcPr>
          <w:p>
            <w:pPr>
              <w:spacing w:after="0"/>
              <w:rPr>
                <w:sz w:val="1"/>
                <w:szCs w:val="1"/>
                <w:color w:val="auto"/>
              </w:rPr>
            </w:pPr>
          </w:p>
        </w:tc>
      </w:tr>
      <w:tr>
        <w:trPr>
          <w:trHeight w:val="200"/>
        </w:trPr>
        <w:tc>
          <w:tcPr>
            <w:tcW w:w="4280" w:type="dxa"/>
            <w:vAlign w:val="bottom"/>
            <w:vMerge w:val="continue"/>
          </w:tcPr>
          <w:p>
            <w:pPr>
              <w:spacing w:after="0"/>
              <w:rPr>
                <w:sz w:val="17"/>
                <w:szCs w:val="17"/>
                <w:color w:val="auto"/>
              </w:rPr>
            </w:pPr>
          </w:p>
        </w:tc>
        <w:tc>
          <w:tcPr>
            <w:tcW w:w="15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535</w:t>
            </w:r>
          </w:p>
        </w:tc>
        <w:tc>
          <w:tcPr>
            <w:tcW w:w="280" w:type="dxa"/>
            <w:vAlign w:val="bottom"/>
          </w:tcPr>
          <w:p>
            <w:pPr>
              <w:spacing w:after="0"/>
              <w:rPr>
                <w:sz w:val="17"/>
                <w:szCs w:val="17"/>
                <w:color w:val="auto"/>
              </w:rPr>
            </w:pPr>
          </w:p>
        </w:tc>
        <w:tc>
          <w:tcPr>
            <w:tcW w:w="2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33.19</w:t>
            </w:r>
          </w:p>
        </w:tc>
        <w:tc>
          <w:tcPr>
            <w:tcW w:w="0" w:type="dxa"/>
            <w:vAlign w:val="bottom"/>
          </w:tcPr>
          <w:p>
            <w:pPr>
              <w:spacing w:after="0"/>
              <w:rPr>
                <w:sz w:val="1"/>
                <w:szCs w:val="1"/>
                <w:color w:val="auto"/>
              </w:rPr>
            </w:pPr>
          </w:p>
        </w:tc>
      </w:tr>
      <w:tr>
        <w:trPr>
          <w:trHeight w:val="230"/>
        </w:trPr>
        <w:tc>
          <w:tcPr>
            <w:tcW w:w="42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Granted 01/01/16- 03/31/16</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43.99</w:t>
            </w:r>
          </w:p>
        </w:tc>
        <w:tc>
          <w:tcPr>
            <w:tcW w:w="0" w:type="dxa"/>
            <w:vAlign w:val="bottom"/>
          </w:tcPr>
          <w:p>
            <w:pPr>
              <w:spacing w:after="0"/>
              <w:rPr>
                <w:sz w:val="1"/>
                <w:szCs w:val="1"/>
                <w:color w:val="auto"/>
              </w:rPr>
            </w:pPr>
          </w:p>
        </w:tc>
      </w:tr>
      <w:tr>
        <w:trPr>
          <w:trHeight w:val="230"/>
        </w:trPr>
        <w:tc>
          <w:tcPr>
            <w:tcW w:w="42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Granted 04/01/16- 06/30/16</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49.65</w:t>
            </w:r>
          </w:p>
        </w:tc>
        <w:tc>
          <w:tcPr>
            <w:tcW w:w="0" w:type="dxa"/>
            <w:vAlign w:val="bottom"/>
          </w:tcPr>
          <w:p>
            <w:pPr>
              <w:spacing w:after="0"/>
              <w:rPr>
                <w:sz w:val="1"/>
                <w:szCs w:val="1"/>
                <w:color w:val="auto"/>
              </w:rPr>
            </w:pPr>
          </w:p>
        </w:tc>
      </w:tr>
      <w:tr>
        <w:trPr>
          <w:trHeight w:val="230"/>
        </w:trPr>
        <w:tc>
          <w:tcPr>
            <w:tcW w:w="42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Granted 07/01/16- 09/30/16</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42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Granted 10/01/16- 12/31/16</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42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Vested</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31.50</w:t>
            </w:r>
          </w:p>
        </w:tc>
        <w:tc>
          <w:tcPr>
            <w:tcW w:w="0" w:type="dxa"/>
            <w:vAlign w:val="bottom"/>
          </w:tcPr>
          <w:p>
            <w:pPr>
              <w:spacing w:after="0"/>
              <w:rPr>
                <w:sz w:val="1"/>
                <w:szCs w:val="1"/>
                <w:color w:val="auto"/>
              </w:rPr>
            </w:pPr>
          </w:p>
        </w:tc>
      </w:tr>
      <w:tr>
        <w:trPr>
          <w:trHeight w:val="230"/>
        </w:trPr>
        <w:tc>
          <w:tcPr>
            <w:tcW w:w="42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Forfeited/cancelled</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19.42</w:t>
            </w:r>
          </w:p>
        </w:tc>
        <w:tc>
          <w:tcPr>
            <w:tcW w:w="0" w:type="dxa"/>
            <w:vAlign w:val="bottom"/>
          </w:tcPr>
          <w:p>
            <w:pPr>
              <w:spacing w:after="0"/>
              <w:rPr>
                <w:sz w:val="1"/>
                <w:szCs w:val="1"/>
                <w:color w:val="auto"/>
              </w:rPr>
            </w:pPr>
          </w:p>
        </w:tc>
      </w:tr>
      <w:tr>
        <w:trPr>
          <w:trHeight w:val="23"/>
        </w:trPr>
        <w:tc>
          <w:tcPr>
            <w:tcW w:w="42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Non-vested at December 31, 2016</w:t>
            </w:r>
          </w:p>
        </w:tc>
        <w:tc>
          <w:tcPr>
            <w:tcW w:w="1520" w:type="dxa"/>
            <w:vAlign w:val="bottom"/>
            <w:tcBorders>
              <w:bottom w:val="single" w:sz="8" w:color="auto"/>
            </w:tcBorders>
          </w:tcPr>
          <w:p>
            <w:pPr>
              <w:spacing w:after="0" w:line="20" w:lineRule="exact"/>
              <w:rPr>
                <w:sz w:val="1"/>
                <w:szCs w:val="1"/>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39.95</w:t>
            </w:r>
          </w:p>
        </w:tc>
        <w:tc>
          <w:tcPr>
            <w:tcW w:w="0" w:type="dxa"/>
            <w:vAlign w:val="bottom"/>
          </w:tcPr>
          <w:p>
            <w:pPr>
              <w:spacing w:after="0"/>
              <w:rPr>
                <w:sz w:val="1"/>
                <w:szCs w:val="1"/>
                <w:color w:val="auto"/>
              </w:rPr>
            </w:pPr>
          </w:p>
        </w:tc>
      </w:tr>
      <w:tr>
        <w:trPr>
          <w:trHeight w:val="223"/>
        </w:trPr>
        <w:tc>
          <w:tcPr>
            <w:tcW w:w="4280" w:type="dxa"/>
            <w:vAlign w:val="bottom"/>
            <w:vMerge w:val="continue"/>
          </w:tcPr>
          <w:p>
            <w:pPr>
              <w:spacing w:after="0"/>
              <w:rPr>
                <w:sz w:val="19"/>
                <w:szCs w:val="19"/>
                <w:color w:val="auto"/>
              </w:rPr>
            </w:pPr>
          </w:p>
        </w:tc>
        <w:tc>
          <w:tcPr>
            <w:tcW w:w="15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556</w:t>
            </w:r>
          </w:p>
        </w:tc>
        <w:tc>
          <w:tcPr>
            <w:tcW w:w="4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right="40" w:firstLine="648"/>
        <w:spacing w:after="0" w:line="254" w:lineRule="auto"/>
        <w:rPr>
          <w:sz w:val="20"/>
          <w:szCs w:val="20"/>
          <w:color w:val="auto"/>
        </w:rPr>
      </w:pPr>
      <w:r>
        <w:rPr>
          <w:rFonts w:ascii="Times New Roman" w:cs="Times New Roman" w:eastAsia="Times New Roman" w:hAnsi="Times New Roman"/>
          <w:sz w:val="20"/>
          <w:szCs w:val="20"/>
          <w:color w:val="auto"/>
        </w:rPr>
        <w:t>The weighted-average grant-date fair value of restricted stock units and restricted stock awards granted during the years ended December 31, 2016, 2015 and 2014 was $44.71, $45.50 and $28.13 per share, respectively. As of December 31, 2016, 0.5 million of restricted stock units are expected to vest.</w:t>
      </w:r>
    </w:p>
    <w:p>
      <w:pPr>
        <w:spacing w:after="0" w:line="188" w:lineRule="exact"/>
        <w:rPr>
          <w:sz w:val="20"/>
          <w:szCs w:val="20"/>
          <w:color w:val="auto"/>
        </w:rPr>
      </w:pPr>
    </w:p>
    <w:p>
      <w:pPr>
        <w:jc w:val="both"/>
        <w:ind w:right="40" w:firstLine="648"/>
        <w:spacing w:after="0" w:line="269" w:lineRule="auto"/>
        <w:rPr>
          <w:sz w:val="20"/>
          <w:szCs w:val="20"/>
          <w:color w:val="auto"/>
        </w:rPr>
      </w:pPr>
      <w:r>
        <w:rPr>
          <w:rFonts w:ascii="Times New Roman" w:cs="Times New Roman" w:eastAsia="Times New Roman" w:hAnsi="Times New Roman"/>
          <w:sz w:val="20"/>
          <w:szCs w:val="20"/>
          <w:color w:val="auto"/>
        </w:rPr>
        <w:t>At December 31, 2016, total unrecognized compensation expense relating to non-vested restricted stock awards and non-vested restricted stock units was $13.9 million, which is expected to be recognized over a weighted-average period of 1.6 years.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Employee and Non-Employee Share-Based Compensation Expense</w:t>
      </w:r>
    </w:p>
    <w:p>
      <w:pPr>
        <w:spacing w:after="0" w:line="233" w:lineRule="exact"/>
        <w:rPr>
          <w:sz w:val="20"/>
          <w:szCs w:val="20"/>
          <w:color w:val="auto"/>
        </w:rPr>
      </w:pPr>
    </w:p>
    <w:p>
      <w:pPr>
        <w:jc w:val="both"/>
        <w:ind w:right="40" w:firstLine="648"/>
        <w:spacing w:after="0" w:line="243" w:lineRule="auto"/>
        <w:rPr>
          <w:sz w:val="20"/>
          <w:szCs w:val="20"/>
          <w:color w:val="auto"/>
        </w:rPr>
      </w:pPr>
      <w:r>
        <w:rPr>
          <w:rFonts w:ascii="Times New Roman" w:cs="Times New Roman" w:eastAsia="Times New Roman" w:hAnsi="Times New Roman"/>
          <w:sz w:val="20"/>
          <w:szCs w:val="20"/>
          <w:color w:val="auto"/>
        </w:rPr>
        <w:t>The table below shows the amounts recognized in the consolidated financial statements for the twelve-months ended December 31, 2016, 2015 and 2014 for share-based compensation related to employees and non-employees. Employee and non-employee share-based compensation expense of $45.8 million for the year ended December 31, 2016 is comprised of $8.0 million that relates to incentive stock options and $37.8 million that relates to non-qualified stock options and restricted units and awards. Employee and non-employee share-based compensation expense of $32.7 million for the year ended December 31, 2015 is comprised of $6.2 million that relates to incentive stock options and $26.5 million that relates to non-qualified stock options and restricted units and awards. Employee and non-employee share-based compensation expense of $28.6 million for the year ended December 31, 2014 is comprised of $4.8 million that relates to incentive stock options and $23.8 million that relates to non-qualified stock options and restricted units and awards.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5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3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color w:val="auto"/>
              </w:rPr>
              <w:t>2016</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2015</w:t>
            </w:r>
          </w:p>
        </w:tc>
        <w:tc>
          <w:tcPr>
            <w:tcW w:w="2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2014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5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jc w:val="right"/>
              <w:ind w:right="10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center"/>
              <w:ind w:left="381"/>
              <w:spacing w:after="0" w:line="200" w:lineRule="exact"/>
              <w:rPr>
                <w:sz w:val="20"/>
                <w:szCs w:val="20"/>
                <w:color w:val="auto"/>
              </w:rPr>
            </w:pPr>
            <w:r>
              <w:rPr>
                <w:rFonts w:ascii="Times New Roman" w:cs="Times New Roman" w:eastAsia="Times New Roman" w:hAnsi="Times New Roman"/>
                <w:sz w:val="20"/>
                <w:szCs w:val="20"/>
                <w:color w:val="auto"/>
                <w:w w:val="98"/>
              </w:rPr>
              <w:t>45,848</w:t>
            </w:r>
          </w:p>
        </w:tc>
        <w:tc>
          <w:tcPr>
            <w:tcW w:w="280" w:type="dxa"/>
            <w:vAlign w:val="bottom"/>
          </w:tcPr>
          <w:p>
            <w:pPr>
              <w:spacing w:after="0"/>
              <w:rPr>
                <w:sz w:val="17"/>
                <w:szCs w:val="17"/>
                <w:color w:val="auto"/>
              </w:rPr>
            </w:pPr>
          </w:p>
        </w:tc>
        <w:tc>
          <w:tcPr>
            <w:tcW w:w="380" w:type="dxa"/>
            <w:vAlign w:val="bottom"/>
          </w:tcPr>
          <w:p>
            <w:pPr>
              <w:jc w:val="right"/>
              <w:ind w:right="8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ind w:left="560"/>
              <w:spacing w:after="0" w:line="200" w:lineRule="exact"/>
              <w:rPr>
                <w:sz w:val="20"/>
                <w:szCs w:val="20"/>
                <w:color w:val="auto"/>
              </w:rPr>
            </w:pPr>
            <w:r>
              <w:rPr>
                <w:rFonts w:ascii="Times New Roman" w:cs="Times New Roman" w:eastAsia="Times New Roman" w:hAnsi="Times New Roman"/>
                <w:sz w:val="20"/>
                <w:szCs w:val="20"/>
                <w:color w:val="auto"/>
              </w:rPr>
              <w:t>32,719</w:t>
            </w:r>
          </w:p>
        </w:tc>
        <w:tc>
          <w:tcPr>
            <w:tcW w:w="280" w:type="dxa"/>
            <w:vAlign w:val="bottom"/>
          </w:tcPr>
          <w:p>
            <w:pPr>
              <w:spacing w:after="0"/>
              <w:rPr>
                <w:sz w:val="17"/>
                <w:szCs w:val="17"/>
                <w:color w:val="auto"/>
              </w:rPr>
            </w:pPr>
          </w:p>
        </w:tc>
        <w:tc>
          <w:tcPr>
            <w:tcW w:w="400" w:type="dxa"/>
            <w:vAlign w:val="bottom"/>
          </w:tcPr>
          <w:p>
            <w:pPr>
              <w:jc w:val="right"/>
              <w:ind w:right="10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ind w:left="560"/>
              <w:spacing w:after="0" w:line="200" w:lineRule="exact"/>
              <w:rPr>
                <w:sz w:val="20"/>
                <w:szCs w:val="20"/>
                <w:color w:val="auto"/>
              </w:rPr>
            </w:pPr>
            <w:r>
              <w:rPr>
                <w:rFonts w:ascii="Times New Roman" w:cs="Times New Roman" w:eastAsia="Times New Roman" w:hAnsi="Times New Roman"/>
                <w:sz w:val="20"/>
                <w:szCs w:val="20"/>
                <w:color w:val="auto"/>
              </w:rPr>
              <w:t>28,552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5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w w:val="98"/>
              </w:rPr>
              <w:t>Total employee and non-employee share-based compensation expense</w:t>
            </w:r>
          </w:p>
        </w:tc>
        <w:tc>
          <w:tcPr>
            <w:tcW w:w="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55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included in income, before income tax</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center"/>
              <w:ind w:left="381"/>
              <w:spacing w:after="0"/>
              <w:rPr>
                <w:sz w:val="20"/>
                <w:szCs w:val="20"/>
                <w:color w:val="auto"/>
              </w:rPr>
            </w:pPr>
            <w:r>
              <w:rPr>
                <w:rFonts w:ascii="Times New Roman" w:cs="Times New Roman" w:eastAsia="Times New Roman" w:hAnsi="Times New Roman"/>
                <w:sz w:val="20"/>
                <w:szCs w:val="20"/>
                <w:color w:val="auto"/>
                <w:w w:val="98"/>
              </w:rPr>
              <w:t>45,848</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32,719</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28,552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auto"/>
              </w:rPr>
              <w:t>Less: Amount of income tax benefit recognized in earnings</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center"/>
              <w:ind w:left="361"/>
              <w:spacing w:after="0"/>
              <w:rPr>
                <w:sz w:val="20"/>
                <w:szCs w:val="20"/>
                <w:color w:val="auto"/>
              </w:rPr>
            </w:pPr>
            <w:r>
              <w:rPr>
                <w:rFonts w:ascii="Times New Roman" w:cs="Times New Roman" w:eastAsia="Times New Roman" w:hAnsi="Times New Roman"/>
                <w:sz w:val="20"/>
                <w:szCs w:val="20"/>
                <w:color w:val="auto"/>
                <w:w w:val="99"/>
              </w:rPr>
              <w:t>(34,909)</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(9,058)</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(2,932)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5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Amount charged against net income</w:t>
            </w:r>
          </w:p>
        </w:tc>
        <w:tc>
          <w:tcPr>
            <w:tcW w:w="38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58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400" w:type="dxa"/>
            <w:vAlign w:val="bottom"/>
            <w:tcBorders>
              <w:bottom w:val="single" w:sz="8" w:color="auto"/>
            </w:tcBorders>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tcBorders>
              <w:bottom w:val="single" w:sz="8" w:color="auto"/>
            </w:tcBorders>
          </w:tcPr>
          <w:p>
            <w:pPr>
              <w:jc w:val="center"/>
              <w:ind w:left="381"/>
              <w:spacing w:after="0" w:line="223" w:lineRule="exact"/>
              <w:rPr>
                <w:sz w:val="20"/>
                <w:szCs w:val="20"/>
                <w:color w:val="auto"/>
              </w:rPr>
            </w:pPr>
            <w:r>
              <w:rPr>
                <w:rFonts w:ascii="Times New Roman" w:cs="Times New Roman" w:eastAsia="Times New Roman" w:hAnsi="Times New Roman"/>
                <w:sz w:val="20"/>
                <w:szCs w:val="20"/>
                <w:color w:val="auto"/>
                <w:w w:val="98"/>
              </w:rPr>
              <w:t>10,939</w:t>
            </w:r>
          </w:p>
        </w:tc>
        <w:tc>
          <w:tcPr>
            <w:tcW w:w="280" w:type="dxa"/>
            <w:vAlign w:val="bottom"/>
          </w:tcPr>
          <w:p>
            <w:pPr>
              <w:spacing w:after="0"/>
              <w:rPr>
                <w:sz w:val="19"/>
                <w:szCs w:val="19"/>
                <w:color w:val="auto"/>
              </w:rPr>
            </w:pPr>
          </w:p>
        </w:tc>
        <w:tc>
          <w:tcPr>
            <w:tcW w:w="38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ind w:left="560"/>
              <w:spacing w:after="0" w:line="223" w:lineRule="exact"/>
              <w:rPr>
                <w:sz w:val="20"/>
                <w:szCs w:val="20"/>
                <w:color w:val="auto"/>
              </w:rPr>
            </w:pPr>
            <w:r>
              <w:rPr>
                <w:rFonts w:ascii="Times New Roman" w:cs="Times New Roman" w:eastAsia="Times New Roman" w:hAnsi="Times New Roman"/>
                <w:sz w:val="20"/>
                <w:szCs w:val="20"/>
                <w:color w:val="auto"/>
              </w:rPr>
              <w:t>23,661</w:t>
            </w: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auto"/>
            </w:tcBorders>
          </w:tcPr>
          <w:p>
            <w:pPr>
              <w:ind w:left="560"/>
              <w:spacing w:after="0" w:line="223" w:lineRule="exact"/>
              <w:rPr>
                <w:sz w:val="20"/>
                <w:szCs w:val="20"/>
                <w:color w:val="auto"/>
              </w:rPr>
            </w:pPr>
            <w:r>
              <w:rPr>
                <w:rFonts w:ascii="Times New Roman" w:cs="Times New Roman" w:eastAsia="Times New Roman" w:hAnsi="Times New Roman"/>
                <w:sz w:val="20"/>
                <w:szCs w:val="20"/>
                <w:color w:val="auto"/>
              </w:rPr>
              <w:t>25,620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107</w:t>
            </w: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558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55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6" w:lineRule="exact"/>
        <w:rPr>
          <w:sz w:val="20"/>
          <w:szCs w:val="20"/>
          <w:color w:val="auto"/>
        </w:rPr>
      </w:pPr>
    </w:p>
    <w:p>
      <w:pPr>
        <w:ind w:right="530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8" w:lineRule="exact"/>
        <w:rPr>
          <w:sz w:val="20"/>
          <w:szCs w:val="20"/>
          <w:color w:val="auto"/>
        </w:rPr>
      </w:pPr>
    </w:p>
    <w:p>
      <w:pPr>
        <w:ind w:left="640" w:hanging="632"/>
        <w:spacing w:after="0"/>
        <w:tabs>
          <w:tab w:leader="none" w:pos="6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domestic and foreign components of the Company’s income before provision for income taxes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40" w:type="dxa"/>
            <w:vAlign w:val="bottom"/>
            <w:gridSpan w:val="6"/>
          </w:tcPr>
          <w:p>
            <w:pPr>
              <w:ind w:left="940"/>
              <w:spacing w:after="0"/>
              <w:rPr>
                <w:sz w:val="20"/>
                <w:szCs w:val="20"/>
                <w:color w:val="auto"/>
              </w:rPr>
            </w:pPr>
            <w:r>
              <w:rPr>
                <w:rFonts w:ascii="Times New Roman" w:cs="Times New Roman" w:eastAsia="Times New Roman" w:hAnsi="Times New Roman"/>
                <w:sz w:val="20"/>
                <w:szCs w:val="20"/>
                <w:color w:val="auto"/>
                <w:w w:val="98"/>
              </w:rPr>
              <w:t>Year Ended December 31,</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58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Domestic*</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2016</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2015</w:t>
            </w:r>
          </w:p>
        </w:tc>
        <w:tc>
          <w:tcPr>
            <w:tcW w:w="3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2014</w:t>
            </w:r>
          </w:p>
        </w:tc>
        <w:tc>
          <w:tcPr>
            <w:tcW w:w="0" w:type="dxa"/>
            <w:vAlign w:val="bottom"/>
          </w:tcPr>
          <w:p>
            <w:pPr>
              <w:spacing w:after="0"/>
              <w:rPr>
                <w:sz w:val="1"/>
                <w:szCs w:val="1"/>
                <w:color w:val="auto"/>
              </w:rPr>
            </w:pPr>
          </w:p>
        </w:tc>
      </w:tr>
      <w:tr>
        <w:trPr>
          <w:trHeight w:val="200"/>
        </w:trPr>
        <w:tc>
          <w:tcPr>
            <w:tcW w:w="5860" w:type="dxa"/>
            <w:vAlign w:val="bottom"/>
            <w:vMerge w:val="continue"/>
          </w:tcPr>
          <w:p>
            <w:pPr>
              <w:spacing w:after="0"/>
              <w:rPr>
                <w:sz w:val="17"/>
                <w:szCs w:val="17"/>
                <w:color w:val="auto"/>
              </w:rPr>
            </w:pPr>
          </w:p>
        </w:tc>
        <w:tc>
          <w:tcPr>
            <w:tcW w:w="34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1,029,763</w:t>
            </w:r>
          </w:p>
        </w:tc>
        <w:tc>
          <w:tcPr>
            <w:tcW w:w="280" w:type="dxa"/>
            <w:vAlign w:val="bottom"/>
          </w:tcPr>
          <w:p>
            <w:pPr>
              <w:spacing w:after="0"/>
              <w:rPr>
                <w:sz w:val="17"/>
                <w:szCs w:val="17"/>
                <w:color w:val="auto"/>
              </w:rPr>
            </w:pPr>
          </w:p>
        </w:tc>
        <w:tc>
          <w:tcPr>
            <w:tcW w:w="34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859,039</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711,917</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3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49,922</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32,509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33,871</w:t>
            </w:r>
          </w:p>
        </w:tc>
        <w:tc>
          <w:tcPr>
            <w:tcW w:w="0" w:type="dxa"/>
            <w:vAlign w:val="bottom"/>
          </w:tcPr>
          <w:p>
            <w:pPr>
              <w:spacing w:after="0"/>
              <w:rPr>
                <w:sz w:val="1"/>
                <w:szCs w:val="1"/>
                <w:color w:val="auto"/>
              </w:rPr>
            </w:pPr>
          </w:p>
        </w:tc>
      </w:tr>
      <w:tr>
        <w:trPr>
          <w:trHeight w:val="23"/>
        </w:trPr>
        <w:tc>
          <w:tcPr>
            <w:tcW w:w="58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Income before provision for income taxes</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60" w:type="dxa"/>
            <w:vAlign w:val="bottom"/>
            <w:vMerge w:val="continue"/>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1,079,685</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891,548</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745,788</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60"/>
          </w:cols>
          <w:pgMar w:left="240" w:top="126" w:right="199" w:bottom="0" w:gutter="0" w:footer="0" w:header="0"/>
        </w:sectPr>
      </w:pPr>
    </w:p>
    <w:p>
      <w:pPr>
        <w:spacing w:after="0" w:line="14"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16"/>
          <w:szCs w:val="16"/>
          <w:i w:val="1"/>
          <w:iCs w:val="1"/>
          <w:color w:val="auto"/>
        </w:rPr>
        <w:t>*After intercompany royalties, management fees and interest charges from the Company’s domestic to foreign entities of $25.6 million, $29.4 million and $34.9 million for the years ended December 31, 2016, 2015 and 2014, respectively.</w:t>
      </w:r>
    </w:p>
    <w:p>
      <w:pPr>
        <w:sectPr>
          <w:pgSz w:w="11900" w:h="16838" w:orient="portrait"/>
          <w:cols w:equalWidth="0" w:num="1">
            <w:col w:w="11460"/>
          </w:cols>
          <w:pgMar w:left="240" w:top="126" w:right="199" w:bottom="0" w:gutter="0" w:footer="0" w:header="0"/>
          <w:type w:val="continuous"/>
        </w:sectPr>
      </w:pPr>
    </w:p>
    <w:bookmarkStart w:id="71" w:name="page72"/>
    <w:bookmarkEnd w:id="71"/>
    <w:p>
      <w:pPr>
        <w:spacing w:after="0" w:line="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Components of the provision for income taxes are as follows: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60" w:type="dxa"/>
            <w:vAlign w:val="bottom"/>
            <w:gridSpan w:val="6"/>
          </w:tcPr>
          <w:p>
            <w:pPr>
              <w:jc w:val="right"/>
              <w:ind w:right="141"/>
              <w:spacing w:after="0"/>
              <w:rPr>
                <w:sz w:val="20"/>
                <w:szCs w:val="20"/>
                <w:color w:val="auto"/>
              </w:rPr>
            </w:pPr>
            <w:r>
              <w:rPr>
                <w:rFonts w:ascii="Times New Roman" w:cs="Times New Roman" w:eastAsia="Times New Roman" w:hAnsi="Times New Roman"/>
                <w:sz w:val="20"/>
                <w:szCs w:val="20"/>
                <w:color w:val="auto"/>
              </w:rPr>
              <w:t>Year Ended December 31,</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Current:</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2016</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2015</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2014</w:t>
            </w:r>
          </w:p>
        </w:tc>
        <w:tc>
          <w:tcPr>
            <w:tcW w:w="0" w:type="dxa"/>
            <w:vAlign w:val="bottom"/>
          </w:tcPr>
          <w:p>
            <w:pPr>
              <w:spacing w:after="0"/>
              <w:rPr>
                <w:sz w:val="1"/>
                <w:szCs w:val="1"/>
                <w:color w:val="auto"/>
              </w:rPr>
            </w:pPr>
          </w:p>
        </w:tc>
      </w:tr>
      <w:tr>
        <w:trPr>
          <w:trHeight w:val="187"/>
        </w:trPr>
        <w:tc>
          <w:tcPr>
            <w:tcW w:w="28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Federal</w:t>
            </w:r>
          </w:p>
        </w:tc>
        <w:tc>
          <w:tcPr>
            <w:tcW w:w="3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212,283</w:t>
            </w:r>
          </w:p>
        </w:tc>
        <w:tc>
          <w:tcPr>
            <w:tcW w:w="280" w:type="dxa"/>
            <w:vAlign w:val="bottom"/>
          </w:tcPr>
          <w:p>
            <w:pPr>
              <w:spacing w:after="0"/>
              <w:rPr>
                <w:sz w:val="19"/>
                <w:szCs w:val="19"/>
                <w:color w:val="auto"/>
              </w:rPr>
            </w:pP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548,018</w:t>
            </w:r>
          </w:p>
        </w:tc>
        <w:tc>
          <w:tcPr>
            <w:tcW w:w="280" w:type="dxa"/>
            <w:vAlign w:val="bottom"/>
          </w:tcPr>
          <w:p>
            <w:pPr>
              <w:spacing w:after="0"/>
              <w:rPr>
                <w:sz w:val="19"/>
                <w:szCs w:val="19"/>
                <w:color w:val="auto"/>
              </w:rPr>
            </w:pP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228,348</w:t>
            </w:r>
          </w:p>
        </w:tc>
        <w:tc>
          <w:tcPr>
            <w:tcW w:w="0" w:type="dxa"/>
            <w:vAlign w:val="bottom"/>
          </w:tcPr>
          <w:p>
            <w:pPr>
              <w:spacing w:after="0"/>
              <w:rPr>
                <w:sz w:val="1"/>
                <w:szCs w:val="1"/>
                <w:color w:val="auto"/>
              </w:rPr>
            </w:pPr>
          </w:p>
        </w:tc>
      </w:tr>
      <w:tr>
        <w:trPr>
          <w:trHeight w:val="230"/>
        </w:trPr>
        <w:tc>
          <w:tcPr>
            <w:tcW w:w="28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State</w:t>
            </w:r>
          </w:p>
        </w:tc>
        <w:tc>
          <w:tcPr>
            <w:tcW w:w="3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35,756</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88,671</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36,633</w:t>
            </w:r>
          </w:p>
        </w:tc>
        <w:tc>
          <w:tcPr>
            <w:tcW w:w="0" w:type="dxa"/>
            <w:vAlign w:val="bottom"/>
          </w:tcPr>
          <w:p>
            <w:pPr>
              <w:spacing w:after="0"/>
              <w:rPr>
                <w:sz w:val="1"/>
                <w:szCs w:val="1"/>
                <w:color w:val="auto"/>
              </w:rPr>
            </w:pPr>
          </w:p>
        </w:tc>
      </w:tr>
      <w:tr>
        <w:trPr>
          <w:trHeight w:val="252"/>
        </w:trPr>
        <w:tc>
          <w:tcPr>
            <w:tcW w:w="28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Foreign</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17,171</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10,634</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7,467</w:t>
            </w:r>
          </w:p>
        </w:tc>
        <w:tc>
          <w:tcPr>
            <w:tcW w:w="0" w:type="dxa"/>
            <w:vAlign w:val="bottom"/>
          </w:tcPr>
          <w:p>
            <w:pPr>
              <w:spacing w:after="0"/>
              <w:rPr>
                <w:sz w:val="1"/>
                <w:szCs w:val="1"/>
                <w:color w:val="auto"/>
              </w:rPr>
            </w:pPr>
          </w:p>
        </w:tc>
      </w:tr>
      <w:tr>
        <w:trPr>
          <w:trHeight w:val="252"/>
        </w:trPr>
        <w:tc>
          <w:tcPr>
            <w:tcW w:w="2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265,210</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647,323</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272,448</w:t>
            </w:r>
          </w:p>
        </w:tc>
        <w:tc>
          <w:tcPr>
            <w:tcW w:w="0" w:type="dxa"/>
            <w:vAlign w:val="bottom"/>
          </w:tcPr>
          <w:p>
            <w:pPr>
              <w:spacing w:after="0"/>
              <w:rPr>
                <w:sz w:val="1"/>
                <w:szCs w:val="1"/>
                <w:color w:val="auto"/>
              </w:rPr>
            </w:pPr>
          </w:p>
        </w:tc>
      </w:tr>
      <w:tr>
        <w:trPr>
          <w:trHeight w:val="394"/>
        </w:trPr>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Deferred:</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Federal</w:t>
            </w:r>
          </w:p>
        </w:tc>
        <w:tc>
          <w:tcPr>
            <w:tcW w:w="3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87,360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(255,422)</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(8,473)</w:t>
            </w:r>
          </w:p>
        </w:tc>
        <w:tc>
          <w:tcPr>
            <w:tcW w:w="0" w:type="dxa"/>
            <w:vAlign w:val="bottom"/>
          </w:tcPr>
          <w:p>
            <w:pPr>
              <w:spacing w:after="0"/>
              <w:rPr>
                <w:sz w:val="1"/>
                <w:szCs w:val="1"/>
                <w:color w:val="auto"/>
              </w:rPr>
            </w:pPr>
          </w:p>
        </w:tc>
      </w:tr>
      <w:tr>
        <w:trPr>
          <w:trHeight w:val="230"/>
        </w:trPr>
        <w:tc>
          <w:tcPr>
            <w:tcW w:w="28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State</w:t>
            </w:r>
          </w:p>
        </w:tc>
        <w:tc>
          <w:tcPr>
            <w:tcW w:w="3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15,254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(40,446)</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(442)</w:t>
            </w:r>
          </w:p>
        </w:tc>
        <w:tc>
          <w:tcPr>
            <w:tcW w:w="0" w:type="dxa"/>
            <w:vAlign w:val="bottom"/>
          </w:tcPr>
          <w:p>
            <w:pPr>
              <w:spacing w:after="0"/>
              <w:rPr>
                <w:sz w:val="1"/>
                <w:szCs w:val="1"/>
                <w:color w:val="auto"/>
              </w:rPr>
            </w:pPr>
          </w:p>
        </w:tc>
      </w:tr>
      <w:tr>
        <w:trPr>
          <w:trHeight w:val="252"/>
        </w:trPr>
        <w:tc>
          <w:tcPr>
            <w:tcW w:w="28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Foreign</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(9,709)</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(5,420)</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3,476</w:t>
            </w:r>
          </w:p>
        </w:tc>
        <w:tc>
          <w:tcPr>
            <w:tcW w:w="0" w:type="dxa"/>
            <w:vAlign w:val="bottom"/>
          </w:tcPr>
          <w:p>
            <w:pPr>
              <w:spacing w:after="0"/>
              <w:rPr>
                <w:sz w:val="1"/>
                <w:szCs w:val="1"/>
                <w:color w:val="auto"/>
              </w:rPr>
            </w:pPr>
          </w:p>
        </w:tc>
      </w:tr>
      <w:tr>
        <w:trPr>
          <w:trHeight w:val="252"/>
        </w:trPr>
        <w:tc>
          <w:tcPr>
            <w:tcW w:w="2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92,905</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(301,288)</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(5,439)</w:t>
            </w:r>
          </w:p>
        </w:tc>
        <w:tc>
          <w:tcPr>
            <w:tcW w:w="0" w:type="dxa"/>
            <w:vAlign w:val="bottom"/>
          </w:tcPr>
          <w:p>
            <w:pPr>
              <w:spacing w:after="0"/>
              <w:rPr>
                <w:sz w:val="1"/>
                <w:szCs w:val="1"/>
                <w:color w:val="auto"/>
              </w:rPr>
            </w:pPr>
          </w:p>
        </w:tc>
      </w:tr>
      <w:tr>
        <w:trPr>
          <w:trHeight w:val="417"/>
        </w:trPr>
        <w:tc>
          <w:tcPr>
            <w:tcW w:w="28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Valuation allowance</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8,885</w:t>
            </w: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(1,220)</w:t>
            </w: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(4,406)</w:t>
            </w:r>
          </w:p>
        </w:tc>
        <w:tc>
          <w:tcPr>
            <w:tcW w:w="0" w:type="dxa"/>
            <w:vAlign w:val="bottom"/>
          </w:tcPr>
          <w:p>
            <w:pPr>
              <w:spacing w:after="0"/>
              <w:rPr>
                <w:sz w:val="1"/>
                <w:szCs w:val="1"/>
                <w:color w:val="auto"/>
              </w:rPr>
            </w:pPr>
          </w:p>
        </w:tc>
      </w:tr>
      <w:tr>
        <w:trPr>
          <w:trHeight w:val="223"/>
        </w:trPr>
        <w:tc>
          <w:tcPr>
            <w:tcW w:w="2800" w:type="dxa"/>
            <w:vAlign w:val="bottom"/>
          </w:tcPr>
          <w:p>
            <w:pPr>
              <w:spacing w:after="0"/>
              <w:rPr>
                <w:sz w:val="19"/>
                <w:szCs w:val="19"/>
                <w:color w:val="auto"/>
              </w:rPr>
            </w:pPr>
          </w:p>
        </w:tc>
        <w:tc>
          <w:tcPr>
            <w:tcW w:w="32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367,000</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344,815</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262,603</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right="60" w:firstLine="648"/>
        <w:spacing w:after="0" w:line="269" w:lineRule="auto"/>
        <w:rPr>
          <w:sz w:val="20"/>
          <w:szCs w:val="20"/>
          <w:color w:val="auto"/>
        </w:rPr>
      </w:pPr>
      <w:r>
        <w:rPr>
          <w:rFonts w:ascii="Times New Roman" w:cs="Times New Roman" w:eastAsia="Times New Roman" w:hAnsi="Times New Roman"/>
          <w:sz w:val="20"/>
          <w:szCs w:val="20"/>
          <w:color w:val="auto"/>
        </w:rPr>
        <w:t>The differences in the total provision for income taxes that would result from applying the 35% federal statutory rate to income before provision for income taxes and the reported provision for income taxes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gridSpan w:val="6"/>
          </w:tcPr>
          <w:p>
            <w:pPr>
              <w:ind w:left="880"/>
              <w:spacing w:after="0"/>
              <w:rPr>
                <w:sz w:val="20"/>
                <w:szCs w:val="20"/>
                <w:color w:val="auto"/>
              </w:rPr>
            </w:pPr>
            <w:r>
              <w:rPr>
                <w:rFonts w:ascii="Times New Roman" w:cs="Times New Roman" w:eastAsia="Times New Roman" w:hAnsi="Times New Roman"/>
                <w:sz w:val="20"/>
                <w:szCs w:val="20"/>
                <w:color w:val="auto"/>
                <w:w w:val="97"/>
              </w:rPr>
              <w:t>Year Ended December 31,</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55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U.S. Federal tax expense at statutory rates</w:t>
            </w: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2016</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2015</w:t>
            </w:r>
          </w:p>
        </w:tc>
        <w:tc>
          <w:tcPr>
            <w:tcW w:w="2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2014</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500" w:type="dxa"/>
            <w:vAlign w:val="bottom"/>
            <w:vMerge w:val="continue"/>
          </w:tcPr>
          <w:p>
            <w:pPr>
              <w:spacing w:after="0"/>
              <w:rPr>
                <w:sz w:val="17"/>
                <w:szCs w:val="17"/>
                <w:color w:val="auto"/>
              </w:rPr>
            </w:pPr>
          </w:p>
        </w:tc>
        <w:tc>
          <w:tcPr>
            <w:tcW w:w="42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377,599</w:t>
            </w:r>
          </w:p>
        </w:tc>
        <w:tc>
          <w:tcPr>
            <w:tcW w:w="280" w:type="dxa"/>
            <w:vAlign w:val="bottom"/>
          </w:tcPr>
          <w:p>
            <w:pPr>
              <w:spacing w:after="0"/>
              <w:rPr>
                <w:sz w:val="17"/>
                <w:szCs w:val="17"/>
                <w:color w:val="auto"/>
              </w:rPr>
            </w:pPr>
          </w:p>
        </w:tc>
        <w:tc>
          <w:tcPr>
            <w:tcW w:w="34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312,042</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jc w:val="right"/>
              <w:ind w:right="41"/>
              <w:spacing w:after="0" w:line="200" w:lineRule="exact"/>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261,025</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State income taxes, net of federal tax benefit</w:t>
            </w:r>
          </w:p>
        </w:tc>
        <w:tc>
          <w:tcPr>
            <w:tcW w:w="4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33,148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31,046</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23,859</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Permanent differences</w:t>
            </w:r>
          </w:p>
        </w:tc>
        <w:tc>
          <w:tcPr>
            <w:tcW w:w="4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954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5,285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2,107</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Stock Based Compensation</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(13,654)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3,203</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2,709</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Domestic production deduction</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(21,447)</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(20,607)</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(8,765)</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(1,267)</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Foreign rate differential</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(9,720)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(5,414)</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(817)</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Valuation allowance</w:t>
            </w: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8,885</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(1,220)</w:t>
            </w:r>
          </w:p>
        </w:tc>
        <w:tc>
          <w:tcPr>
            <w:tcW w:w="2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(4,406)</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19"/>
                <w:szCs w:val="19"/>
                <w:color w:val="auto"/>
              </w:rPr>
            </w:pPr>
          </w:p>
        </w:tc>
        <w:tc>
          <w:tcPr>
            <w:tcW w:w="420" w:type="dxa"/>
            <w:vAlign w:val="bottom"/>
            <w:tcBorders>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367,000</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344,815</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262,603</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550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108</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550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2" w:lineRule="exact"/>
        <w:rPr>
          <w:sz w:val="20"/>
          <w:szCs w:val="20"/>
          <w:color w:val="auto"/>
        </w:rPr>
      </w:pPr>
    </w:p>
    <w:p>
      <w:pPr>
        <w:ind w:right="530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Major components of the Company’s deferred tax assets (liabilities) at December 31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3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2016</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2015</w:t>
            </w:r>
          </w:p>
        </w:tc>
        <w:tc>
          <w:tcPr>
            <w:tcW w:w="0" w:type="dxa"/>
            <w:vAlign w:val="bottom"/>
          </w:tcPr>
          <w:p>
            <w:pPr>
              <w:spacing w:after="0"/>
              <w:rPr>
                <w:sz w:val="1"/>
                <w:szCs w:val="1"/>
                <w:color w:val="auto"/>
              </w:rPr>
            </w:pPr>
          </w:p>
        </w:tc>
      </w:tr>
      <w:tr>
        <w:trPr>
          <w:trHeight w:val="187"/>
        </w:trPr>
        <w:tc>
          <w:tcPr>
            <w:tcW w:w="63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Reserve for sales returns</w:t>
            </w: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149</w:t>
            </w:r>
          </w:p>
        </w:tc>
        <w:tc>
          <w:tcPr>
            <w:tcW w:w="280" w:type="dxa"/>
            <w:vAlign w:val="bottom"/>
          </w:tcPr>
          <w:p>
            <w:pPr>
              <w:spacing w:after="0"/>
              <w:rPr>
                <w:sz w:val="19"/>
                <w:szCs w:val="19"/>
                <w:color w:val="auto"/>
              </w:rPr>
            </w:pP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242</w:t>
            </w:r>
          </w:p>
        </w:tc>
        <w:tc>
          <w:tcPr>
            <w:tcW w:w="0" w:type="dxa"/>
            <w:vAlign w:val="bottom"/>
          </w:tcPr>
          <w:p>
            <w:pPr>
              <w:spacing w:after="0"/>
              <w:rPr>
                <w:sz w:val="1"/>
                <w:szCs w:val="1"/>
                <w:color w:val="auto"/>
              </w:rPr>
            </w:pPr>
          </w:p>
        </w:tc>
      </w:tr>
      <w:tr>
        <w:trPr>
          <w:trHeight w:val="230"/>
        </w:trPr>
        <w:tc>
          <w:tcPr>
            <w:tcW w:w="63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Reserve for doubtful accounts</w:t>
            </w: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21</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30"/>
        </w:trPr>
        <w:tc>
          <w:tcPr>
            <w:tcW w:w="63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Reserve for inventory obsolescence</w:t>
            </w: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524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1,126</w:t>
            </w:r>
          </w:p>
        </w:tc>
        <w:tc>
          <w:tcPr>
            <w:tcW w:w="0" w:type="dxa"/>
            <w:vAlign w:val="bottom"/>
          </w:tcPr>
          <w:p>
            <w:pPr>
              <w:spacing w:after="0"/>
              <w:rPr>
                <w:sz w:val="1"/>
                <w:szCs w:val="1"/>
                <w:color w:val="auto"/>
              </w:rPr>
            </w:pPr>
          </w:p>
        </w:tc>
      </w:tr>
      <w:tr>
        <w:trPr>
          <w:trHeight w:val="230"/>
        </w:trPr>
        <w:tc>
          <w:tcPr>
            <w:tcW w:w="63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Reserve for marketing development fund</w:t>
            </w: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8,065</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10,118</w:t>
            </w:r>
          </w:p>
        </w:tc>
        <w:tc>
          <w:tcPr>
            <w:tcW w:w="0" w:type="dxa"/>
            <w:vAlign w:val="bottom"/>
          </w:tcPr>
          <w:p>
            <w:pPr>
              <w:spacing w:after="0"/>
              <w:rPr>
                <w:sz w:val="1"/>
                <w:szCs w:val="1"/>
                <w:color w:val="auto"/>
              </w:rPr>
            </w:pPr>
          </w:p>
        </w:tc>
      </w:tr>
      <w:tr>
        <w:trPr>
          <w:trHeight w:val="230"/>
        </w:trPr>
        <w:tc>
          <w:tcPr>
            <w:tcW w:w="63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Capitalization of inventory costs</w:t>
            </w: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2,714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1,927</w:t>
            </w:r>
          </w:p>
        </w:tc>
        <w:tc>
          <w:tcPr>
            <w:tcW w:w="0" w:type="dxa"/>
            <w:vAlign w:val="bottom"/>
          </w:tcPr>
          <w:p>
            <w:pPr>
              <w:spacing w:after="0"/>
              <w:rPr>
                <w:sz w:val="1"/>
                <w:szCs w:val="1"/>
                <w:color w:val="auto"/>
              </w:rPr>
            </w:pPr>
          </w:p>
        </w:tc>
      </w:tr>
      <w:tr>
        <w:trPr>
          <w:trHeight w:val="230"/>
        </w:trPr>
        <w:tc>
          <w:tcPr>
            <w:tcW w:w="63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State franchise tax - current</w:t>
            </w: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18,016</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15,143</w:t>
            </w:r>
          </w:p>
        </w:tc>
        <w:tc>
          <w:tcPr>
            <w:tcW w:w="0" w:type="dxa"/>
            <w:vAlign w:val="bottom"/>
          </w:tcPr>
          <w:p>
            <w:pPr>
              <w:spacing w:after="0"/>
              <w:rPr>
                <w:sz w:val="1"/>
                <w:szCs w:val="1"/>
                <w:color w:val="auto"/>
              </w:rPr>
            </w:pPr>
          </w:p>
        </w:tc>
      </w:tr>
      <w:tr>
        <w:trPr>
          <w:trHeight w:val="230"/>
        </w:trPr>
        <w:tc>
          <w:tcPr>
            <w:tcW w:w="63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Accrued compensation</w:t>
            </w: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1,212</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1,584</w:t>
            </w:r>
          </w:p>
        </w:tc>
        <w:tc>
          <w:tcPr>
            <w:tcW w:w="0" w:type="dxa"/>
            <w:vAlign w:val="bottom"/>
          </w:tcPr>
          <w:p>
            <w:pPr>
              <w:spacing w:after="0"/>
              <w:rPr>
                <w:sz w:val="1"/>
                <w:szCs w:val="1"/>
                <w:color w:val="auto"/>
              </w:rPr>
            </w:pPr>
          </w:p>
        </w:tc>
      </w:tr>
      <w:tr>
        <w:trPr>
          <w:trHeight w:val="230"/>
        </w:trPr>
        <w:tc>
          <w:tcPr>
            <w:tcW w:w="63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Accrued other liabilities</w:t>
            </w: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1,967</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1,565</w:t>
            </w:r>
          </w:p>
        </w:tc>
        <w:tc>
          <w:tcPr>
            <w:tcW w:w="0" w:type="dxa"/>
            <w:vAlign w:val="bottom"/>
          </w:tcPr>
          <w:p>
            <w:pPr>
              <w:spacing w:after="0"/>
              <w:rPr>
                <w:sz w:val="1"/>
                <w:szCs w:val="1"/>
                <w:color w:val="auto"/>
              </w:rPr>
            </w:pPr>
          </w:p>
        </w:tc>
      </w:tr>
      <w:tr>
        <w:trPr>
          <w:trHeight w:val="230"/>
        </w:trPr>
        <w:tc>
          <w:tcPr>
            <w:tcW w:w="63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Deferred revenue</w:t>
            </w: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145,319</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152,777</w:t>
            </w:r>
          </w:p>
        </w:tc>
        <w:tc>
          <w:tcPr>
            <w:tcW w:w="0" w:type="dxa"/>
            <w:vAlign w:val="bottom"/>
          </w:tcPr>
          <w:p>
            <w:pPr>
              <w:spacing w:after="0"/>
              <w:rPr>
                <w:sz w:val="1"/>
                <w:szCs w:val="1"/>
                <w:color w:val="auto"/>
              </w:rPr>
            </w:pPr>
          </w:p>
        </w:tc>
      </w:tr>
      <w:tr>
        <w:trPr>
          <w:trHeight w:val="230"/>
        </w:trPr>
        <w:tc>
          <w:tcPr>
            <w:tcW w:w="63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Stock-based compensation</w:t>
            </w: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31,873</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24,488</w:t>
            </w:r>
          </w:p>
        </w:tc>
        <w:tc>
          <w:tcPr>
            <w:tcW w:w="0" w:type="dxa"/>
            <w:vAlign w:val="bottom"/>
          </w:tcPr>
          <w:p>
            <w:pPr>
              <w:spacing w:after="0"/>
              <w:rPr>
                <w:sz w:val="1"/>
                <w:szCs w:val="1"/>
                <w:color w:val="auto"/>
              </w:rPr>
            </w:pPr>
          </w:p>
        </w:tc>
      </w:tr>
      <w:tr>
        <w:trPr>
          <w:trHeight w:val="230"/>
        </w:trPr>
        <w:tc>
          <w:tcPr>
            <w:tcW w:w="63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Securities impairment</w:t>
            </w: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17</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289</w:t>
            </w:r>
          </w:p>
        </w:tc>
        <w:tc>
          <w:tcPr>
            <w:tcW w:w="0" w:type="dxa"/>
            <w:vAlign w:val="bottom"/>
          </w:tcPr>
          <w:p>
            <w:pPr>
              <w:spacing w:after="0"/>
              <w:rPr>
                <w:sz w:val="1"/>
                <w:szCs w:val="1"/>
                <w:color w:val="auto"/>
              </w:rPr>
            </w:pPr>
          </w:p>
        </w:tc>
      </w:tr>
      <w:tr>
        <w:trPr>
          <w:trHeight w:val="230"/>
        </w:trPr>
        <w:tc>
          <w:tcPr>
            <w:tcW w:w="63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Foreign net operating loss carryforward</w:t>
            </w: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29,894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26,624</w:t>
            </w:r>
          </w:p>
        </w:tc>
        <w:tc>
          <w:tcPr>
            <w:tcW w:w="0" w:type="dxa"/>
            <w:vAlign w:val="bottom"/>
          </w:tcPr>
          <w:p>
            <w:pPr>
              <w:spacing w:after="0"/>
              <w:rPr>
                <w:sz w:val="1"/>
                <w:szCs w:val="1"/>
                <w:color w:val="auto"/>
              </w:rPr>
            </w:pPr>
          </w:p>
        </w:tc>
      </w:tr>
      <w:tr>
        <w:trPr>
          <w:trHeight w:val="230"/>
        </w:trPr>
        <w:tc>
          <w:tcPr>
            <w:tcW w:w="63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Prepaid supplies</w:t>
            </w: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8,022</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6,065</w:t>
            </w:r>
          </w:p>
        </w:tc>
        <w:tc>
          <w:tcPr>
            <w:tcW w:w="0" w:type="dxa"/>
            <w:vAlign w:val="bottom"/>
          </w:tcPr>
          <w:p>
            <w:pPr>
              <w:spacing w:after="0"/>
              <w:rPr>
                <w:sz w:val="1"/>
                <w:szCs w:val="1"/>
                <w:color w:val="auto"/>
              </w:rPr>
            </w:pPr>
          </w:p>
        </w:tc>
      </w:tr>
      <w:tr>
        <w:trPr>
          <w:trHeight w:val="230"/>
        </w:trPr>
        <w:tc>
          <w:tcPr>
            <w:tcW w:w="63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Termination payments</w:t>
            </w: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98,244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81,896</w:t>
            </w:r>
          </w:p>
        </w:tc>
        <w:tc>
          <w:tcPr>
            <w:tcW w:w="0" w:type="dxa"/>
            <w:vAlign w:val="bottom"/>
          </w:tcPr>
          <w:p>
            <w:pPr>
              <w:spacing w:after="0"/>
              <w:rPr>
                <w:sz w:val="1"/>
                <w:szCs w:val="1"/>
                <w:color w:val="auto"/>
              </w:rPr>
            </w:pPr>
          </w:p>
        </w:tc>
      </w:tr>
      <w:tr>
        <w:trPr>
          <w:trHeight w:val="230"/>
        </w:trPr>
        <w:tc>
          <w:tcPr>
            <w:tcW w:w="63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Capital loss carryforward</w:t>
            </w: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370</w:t>
            </w:r>
          </w:p>
        </w:tc>
        <w:tc>
          <w:tcPr>
            <w:tcW w:w="0" w:type="dxa"/>
            <w:vAlign w:val="bottom"/>
          </w:tcPr>
          <w:p>
            <w:pPr>
              <w:spacing w:after="0"/>
              <w:rPr>
                <w:sz w:val="1"/>
                <w:szCs w:val="1"/>
                <w:color w:val="auto"/>
              </w:rPr>
            </w:pPr>
          </w:p>
        </w:tc>
      </w:tr>
      <w:tr>
        <w:trPr>
          <w:trHeight w:val="230"/>
        </w:trPr>
        <w:tc>
          <w:tcPr>
            <w:tcW w:w="63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Elimination Company Profit</w:t>
            </w: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2,843</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Gain on intercompany transfer</w:t>
            </w: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7,274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7,809</w:t>
            </w:r>
          </w:p>
        </w:tc>
        <w:tc>
          <w:tcPr>
            <w:tcW w:w="0" w:type="dxa"/>
            <w:vAlign w:val="bottom"/>
          </w:tcPr>
          <w:p>
            <w:pPr>
              <w:spacing w:after="0"/>
              <w:rPr>
                <w:sz w:val="1"/>
                <w:szCs w:val="1"/>
                <w:color w:val="auto"/>
              </w:rPr>
            </w:pPr>
          </w:p>
        </w:tc>
      </w:tr>
      <w:tr>
        <w:trPr>
          <w:trHeight w:val="23"/>
        </w:trPr>
        <w:tc>
          <w:tcPr>
            <w:tcW w:w="6360" w:type="dxa"/>
            <w:vAlign w:val="bottom"/>
            <w:vMerge w:val="restart"/>
          </w:tcPr>
          <w:p>
            <w:pPr>
              <w:ind w:left="520"/>
              <w:spacing w:after="0"/>
              <w:rPr>
                <w:sz w:val="20"/>
                <w:szCs w:val="20"/>
                <w:color w:val="auto"/>
              </w:rPr>
            </w:pPr>
            <w:r>
              <w:rPr>
                <w:rFonts w:ascii="Times New Roman" w:cs="Times New Roman" w:eastAsia="Times New Roman" w:hAnsi="Times New Roman"/>
                <w:sz w:val="20"/>
                <w:szCs w:val="20"/>
                <w:color w:val="auto"/>
              </w:rPr>
              <w:t>Total gross deferred tax assets</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360" w:type="dxa"/>
            <w:vAlign w:val="bottom"/>
            <w:vMerge w:val="continue"/>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356,198</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332,041</w:t>
            </w:r>
          </w:p>
        </w:tc>
        <w:tc>
          <w:tcPr>
            <w:tcW w:w="0" w:type="dxa"/>
            <w:vAlign w:val="bottom"/>
          </w:tcPr>
          <w:p>
            <w:pPr>
              <w:spacing w:after="0"/>
              <w:rPr>
                <w:sz w:val="1"/>
                <w:szCs w:val="1"/>
                <w:color w:val="auto"/>
              </w:rPr>
            </w:pPr>
          </w:p>
        </w:tc>
      </w:tr>
      <w:tr>
        <w:trPr>
          <w:trHeight w:val="416"/>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Amortization of trademarks</w:t>
            </w: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(18,663)</w:t>
            </w:r>
          </w:p>
        </w:tc>
        <w:tc>
          <w:tcPr>
            <w:tcW w:w="280" w:type="dxa"/>
            <w:vAlign w:val="bottom"/>
          </w:tcPr>
          <w:p>
            <w:pPr>
              <w:spacing w:after="0"/>
              <w:rPr>
                <w:sz w:val="19"/>
                <w:szCs w:val="19"/>
                <w:color w:val="auto"/>
              </w:rPr>
            </w:pP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(12,078)</w:t>
            </w:r>
          </w:p>
        </w:tc>
        <w:tc>
          <w:tcPr>
            <w:tcW w:w="0" w:type="dxa"/>
            <w:vAlign w:val="bottom"/>
          </w:tcPr>
          <w:p>
            <w:pPr>
              <w:spacing w:after="0"/>
              <w:rPr>
                <w:sz w:val="1"/>
                <w:szCs w:val="1"/>
                <w:color w:val="auto"/>
              </w:rPr>
            </w:pPr>
          </w:p>
        </w:tc>
      </w:tr>
      <w:tr>
        <w:trPr>
          <w:trHeight w:val="258"/>
        </w:trPr>
        <w:tc>
          <w:tcPr>
            <w:tcW w:w="63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Intangibles</w:t>
            </w: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(131,264)</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(134,021)</w:t>
            </w:r>
          </w:p>
        </w:tc>
        <w:tc>
          <w:tcPr>
            <w:tcW w:w="0" w:type="dxa"/>
            <w:vAlign w:val="bottom"/>
          </w:tcPr>
          <w:p>
            <w:pPr>
              <w:spacing w:after="0"/>
              <w:rPr>
                <w:sz w:val="1"/>
                <w:szCs w:val="1"/>
                <w:color w:val="auto"/>
              </w:rPr>
            </w:pPr>
          </w:p>
        </w:tc>
      </w:tr>
    </w:tbl>
    <w:p>
      <w:pPr>
        <w:sectPr>
          <w:pgSz w:w="11900" w:h="16849" w:orient="portrait"/>
          <w:cols w:equalWidth="0" w:num="1">
            <w:col w:w="11460"/>
          </w:cols>
          <w:pgMar w:left="240" w:top="346" w:right="199" w:bottom="0" w:gutter="0" w:footer="0" w:header="0"/>
        </w:sectPr>
      </w:pPr>
    </w:p>
    <w:bookmarkStart w:id="72" w:name="page73"/>
    <w:bookmarkEnd w:id="72"/>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auto"/>
              </w:rPr>
              <w:t>State franchise tax - deferred</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(12,946)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(18,359)</w:t>
            </w:r>
          </w:p>
        </w:tc>
        <w:tc>
          <w:tcPr>
            <w:tcW w:w="0" w:type="dxa"/>
            <w:vAlign w:val="bottom"/>
          </w:tcPr>
          <w:p>
            <w:pPr>
              <w:spacing w:after="0"/>
              <w:rPr>
                <w:sz w:val="1"/>
                <w:szCs w:val="1"/>
                <w:color w:val="auto"/>
              </w:rPr>
            </w:pPr>
          </w:p>
        </w:tc>
      </w:tr>
      <w:tr>
        <w:trPr>
          <w:trHeight w:val="230"/>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auto"/>
              </w:rPr>
              <w:t>Other deferred tax liabilities</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(2,381)</w:t>
            </w:r>
          </w:p>
        </w:tc>
        <w:tc>
          <w:tcPr>
            <w:tcW w:w="0" w:type="dxa"/>
            <w:vAlign w:val="bottom"/>
          </w:tcPr>
          <w:p>
            <w:pPr>
              <w:spacing w:after="0"/>
              <w:rPr>
                <w:sz w:val="1"/>
                <w:szCs w:val="1"/>
                <w:color w:val="auto"/>
              </w:rPr>
            </w:pPr>
          </w:p>
        </w:tc>
      </w:tr>
      <w:tr>
        <w:trPr>
          <w:trHeight w:val="230"/>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auto"/>
              </w:rPr>
              <w:t>Depreciation</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(6,736)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(7,543)</w:t>
            </w:r>
          </w:p>
        </w:tc>
        <w:tc>
          <w:tcPr>
            <w:tcW w:w="0" w:type="dxa"/>
            <w:vAlign w:val="bottom"/>
          </w:tcPr>
          <w:p>
            <w:pPr>
              <w:spacing w:after="0"/>
              <w:rPr>
                <w:sz w:val="1"/>
                <w:szCs w:val="1"/>
                <w:color w:val="auto"/>
              </w:rPr>
            </w:pPr>
          </w:p>
        </w:tc>
      </w:tr>
      <w:tr>
        <w:trPr>
          <w:trHeight w:val="23"/>
        </w:trPr>
        <w:tc>
          <w:tcPr>
            <w:tcW w:w="610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Total gross deferred tax liabilities</w:t>
            </w: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100" w:type="dxa"/>
            <w:vAlign w:val="bottom"/>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(170,566)</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(174,382)</w:t>
            </w:r>
          </w:p>
        </w:tc>
        <w:tc>
          <w:tcPr>
            <w:tcW w:w="0" w:type="dxa"/>
            <w:vAlign w:val="bottom"/>
          </w:tcPr>
          <w:p>
            <w:pPr>
              <w:spacing w:after="0"/>
              <w:rPr>
                <w:sz w:val="1"/>
                <w:szCs w:val="1"/>
                <w:color w:val="auto"/>
              </w:rPr>
            </w:pPr>
          </w:p>
        </w:tc>
      </w:tr>
      <w:tr>
        <w:trPr>
          <w:trHeight w:val="445"/>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auto"/>
              </w:rPr>
              <w:t>Valuation Allowance</w:t>
            </w: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(26,076)</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(17,191)</w:t>
            </w:r>
          </w:p>
        </w:tc>
        <w:tc>
          <w:tcPr>
            <w:tcW w:w="0" w:type="dxa"/>
            <w:vAlign w:val="bottom"/>
          </w:tcPr>
          <w:p>
            <w:pPr>
              <w:spacing w:after="0"/>
              <w:rPr>
                <w:sz w:val="1"/>
                <w:szCs w:val="1"/>
                <w:color w:val="auto"/>
              </w:rPr>
            </w:pPr>
          </w:p>
        </w:tc>
      </w:tr>
      <w:tr>
        <w:trPr>
          <w:trHeight w:val="210"/>
        </w:trPr>
        <w:tc>
          <w:tcPr>
            <w:tcW w:w="610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Net deferred tax assets</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00" w:type="dxa"/>
            <w:vAlign w:val="bottom"/>
            <w:vMerge w:val="continue"/>
          </w:tcPr>
          <w:p>
            <w:pPr>
              <w:spacing w:after="0"/>
              <w:rPr>
                <w:sz w:val="19"/>
                <w:szCs w:val="19"/>
                <w:color w:val="auto"/>
              </w:rPr>
            </w:pPr>
          </w:p>
        </w:tc>
        <w:tc>
          <w:tcPr>
            <w:tcW w:w="36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159,556</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140,468</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During the years ended December 31, 2016, 2015 and 2014, the Company established full valuation allowances against certain deferred tax assets, resulting from cumulative net operating losses incurred by certain foreign subsidiaries of the Company. The effect of the valuation allowances and the subsequent related impact on the Company’s overall tax rate was to increase (decrease) the Company’s provision for income taxes by $8.9 million, ($0.5) million and ($4.4) million for the years ended December 31, 2016, 2015 and 2014, respectively. At December 31, 2016, the Company had net operating loss carryforwards of approximately $127.3 million. Of this amount, $105.3 million may be carried forward indefinitely. The remaining $22.0 million of net operating loss carryforwards will begin to expire in 2017.</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8"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following is a roll-forward of the Company’s total gross unrecognized tax benefits, not including interest and penalties, for the years ended December 31, 2016, 2015 and 2014:</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260" w:type="dxa"/>
            <w:vAlign w:val="bottom"/>
          </w:tcPr>
          <w:p>
            <w:pPr>
              <w:spacing w:after="0"/>
              <w:rPr>
                <w:sz w:val="19"/>
                <w:szCs w:val="19"/>
                <w:color w:val="auto"/>
              </w:rPr>
            </w:pPr>
          </w:p>
        </w:tc>
        <w:tc>
          <w:tcPr>
            <w:tcW w:w="216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b w:val="1"/>
                <w:bCs w:val="1"/>
                <w:color w:val="auto"/>
              </w:rPr>
              <w:t>Gross Unrealized Tax</w:t>
            </w:r>
          </w:p>
        </w:tc>
        <w:tc>
          <w:tcPr>
            <w:tcW w:w="0" w:type="dxa"/>
            <w:vAlign w:val="bottom"/>
          </w:tcPr>
          <w:p>
            <w:pPr>
              <w:spacing w:after="0"/>
              <w:rPr>
                <w:sz w:val="1"/>
                <w:szCs w:val="1"/>
                <w:color w:val="auto"/>
              </w:rPr>
            </w:pPr>
          </w:p>
        </w:tc>
      </w:tr>
      <w:tr>
        <w:trPr>
          <w:trHeight w:val="256"/>
        </w:trPr>
        <w:tc>
          <w:tcPr>
            <w:tcW w:w="52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Balance at January 1, 2014</w:t>
            </w:r>
          </w:p>
        </w:tc>
        <w:tc>
          <w:tcPr>
            <w:tcW w:w="4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20"/>
                <w:szCs w:val="20"/>
                <w:b w:val="1"/>
                <w:bCs w:val="1"/>
                <w:color w:val="auto"/>
              </w:rPr>
              <w:t>Benefits</w:t>
            </w:r>
          </w:p>
        </w:tc>
        <w:tc>
          <w:tcPr>
            <w:tcW w:w="0" w:type="dxa"/>
            <w:vAlign w:val="bottom"/>
          </w:tcPr>
          <w:p>
            <w:pPr>
              <w:spacing w:after="0"/>
              <w:rPr>
                <w:sz w:val="1"/>
                <w:szCs w:val="1"/>
                <w:color w:val="auto"/>
              </w:rPr>
            </w:pPr>
          </w:p>
        </w:tc>
      </w:tr>
      <w:tr>
        <w:trPr>
          <w:trHeight w:val="200"/>
        </w:trPr>
        <w:tc>
          <w:tcPr>
            <w:tcW w:w="5260" w:type="dxa"/>
            <w:vAlign w:val="bottom"/>
            <w:vMerge w:val="continue"/>
          </w:tcPr>
          <w:p>
            <w:pPr>
              <w:spacing w:after="0"/>
              <w:rPr>
                <w:sz w:val="17"/>
                <w:szCs w:val="17"/>
                <w:color w:val="auto"/>
              </w:rPr>
            </w:pPr>
          </w:p>
        </w:tc>
        <w:tc>
          <w:tcPr>
            <w:tcW w:w="460" w:type="dxa"/>
            <w:vAlign w:val="bottom"/>
          </w:tcPr>
          <w:p>
            <w:pPr>
              <w:jc w:val="right"/>
              <w:ind w:right="16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700" w:type="dxa"/>
            <w:vAlign w:val="bottom"/>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rPr>
              <w:t>935</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Additions for tax positions related to the current year</w:t>
            </w:r>
          </w:p>
        </w:tc>
        <w:tc>
          <w:tcPr>
            <w:tcW w:w="460" w:type="dxa"/>
            <w:vAlign w:val="bottom"/>
          </w:tcPr>
          <w:p>
            <w:pPr>
              <w:spacing w:after="0"/>
              <w:rPr>
                <w:sz w:val="19"/>
                <w:szCs w:val="19"/>
                <w:color w:val="auto"/>
              </w:rPr>
            </w:pPr>
          </w:p>
        </w:tc>
        <w:tc>
          <w:tcPr>
            <w:tcW w:w="17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Additions for tax positions related to the prior year</w:t>
            </w:r>
          </w:p>
        </w:tc>
        <w:tc>
          <w:tcPr>
            <w:tcW w:w="460" w:type="dxa"/>
            <w:vAlign w:val="bottom"/>
          </w:tcPr>
          <w:p>
            <w:pPr>
              <w:spacing w:after="0"/>
              <w:rPr>
                <w:sz w:val="19"/>
                <w:szCs w:val="19"/>
                <w:color w:val="auto"/>
              </w:rPr>
            </w:pPr>
          </w:p>
        </w:tc>
        <w:tc>
          <w:tcPr>
            <w:tcW w:w="17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6"/>
        </w:trPr>
        <w:tc>
          <w:tcPr>
            <w:tcW w:w="526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Decreases for tax positions related to prior years</w:t>
            </w:r>
          </w:p>
        </w:tc>
        <w:tc>
          <w:tcPr>
            <w:tcW w:w="460" w:type="dxa"/>
            <w:vAlign w:val="bottom"/>
          </w:tcPr>
          <w:p>
            <w:pPr>
              <w:spacing w:after="0"/>
              <w:rPr>
                <w:sz w:val="19"/>
                <w:szCs w:val="19"/>
                <w:color w:val="auto"/>
              </w:rPr>
            </w:pPr>
          </w:p>
        </w:tc>
        <w:tc>
          <w:tcPr>
            <w:tcW w:w="1700" w:type="dxa"/>
            <w:vAlign w:val="bottom"/>
          </w:tcPr>
          <w:p>
            <w:pPr>
              <w:jc w:val="right"/>
              <w:ind w:right="21"/>
              <w:spacing w:after="0" w:line="226"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
        </w:trPr>
        <w:tc>
          <w:tcPr>
            <w:tcW w:w="52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2014</w:t>
            </w:r>
          </w:p>
        </w:tc>
        <w:tc>
          <w:tcPr>
            <w:tcW w:w="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260" w:type="dxa"/>
            <w:vAlign w:val="bottom"/>
            <w:vMerge w:val="continue"/>
          </w:tcPr>
          <w:p>
            <w:pPr>
              <w:spacing w:after="0"/>
              <w:rPr>
                <w:sz w:val="17"/>
                <w:szCs w:val="17"/>
                <w:color w:val="auto"/>
              </w:rPr>
            </w:pPr>
          </w:p>
        </w:tc>
        <w:tc>
          <w:tcPr>
            <w:tcW w:w="460" w:type="dxa"/>
            <w:vAlign w:val="bottom"/>
          </w:tcPr>
          <w:p>
            <w:pPr>
              <w:jc w:val="right"/>
              <w:ind w:right="161"/>
              <w:spacing w:after="0" w:line="200" w:lineRule="exact"/>
              <w:rPr>
                <w:sz w:val="20"/>
                <w:szCs w:val="20"/>
                <w:color w:val="auto"/>
              </w:rPr>
            </w:pPr>
            <w:r>
              <w:rPr>
                <w:rFonts w:ascii="Times New Roman" w:cs="Times New Roman" w:eastAsia="Times New Roman" w:hAnsi="Times New Roman"/>
                <w:sz w:val="20"/>
                <w:szCs w:val="20"/>
                <w:color w:val="auto"/>
              </w:rPr>
              <w:t>$</w:t>
            </w:r>
          </w:p>
        </w:tc>
        <w:tc>
          <w:tcPr>
            <w:tcW w:w="1700" w:type="dxa"/>
            <w:vAlign w:val="bottom"/>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rPr>
              <w:t>935</w:t>
            </w:r>
          </w:p>
        </w:tc>
        <w:tc>
          <w:tcPr>
            <w:tcW w:w="0" w:type="dxa"/>
            <w:vAlign w:val="bottom"/>
          </w:tcPr>
          <w:p>
            <w:pPr>
              <w:spacing w:after="0"/>
              <w:rPr>
                <w:sz w:val="1"/>
                <w:szCs w:val="1"/>
                <w:color w:val="auto"/>
              </w:rPr>
            </w:pPr>
          </w:p>
        </w:tc>
      </w:tr>
      <w:tr>
        <w:trPr>
          <w:trHeight w:val="23"/>
        </w:trPr>
        <w:tc>
          <w:tcPr>
            <w:tcW w:w="52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Additions for tax positions related to the current year</w:t>
            </w:r>
          </w:p>
        </w:tc>
        <w:tc>
          <w:tcPr>
            <w:tcW w:w="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26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700" w:type="dxa"/>
            <w:vAlign w:val="bottom"/>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Additions for tax positions related to the prior year</w:t>
            </w:r>
          </w:p>
        </w:tc>
        <w:tc>
          <w:tcPr>
            <w:tcW w:w="460" w:type="dxa"/>
            <w:vAlign w:val="bottom"/>
          </w:tcPr>
          <w:p>
            <w:pPr>
              <w:spacing w:after="0"/>
              <w:rPr>
                <w:sz w:val="19"/>
                <w:szCs w:val="19"/>
                <w:color w:val="auto"/>
              </w:rPr>
            </w:pPr>
          </w:p>
        </w:tc>
        <w:tc>
          <w:tcPr>
            <w:tcW w:w="17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6"/>
        </w:trPr>
        <w:tc>
          <w:tcPr>
            <w:tcW w:w="526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Decreases for tax positions related to prior years</w:t>
            </w:r>
          </w:p>
        </w:tc>
        <w:tc>
          <w:tcPr>
            <w:tcW w:w="460" w:type="dxa"/>
            <w:vAlign w:val="bottom"/>
          </w:tcPr>
          <w:p>
            <w:pPr>
              <w:spacing w:after="0"/>
              <w:rPr>
                <w:sz w:val="19"/>
                <w:szCs w:val="19"/>
                <w:color w:val="auto"/>
              </w:rPr>
            </w:pPr>
          </w:p>
        </w:tc>
        <w:tc>
          <w:tcPr>
            <w:tcW w:w="17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(464)</w:t>
            </w:r>
          </w:p>
        </w:tc>
        <w:tc>
          <w:tcPr>
            <w:tcW w:w="0" w:type="dxa"/>
            <w:vAlign w:val="bottom"/>
          </w:tcPr>
          <w:p>
            <w:pPr>
              <w:spacing w:after="0"/>
              <w:rPr>
                <w:sz w:val="1"/>
                <w:szCs w:val="1"/>
                <w:color w:val="auto"/>
              </w:rPr>
            </w:pPr>
          </w:p>
        </w:tc>
      </w:tr>
      <w:tr>
        <w:trPr>
          <w:trHeight w:val="27"/>
        </w:trPr>
        <w:tc>
          <w:tcPr>
            <w:tcW w:w="52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2015</w:t>
            </w:r>
          </w:p>
        </w:tc>
        <w:tc>
          <w:tcPr>
            <w:tcW w:w="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60" w:type="dxa"/>
            <w:vAlign w:val="bottom"/>
            <w:vMerge w:val="continue"/>
          </w:tcPr>
          <w:p>
            <w:pPr>
              <w:spacing w:after="0"/>
              <w:rPr>
                <w:sz w:val="19"/>
                <w:szCs w:val="19"/>
                <w:color w:val="auto"/>
              </w:rPr>
            </w:pPr>
          </w:p>
        </w:tc>
        <w:tc>
          <w:tcPr>
            <w:tcW w:w="460" w:type="dxa"/>
            <w:vAlign w:val="bottom"/>
            <w:tcBorders>
              <w:bottom w:val="single" w:sz="8" w:color="auto"/>
            </w:tcBorders>
          </w:tcPr>
          <w:p>
            <w:pPr>
              <w:jc w:val="right"/>
              <w:ind w:right="1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70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471</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line="228" w:lineRule="exact"/>
              <w:rPr>
                <w:sz w:val="20"/>
                <w:szCs w:val="20"/>
                <w:color w:val="auto"/>
              </w:rPr>
            </w:pPr>
            <w:r>
              <w:rPr>
                <w:rFonts w:ascii="Times New Roman" w:cs="Times New Roman" w:eastAsia="Times New Roman" w:hAnsi="Times New Roman"/>
                <w:sz w:val="20"/>
                <w:szCs w:val="20"/>
                <w:color w:val="auto"/>
              </w:rPr>
              <w:t>Additions for tax positions related to the current year</w:t>
            </w:r>
          </w:p>
        </w:tc>
        <w:tc>
          <w:tcPr>
            <w:tcW w:w="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26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700" w:type="dxa"/>
            <w:vAlign w:val="bottom"/>
          </w:tcPr>
          <w:p>
            <w:pPr>
              <w:jc w:val="right"/>
              <w:ind w:right="21"/>
              <w:spacing w:after="0" w:line="187"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Additions for tax positions related to the prior year</w:t>
            </w:r>
          </w:p>
        </w:tc>
        <w:tc>
          <w:tcPr>
            <w:tcW w:w="460" w:type="dxa"/>
            <w:vAlign w:val="bottom"/>
          </w:tcPr>
          <w:p>
            <w:pPr>
              <w:spacing w:after="0"/>
              <w:rPr>
                <w:sz w:val="19"/>
                <w:szCs w:val="19"/>
                <w:color w:val="auto"/>
              </w:rPr>
            </w:pPr>
          </w:p>
        </w:tc>
        <w:tc>
          <w:tcPr>
            <w:tcW w:w="17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6"/>
        </w:trPr>
        <w:tc>
          <w:tcPr>
            <w:tcW w:w="526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Decreases for tax positions related to prior years</w:t>
            </w:r>
          </w:p>
        </w:tc>
        <w:tc>
          <w:tcPr>
            <w:tcW w:w="460" w:type="dxa"/>
            <w:vAlign w:val="bottom"/>
          </w:tcPr>
          <w:p>
            <w:pPr>
              <w:spacing w:after="0"/>
              <w:rPr>
                <w:sz w:val="19"/>
                <w:szCs w:val="19"/>
                <w:color w:val="auto"/>
              </w:rPr>
            </w:pPr>
          </w:p>
        </w:tc>
        <w:tc>
          <w:tcPr>
            <w:tcW w:w="17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(462)</w:t>
            </w:r>
          </w:p>
        </w:tc>
        <w:tc>
          <w:tcPr>
            <w:tcW w:w="0" w:type="dxa"/>
            <w:vAlign w:val="bottom"/>
          </w:tcPr>
          <w:p>
            <w:pPr>
              <w:spacing w:after="0"/>
              <w:rPr>
                <w:sz w:val="1"/>
                <w:szCs w:val="1"/>
                <w:color w:val="auto"/>
              </w:rPr>
            </w:pPr>
          </w:p>
        </w:tc>
      </w:tr>
      <w:tr>
        <w:trPr>
          <w:trHeight w:val="27"/>
        </w:trPr>
        <w:tc>
          <w:tcPr>
            <w:tcW w:w="52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2016</w:t>
            </w:r>
          </w:p>
        </w:tc>
        <w:tc>
          <w:tcPr>
            <w:tcW w:w="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60" w:type="dxa"/>
            <w:vAlign w:val="bottom"/>
            <w:vMerge w:val="continue"/>
          </w:tcPr>
          <w:p>
            <w:pPr>
              <w:spacing w:after="0"/>
              <w:rPr>
                <w:sz w:val="19"/>
                <w:szCs w:val="19"/>
                <w:color w:val="auto"/>
              </w:rPr>
            </w:pPr>
          </w:p>
        </w:tc>
        <w:tc>
          <w:tcPr>
            <w:tcW w:w="460" w:type="dxa"/>
            <w:vAlign w:val="bottom"/>
            <w:tcBorders>
              <w:bottom w:val="single" w:sz="8" w:color="auto"/>
            </w:tcBorders>
          </w:tcPr>
          <w:p>
            <w:pPr>
              <w:jc w:val="right"/>
              <w:ind w:right="1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70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 recognizes accrued interest and penalties related to unrecognized tax benefits in the provision for income taxes in the Company’s consolidated financial statements. As of December 31, 2016, the Company had accrued approximately $0.1 million in interest and penalties related to unrecognized tax benefits. If the Company were to prevail on all uncertain tax positions it would not have a significant impact on the Company’s effective tax rate.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It is expected that the amount of unrecognized tax benefit change within the next 12 months will not be significant.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is subject to U.S. federal income tax as well as to income tax in multiple state and foreign jurisdictions.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October 2016, the Internal Revenue Service (the “IRS”) began its examination of the Company’s U.S. federal income tax returns for the year ended December 31, 2014. In August 2015, the IRS began its examination of the Company’s U.S. federal income tax returns for the years ended December 31, 2012 and 2013.</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is in various stages of examination with certain states and certain foreign jurisdictions. The 2012, 2013, 2014 and 2015 U.S. federal income tax returns are subject to examination by the IRS. State income tax returns are subject to examination for the 2012 through 2015 tax years.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420"/>
          </w:cols>
          <w:pgMar w:left="240" w:top="116" w:right="239" w:bottom="0" w:gutter="0" w:footer="0" w:header="0"/>
        </w:sectPr>
      </w:pPr>
    </w:p>
    <w:p>
      <w:pPr>
        <w:spacing w:after="0" w:line="239" w:lineRule="exact"/>
        <w:rPr>
          <w:sz w:val="20"/>
          <w:szCs w:val="20"/>
          <w:color w:val="auto"/>
        </w:rPr>
      </w:pPr>
    </w:p>
    <w:p>
      <w:pPr>
        <w:ind w:right="5260"/>
        <w:spacing w:after="0" w:line="286"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w:t>
      </w:r>
    </w:p>
    <w:p>
      <w:pPr>
        <w:sectPr>
          <w:pgSz w:w="11900" w:h="16838" w:orient="portrait"/>
          <w:cols w:equalWidth="0" w:num="1">
            <w:col w:w="11420"/>
          </w:cols>
          <w:pgMar w:left="240" w:top="116" w:right="239" w:bottom="0" w:gutter="0" w:footer="0" w:header="0"/>
          <w:type w:val="continuous"/>
        </w:sectPr>
      </w:pPr>
    </w:p>
    <w:bookmarkStart w:id="73" w:name="page74"/>
    <w:bookmarkEnd w:id="73"/>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9" w:lineRule="exact"/>
        <w:rPr>
          <w:sz w:val="20"/>
          <w:szCs w:val="20"/>
          <w:color w:val="auto"/>
        </w:rPr>
      </w:pPr>
    </w:p>
    <w:p>
      <w:pPr>
        <w:ind w:left="640" w:hanging="632"/>
        <w:spacing w:after="0"/>
        <w:tabs>
          <w:tab w:leader="none" w:pos="6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EARNINGS PER SHARE</w:t>
      </w:r>
    </w:p>
    <w:p>
      <w:pPr>
        <w:spacing w:after="0" w:line="229"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A reconciliation of the weighted average shares used in the basic and diluted earnings per common share computations for the years ended December 31, 2016, 2015 and 2014 is presented below (in thousands):</w:t>
      </w:r>
    </w:p>
    <w:p>
      <w:pPr>
        <w:spacing w:after="0" w:line="173" w:lineRule="exact"/>
        <w:rPr>
          <w:sz w:val="20"/>
          <w:szCs w:val="20"/>
          <w:color w:val="auto"/>
        </w:rPr>
      </w:pPr>
    </w:p>
    <w:tbl>
      <w:tblPr>
        <w:tblLayout w:type="fixed"/>
        <w:tblInd w:w="660" w:type="dxa"/>
        <w:tblCellMar>
          <w:top w:w="0" w:type="dxa"/>
          <w:left w:w="0" w:type="dxa"/>
          <w:bottom w:w="0" w:type="dxa"/>
          <w:right w:w="0" w:type="dxa"/>
        </w:tblCellMar>
      </w:tblPr>
      <w:tr>
        <w:trPr>
          <w:trHeight w:val="252"/>
        </w:trPr>
        <w:tc>
          <w:tcPr>
            <w:tcW w:w="5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Weighted-average shares outstanding:</w:t>
            </w:r>
          </w:p>
        </w:tc>
        <w:tc>
          <w:tcPr>
            <w:tcW w:w="13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2016</w:t>
            </w:r>
          </w:p>
        </w:tc>
        <w:tc>
          <w:tcPr>
            <w:tcW w:w="300" w:type="dxa"/>
            <w:vAlign w:val="bottom"/>
          </w:tcPr>
          <w:p>
            <w:pPr>
              <w:spacing w:after="0"/>
              <w:rPr>
                <w:sz w:val="21"/>
                <w:szCs w:val="21"/>
                <w:color w:val="auto"/>
              </w:rPr>
            </w:pPr>
          </w:p>
        </w:tc>
        <w:tc>
          <w:tcPr>
            <w:tcW w:w="13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2015</w:t>
            </w:r>
          </w:p>
        </w:tc>
        <w:tc>
          <w:tcPr>
            <w:tcW w:w="280" w:type="dxa"/>
            <w:vAlign w:val="bottom"/>
          </w:tcPr>
          <w:p>
            <w:pPr>
              <w:spacing w:after="0"/>
              <w:rPr>
                <w:sz w:val="21"/>
                <w:szCs w:val="21"/>
                <w:color w:val="auto"/>
              </w:rPr>
            </w:pPr>
          </w:p>
        </w:tc>
        <w:tc>
          <w:tcPr>
            <w:tcW w:w="13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2014</w:t>
            </w:r>
          </w:p>
        </w:tc>
        <w:tc>
          <w:tcPr>
            <w:tcW w:w="0" w:type="dxa"/>
            <w:vAlign w:val="bottom"/>
          </w:tcPr>
          <w:p>
            <w:pPr>
              <w:spacing w:after="0"/>
              <w:rPr>
                <w:sz w:val="1"/>
                <w:szCs w:val="1"/>
                <w:color w:val="auto"/>
              </w:rPr>
            </w:pPr>
          </w:p>
        </w:tc>
      </w:tr>
      <w:tr>
        <w:trPr>
          <w:trHeight w:val="187"/>
        </w:trPr>
        <w:tc>
          <w:tcPr>
            <w:tcW w:w="584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Basic</w:t>
            </w: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587,874</w:t>
            </w:r>
          </w:p>
        </w:tc>
        <w:tc>
          <w:tcPr>
            <w:tcW w:w="30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566,448</w:t>
            </w:r>
          </w:p>
        </w:tc>
        <w:tc>
          <w:tcPr>
            <w:tcW w:w="28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501,771</w:t>
            </w:r>
          </w:p>
        </w:tc>
        <w:tc>
          <w:tcPr>
            <w:tcW w:w="0" w:type="dxa"/>
            <w:vAlign w:val="bottom"/>
          </w:tcPr>
          <w:p>
            <w:pPr>
              <w:spacing w:after="0"/>
              <w:rPr>
                <w:sz w:val="1"/>
                <w:szCs w:val="1"/>
                <w:color w:val="auto"/>
              </w:rPr>
            </w:pPr>
          </w:p>
        </w:tc>
      </w:tr>
      <w:tr>
        <w:trPr>
          <w:trHeight w:val="230"/>
        </w:trPr>
        <w:tc>
          <w:tcPr>
            <w:tcW w:w="584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Dilutive securities</w:t>
            </w: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11,945</w:t>
            </w:r>
          </w:p>
        </w:tc>
        <w:tc>
          <w:tcPr>
            <w:tcW w:w="30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11,310</w:t>
            </w:r>
          </w:p>
        </w:tc>
        <w:tc>
          <w:tcPr>
            <w:tcW w:w="28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21,084</w:t>
            </w:r>
          </w:p>
        </w:tc>
        <w:tc>
          <w:tcPr>
            <w:tcW w:w="0" w:type="dxa"/>
            <w:vAlign w:val="bottom"/>
          </w:tcPr>
          <w:p>
            <w:pPr>
              <w:spacing w:after="0"/>
              <w:rPr>
                <w:sz w:val="1"/>
                <w:szCs w:val="1"/>
                <w:color w:val="auto"/>
              </w:rPr>
            </w:pPr>
          </w:p>
        </w:tc>
      </w:tr>
      <w:tr>
        <w:trPr>
          <w:trHeight w:val="23"/>
        </w:trPr>
        <w:tc>
          <w:tcPr>
            <w:tcW w:w="5840" w:type="dxa"/>
            <w:vAlign w:val="bottom"/>
            <w:vMerge w:val="restart"/>
          </w:tcPr>
          <w:p>
            <w:pPr>
              <w:ind w:left="960"/>
              <w:spacing w:after="0"/>
              <w:rPr>
                <w:sz w:val="20"/>
                <w:szCs w:val="20"/>
                <w:color w:val="auto"/>
              </w:rPr>
            </w:pPr>
            <w:r>
              <w:rPr>
                <w:rFonts w:ascii="Times New Roman" w:cs="Times New Roman" w:eastAsia="Times New Roman" w:hAnsi="Times New Roman"/>
                <w:sz w:val="20"/>
                <w:szCs w:val="20"/>
                <w:color w:val="auto"/>
              </w:rPr>
              <w:t>Diluted</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136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599,819</w:t>
            </w:r>
          </w:p>
        </w:tc>
        <w:tc>
          <w:tcPr>
            <w:tcW w:w="300" w:type="dxa"/>
            <w:vAlign w:val="bottom"/>
          </w:tcPr>
          <w:p>
            <w:pPr>
              <w:spacing w:after="0"/>
              <w:rPr>
                <w:sz w:val="19"/>
                <w:szCs w:val="19"/>
                <w:color w:val="auto"/>
              </w:rPr>
            </w:pPr>
          </w:p>
        </w:tc>
        <w:tc>
          <w:tcPr>
            <w:tcW w:w="136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577,758</w:t>
            </w:r>
          </w:p>
        </w:tc>
        <w:tc>
          <w:tcPr>
            <w:tcW w:w="280" w:type="dxa"/>
            <w:vAlign w:val="bottom"/>
          </w:tcPr>
          <w:p>
            <w:pPr>
              <w:spacing w:after="0"/>
              <w:rPr>
                <w:sz w:val="19"/>
                <w:szCs w:val="19"/>
                <w:color w:val="auto"/>
              </w:rPr>
            </w:pPr>
          </w:p>
        </w:tc>
        <w:tc>
          <w:tcPr>
            <w:tcW w:w="134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522,855</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For the years ended December 31, 2016, 2015 and 2014, options and awards outstanding totaling 5.7 million shares, 3.0 million shares and 2.1 million shares, respectively, were excluded from the calculations as their effect would have been antidilutive.</w:t>
      </w:r>
    </w:p>
    <w:p>
      <w:pPr>
        <w:spacing w:after="0" w:line="173" w:lineRule="exact"/>
        <w:rPr>
          <w:sz w:val="20"/>
          <w:szCs w:val="20"/>
          <w:color w:val="auto"/>
        </w:rPr>
      </w:pPr>
    </w:p>
    <w:p>
      <w:pPr>
        <w:ind w:left="640" w:hanging="632"/>
        <w:spacing w:after="0"/>
        <w:tabs>
          <w:tab w:leader="none" w:pos="64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BENEFIT PLAN</w:t>
      </w:r>
    </w:p>
    <w:p>
      <w:pPr>
        <w:spacing w:after="0" w:line="22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Employees of the Company may participate in the Monster Beverage Corporation 401(k) Plan, a defined contribution plan, which qualifies under Section 401(k) of the Internal Revenue Code. Participating employees may contribute up to 15% of their pretax salary up to statutory limits. The Company contributes 50% of the employee contribution, up to 6% of each employee’s earnings, which vest 25% each year for four years after the first anniversary date. Matching contributions were $2.0 million, $0.7 million and $0.6 million for the years ended December 31, 2016, 2015 and 2014, respectively.</w:t>
      </w:r>
    </w:p>
    <w:p>
      <w:pPr>
        <w:spacing w:after="0" w:line="194" w:lineRule="exact"/>
        <w:rPr>
          <w:sz w:val="20"/>
          <w:szCs w:val="20"/>
          <w:color w:val="auto"/>
        </w:rPr>
      </w:pPr>
    </w:p>
    <w:p>
      <w:pPr>
        <w:ind w:left="640" w:hanging="632"/>
        <w:spacing w:after="0"/>
        <w:tabs>
          <w:tab w:leader="none" w:pos="6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SEGMENT INFORMATION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During the second quarter of 2016, the Company renamed and revised its reportable segments to reflect management’s current view of the business and to align its external financial reporting with its operating and internal financial model. Historical segment information has been revised to reflect the effect of this change.</w:t>
      </w:r>
    </w:p>
    <w:p>
      <w:pPr>
        <w:spacing w:after="0" w:line="188" w:lineRule="exact"/>
        <w:rPr>
          <w:sz w:val="20"/>
          <w:szCs w:val="20"/>
          <w:color w:val="auto"/>
        </w:rPr>
      </w:pPr>
    </w:p>
    <w:p>
      <w:pPr>
        <w:jc w:val="both"/>
        <w:ind w:right="20" w:firstLine="648"/>
        <w:spacing w:after="0" w:line="264" w:lineRule="auto"/>
        <w:rPr>
          <w:sz w:val="20"/>
          <w:szCs w:val="20"/>
          <w:color w:val="auto"/>
        </w:rPr>
      </w:pPr>
      <w:r>
        <w:rPr>
          <w:rFonts w:ascii="Times New Roman" w:cs="Times New Roman" w:eastAsia="Times New Roman" w:hAnsi="Times New Roman"/>
          <w:sz w:val="19"/>
          <w:szCs w:val="19"/>
          <w:color w:val="auto"/>
        </w:rPr>
        <w:t>The Company has three operating and reportable segments, (i) Monster Energy® Drinks segment (“Monster Energy® Drinks”), which is comprised of the Company’s Monster Energy® drinks (previously the Finished Products segment) as well as Mutant® Super Soda drinks,</w:t>
      </w:r>
    </w:p>
    <w:p>
      <w:pPr>
        <w:spacing w:after="0" w:line="1" w:lineRule="exact"/>
        <w:rPr>
          <w:sz w:val="20"/>
          <w:szCs w:val="20"/>
          <w:color w:val="auto"/>
        </w:rPr>
      </w:pPr>
    </w:p>
    <w:p>
      <w:pPr>
        <w:jc w:val="both"/>
        <w:ind w:firstLine="8"/>
        <w:spacing w:after="0" w:line="241" w:lineRule="auto"/>
        <w:tabs>
          <w:tab w:leader="none" w:pos="292"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Strategic Brands segment (“Strategic Brands”), which include the various energy drink brands acquired from TCCC as a result of the TCCC Transaction (previously the Concentrate segment) and (iii) Other segment (“Other”), the principal products of which include the non-energy brands disposed of as a result of the TCCC Transaction as well as certain products acquired as part of the AFF Transaction that are sold to independent third-parties.</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Company’s Monster Energy® Drinks segment generates net operating revenues by selling ready-to-drink packaged drinks primarily to bottlers and full service beverage distributors. In some cases, the Company sells directly to retail grocery and specialty chains, wholesalers, club stores, mass merchandisers, convenience chains, food service customers and the military.</w:t>
      </w:r>
    </w:p>
    <w:p>
      <w:pPr>
        <w:spacing w:after="0" w:line="188" w:lineRule="exact"/>
        <w:rPr>
          <w:sz w:val="20"/>
          <w:szCs w:val="20"/>
          <w:color w:val="auto"/>
        </w:rPr>
      </w:pPr>
    </w:p>
    <w:p>
      <w:pPr>
        <w:jc w:val="both"/>
        <w:ind w:firstLine="688"/>
        <w:spacing w:after="0" w:line="274" w:lineRule="auto"/>
        <w:rPr>
          <w:sz w:val="20"/>
          <w:szCs w:val="20"/>
          <w:color w:val="auto"/>
        </w:rPr>
      </w:pPr>
      <w:r>
        <w:rPr>
          <w:rFonts w:ascii="Times New Roman" w:cs="Times New Roman" w:eastAsia="Times New Roman" w:hAnsi="Times New Roman"/>
          <w:sz w:val="19"/>
          <w:szCs w:val="19"/>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6"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sold to other bottlers, full service distributors or retailers, including, retail grocery and specialty chains, wholesalers, club stores, mass merchandisers, convenience chains, food service customers, drug stores and the military. To a lesser extent, the Company’s Strategic Brands segment generates net operating revenues by selling ready-to-drink packaged energy drinks to bottlers and full service beverage distributors.</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Generally, the Monster Energy® Drinks segment generates higher per case net operating revenues, but lower per case gross profit margins than the Strategic Brands segment.</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Corporate and unallocated amounts that do not relate to a reportable segment have been allocated to “Corporate &amp; Unallocated.” No asset information, other than goodwill and other intangible assets, has been provided for in the Company’s reportable segments as management does not measure or allocate such assets on a segment basis.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net revenues derived from the Company’s reportable segments and other financial information related thereto for the years ended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2016, 2015 and 2014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sales:</w:t>
            </w:r>
          </w:p>
        </w:tc>
        <w:tc>
          <w:tcPr>
            <w:tcW w:w="134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color w:val="auto"/>
              </w:rPr>
              <w:t>2016</w:t>
            </w:r>
          </w:p>
        </w:tc>
        <w:tc>
          <w:tcPr>
            <w:tcW w:w="30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2015</w:t>
            </w:r>
          </w:p>
        </w:tc>
        <w:tc>
          <w:tcPr>
            <w:tcW w:w="30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2014</w:t>
            </w:r>
          </w:p>
        </w:tc>
        <w:tc>
          <w:tcPr>
            <w:tcW w:w="0" w:type="dxa"/>
            <w:vAlign w:val="bottom"/>
          </w:tcPr>
          <w:p>
            <w:pPr>
              <w:spacing w:after="0"/>
              <w:rPr>
                <w:sz w:val="1"/>
                <w:szCs w:val="1"/>
                <w:color w:val="auto"/>
              </w:rPr>
            </w:pPr>
          </w:p>
        </w:tc>
      </w:tr>
      <w:tr>
        <w:trPr>
          <w:trHeight w:val="187"/>
        </w:trPr>
        <w:tc>
          <w:tcPr>
            <w:tcW w:w="4360" w:type="dxa"/>
            <w:vAlign w:val="bottom"/>
            <w:vMerge w:val="continue"/>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Monster Energy® Drinks</w:t>
            </w:r>
            <w:r>
              <w:rPr>
                <w:rFonts w:ascii="Times New Roman" w:cs="Times New Roman" w:eastAsia="Times New Roman" w:hAnsi="Times New Roman"/>
                <w:sz w:val="12"/>
                <w:szCs w:val="12"/>
                <w:color w:val="auto"/>
              </w:rPr>
              <w:t>(1)</w:t>
            </w: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   2,759,862</w:t>
            </w:r>
          </w:p>
        </w:tc>
        <w:tc>
          <w:tcPr>
            <w:tcW w:w="300" w:type="dxa"/>
            <w:vAlign w:val="bottom"/>
          </w:tcPr>
          <w:p>
            <w:pPr>
              <w:spacing w:after="0"/>
              <w:rPr>
                <w:sz w:val="22"/>
                <w:szCs w:val="22"/>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   2,518,505</w:t>
            </w:r>
          </w:p>
        </w:tc>
        <w:tc>
          <w:tcPr>
            <w:tcW w:w="300" w:type="dxa"/>
            <w:vAlign w:val="bottom"/>
          </w:tcPr>
          <w:p>
            <w:pPr>
              <w:spacing w:after="0"/>
              <w:rPr>
                <w:sz w:val="22"/>
                <w:szCs w:val="22"/>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   2,314,492</w:t>
            </w:r>
          </w:p>
        </w:tc>
        <w:tc>
          <w:tcPr>
            <w:tcW w:w="0" w:type="dxa"/>
            <w:vAlign w:val="bottom"/>
          </w:tcPr>
          <w:p>
            <w:pPr>
              <w:spacing w:after="0"/>
              <w:rPr>
                <w:sz w:val="1"/>
                <w:szCs w:val="1"/>
                <w:color w:val="auto"/>
              </w:rPr>
            </w:pPr>
          </w:p>
        </w:tc>
      </w:tr>
    </w:tbl>
    <w:p>
      <w:pPr>
        <w:sectPr>
          <w:pgSz w:w="11900" w:h="16876" w:orient="portrait"/>
          <w:cols w:equalWidth="0" w:num="1">
            <w:col w:w="11420"/>
          </w:cols>
          <w:pgMar w:left="240" w:top="108" w:right="239" w:bottom="0" w:gutter="0" w:footer="0" w:header="0"/>
        </w:sectPr>
      </w:pPr>
    </w:p>
    <w:bookmarkStart w:id="74" w:name="page75"/>
    <w:bookmarkEnd w:id="74"/>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Strategic Brands</w:t>
            </w:r>
          </w:p>
        </w:tc>
        <w:tc>
          <w:tcPr>
            <w:tcW w:w="3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272,520</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143,282</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4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w:t>
            </w:r>
          </w:p>
        </w:tc>
        <w:tc>
          <w:tcPr>
            <w:tcW w:w="3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17,011</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60,777</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150,375</w:t>
            </w:r>
          </w:p>
        </w:tc>
        <w:tc>
          <w:tcPr>
            <w:tcW w:w="0" w:type="dxa"/>
            <w:vAlign w:val="bottom"/>
          </w:tcPr>
          <w:p>
            <w:pPr>
              <w:spacing w:after="0"/>
              <w:rPr>
                <w:sz w:val="1"/>
                <w:szCs w:val="1"/>
                <w:color w:val="auto"/>
              </w:rPr>
            </w:pPr>
          </w:p>
        </w:tc>
      </w:tr>
      <w:tr>
        <w:trPr>
          <w:trHeight w:val="252"/>
        </w:trPr>
        <w:tc>
          <w:tcPr>
            <w:tcW w:w="4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Corporate and unallocated</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32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3,049,393</w:t>
            </w:r>
          </w:p>
        </w:tc>
        <w:tc>
          <w:tcPr>
            <w:tcW w:w="300" w:type="dxa"/>
            <w:vAlign w:val="bottom"/>
          </w:tcPr>
          <w:p>
            <w:pPr>
              <w:spacing w:after="0"/>
              <w:rPr>
                <w:sz w:val="19"/>
                <w:szCs w:val="19"/>
                <w:color w:val="auto"/>
              </w:rPr>
            </w:pPr>
          </w:p>
        </w:tc>
        <w:tc>
          <w:tcPr>
            <w:tcW w:w="34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2,722,564</w:t>
            </w:r>
          </w:p>
        </w:tc>
        <w:tc>
          <w:tcPr>
            <w:tcW w:w="30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2,464,867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3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Operating Income: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61"/>
              <w:spacing w:after="0" w:line="223" w:lineRule="exact"/>
              <w:rPr>
                <w:sz w:val="20"/>
                <w:szCs w:val="20"/>
                <w:color w:val="auto"/>
              </w:rPr>
            </w:pPr>
            <w:r>
              <w:rPr>
                <w:rFonts w:ascii="Times New Roman" w:cs="Times New Roman" w:eastAsia="Times New Roman" w:hAnsi="Times New Roman"/>
                <w:sz w:val="20"/>
                <w:szCs w:val="20"/>
                <w:color w:val="auto"/>
              </w:rPr>
              <w:t>2016</w:t>
            </w:r>
          </w:p>
        </w:tc>
        <w:tc>
          <w:tcPr>
            <w:tcW w:w="3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81"/>
              <w:spacing w:after="0" w:line="223" w:lineRule="exact"/>
              <w:rPr>
                <w:sz w:val="20"/>
                <w:szCs w:val="20"/>
                <w:color w:val="auto"/>
              </w:rPr>
            </w:pPr>
            <w:r>
              <w:rPr>
                <w:rFonts w:ascii="Times New Roman" w:cs="Times New Roman" w:eastAsia="Times New Roman" w:hAnsi="Times New Roman"/>
                <w:sz w:val="20"/>
                <w:szCs w:val="20"/>
                <w:color w:val="auto"/>
              </w:rPr>
              <w:t>2015</w:t>
            </w:r>
          </w:p>
        </w:tc>
        <w:tc>
          <w:tcPr>
            <w:tcW w:w="3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81"/>
              <w:spacing w:after="0" w:line="223" w:lineRule="exact"/>
              <w:rPr>
                <w:sz w:val="20"/>
                <w:szCs w:val="20"/>
                <w:color w:val="auto"/>
              </w:rPr>
            </w:pPr>
            <w:r>
              <w:rPr>
                <w:rFonts w:ascii="Times New Roman" w:cs="Times New Roman" w:eastAsia="Times New Roman" w:hAnsi="Times New Roman"/>
                <w:sz w:val="20"/>
                <w:szCs w:val="20"/>
                <w:color w:val="auto"/>
              </w:rPr>
              <w:t>2014</w:t>
            </w:r>
          </w:p>
        </w:tc>
        <w:tc>
          <w:tcPr>
            <w:tcW w:w="0" w:type="dxa"/>
            <w:vAlign w:val="bottom"/>
          </w:tcPr>
          <w:p>
            <w:pPr>
              <w:spacing w:after="0"/>
              <w:rPr>
                <w:sz w:val="1"/>
                <w:szCs w:val="1"/>
                <w:color w:val="auto"/>
              </w:rPr>
            </w:pPr>
          </w:p>
        </w:tc>
      </w:tr>
      <w:tr>
        <w:trPr>
          <w:trHeight w:val="187"/>
        </w:trPr>
        <w:tc>
          <w:tcPr>
            <w:tcW w:w="43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Monster Energy® Drinks</w:t>
            </w:r>
            <w:r>
              <w:rPr>
                <w:rFonts w:ascii="Times New Roman" w:cs="Times New Roman" w:eastAsia="Times New Roman" w:hAnsi="Times New Roman"/>
                <w:sz w:val="12"/>
                <w:szCs w:val="12"/>
                <w:color w:val="auto"/>
              </w:rPr>
              <w:t>(1) (2)</w:t>
            </w:r>
          </w:p>
        </w:tc>
        <w:tc>
          <w:tcPr>
            <w:tcW w:w="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1,148,427</w:t>
            </w:r>
          </w:p>
        </w:tc>
        <w:tc>
          <w:tcPr>
            <w:tcW w:w="300" w:type="dxa"/>
            <w:vAlign w:val="bottom"/>
          </w:tcPr>
          <w:p>
            <w:pPr>
              <w:spacing w:after="0"/>
              <w:rPr>
                <w:sz w:val="19"/>
                <w:szCs w:val="19"/>
                <w:color w:val="auto"/>
              </w:rPr>
            </w:pPr>
          </w:p>
        </w:tc>
        <w:tc>
          <w:tcPr>
            <w:tcW w:w="3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836,053</w:t>
            </w:r>
          </w:p>
        </w:tc>
        <w:tc>
          <w:tcPr>
            <w:tcW w:w="300" w:type="dxa"/>
            <w:vAlign w:val="bottom"/>
          </w:tcPr>
          <w:p>
            <w:pPr>
              <w:spacing w:after="0"/>
              <w:rPr>
                <w:sz w:val="19"/>
                <w:szCs w:val="19"/>
                <w:color w:val="auto"/>
              </w:rPr>
            </w:pP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904,224</w:t>
            </w:r>
          </w:p>
        </w:tc>
        <w:tc>
          <w:tcPr>
            <w:tcW w:w="0" w:type="dxa"/>
            <w:vAlign w:val="bottom"/>
          </w:tcPr>
          <w:p>
            <w:pPr>
              <w:spacing w:after="0"/>
              <w:rPr>
                <w:sz w:val="1"/>
                <w:szCs w:val="1"/>
                <w:color w:val="auto"/>
              </w:rPr>
            </w:pPr>
          </w:p>
        </w:tc>
      </w:tr>
      <w:tr>
        <w:trPr>
          <w:trHeight w:val="230"/>
        </w:trPr>
        <w:tc>
          <w:tcPr>
            <w:tcW w:w="4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Strategic Brands</w:t>
            </w:r>
          </w:p>
        </w:tc>
        <w:tc>
          <w:tcPr>
            <w:tcW w:w="3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163,121</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89,841</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4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w:t>
            </w:r>
            <w:r>
              <w:rPr>
                <w:rFonts w:ascii="Times New Roman" w:cs="Times New Roman" w:eastAsia="Times New Roman" w:hAnsi="Times New Roman"/>
                <w:sz w:val="12"/>
                <w:szCs w:val="12"/>
                <w:color w:val="auto"/>
              </w:rPr>
              <w:t>(3)</w:t>
            </w:r>
          </w:p>
        </w:tc>
        <w:tc>
          <w:tcPr>
            <w:tcW w:w="3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2,295</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165,233</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7,560</w:t>
            </w:r>
          </w:p>
        </w:tc>
        <w:tc>
          <w:tcPr>
            <w:tcW w:w="0" w:type="dxa"/>
            <w:vAlign w:val="bottom"/>
          </w:tcPr>
          <w:p>
            <w:pPr>
              <w:spacing w:after="0"/>
              <w:rPr>
                <w:sz w:val="1"/>
                <w:szCs w:val="1"/>
                <w:color w:val="auto"/>
              </w:rPr>
            </w:pPr>
          </w:p>
        </w:tc>
      </w:tr>
      <w:tr>
        <w:trPr>
          <w:trHeight w:val="252"/>
        </w:trPr>
        <w:tc>
          <w:tcPr>
            <w:tcW w:w="4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Corporate and unallocated</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(228,505)</w:t>
            </w: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(197,474)</w:t>
            </w: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(164,279)</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32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1,085,338</w:t>
            </w:r>
          </w:p>
        </w:tc>
        <w:tc>
          <w:tcPr>
            <w:tcW w:w="300" w:type="dxa"/>
            <w:vAlign w:val="bottom"/>
          </w:tcPr>
          <w:p>
            <w:pPr>
              <w:spacing w:after="0"/>
              <w:rPr>
                <w:sz w:val="19"/>
                <w:szCs w:val="19"/>
                <w:color w:val="auto"/>
              </w:rPr>
            </w:pPr>
          </w:p>
        </w:tc>
        <w:tc>
          <w:tcPr>
            <w:tcW w:w="34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893,653</w:t>
            </w:r>
          </w:p>
        </w:tc>
        <w:tc>
          <w:tcPr>
            <w:tcW w:w="30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747,505</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3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Income before tax:</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61"/>
              <w:spacing w:after="0" w:line="223" w:lineRule="exact"/>
              <w:rPr>
                <w:sz w:val="20"/>
                <w:szCs w:val="20"/>
                <w:color w:val="auto"/>
              </w:rPr>
            </w:pPr>
            <w:r>
              <w:rPr>
                <w:rFonts w:ascii="Times New Roman" w:cs="Times New Roman" w:eastAsia="Times New Roman" w:hAnsi="Times New Roman"/>
                <w:sz w:val="20"/>
                <w:szCs w:val="20"/>
                <w:color w:val="auto"/>
              </w:rPr>
              <w:t>2016</w:t>
            </w:r>
          </w:p>
        </w:tc>
        <w:tc>
          <w:tcPr>
            <w:tcW w:w="3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81"/>
              <w:spacing w:after="0" w:line="223" w:lineRule="exact"/>
              <w:rPr>
                <w:sz w:val="20"/>
                <w:szCs w:val="20"/>
                <w:color w:val="auto"/>
              </w:rPr>
            </w:pPr>
            <w:r>
              <w:rPr>
                <w:rFonts w:ascii="Times New Roman" w:cs="Times New Roman" w:eastAsia="Times New Roman" w:hAnsi="Times New Roman"/>
                <w:sz w:val="20"/>
                <w:szCs w:val="20"/>
                <w:color w:val="auto"/>
              </w:rPr>
              <w:t>2015</w:t>
            </w:r>
          </w:p>
        </w:tc>
        <w:tc>
          <w:tcPr>
            <w:tcW w:w="3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81"/>
              <w:spacing w:after="0" w:line="223" w:lineRule="exact"/>
              <w:rPr>
                <w:sz w:val="20"/>
                <w:szCs w:val="20"/>
                <w:color w:val="auto"/>
              </w:rPr>
            </w:pPr>
            <w:r>
              <w:rPr>
                <w:rFonts w:ascii="Times New Roman" w:cs="Times New Roman" w:eastAsia="Times New Roman" w:hAnsi="Times New Roman"/>
                <w:sz w:val="20"/>
                <w:szCs w:val="20"/>
                <w:color w:val="auto"/>
              </w:rPr>
              <w:t>2014</w:t>
            </w:r>
          </w:p>
        </w:tc>
        <w:tc>
          <w:tcPr>
            <w:tcW w:w="0" w:type="dxa"/>
            <w:vAlign w:val="bottom"/>
          </w:tcPr>
          <w:p>
            <w:pPr>
              <w:spacing w:after="0"/>
              <w:rPr>
                <w:sz w:val="1"/>
                <w:szCs w:val="1"/>
                <w:color w:val="auto"/>
              </w:rPr>
            </w:pPr>
          </w:p>
        </w:tc>
      </w:tr>
      <w:tr>
        <w:trPr>
          <w:trHeight w:val="187"/>
        </w:trPr>
        <w:tc>
          <w:tcPr>
            <w:tcW w:w="43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Monster Energy® Drinks</w:t>
            </w:r>
            <w:r>
              <w:rPr>
                <w:rFonts w:ascii="Times New Roman" w:cs="Times New Roman" w:eastAsia="Times New Roman" w:hAnsi="Times New Roman"/>
                <w:sz w:val="12"/>
                <w:szCs w:val="12"/>
                <w:color w:val="auto"/>
              </w:rPr>
              <w:t>(1) (2)</w:t>
            </w:r>
          </w:p>
        </w:tc>
        <w:tc>
          <w:tcPr>
            <w:tcW w:w="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1,148,640</w:t>
            </w:r>
          </w:p>
        </w:tc>
        <w:tc>
          <w:tcPr>
            <w:tcW w:w="300" w:type="dxa"/>
            <w:vAlign w:val="bottom"/>
          </w:tcPr>
          <w:p>
            <w:pPr>
              <w:spacing w:after="0"/>
              <w:rPr>
                <w:sz w:val="19"/>
                <w:szCs w:val="19"/>
                <w:color w:val="auto"/>
              </w:rPr>
            </w:pPr>
          </w:p>
        </w:tc>
        <w:tc>
          <w:tcPr>
            <w:tcW w:w="3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836,429</w:t>
            </w:r>
          </w:p>
        </w:tc>
        <w:tc>
          <w:tcPr>
            <w:tcW w:w="300" w:type="dxa"/>
            <w:vAlign w:val="bottom"/>
          </w:tcPr>
          <w:p>
            <w:pPr>
              <w:spacing w:after="0"/>
              <w:rPr>
                <w:sz w:val="19"/>
                <w:szCs w:val="19"/>
                <w:color w:val="auto"/>
              </w:rPr>
            </w:pP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904,888</w:t>
            </w:r>
          </w:p>
        </w:tc>
        <w:tc>
          <w:tcPr>
            <w:tcW w:w="0" w:type="dxa"/>
            <w:vAlign w:val="bottom"/>
          </w:tcPr>
          <w:p>
            <w:pPr>
              <w:spacing w:after="0"/>
              <w:rPr>
                <w:sz w:val="1"/>
                <w:szCs w:val="1"/>
                <w:color w:val="auto"/>
              </w:rPr>
            </w:pPr>
          </w:p>
        </w:tc>
      </w:tr>
      <w:tr>
        <w:trPr>
          <w:trHeight w:val="230"/>
        </w:trPr>
        <w:tc>
          <w:tcPr>
            <w:tcW w:w="4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Strategic Brands</w:t>
            </w:r>
          </w:p>
        </w:tc>
        <w:tc>
          <w:tcPr>
            <w:tcW w:w="3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163,084</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89,825</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4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w:t>
            </w:r>
            <w:r>
              <w:rPr>
                <w:rFonts w:ascii="Times New Roman" w:cs="Times New Roman" w:eastAsia="Times New Roman" w:hAnsi="Times New Roman"/>
                <w:sz w:val="12"/>
                <w:szCs w:val="12"/>
                <w:color w:val="auto"/>
              </w:rPr>
              <w:t>(3)</w:t>
            </w:r>
          </w:p>
        </w:tc>
        <w:tc>
          <w:tcPr>
            <w:tcW w:w="3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2,295</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165,233</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7,557</w:t>
            </w:r>
          </w:p>
        </w:tc>
        <w:tc>
          <w:tcPr>
            <w:tcW w:w="0" w:type="dxa"/>
            <w:vAlign w:val="bottom"/>
          </w:tcPr>
          <w:p>
            <w:pPr>
              <w:spacing w:after="0"/>
              <w:rPr>
                <w:sz w:val="1"/>
                <w:szCs w:val="1"/>
                <w:color w:val="auto"/>
              </w:rPr>
            </w:pPr>
          </w:p>
        </w:tc>
      </w:tr>
      <w:tr>
        <w:trPr>
          <w:trHeight w:val="252"/>
        </w:trPr>
        <w:tc>
          <w:tcPr>
            <w:tcW w:w="4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Corporate and unallocated</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(234,334)</w:t>
            </w: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(199,939)</w:t>
            </w: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(166,657)</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32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1,079,685</w:t>
            </w:r>
          </w:p>
        </w:tc>
        <w:tc>
          <w:tcPr>
            <w:tcW w:w="300" w:type="dxa"/>
            <w:vAlign w:val="bottom"/>
          </w:tcPr>
          <w:p>
            <w:pPr>
              <w:spacing w:after="0"/>
              <w:rPr>
                <w:sz w:val="19"/>
                <w:szCs w:val="19"/>
                <w:color w:val="auto"/>
              </w:rPr>
            </w:pPr>
          </w:p>
        </w:tc>
        <w:tc>
          <w:tcPr>
            <w:tcW w:w="34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891,548</w:t>
            </w:r>
          </w:p>
        </w:tc>
        <w:tc>
          <w:tcPr>
            <w:tcW w:w="30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745,788</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640" w:hanging="308"/>
        <w:spacing w:after="0"/>
        <w:tabs>
          <w:tab w:leader="none" w:pos="640" w:val="left"/>
        </w:tabs>
        <w:numPr>
          <w:ilvl w:val="0"/>
          <w:numId w:val="4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$40.3 million, $62.8 million and $15.0 million for the years ended December 31, 2016, 2015 and 2014, respectively, related to the recognition of deferred revenue.</w:t>
      </w:r>
    </w:p>
    <w:p>
      <w:pPr>
        <w:spacing w:after="0" w:line="136" w:lineRule="exact"/>
        <w:rPr>
          <w:rFonts w:ascii="Times New Roman" w:cs="Times New Roman" w:eastAsia="Times New Roman" w:hAnsi="Times New Roman"/>
          <w:sz w:val="14"/>
          <w:szCs w:val="14"/>
          <w:i w:val="1"/>
          <w:iCs w:val="1"/>
          <w:color w:val="auto"/>
        </w:rPr>
      </w:pPr>
    </w:p>
    <w:p>
      <w:pPr>
        <w:ind w:left="640" w:hanging="308"/>
        <w:spacing w:after="0"/>
        <w:tabs>
          <w:tab w:leader="none" w:pos="640" w:val="left"/>
        </w:tabs>
        <w:numPr>
          <w:ilvl w:val="0"/>
          <w:numId w:val="4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$79.8 million, $224.0 million and ($0.2) million for the years ended December 31, 2016, 2015 and 2014, respectively, related to distributor termination costs.</w:t>
      </w:r>
    </w:p>
    <w:p>
      <w:pPr>
        <w:spacing w:after="0" w:line="136" w:lineRule="exact"/>
        <w:rPr>
          <w:rFonts w:ascii="Times New Roman" w:cs="Times New Roman" w:eastAsia="Times New Roman" w:hAnsi="Times New Roman"/>
          <w:sz w:val="14"/>
          <w:szCs w:val="14"/>
          <w:i w:val="1"/>
          <w:iCs w:val="1"/>
          <w:color w:val="auto"/>
        </w:rPr>
      </w:pPr>
    </w:p>
    <w:p>
      <w:pPr>
        <w:ind w:left="640" w:hanging="308"/>
        <w:spacing w:after="0"/>
        <w:tabs>
          <w:tab w:leader="none" w:pos="640" w:val="left"/>
        </w:tabs>
        <w:numPr>
          <w:ilvl w:val="0"/>
          <w:numId w:val="4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$161.5 million gain on the sale of Monster Non-Energy for the year ended December 31, 2015.</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5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3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2016</w:t>
            </w:r>
          </w:p>
        </w:tc>
        <w:tc>
          <w:tcPr>
            <w:tcW w:w="28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2015</w:t>
            </w:r>
          </w:p>
        </w:tc>
        <w:tc>
          <w:tcPr>
            <w:tcW w:w="26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2014</w:t>
            </w:r>
          </w:p>
        </w:tc>
        <w:tc>
          <w:tcPr>
            <w:tcW w:w="0" w:type="dxa"/>
            <w:vAlign w:val="bottom"/>
          </w:tcPr>
          <w:p>
            <w:pPr>
              <w:spacing w:after="0"/>
              <w:rPr>
                <w:sz w:val="1"/>
                <w:szCs w:val="1"/>
                <w:color w:val="auto"/>
              </w:rPr>
            </w:pPr>
          </w:p>
        </w:tc>
      </w:tr>
      <w:tr>
        <w:trPr>
          <w:trHeight w:val="187"/>
        </w:trPr>
        <w:tc>
          <w:tcPr>
            <w:tcW w:w="35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Monster Energy® Drinks</w:t>
            </w: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24,048</w:t>
            </w:r>
          </w:p>
        </w:tc>
        <w:tc>
          <w:tcPr>
            <w:tcW w:w="280" w:type="dxa"/>
            <w:vAlign w:val="bottom"/>
          </w:tcPr>
          <w:p>
            <w:pPr>
              <w:spacing w:after="0"/>
              <w:rPr>
                <w:sz w:val="19"/>
                <w:szCs w:val="19"/>
                <w:color w:val="auto"/>
              </w:rPr>
            </w:pP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21,464</w:t>
            </w:r>
          </w:p>
        </w:tc>
        <w:tc>
          <w:tcPr>
            <w:tcW w:w="260" w:type="dxa"/>
            <w:vAlign w:val="bottom"/>
          </w:tcPr>
          <w:p>
            <w:pPr>
              <w:spacing w:after="0"/>
              <w:rPr>
                <w:sz w:val="19"/>
                <w:szCs w:val="19"/>
                <w:color w:val="auto"/>
              </w:rPr>
            </w:pP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19,572</w:t>
            </w:r>
          </w:p>
        </w:tc>
        <w:tc>
          <w:tcPr>
            <w:tcW w:w="0" w:type="dxa"/>
            <w:vAlign w:val="bottom"/>
          </w:tcPr>
          <w:p>
            <w:pPr>
              <w:spacing w:after="0"/>
              <w:rPr>
                <w:sz w:val="1"/>
                <w:szCs w:val="1"/>
                <w:color w:val="auto"/>
              </w:rPr>
            </w:pPr>
          </w:p>
        </w:tc>
      </w:tr>
      <w:tr>
        <w:trPr>
          <w:trHeight w:val="230"/>
        </w:trPr>
        <w:tc>
          <w:tcPr>
            <w:tcW w:w="35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Stategic Brands</w:t>
            </w: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7,113</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3,868</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35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Other</w:t>
            </w: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3,457</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231</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531</w:t>
            </w:r>
          </w:p>
        </w:tc>
        <w:tc>
          <w:tcPr>
            <w:tcW w:w="0" w:type="dxa"/>
            <w:vAlign w:val="bottom"/>
          </w:tcPr>
          <w:p>
            <w:pPr>
              <w:spacing w:after="0"/>
              <w:rPr>
                <w:sz w:val="1"/>
                <w:szCs w:val="1"/>
                <w:color w:val="auto"/>
              </w:rPr>
            </w:pPr>
          </w:p>
        </w:tc>
      </w:tr>
      <w:tr>
        <w:trPr>
          <w:trHeight w:val="252"/>
        </w:trPr>
        <w:tc>
          <w:tcPr>
            <w:tcW w:w="35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Corporate and unallocated</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6,227</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5,297</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5,548</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40,845</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30,860</w:t>
            </w: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25,651</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Corporate and unallocated expenses were $228.5 million for the year ended December 31, 2016 and included $128.0 million of payroll costs, of which $45.8 million was attributable to stock-based compensation expense (see Note 14, “Stock-Based Compensation”), $66.3 million of professional service expenses, including accounting and legal costs, $6.0 million of insurance costs and $28.2 million of other operating expenses. Corporate and unallocated expenses were $197.5 million for the year ended December 31, 2015 and included $109.8 million of payroll costs, of which $32.7 million was attributable to stock-based compensation expense (see Note 14, “Stock-Based Compensation”), $60.8 million of professional service expenses, including accounting and legal costs, $7.0 million of insurance costs and $19.9 million of other operating expenses. Corporate and unallocated expenses were $164.3 million for the year ended December 31, 2014 and included $86.2 million of payroll costs, of which $28.6 million was attributable to stock-based compensation expense (see Note 14, “Stock-Based Compensation”), $43.8 million of professional service expenses, including accounting and legal costs, $7.4 million of insurance costs and $26.9 million of other operating expenses.</w:t>
      </w:r>
    </w:p>
    <w:p>
      <w:pPr>
        <w:spacing w:after="0" w:line="20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TCCC, through the TCCC Subsidiaries, accounted for approximately 41%, 43% and 29% of the Company’s net sales for the years ended December 31, 2016, 2015 and 2014, respectively.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Net sales to customers outside the United States amounted to $733.7 million, $580.3 million and $534.2 million for the years ended</w:t>
      </w:r>
    </w:p>
    <w:p>
      <w:pPr>
        <w:spacing w:after="0" w:line="21" w:lineRule="exact"/>
        <w:rPr>
          <w:sz w:val="20"/>
          <w:szCs w:val="20"/>
          <w:color w:val="auto"/>
        </w:rPr>
      </w:pPr>
    </w:p>
    <w:p>
      <w:pPr>
        <w:spacing w:after="0"/>
        <w:tabs>
          <w:tab w:leader="none" w:pos="4300" w:val="left"/>
        </w:tabs>
        <w:rPr>
          <w:sz w:val="20"/>
          <w:szCs w:val="20"/>
          <w:color w:val="auto"/>
        </w:rPr>
      </w:pPr>
      <w:r>
        <w:rPr>
          <w:rFonts w:ascii="Times New Roman" w:cs="Times New Roman" w:eastAsia="Times New Roman" w:hAnsi="Times New Roman"/>
          <w:sz w:val="20"/>
          <w:szCs w:val="20"/>
          <w:color w:val="auto"/>
        </w:rPr>
        <w:t>December 31, 2016, 2015 and 2014, respectively.</w:t>
        <w:tab/>
        <w:t>Such sales were approximately 24%, 21% and 22% of net sales for the years ended</w:t>
      </w:r>
    </w:p>
    <w:p>
      <w:pPr>
        <w:spacing w:after="0"/>
        <w:rPr>
          <w:sz w:val="20"/>
          <w:szCs w:val="20"/>
          <w:color w:val="auto"/>
        </w:rPr>
      </w:pPr>
      <w:r>
        <w:rPr>
          <w:rFonts w:ascii="Times New Roman" w:cs="Times New Roman" w:eastAsia="Times New Roman" w:hAnsi="Times New Roman"/>
          <w:sz w:val="20"/>
          <w:szCs w:val="20"/>
          <w:color w:val="auto"/>
        </w:rPr>
        <w:t>December 31, 2016, 2015 and 2014, respectively.</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Goodwill and other intangible assets for the Company’s reportable segments as of December 31, 2016 and 2015 are as follows: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4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Goodwill and other intangible assets:</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2016</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20"/>
                <w:szCs w:val="20"/>
                <w:color w:val="auto"/>
              </w:rPr>
              <w:t>2015</w:t>
            </w:r>
          </w:p>
        </w:tc>
        <w:tc>
          <w:tcPr>
            <w:tcW w:w="0" w:type="dxa"/>
            <w:vAlign w:val="bottom"/>
          </w:tcPr>
          <w:p>
            <w:pPr>
              <w:spacing w:after="0"/>
              <w:rPr>
                <w:sz w:val="1"/>
                <w:szCs w:val="1"/>
                <w:color w:val="auto"/>
              </w:rPr>
            </w:pPr>
          </w:p>
        </w:tc>
      </w:tr>
      <w:tr>
        <w:trPr>
          <w:trHeight w:val="187"/>
        </w:trPr>
        <w:tc>
          <w:tcPr>
            <w:tcW w:w="44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Monster Energy® Drinks</w:t>
            </w: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1,334,494</w:t>
            </w:r>
          </w:p>
        </w:tc>
        <w:tc>
          <w:tcPr>
            <w:tcW w:w="280" w:type="dxa"/>
            <w:vAlign w:val="bottom"/>
          </w:tcPr>
          <w:p>
            <w:pPr>
              <w:spacing w:after="0"/>
              <w:rPr>
                <w:sz w:val="19"/>
                <w:szCs w:val="19"/>
                <w:color w:val="auto"/>
              </w:rPr>
            </w:pPr>
          </w:p>
        </w:tc>
        <w:tc>
          <w:tcPr>
            <w:tcW w:w="3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699,346</w:t>
            </w:r>
          </w:p>
        </w:tc>
        <w:tc>
          <w:tcPr>
            <w:tcW w:w="0" w:type="dxa"/>
            <w:vAlign w:val="bottom"/>
          </w:tcPr>
          <w:p>
            <w:pPr>
              <w:spacing w:after="0"/>
              <w:rPr>
                <w:sz w:val="1"/>
                <w:szCs w:val="1"/>
                <w:color w:val="auto"/>
              </w:rPr>
            </w:pPr>
          </w:p>
        </w:tc>
      </w:tr>
      <w:tr>
        <w:trPr>
          <w:trHeight w:val="230"/>
        </w:trPr>
        <w:tc>
          <w:tcPr>
            <w:tcW w:w="44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Strategic Brands</w:t>
            </w: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1,001,749</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1,008,355</w:t>
            </w:r>
          </w:p>
        </w:tc>
        <w:tc>
          <w:tcPr>
            <w:tcW w:w="0" w:type="dxa"/>
            <w:vAlign w:val="bottom"/>
          </w:tcPr>
          <w:p>
            <w:pPr>
              <w:spacing w:after="0"/>
              <w:rPr>
                <w:sz w:val="1"/>
                <w:szCs w:val="1"/>
                <w:color w:val="auto"/>
              </w:rPr>
            </w:pPr>
          </w:p>
        </w:tc>
      </w:tr>
      <w:tr>
        <w:trPr>
          <w:trHeight w:val="230"/>
        </w:trPr>
        <w:tc>
          <w:tcPr>
            <w:tcW w:w="44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Other</w:t>
            </w: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28,035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2"/>
        </w:trPr>
        <w:tc>
          <w:tcPr>
            <w:tcW w:w="44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Corporate and unallocated</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2,364,278</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1,707,701</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57" w:orient="portrait"/>
          <w:cols w:equalWidth="0" w:num="1">
            <w:col w:w="11420"/>
          </w:cols>
          <w:pgMar w:left="240" w:top="116" w:right="239" w:bottom="0" w:gutter="0" w:footer="0" w:header="0"/>
        </w:sectPr>
      </w:pPr>
    </w:p>
    <w:bookmarkStart w:id="75" w:name="page76"/>
    <w:bookmarkEnd w:id="75"/>
    <w:p>
      <w:pPr>
        <w:spacing w:after="0" w:line="5" w:lineRule="exact"/>
        <w:rPr>
          <w:sz w:val="20"/>
          <w:szCs w:val="20"/>
          <w:color w:val="auto"/>
        </w:rPr>
      </w:pPr>
    </w:p>
    <w:p>
      <w:pPr>
        <w:ind w:left="640" w:hanging="632"/>
        <w:spacing w:after="0"/>
        <w:tabs>
          <w:tab w:leader="none" w:pos="6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RELATED PARTY TRANSACTIONS</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As a result of the TCCC Transaction, TCCC controls more than 10% of the voting interests of the Company. TCCC, through the TCCC Subsidiaries and through certain of its affiliated companies (the “TCCC Affiliates”) purchases and distributes certain of the Company’s products both domestically and in certain international territories. The Company also pays TCCC a commission based on certain sales within the TCCC distribution network.</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TCCC commissions, calculated on sales to the TCCC Affiliates for the years ended December 31, 2016, 2015 and 2014, were $28.2 million, $18.0 million and $1.0 million, respectively.</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TCCC commissions, calculated on sales to the TCCC Subsidiaries, are accounted for as a reduction to revenue and are reported in net sales to the TCCC Subsidiaries.</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Net sales to the TCCC Subsidiaries for the years ended December 31, 2016, 2015 and 2014 were $1,259.7 million, $1,151.7 million and $717.6 million, respectively.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also purchases concentrates from TCCC which are then sold to both the TCCC Affiliates and the TCCC Subsidiaries.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Concentrate purchases from TCCC were $26.2 million and $16.0 million for the years ended December 31, 2016 and 2015, respectively.</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Certain TCCC Subsidiaries also contract manufacture certain of the Company’s Monster Energy® brand energy drinks as well as Mutant® Super Soda drinks. Contract manufacturing expenses were $9.6 million, $6.9 million and $6.6 million for the years ended December 31, 2016, 2015 and 2014, respectively.</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Accounts receivable, accounts payable and accrued promotional allowances related to the TCCC Subsidiaries are as follows at:</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center"/>
              <w:ind w:right="500"/>
              <w:spacing w:after="0"/>
              <w:rPr>
                <w:sz w:val="20"/>
                <w:szCs w:val="20"/>
                <w:color w:val="auto"/>
              </w:rPr>
            </w:pPr>
            <w:r>
              <w:rPr>
                <w:rFonts w:ascii="Times New Roman" w:cs="Times New Roman" w:eastAsia="Times New Roman" w:hAnsi="Times New Roman"/>
                <w:sz w:val="20"/>
                <w:szCs w:val="20"/>
                <w:color w:val="auto"/>
                <w:w w:val="99"/>
              </w:rPr>
              <w:t>December 31,</w:t>
            </w:r>
          </w:p>
        </w:tc>
        <w:tc>
          <w:tcPr>
            <w:tcW w:w="220" w:type="dxa"/>
            <w:vAlign w:val="bottom"/>
          </w:tcPr>
          <w:p>
            <w:pPr>
              <w:spacing w:after="0"/>
              <w:rPr>
                <w:sz w:val="19"/>
                <w:szCs w:val="19"/>
                <w:color w:val="auto"/>
              </w:rPr>
            </w:pPr>
          </w:p>
        </w:tc>
        <w:tc>
          <w:tcPr>
            <w:tcW w:w="1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8"/>
              </w:rPr>
              <w:t>December 31,</w:t>
            </w:r>
          </w:p>
        </w:tc>
      </w:tr>
      <w:tr>
        <w:trPr>
          <w:trHeight w:val="252"/>
        </w:trPr>
        <w:tc>
          <w:tcPr>
            <w:tcW w:w="39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color w:val="auto"/>
              </w:rPr>
              <w:t>2016</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color w:val="auto"/>
              </w:rPr>
              <w:t>2015</w:t>
            </w:r>
          </w:p>
        </w:tc>
      </w:tr>
      <w:tr>
        <w:trPr>
          <w:trHeight w:val="416"/>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Accounts receivable, net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151,756</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172,201</w:t>
            </w: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Accounts payable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(41,210)</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(58,579)</w:t>
            </w:r>
          </w:p>
        </w:tc>
      </w:tr>
      <w:tr>
        <w:trPr>
          <w:trHeight w:val="258"/>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Accrued promotional allowances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(27,056)</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(27,544)</w:t>
            </w:r>
          </w:p>
        </w:tc>
      </w:tr>
    </w:tbl>
    <w:p>
      <w:pPr>
        <w:spacing w:after="0" w:line="20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Two directors and officers of the Company and their families are principal owners of a company that provides promotional materials to the Company. Expenses incurred with such company in connection with promotional materials purchased during the years ended December 31, 2016, 2015 and 2014 were $1.5 million, $1.9 million and $0.6 million, respectively.</w:t>
      </w:r>
    </w:p>
    <w:p>
      <w:pPr>
        <w:spacing w:after="0" w:line="188" w:lineRule="exact"/>
        <w:rPr>
          <w:sz w:val="20"/>
          <w:szCs w:val="20"/>
          <w:color w:val="auto"/>
        </w:rPr>
      </w:pPr>
    </w:p>
    <w:p>
      <w:pPr>
        <w:ind w:left="640" w:hanging="632"/>
        <w:spacing w:after="0"/>
        <w:tabs>
          <w:tab w:leader="none" w:pos="6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SUBSEQUENT EVENTS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On February 28, 2017, our Board of Directors authorized a new share repurchase program for the purchase of up to $500.0 million of our outstanding common stock (the “February 2017 Repurchase Plan”). No shares have been repurchased pursuant to the February 2017 Repurchase Plan.</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right="5260"/>
        <w:spacing w:after="0" w:line="263" w:lineRule="auto"/>
        <w:rPr>
          <w:sz w:val="20"/>
          <w:szCs w:val="20"/>
          <w:color w:val="auto"/>
        </w:rPr>
      </w:pPr>
      <w:r>
        <w:rPr>
          <w:rFonts w:ascii="Times New Roman" w:cs="Times New Roman" w:eastAsia="Times New Roman" w:hAnsi="Times New Roman"/>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p>
      <w:pPr>
        <w:ind w:left="640" w:hanging="632"/>
        <w:spacing w:after="0"/>
        <w:tabs>
          <w:tab w:leader="none" w:pos="6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QUARTERLY FINANCIAL DATA (Unaudited)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00" w:type="dxa"/>
            <w:vAlign w:val="bottom"/>
            <w:gridSpan w:val="5"/>
          </w:tcPr>
          <w:p>
            <w:pPr>
              <w:jc w:val="right"/>
              <w:ind w:right="401"/>
              <w:spacing w:after="0"/>
              <w:rPr>
                <w:sz w:val="20"/>
                <w:szCs w:val="20"/>
                <w:color w:val="auto"/>
              </w:rPr>
            </w:pPr>
            <w:r>
              <w:rPr>
                <w:rFonts w:ascii="Times New Roman" w:cs="Times New Roman" w:eastAsia="Times New Roman" w:hAnsi="Times New Roman"/>
                <w:sz w:val="20"/>
                <w:szCs w:val="20"/>
                <w:color w:val="auto"/>
              </w:rPr>
              <w:t>Net Income per Common</w:t>
            </w:r>
          </w:p>
        </w:tc>
        <w:tc>
          <w:tcPr>
            <w:tcW w:w="0" w:type="dxa"/>
            <w:vAlign w:val="bottom"/>
          </w:tcPr>
          <w:p>
            <w:pPr>
              <w:spacing w:after="0"/>
              <w:rPr>
                <w:sz w:val="1"/>
                <w:szCs w:val="1"/>
                <w:color w:val="auto"/>
              </w:rPr>
            </w:pPr>
          </w:p>
        </w:tc>
      </w:tr>
      <w:tr>
        <w:trPr>
          <w:trHeight w:val="252"/>
        </w:trPr>
        <w:tc>
          <w:tcPr>
            <w:tcW w:w="3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auto"/>
              </w:rPr>
              <w:t>Net Sales</w:t>
            </w:r>
          </w:p>
        </w:tc>
        <w:tc>
          <w:tcPr>
            <w:tcW w:w="1620" w:type="dxa"/>
            <w:vAlign w:val="bottom"/>
            <w:gridSpan w:val="3"/>
            <w:vMerge w:val="restart"/>
          </w:tcPr>
          <w:p>
            <w:pPr>
              <w:ind w:left="180"/>
              <w:spacing w:after="0"/>
              <w:rPr>
                <w:sz w:val="20"/>
                <w:szCs w:val="20"/>
                <w:color w:val="auto"/>
              </w:rPr>
            </w:pPr>
            <w:r>
              <w:rPr>
                <w:rFonts w:ascii="Times New Roman" w:cs="Times New Roman" w:eastAsia="Times New Roman" w:hAnsi="Times New Roman"/>
                <w:sz w:val="20"/>
                <w:szCs w:val="20"/>
                <w:color w:val="auto"/>
              </w:rPr>
              <w:t>Gross Profit</w:t>
            </w:r>
          </w:p>
        </w:tc>
        <w:tc>
          <w:tcPr>
            <w:tcW w:w="220" w:type="dxa"/>
            <w:vAlign w:val="bottom"/>
          </w:tcPr>
          <w:p>
            <w:pPr>
              <w:spacing w:after="0"/>
              <w:rPr>
                <w:sz w:val="21"/>
                <w:szCs w:val="21"/>
                <w:color w:val="auto"/>
              </w:rPr>
            </w:pPr>
          </w:p>
        </w:tc>
        <w:tc>
          <w:tcPr>
            <w:tcW w:w="1140" w:type="dxa"/>
            <w:vAlign w:val="bottom"/>
            <w:vMerge w:val="restart"/>
          </w:tcPr>
          <w:p>
            <w:pPr>
              <w:jc w:val="right"/>
              <w:ind w:right="121"/>
              <w:spacing w:after="0"/>
              <w:rPr>
                <w:sz w:val="20"/>
                <w:szCs w:val="20"/>
                <w:color w:val="auto"/>
              </w:rPr>
            </w:pPr>
            <w:r>
              <w:rPr>
                <w:rFonts w:ascii="Times New Roman" w:cs="Times New Roman" w:eastAsia="Times New Roman" w:hAnsi="Times New Roman"/>
                <w:sz w:val="20"/>
                <w:szCs w:val="20"/>
                <w:color w:val="auto"/>
                <w:w w:val="95"/>
              </w:rPr>
              <w:t>Net Income</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20"/>
                <w:szCs w:val="20"/>
                <w:color w:val="auto"/>
                <w:w w:val="96"/>
              </w:rPr>
              <w:t>Share</w:t>
            </w:r>
          </w:p>
        </w:tc>
        <w:tc>
          <w:tcPr>
            <w:tcW w:w="1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Quarter ended:</w:t>
            </w:r>
          </w:p>
        </w:tc>
        <w:tc>
          <w:tcPr>
            <w:tcW w:w="24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62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281"/>
              <w:spacing w:after="0" w:line="223" w:lineRule="exact"/>
              <w:rPr>
                <w:sz w:val="20"/>
                <w:szCs w:val="20"/>
                <w:color w:val="auto"/>
              </w:rPr>
            </w:pPr>
            <w:r>
              <w:rPr>
                <w:rFonts w:ascii="Times New Roman" w:cs="Times New Roman" w:eastAsia="Times New Roman" w:hAnsi="Times New Roman"/>
                <w:sz w:val="20"/>
                <w:szCs w:val="20"/>
                <w:color w:val="auto"/>
              </w:rPr>
              <w:t>Basic</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01"/>
              <w:spacing w:after="0" w:line="223" w:lineRule="exact"/>
              <w:rPr>
                <w:sz w:val="20"/>
                <w:szCs w:val="20"/>
                <w:color w:val="auto"/>
              </w:rPr>
            </w:pPr>
            <w:r>
              <w:rPr>
                <w:rFonts w:ascii="Times New Roman" w:cs="Times New Roman" w:eastAsia="Times New Roman" w:hAnsi="Times New Roman"/>
                <w:sz w:val="20"/>
                <w:szCs w:val="20"/>
                <w:color w:val="auto"/>
              </w:rPr>
              <w:t>Diluted</w:t>
            </w:r>
          </w:p>
        </w:tc>
        <w:tc>
          <w:tcPr>
            <w:tcW w:w="0" w:type="dxa"/>
            <w:vAlign w:val="bottom"/>
          </w:tcPr>
          <w:p>
            <w:pPr>
              <w:spacing w:after="0"/>
              <w:rPr>
                <w:sz w:val="1"/>
                <w:szCs w:val="1"/>
                <w:color w:val="auto"/>
              </w:rPr>
            </w:pPr>
          </w:p>
        </w:tc>
      </w:tr>
      <w:tr>
        <w:trPr>
          <w:trHeight w:val="187"/>
        </w:trPr>
        <w:tc>
          <w:tcPr>
            <w:tcW w:w="334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March 31, 2016</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680,186</w:t>
            </w:r>
          </w:p>
        </w:tc>
        <w:tc>
          <w:tcPr>
            <w:tcW w:w="300" w:type="dxa"/>
            <w:vAlign w:val="bottom"/>
          </w:tcPr>
          <w:p>
            <w:pPr>
              <w:spacing w:after="0"/>
              <w:rPr>
                <w:sz w:val="19"/>
                <w:szCs w:val="19"/>
                <w:color w:val="auto"/>
              </w:rPr>
            </w:pPr>
          </w:p>
        </w:tc>
        <w:tc>
          <w:tcPr>
            <w:tcW w:w="40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423,098</w:t>
            </w:r>
          </w:p>
        </w:tc>
        <w:tc>
          <w:tcPr>
            <w:tcW w:w="2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163,877</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0.27</w:t>
            </w: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0.26</w:t>
            </w:r>
          </w:p>
        </w:tc>
        <w:tc>
          <w:tcPr>
            <w:tcW w:w="0" w:type="dxa"/>
            <w:vAlign w:val="bottom"/>
          </w:tcPr>
          <w:p>
            <w:pPr>
              <w:spacing w:after="0"/>
              <w:rPr>
                <w:sz w:val="1"/>
                <w:szCs w:val="1"/>
                <w:color w:val="auto"/>
              </w:rPr>
            </w:pPr>
          </w:p>
        </w:tc>
      </w:tr>
      <w:tr>
        <w:trPr>
          <w:trHeight w:val="230"/>
        </w:trPr>
        <w:tc>
          <w:tcPr>
            <w:tcW w:w="33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June 30, 2016</w:t>
            </w:r>
          </w:p>
        </w:tc>
        <w:tc>
          <w:tcPr>
            <w:tcW w:w="24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827,488</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517,814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184,219</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0.31</w:t>
            </w: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0.30</w:t>
            </w:r>
          </w:p>
        </w:tc>
        <w:tc>
          <w:tcPr>
            <w:tcW w:w="0" w:type="dxa"/>
            <w:vAlign w:val="bottom"/>
          </w:tcPr>
          <w:p>
            <w:pPr>
              <w:spacing w:after="0"/>
              <w:rPr>
                <w:sz w:val="1"/>
                <w:szCs w:val="1"/>
                <w:color w:val="auto"/>
              </w:rPr>
            </w:pPr>
          </w:p>
        </w:tc>
      </w:tr>
      <w:tr>
        <w:trPr>
          <w:trHeight w:val="230"/>
        </w:trPr>
        <w:tc>
          <w:tcPr>
            <w:tcW w:w="33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September 30, 2016</w:t>
            </w:r>
          </w:p>
        </w:tc>
        <w:tc>
          <w:tcPr>
            <w:tcW w:w="24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787,954</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502,975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191,643</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0.34</w:t>
            </w: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0.33</w:t>
            </w:r>
          </w:p>
        </w:tc>
        <w:tc>
          <w:tcPr>
            <w:tcW w:w="0" w:type="dxa"/>
            <w:vAlign w:val="bottom"/>
          </w:tcPr>
          <w:p>
            <w:pPr>
              <w:spacing w:after="0"/>
              <w:rPr>
                <w:sz w:val="1"/>
                <w:szCs w:val="1"/>
                <w:color w:val="auto"/>
              </w:rPr>
            </w:pPr>
          </w:p>
        </w:tc>
      </w:tr>
      <w:tr>
        <w:trPr>
          <w:trHeight w:val="252"/>
        </w:trPr>
        <w:tc>
          <w:tcPr>
            <w:tcW w:w="33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December 31, 2016</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753,765</w:t>
            </w:r>
          </w:p>
        </w:tc>
        <w:tc>
          <w:tcPr>
            <w:tcW w:w="3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498,113</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172,946</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0.30</w:t>
            </w: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0.30</w:t>
            </w:r>
          </w:p>
        </w:tc>
        <w:tc>
          <w:tcPr>
            <w:tcW w:w="0" w:type="dxa"/>
            <w:vAlign w:val="bottom"/>
          </w:tcPr>
          <w:p>
            <w:pPr>
              <w:spacing w:after="0"/>
              <w:rPr>
                <w:sz w:val="1"/>
                <w:szCs w:val="1"/>
                <w:color w:val="auto"/>
              </w:rPr>
            </w:pPr>
          </w:p>
        </w:tc>
      </w:tr>
    </w:tbl>
    <w:p>
      <w:pPr>
        <w:sectPr>
          <w:pgSz w:w="11900" w:h="16843" w:orient="portrait"/>
          <w:cols w:equalWidth="0" w:num="1">
            <w:col w:w="11420"/>
          </w:cols>
          <w:pgMar w:left="240" w:top="346" w:right="239" w:bottom="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340" w:type="dxa"/>
            <w:vAlign w:val="bottom"/>
          </w:tcPr>
          <w:p>
            <w:pPr>
              <w:spacing w:after="0"/>
              <w:rPr>
                <w:sz w:val="21"/>
                <w:szCs w:val="21"/>
                <w:color w:val="auto"/>
              </w:rPr>
            </w:pPr>
          </w:p>
        </w:tc>
        <w:tc>
          <w:tcPr>
            <w:tcW w:w="3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3,049,393</w:t>
            </w:r>
          </w:p>
        </w:tc>
        <w:tc>
          <w:tcPr>
            <w:tcW w:w="300" w:type="dxa"/>
            <w:vAlign w:val="bottom"/>
          </w:tcPr>
          <w:p>
            <w:pPr>
              <w:spacing w:after="0"/>
              <w:rPr>
                <w:sz w:val="21"/>
                <w:szCs w:val="21"/>
                <w:color w:val="auto"/>
              </w:rPr>
            </w:pPr>
          </w:p>
        </w:tc>
        <w:tc>
          <w:tcPr>
            <w:tcW w:w="3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1,942,000</w:t>
            </w:r>
          </w:p>
        </w:tc>
        <w:tc>
          <w:tcPr>
            <w:tcW w:w="280" w:type="dxa"/>
            <w:vAlign w:val="bottom"/>
          </w:tcPr>
          <w:p>
            <w:pPr>
              <w:spacing w:after="0"/>
              <w:rPr>
                <w:sz w:val="21"/>
                <w:szCs w:val="21"/>
                <w:color w:val="auto"/>
              </w:rPr>
            </w:pPr>
          </w:p>
        </w:tc>
        <w:tc>
          <w:tcPr>
            <w:tcW w:w="4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712,685</w:t>
            </w:r>
          </w:p>
        </w:tc>
        <w:tc>
          <w:tcPr>
            <w:tcW w:w="8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Quarter ended:</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3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March 31, 2015</w:t>
            </w:r>
          </w:p>
        </w:tc>
        <w:tc>
          <w:tcPr>
            <w:tcW w:w="3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626,791</w:t>
            </w:r>
          </w:p>
        </w:tc>
        <w:tc>
          <w:tcPr>
            <w:tcW w:w="300" w:type="dxa"/>
            <w:vAlign w:val="bottom"/>
          </w:tcPr>
          <w:p>
            <w:pPr>
              <w:spacing w:after="0"/>
              <w:rPr>
                <w:sz w:val="19"/>
                <w:szCs w:val="19"/>
                <w:color w:val="auto"/>
              </w:rPr>
            </w:pPr>
          </w:p>
        </w:tc>
        <w:tc>
          <w:tcPr>
            <w:tcW w:w="3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368,957</w:t>
            </w:r>
          </w:p>
        </w:tc>
        <w:tc>
          <w:tcPr>
            <w:tcW w:w="280" w:type="dxa"/>
            <w:vAlign w:val="bottom"/>
          </w:tcPr>
          <w:p>
            <w:pPr>
              <w:spacing w:after="0"/>
              <w:rPr>
                <w:sz w:val="19"/>
                <w:szCs w:val="19"/>
                <w:color w:val="auto"/>
              </w:rPr>
            </w:pPr>
          </w:p>
        </w:tc>
        <w:tc>
          <w:tcPr>
            <w:tcW w:w="4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4,414</w:t>
            </w:r>
          </w:p>
        </w:tc>
        <w:tc>
          <w:tcPr>
            <w:tcW w:w="84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0.01</w:t>
            </w:r>
          </w:p>
        </w:tc>
        <w:tc>
          <w:tcPr>
            <w:tcW w:w="70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0.01</w:t>
            </w:r>
          </w:p>
        </w:tc>
        <w:tc>
          <w:tcPr>
            <w:tcW w:w="0" w:type="dxa"/>
            <w:vAlign w:val="bottom"/>
          </w:tcPr>
          <w:p>
            <w:pPr>
              <w:spacing w:after="0"/>
              <w:rPr>
                <w:sz w:val="1"/>
                <w:szCs w:val="1"/>
                <w:color w:val="auto"/>
              </w:rPr>
            </w:pPr>
          </w:p>
        </w:tc>
      </w:tr>
      <w:tr>
        <w:trPr>
          <w:trHeight w:val="230"/>
        </w:trPr>
        <w:tc>
          <w:tcPr>
            <w:tcW w:w="33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June 30, 2015</w:t>
            </w: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693,722</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394,508</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229,004</w:t>
            </w:r>
          </w:p>
        </w:tc>
        <w:tc>
          <w:tcPr>
            <w:tcW w:w="84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0.43</w:t>
            </w:r>
          </w:p>
        </w:tc>
        <w:tc>
          <w:tcPr>
            <w:tcW w:w="70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0.42</w:t>
            </w:r>
          </w:p>
        </w:tc>
        <w:tc>
          <w:tcPr>
            <w:tcW w:w="0" w:type="dxa"/>
            <w:vAlign w:val="bottom"/>
          </w:tcPr>
          <w:p>
            <w:pPr>
              <w:spacing w:after="0"/>
              <w:rPr>
                <w:sz w:val="1"/>
                <w:szCs w:val="1"/>
                <w:color w:val="auto"/>
              </w:rPr>
            </w:pPr>
          </w:p>
        </w:tc>
      </w:tr>
      <w:tr>
        <w:trPr>
          <w:trHeight w:val="230"/>
        </w:trPr>
        <w:tc>
          <w:tcPr>
            <w:tcW w:w="33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September 30, 2015</w:t>
            </w: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756,619</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465,476</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174,574</w:t>
            </w:r>
          </w:p>
        </w:tc>
        <w:tc>
          <w:tcPr>
            <w:tcW w:w="84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0.28</w:t>
            </w:r>
          </w:p>
        </w:tc>
        <w:tc>
          <w:tcPr>
            <w:tcW w:w="70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0.28</w:t>
            </w:r>
          </w:p>
        </w:tc>
        <w:tc>
          <w:tcPr>
            <w:tcW w:w="0" w:type="dxa"/>
            <w:vAlign w:val="bottom"/>
          </w:tcPr>
          <w:p>
            <w:pPr>
              <w:spacing w:after="0"/>
              <w:rPr>
                <w:sz w:val="1"/>
                <w:szCs w:val="1"/>
                <w:color w:val="auto"/>
              </w:rPr>
            </w:pPr>
          </w:p>
        </w:tc>
      </w:tr>
      <w:tr>
        <w:trPr>
          <w:trHeight w:val="252"/>
        </w:trPr>
        <w:tc>
          <w:tcPr>
            <w:tcW w:w="33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December 31, 2015</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645,432</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403,360</w:t>
            </w:r>
          </w:p>
        </w:tc>
        <w:tc>
          <w:tcPr>
            <w:tcW w:w="2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138,741</w:t>
            </w:r>
          </w:p>
        </w:tc>
        <w:tc>
          <w:tcPr>
            <w:tcW w:w="84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0.23</w:t>
            </w:r>
          </w:p>
        </w:tc>
        <w:tc>
          <w:tcPr>
            <w:tcW w:w="70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0.22</w:t>
            </w:r>
          </w:p>
        </w:tc>
        <w:tc>
          <w:tcPr>
            <w:tcW w:w="0" w:type="dxa"/>
            <w:vAlign w:val="bottom"/>
          </w:tcPr>
          <w:p>
            <w:pPr>
              <w:spacing w:after="0"/>
              <w:rPr>
                <w:sz w:val="1"/>
                <w:szCs w:val="1"/>
                <w:color w:val="auto"/>
              </w:rPr>
            </w:pPr>
          </w:p>
        </w:tc>
      </w:tr>
      <w:tr>
        <w:trPr>
          <w:trHeight w:val="223"/>
        </w:trPr>
        <w:tc>
          <w:tcPr>
            <w:tcW w:w="3340" w:type="dxa"/>
            <w:vAlign w:val="bottom"/>
          </w:tcPr>
          <w:p>
            <w:pPr>
              <w:spacing w:after="0"/>
              <w:rPr>
                <w:sz w:val="19"/>
                <w:szCs w:val="19"/>
                <w:color w:val="auto"/>
              </w:rPr>
            </w:pPr>
          </w:p>
        </w:tc>
        <w:tc>
          <w:tcPr>
            <w:tcW w:w="34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2,722,564</w:t>
            </w:r>
          </w:p>
        </w:tc>
        <w:tc>
          <w:tcPr>
            <w:tcW w:w="300" w:type="dxa"/>
            <w:vAlign w:val="bottom"/>
          </w:tcPr>
          <w:p>
            <w:pPr>
              <w:spacing w:after="0"/>
              <w:rPr>
                <w:sz w:val="19"/>
                <w:szCs w:val="19"/>
                <w:color w:val="auto"/>
              </w:rPr>
            </w:pPr>
          </w:p>
        </w:tc>
        <w:tc>
          <w:tcPr>
            <w:tcW w:w="32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1,632,301</w:t>
            </w: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546,733</w:t>
            </w: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Certain of the figures reported above may differ from previously reported figures for individual quarters due to rounding.</w:t>
      </w:r>
    </w:p>
    <w:p>
      <w:pPr>
        <w:spacing w:after="0" w:line="2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MONSTER BEVERAGE CORPORATION AND SUBSIDIARIES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SCHEDULE II – VALUATION AND QUALIFYING ACCOUNTS</w:t>
      </w:r>
    </w:p>
    <w:p>
      <w:pPr>
        <w:spacing w:after="0"/>
        <w:rPr>
          <w:sz w:val="20"/>
          <w:szCs w:val="20"/>
          <w:color w:val="auto"/>
        </w:rPr>
      </w:pPr>
      <w:r>
        <w:rPr>
          <w:rFonts w:ascii="Times New Roman" w:cs="Times New Roman" w:eastAsia="Times New Roman" w:hAnsi="Times New Roman"/>
          <w:sz w:val="22"/>
          <w:szCs w:val="22"/>
          <w:b w:val="1"/>
          <w:bCs w:val="1"/>
          <w:color w:val="auto"/>
        </w:rPr>
        <w:t>FOR THE YEARS ENDED DECEMBER 31, 2016, 2015 AND 2014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7"/>
              </w:rPr>
              <w:t>Balance at</w:t>
            </w: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w w:val="99"/>
              </w:rPr>
              <w:t>Charged to</w:t>
            </w: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Balance at</w:t>
            </w:r>
          </w:p>
        </w:tc>
      </w:tr>
      <w:tr>
        <w:trPr>
          <w:trHeight w:val="230"/>
        </w:trPr>
        <w:tc>
          <w:tcPr>
            <w:tcW w:w="4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7"/>
              </w:rPr>
              <w:t>beginning</w:t>
            </w: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color w:val="auto"/>
                <w:w w:val="99"/>
              </w:rPr>
              <w:t>cost and</w:t>
            </w: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end of</w:t>
            </w:r>
          </w:p>
        </w:tc>
      </w:tr>
      <w:tr>
        <w:trPr>
          <w:trHeight w:val="252"/>
        </w:trPr>
        <w:tc>
          <w:tcPr>
            <w:tcW w:w="428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20"/>
                <w:szCs w:val="20"/>
                <w:color w:val="auto"/>
              </w:rPr>
              <w:t>Description</w:t>
            </w:r>
          </w:p>
        </w:tc>
        <w:tc>
          <w:tcPr>
            <w:tcW w:w="28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of period</w:t>
            </w:r>
          </w:p>
        </w:tc>
        <w:tc>
          <w:tcPr>
            <w:tcW w:w="28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expenses</w:t>
            </w:r>
          </w:p>
        </w:tc>
        <w:tc>
          <w:tcPr>
            <w:tcW w:w="260" w:type="dxa"/>
            <w:vAlign w:val="bottom"/>
          </w:tcPr>
          <w:p>
            <w:pPr>
              <w:spacing w:after="0"/>
              <w:rPr>
                <w:sz w:val="21"/>
                <w:szCs w:val="21"/>
                <w:color w:val="auto"/>
              </w:rPr>
            </w:pPr>
          </w:p>
        </w:tc>
        <w:tc>
          <w:tcPr>
            <w:tcW w:w="1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0"/>
                <w:szCs w:val="20"/>
                <w:color w:val="auto"/>
              </w:rPr>
              <w:t>Deductions</w:t>
            </w:r>
          </w:p>
        </w:tc>
        <w:tc>
          <w:tcPr>
            <w:tcW w:w="26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period</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Allowance for doubtful accounts, sales returns and cash discounts: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jc w:val="right"/>
              <w:ind w:right="2041"/>
              <w:spacing w:after="0"/>
              <w:rPr>
                <w:sz w:val="20"/>
                <w:szCs w:val="20"/>
                <w:color w:val="auto"/>
              </w:rPr>
            </w:pPr>
            <w:r>
              <w:rPr>
                <w:rFonts w:ascii="Times New Roman" w:cs="Times New Roman" w:eastAsia="Times New Roman" w:hAnsi="Times New Roman"/>
                <w:sz w:val="20"/>
                <w:szCs w:val="20"/>
                <w:color w:val="auto"/>
                <w:w w:val="94"/>
              </w:rPr>
              <w:t>2016</w:t>
            </w:r>
          </w:p>
        </w:tc>
        <w:tc>
          <w:tcPr>
            <w:tcW w:w="25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1,248</w:t>
            </w:r>
          </w:p>
        </w:tc>
        <w:tc>
          <w:tcPr>
            <w:tcW w:w="64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7,389</w:t>
            </w:r>
          </w:p>
        </w:tc>
        <w:tc>
          <w:tcPr>
            <w:tcW w:w="5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(7,516)</w:t>
            </w:r>
          </w:p>
        </w:tc>
        <w:tc>
          <w:tcPr>
            <w:tcW w:w="64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1,121</w:t>
            </w:r>
          </w:p>
        </w:tc>
      </w:tr>
      <w:tr>
        <w:trPr>
          <w:trHeight w:val="230"/>
        </w:trPr>
        <w:tc>
          <w:tcPr>
            <w:tcW w:w="2540" w:type="dxa"/>
            <w:vAlign w:val="bottom"/>
          </w:tcPr>
          <w:p>
            <w:pPr>
              <w:jc w:val="right"/>
              <w:ind w:right="2041"/>
              <w:spacing w:after="0"/>
              <w:rPr>
                <w:sz w:val="20"/>
                <w:szCs w:val="20"/>
                <w:color w:val="auto"/>
              </w:rPr>
            </w:pPr>
            <w:r>
              <w:rPr>
                <w:rFonts w:ascii="Times New Roman" w:cs="Times New Roman" w:eastAsia="Times New Roman" w:hAnsi="Times New Roman"/>
                <w:sz w:val="20"/>
                <w:szCs w:val="20"/>
                <w:color w:val="auto"/>
                <w:w w:val="94"/>
              </w:rPr>
              <w:t>2015</w:t>
            </w:r>
          </w:p>
        </w:tc>
        <w:tc>
          <w:tcPr>
            <w:tcW w:w="25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1,704</w:t>
            </w:r>
          </w:p>
        </w:tc>
        <w:tc>
          <w:tcPr>
            <w:tcW w:w="64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8,407</w:t>
            </w:r>
          </w:p>
        </w:tc>
        <w:tc>
          <w:tcPr>
            <w:tcW w:w="5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(8,863)</w:t>
            </w:r>
          </w:p>
        </w:tc>
        <w:tc>
          <w:tcPr>
            <w:tcW w:w="64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1,248</w:t>
            </w:r>
          </w:p>
        </w:tc>
      </w:tr>
      <w:tr>
        <w:trPr>
          <w:trHeight w:val="258"/>
        </w:trPr>
        <w:tc>
          <w:tcPr>
            <w:tcW w:w="2540" w:type="dxa"/>
            <w:vAlign w:val="bottom"/>
          </w:tcPr>
          <w:p>
            <w:pPr>
              <w:jc w:val="right"/>
              <w:ind w:right="2041"/>
              <w:spacing w:after="0"/>
              <w:rPr>
                <w:sz w:val="20"/>
                <w:szCs w:val="20"/>
                <w:color w:val="auto"/>
              </w:rPr>
            </w:pPr>
            <w:r>
              <w:rPr>
                <w:rFonts w:ascii="Times New Roman" w:cs="Times New Roman" w:eastAsia="Times New Roman" w:hAnsi="Times New Roman"/>
                <w:sz w:val="20"/>
                <w:szCs w:val="20"/>
                <w:color w:val="auto"/>
                <w:w w:val="94"/>
              </w:rPr>
              <w:t>2014</w:t>
            </w:r>
          </w:p>
        </w:tc>
        <w:tc>
          <w:tcPr>
            <w:tcW w:w="25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2,926</w:t>
            </w:r>
          </w:p>
        </w:tc>
        <w:tc>
          <w:tcPr>
            <w:tcW w:w="64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2,652</w:t>
            </w:r>
          </w:p>
        </w:tc>
        <w:tc>
          <w:tcPr>
            <w:tcW w:w="5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(3,874)</w:t>
            </w:r>
          </w:p>
        </w:tc>
        <w:tc>
          <w:tcPr>
            <w:tcW w:w="64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1,704</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Allowance on Deferred Tax Assets and Unrecognized Tax Benefits: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jc w:val="right"/>
              <w:ind w:right="2041"/>
              <w:spacing w:after="0"/>
              <w:rPr>
                <w:sz w:val="20"/>
                <w:szCs w:val="20"/>
                <w:color w:val="auto"/>
              </w:rPr>
            </w:pPr>
            <w:r>
              <w:rPr>
                <w:rFonts w:ascii="Times New Roman" w:cs="Times New Roman" w:eastAsia="Times New Roman" w:hAnsi="Times New Roman"/>
                <w:sz w:val="20"/>
                <w:szCs w:val="20"/>
                <w:color w:val="auto"/>
                <w:w w:val="94"/>
              </w:rPr>
              <w:t>2016</w:t>
            </w:r>
          </w:p>
        </w:tc>
        <w:tc>
          <w:tcPr>
            <w:tcW w:w="24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45"/>
              <w:spacing w:after="0"/>
              <w:rPr>
                <w:sz w:val="20"/>
                <w:szCs w:val="20"/>
                <w:color w:val="auto"/>
              </w:rPr>
            </w:pPr>
            <w:r>
              <w:rPr>
                <w:rFonts w:ascii="Times New Roman" w:cs="Times New Roman" w:eastAsia="Times New Roman" w:hAnsi="Times New Roman"/>
                <w:sz w:val="20"/>
                <w:szCs w:val="20"/>
                <w:color w:val="auto"/>
              </w:rPr>
              <w:t>17,846</w:t>
            </w:r>
          </w:p>
        </w:tc>
        <w:tc>
          <w:tcPr>
            <w:tcW w:w="62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8,240</w:t>
            </w:r>
          </w:p>
        </w:tc>
        <w:tc>
          <w:tcPr>
            <w:tcW w:w="70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tcPr>
          <w:p>
            <w:pPr>
              <w:jc w:val="right"/>
              <w:ind w:right="661"/>
              <w:spacing w:after="0"/>
              <w:rPr>
                <w:sz w:val="20"/>
                <w:szCs w:val="20"/>
                <w:color w:val="auto"/>
              </w:rPr>
            </w:pPr>
            <w:r>
              <w:rPr>
                <w:rFonts w:ascii="Times New Roman" w:cs="Times New Roman" w:eastAsia="Times New Roman" w:hAnsi="Times New Roman"/>
                <w:sz w:val="20"/>
                <w:szCs w:val="20"/>
                <w:color w:val="auto"/>
              </w:rPr>
              <w:t>26,086</w:t>
            </w:r>
          </w:p>
        </w:tc>
      </w:tr>
      <w:tr>
        <w:trPr>
          <w:trHeight w:val="230"/>
        </w:trPr>
        <w:tc>
          <w:tcPr>
            <w:tcW w:w="2540" w:type="dxa"/>
            <w:vAlign w:val="bottom"/>
          </w:tcPr>
          <w:p>
            <w:pPr>
              <w:jc w:val="right"/>
              <w:ind w:right="2041"/>
              <w:spacing w:after="0"/>
              <w:rPr>
                <w:sz w:val="20"/>
                <w:szCs w:val="20"/>
                <w:color w:val="auto"/>
              </w:rPr>
            </w:pPr>
            <w:r>
              <w:rPr>
                <w:rFonts w:ascii="Times New Roman" w:cs="Times New Roman" w:eastAsia="Times New Roman" w:hAnsi="Times New Roman"/>
                <w:sz w:val="20"/>
                <w:szCs w:val="20"/>
                <w:color w:val="auto"/>
                <w:w w:val="94"/>
              </w:rPr>
              <w:t>2015</w:t>
            </w:r>
          </w:p>
        </w:tc>
        <w:tc>
          <w:tcPr>
            <w:tcW w:w="24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45"/>
              <w:spacing w:after="0"/>
              <w:rPr>
                <w:sz w:val="20"/>
                <w:szCs w:val="20"/>
                <w:color w:val="auto"/>
              </w:rPr>
            </w:pPr>
            <w:r>
              <w:rPr>
                <w:rFonts w:ascii="Times New Roman" w:cs="Times New Roman" w:eastAsia="Times New Roman" w:hAnsi="Times New Roman"/>
                <w:sz w:val="20"/>
                <w:szCs w:val="20"/>
                <w:color w:val="auto"/>
              </w:rPr>
              <w:t>19,786</w:t>
            </w:r>
          </w:p>
        </w:tc>
        <w:tc>
          <w:tcPr>
            <w:tcW w:w="62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(1,940)</w:t>
            </w:r>
          </w:p>
        </w:tc>
        <w:tc>
          <w:tcPr>
            <w:tcW w:w="70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tcPr>
          <w:p>
            <w:pPr>
              <w:jc w:val="right"/>
              <w:ind w:right="661"/>
              <w:spacing w:after="0"/>
              <w:rPr>
                <w:sz w:val="20"/>
                <w:szCs w:val="20"/>
                <w:color w:val="auto"/>
              </w:rPr>
            </w:pPr>
            <w:r>
              <w:rPr>
                <w:rFonts w:ascii="Times New Roman" w:cs="Times New Roman" w:eastAsia="Times New Roman" w:hAnsi="Times New Roman"/>
                <w:sz w:val="20"/>
                <w:szCs w:val="20"/>
                <w:color w:val="auto"/>
              </w:rPr>
              <w:t>17,846</w:t>
            </w:r>
          </w:p>
        </w:tc>
      </w:tr>
      <w:tr>
        <w:trPr>
          <w:trHeight w:val="258"/>
        </w:trPr>
        <w:tc>
          <w:tcPr>
            <w:tcW w:w="2540" w:type="dxa"/>
            <w:vAlign w:val="bottom"/>
          </w:tcPr>
          <w:p>
            <w:pPr>
              <w:jc w:val="right"/>
              <w:ind w:right="2041"/>
              <w:spacing w:after="0"/>
              <w:rPr>
                <w:sz w:val="20"/>
                <w:szCs w:val="20"/>
                <w:color w:val="auto"/>
              </w:rPr>
            </w:pPr>
            <w:r>
              <w:rPr>
                <w:rFonts w:ascii="Times New Roman" w:cs="Times New Roman" w:eastAsia="Times New Roman" w:hAnsi="Times New Roman"/>
                <w:sz w:val="20"/>
                <w:szCs w:val="20"/>
                <w:color w:val="auto"/>
                <w:w w:val="94"/>
              </w:rPr>
              <w:t>2014</w:t>
            </w:r>
          </w:p>
        </w:tc>
        <w:tc>
          <w:tcPr>
            <w:tcW w:w="24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45"/>
              <w:spacing w:after="0"/>
              <w:rPr>
                <w:sz w:val="20"/>
                <w:szCs w:val="20"/>
                <w:color w:val="auto"/>
              </w:rPr>
            </w:pPr>
            <w:r>
              <w:rPr>
                <w:rFonts w:ascii="Times New Roman" w:cs="Times New Roman" w:eastAsia="Times New Roman" w:hAnsi="Times New Roman"/>
                <w:sz w:val="20"/>
                <w:szCs w:val="20"/>
                <w:color w:val="auto"/>
              </w:rPr>
              <w:t>24,130</w:t>
            </w:r>
          </w:p>
        </w:tc>
        <w:tc>
          <w:tcPr>
            <w:tcW w:w="62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(4,344)</w:t>
            </w:r>
          </w:p>
        </w:tc>
        <w:tc>
          <w:tcPr>
            <w:tcW w:w="70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tcPr>
          <w:p>
            <w:pPr>
              <w:jc w:val="right"/>
              <w:ind w:right="661"/>
              <w:spacing w:after="0"/>
              <w:rPr>
                <w:sz w:val="20"/>
                <w:szCs w:val="20"/>
                <w:color w:val="auto"/>
              </w:rPr>
            </w:pPr>
            <w:r>
              <w:rPr>
                <w:rFonts w:ascii="Times New Roman" w:cs="Times New Roman" w:eastAsia="Times New Roman" w:hAnsi="Times New Roman"/>
                <w:sz w:val="20"/>
                <w:szCs w:val="20"/>
                <w:color w:val="auto"/>
              </w:rPr>
              <w:t>19,786</w:t>
            </w:r>
          </w:p>
        </w:tc>
      </w:tr>
      <w:tr>
        <w:trPr>
          <w:trHeight w:val="420"/>
        </w:trPr>
        <w:tc>
          <w:tcPr>
            <w:tcW w:w="25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60" w:type="dxa"/>
            <w:vAlign w:val="bottom"/>
          </w:tcPr>
          <w:p>
            <w:pPr>
              <w:jc w:val="right"/>
              <w:ind w:right="145"/>
              <w:spacing w:after="0"/>
              <w:rPr>
                <w:sz w:val="20"/>
                <w:szCs w:val="20"/>
                <w:color w:val="auto"/>
              </w:rPr>
            </w:pPr>
            <w:r>
              <w:rPr>
                <w:rFonts w:ascii="Times New Roman" w:cs="Times New Roman" w:eastAsia="Times New Roman" w:hAnsi="Times New Roman"/>
                <w:sz w:val="16"/>
                <w:szCs w:val="16"/>
                <w:color w:val="auto"/>
              </w:rPr>
              <w:t>116</w:t>
            </w: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38"/>
        </w:trPr>
        <w:tc>
          <w:tcPr>
            <w:tcW w:w="2540" w:type="dxa"/>
            <w:vAlign w:val="bottom"/>
            <w:tcBorders>
              <w:bottom w:val="single" w:sz="8" w:color="808080"/>
            </w:tcBorders>
          </w:tcPr>
          <w:p>
            <w:pPr>
              <w:spacing w:after="0"/>
              <w:rPr>
                <w:sz w:val="11"/>
                <w:szCs w:val="11"/>
                <w:color w:val="auto"/>
              </w:rPr>
            </w:pPr>
          </w:p>
        </w:tc>
        <w:tc>
          <w:tcPr>
            <w:tcW w:w="248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8" w:right="199" w:bottom="1440" w:gutter="0" w:footer="0" w:header="0"/>
        </w:sectPr>
      </w:pPr>
    </w:p>
    <w:bookmarkStart w:id="77" w:name="page78"/>
    <w:bookmarkEnd w:id="77"/>
    <w:p>
      <w:pPr>
        <w:ind w:left="10320"/>
        <w:spacing w:after="0"/>
        <w:rPr>
          <w:sz w:val="20"/>
          <w:szCs w:val="20"/>
          <w:color w:val="auto"/>
        </w:rPr>
      </w:pPr>
      <w:r>
        <w:rPr>
          <w:rFonts w:ascii="Times New Roman" w:cs="Times New Roman" w:eastAsia="Times New Roman" w:hAnsi="Times New Roman"/>
          <w:sz w:val="20"/>
          <w:szCs w:val="20"/>
          <w:b w:val="1"/>
          <w:bCs w:val="1"/>
          <w:color w:val="auto"/>
        </w:rPr>
        <w:t>EXHIBIT 21</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60" w:type="dxa"/>
            <w:vAlign w:val="bottom"/>
          </w:tcPr>
          <w:p>
            <w:pPr>
              <w:jc w:val="center"/>
              <w:ind w:left="3229"/>
              <w:spacing w:after="0"/>
              <w:rPr>
                <w:sz w:val="20"/>
                <w:szCs w:val="20"/>
                <w:color w:val="auto"/>
              </w:rPr>
            </w:pPr>
            <w:r>
              <w:rPr>
                <w:rFonts w:ascii="Times New Roman" w:cs="Times New Roman" w:eastAsia="Times New Roman" w:hAnsi="Times New Roman"/>
                <w:sz w:val="20"/>
                <w:szCs w:val="20"/>
                <w:b w:val="1"/>
                <w:bCs w:val="1"/>
                <w:color w:val="auto"/>
                <w:w w:val="97"/>
              </w:rPr>
              <w:t>SUBSIDIARIES</w:t>
            </w:r>
          </w:p>
        </w:tc>
        <w:tc>
          <w:tcPr>
            <w:tcW w:w="3400" w:type="dxa"/>
            <w:vAlign w:val="bottom"/>
          </w:tcPr>
          <w:p>
            <w:pPr>
              <w:spacing w:after="0"/>
              <w:rPr>
                <w:sz w:val="19"/>
                <w:szCs w:val="19"/>
                <w:color w:val="auto"/>
              </w:rPr>
            </w:pPr>
          </w:p>
        </w:tc>
      </w:tr>
      <w:tr>
        <w:trPr>
          <w:trHeight w:val="230"/>
        </w:trPr>
        <w:tc>
          <w:tcPr>
            <w:tcW w:w="8060" w:type="dxa"/>
            <w:vAlign w:val="bottom"/>
          </w:tcPr>
          <w:p>
            <w:pPr>
              <w:jc w:val="center"/>
              <w:ind w:left="3289"/>
              <w:spacing w:after="0"/>
              <w:rPr>
                <w:sz w:val="20"/>
                <w:szCs w:val="20"/>
                <w:color w:val="auto"/>
              </w:rPr>
            </w:pPr>
            <w:r>
              <w:rPr>
                <w:rFonts w:ascii="Times New Roman" w:cs="Times New Roman" w:eastAsia="Times New Roman" w:hAnsi="Times New Roman"/>
                <w:sz w:val="20"/>
                <w:szCs w:val="20"/>
                <w:b w:val="1"/>
                <w:bCs w:val="1"/>
                <w:color w:val="auto"/>
              </w:rPr>
              <w:t>OF</w:t>
            </w:r>
          </w:p>
        </w:tc>
        <w:tc>
          <w:tcPr>
            <w:tcW w:w="3400" w:type="dxa"/>
            <w:vAlign w:val="bottom"/>
          </w:tcPr>
          <w:p>
            <w:pPr>
              <w:spacing w:after="0"/>
              <w:rPr>
                <w:sz w:val="19"/>
                <w:szCs w:val="19"/>
                <w:color w:val="auto"/>
              </w:rPr>
            </w:pPr>
          </w:p>
        </w:tc>
      </w:tr>
      <w:tr>
        <w:trPr>
          <w:trHeight w:val="262"/>
        </w:trPr>
        <w:tc>
          <w:tcPr>
            <w:tcW w:w="8060" w:type="dxa"/>
            <w:vAlign w:val="bottom"/>
          </w:tcPr>
          <w:p>
            <w:pPr>
              <w:jc w:val="center"/>
              <w:ind w:left="3269"/>
              <w:spacing w:after="0"/>
              <w:rPr>
                <w:sz w:val="20"/>
                <w:szCs w:val="20"/>
                <w:color w:val="auto"/>
              </w:rPr>
            </w:pPr>
            <w:r>
              <w:rPr>
                <w:rFonts w:ascii="Times New Roman" w:cs="Times New Roman" w:eastAsia="Times New Roman" w:hAnsi="Times New Roman"/>
                <w:sz w:val="20"/>
                <w:szCs w:val="20"/>
                <w:b w:val="1"/>
                <w:bCs w:val="1"/>
                <w:color w:val="auto"/>
                <w:w w:val="98"/>
              </w:rPr>
              <w:t>MONSTER BEVERAGE CORPORATION</w:t>
            </w:r>
          </w:p>
        </w:tc>
        <w:tc>
          <w:tcPr>
            <w:tcW w:w="3400" w:type="dxa"/>
            <w:vAlign w:val="bottom"/>
          </w:tcPr>
          <w:p>
            <w:pPr>
              <w:spacing w:after="0"/>
              <w:rPr>
                <w:sz w:val="22"/>
                <w:szCs w:val="22"/>
                <w:color w:val="auto"/>
              </w:rPr>
            </w:pPr>
          </w:p>
        </w:tc>
      </w:tr>
      <w:tr>
        <w:trPr>
          <w:trHeight w:val="459"/>
        </w:trPr>
        <w:tc>
          <w:tcPr>
            <w:tcW w:w="8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Entity Name</w:t>
            </w:r>
          </w:p>
        </w:tc>
        <w:tc>
          <w:tcPr>
            <w:tcW w:w="3400" w:type="dxa"/>
            <w:vAlign w:val="bottom"/>
          </w:tcPr>
          <w:p>
            <w:pPr>
              <w:ind w:left="520"/>
              <w:spacing w:after="0"/>
              <w:rPr>
                <w:sz w:val="20"/>
                <w:szCs w:val="20"/>
                <w:color w:val="auto"/>
              </w:rPr>
            </w:pPr>
            <w:r>
              <w:rPr>
                <w:rFonts w:ascii="Times New Roman" w:cs="Times New Roman" w:eastAsia="Times New Roman" w:hAnsi="Times New Roman"/>
                <w:sz w:val="20"/>
                <w:szCs w:val="20"/>
                <w:b w:val="1"/>
                <w:bCs w:val="1"/>
                <w:color w:val="auto"/>
              </w:rPr>
              <w:t>Jurisdiction</w:t>
            </w:r>
          </w:p>
        </w:tc>
      </w:tr>
      <w:tr>
        <w:trPr>
          <w:trHeight w:val="237"/>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Company</w:t>
            </w:r>
          </w:p>
        </w:tc>
        <w:tc>
          <w:tcPr>
            <w:tcW w:w="3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Hansen Beverage Company</w:t>
            </w:r>
          </w:p>
        </w:tc>
        <w:tc>
          <w:tcPr>
            <w:tcW w:w="3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Monster LDA Company</w:t>
            </w:r>
          </w:p>
        </w:tc>
        <w:tc>
          <w:tcPr>
            <w:tcW w:w="3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Hansen Junior Juice Company</w:t>
            </w:r>
          </w:p>
        </w:tc>
        <w:tc>
          <w:tcPr>
            <w:tcW w:w="3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Blue Sky Natural Beverage Co.</w:t>
            </w:r>
          </w:p>
        </w:tc>
        <w:tc>
          <w:tcPr>
            <w:tcW w:w="3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Europe Limited</w:t>
            </w:r>
          </w:p>
        </w:tc>
        <w:tc>
          <w:tcPr>
            <w:tcW w:w="3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Limited</w:t>
            </w:r>
          </w:p>
        </w:tc>
        <w:tc>
          <w:tcPr>
            <w:tcW w:w="3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Ireland</w:t>
            </w:r>
          </w:p>
        </w:tc>
      </w:tr>
      <w:tr>
        <w:trPr>
          <w:trHeight w:val="24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Au Pty Limited</w:t>
            </w:r>
          </w:p>
        </w:tc>
        <w:tc>
          <w:tcPr>
            <w:tcW w:w="3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Australia</w:t>
            </w:r>
          </w:p>
        </w:tc>
      </w:tr>
      <w:tr>
        <w:trPr>
          <w:trHeight w:val="24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Fastest, LLC</w:t>
            </w:r>
          </w:p>
        </w:tc>
        <w:tc>
          <w:tcPr>
            <w:tcW w:w="3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HBC Corona Summit, LLC</w:t>
            </w:r>
          </w:p>
        </w:tc>
        <w:tc>
          <w:tcPr>
            <w:tcW w:w="3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California</w:t>
            </w:r>
          </w:p>
        </w:tc>
      </w:tr>
      <w:tr>
        <w:trPr>
          <w:trHeight w:val="24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HBC Corona Summit II, LLC</w:t>
            </w:r>
          </w:p>
        </w:tc>
        <w:tc>
          <w:tcPr>
            <w:tcW w:w="3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California</w:t>
            </w:r>
          </w:p>
        </w:tc>
      </w:tr>
      <w:tr>
        <w:trPr>
          <w:trHeight w:val="24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Hansen PRE, LLC</w:t>
            </w:r>
          </w:p>
        </w:tc>
        <w:tc>
          <w:tcPr>
            <w:tcW w:w="3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Canada Ltd.</w:t>
            </w:r>
          </w:p>
        </w:tc>
        <w:tc>
          <w:tcPr>
            <w:tcW w:w="3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Canada</w:t>
            </w:r>
          </w:p>
        </w:tc>
      </w:tr>
      <w:tr>
        <w:trPr>
          <w:trHeight w:val="24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Monster Racing, Inc.</w:t>
            </w:r>
          </w:p>
        </w:tc>
        <w:tc>
          <w:tcPr>
            <w:tcW w:w="3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Brasil Comércio de Bebidas Ltda</w:t>
            </w:r>
          </w:p>
        </w:tc>
        <w:tc>
          <w:tcPr>
            <w:tcW w:w="3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Brazil</w:t>
            </w:r>
          </w:p>
        </w:tc>
      </w:tr>
      <w:tr>
        <w:trPr>
          <w:trHeight w:val="24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Mexico, S. de R.L. de C.V</w:t>
            </w:r>
          </w:p>
        </w:tc>
        <w:tc>
          <w:tcPr>
            <w:tcW w:w="3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Mexico</w:t>
            </w:r>
          </w:p>
        </w:tc>
      </w:tr>
      <w:tr>
        <w:trPr>
          <w:trHeight w:val="24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ME Management Services, S. de R.L. de C. V.</w:t>
            </w:r>
          </w:p>
        </w:tc>
        <w:tc>
          <w:tcPr>
            <w:tcW w:w="3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Mexico</w:t>
            </w:r>
          </w:p>
        </w:tc>
      </w:tr>
      <w:tr>
        <w:trPr>
          <w:trHeight w:val="24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France SAS</w:t>
            </w:r>
          </w:p>
        </w:tc>
        <w:tc>
          <w:tcPr>
            <w:tcW w:w="3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France</w:t>
            </w:r>
          </w:p>
        </w:tc>
      </w:tr>
      <w:tr>
        <w:trPr>
          <w:trHeight w:val="24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Austria GmbH</w:t>
            </w:r>
          </w:p>
        </w:tc>
        <w:tc>
          <w:tcPr>
            <w:tcW w:w="3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Austria</w:t>
            </w:r>
          </w:p>
        </w:tc>
      </w:tr>
      <w:tr>
        <w:trPr>
          <w:trHeight w:val="24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Colombia SAS</w:t>
            </w:r>
          </w:p>
        </w:tc>
        <w:tc>
          <w:tcPr>
            <w:tcW w:w="3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Colombia</w:t>
            </w:r>
          </w:p>
        </w:tc>
      </w:tr>
      <w:tr>
        <w:trPr>
          <w:trHeight w:val="24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Hong Kong Limited</w:t>
            </w:r>
          </w:p>
        </w:tc>
        <w:tc>
          <w:tcPr>
            <w:tcW w:w="3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Hong Kong</w:t>
            </w:r>
          </w:p>
        </w:tc>
      </w:tr>
      <w:tr>
        <w:trPr>
          <w:trHeight w:val="24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Beverage Company of South Africa (Proprietary) Limited</w:t>
            </w:r>
          </w:p>
        </w:tc>
        <w:tc>
          <w:tcPr>
            <w:tcW w:w="3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4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Ukraine LLC</w:t>
            </w:r>
          </w:p>
        </w:tc>
        <w:tc>
          <w:tcPr>
            <w:tcW w:w="3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Ukraine</w:t>
            </w:r>
          </w:p>
        </w:tc>
      </w:tr>
      <w:tr>
        <w:trPr>
          <w:trHeight w:val="24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Beverage Company Peru, S.R.L</w:t>
            </w:r>
          </w:p>
        </w:tc>
        <w:tc>
          <w:tcPr>
            <w:tcW w:w="3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Peru</w:t>
            </w:r>
          </w:p>
        </w:tc>
      </w:tr>
      <w:tr>
        <w:trPr>
          <w:trHeight w:val="24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Bebidas Ecuador Cia. Ltda</w:t>
            </w:r>
          </w:p>
        </w:tc>
        <w:tc>
          <w:tcPr>
            <w:tcW w:w="3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Ecuador</w:t>
            </w:r>
          </w:p>
        </w:tc>
      </w:tr>
      <w:tr>
        <w:trPr>
          <w:trHeight w:val="24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Argentina S.A.</w:t>
            </w:r>
          </w:p>
        </w:tc>
        <w:tc>
          <w:tcPr>
            <w:tcW w:w="3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Argentina</w:t>
            </w:r>
          </w:p>
        </w:tc>
      </w:tr>
      <w:tr>
        <w:trPr>
          <w:trHeight w:val="24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Peace Tea Beverage Company</w:t>
            </w:r>
          </w:p>
        </w:tc>
        <w:tc>
          <w:tcPr>
            <w:tcW w:w="3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NOS Energy Company</w:t>
            </w:r>
          </w:p>
        </w:tc>
        <w:tc>
          <w:tcPr>
            <w:tcW w:w="3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California</w:t>
            </w:r>
          </w:p>
        </w:tc>
      </w:tr>
      <w:tr>
        <w:trPr>
          <w:trHeight w:val="24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Full Throttle Energy Company</w:t>
            </w:r>
          </w:p>
        </w:tc>
        <w:tc>
          <w:tcPr>
            <w:tcW w:w="3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Monster Beverage Company</w:t>
            </w:r>
          </w:p>
        </w:tc>
        <w:tc>
          <w:tcPr>
            <w:tcW w:w="3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Connecticut</w:t>
            </w:r>
          </w:p>
        </w:tc>
      </w:tr>
      <w:tr>
        <w:trPr>
          <w:trHeight w:val="24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Hansen Natural Corporation</w:t>
            </w:r>
          </w:p>
        </w:tc>
        <w:tc>
          <w:tcPr>
            <w:tcW w:w="3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Singapore Pte. Ltd.</w:t>
            </w:r>
          </w:p>
        </w:tc>
        <w:tc>
          <w:tcPr>
            <w:tcW w:w="3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Singapore</w:t>
            </w:r>
          </w:p>
        </w:tc>
      </w:tr>
      <w:tr>
        <w:trPr>
          <w:trHeight w:val="24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Korea, Ltd.</w:t>
            </w:r>
          </w:p>
        </w:tc>
        <w:tc>
          <w:tcPr>
            <w:tcW w:w="3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Korea, South</w:t>
            </w:r>
          </w:p>
        </w:tc>
      </w:tr>
      <w:tr>
        <w:trPr>
          <w:trHeight w:val="24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Japan Godo Kaisha</w:t>
            </w:r>
          </w:p>
        </w:tc>
        <w:tc>
          <w:tcPr>
            <w:tcW w:w="3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Japan</w:t>
            </w:r>
          </w:p>
        </w:tc>
      </w:tr>
      <w:tr>
        <w:trPr>
          <w:trHeight w:val="24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Company-Chile-Limitada</w:t>
            </w:r>
          </w:p>
        </w:tc>
        <w:tc>
          <w:tcPr>
            <w:tcW w:w="3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Chile</w:t>
            </w:r>
          </w:p>
        </w:tc>
      </w:tr>
      <w:tr>
        <w:trPr>
          <w:trHeight w:val="24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Switzerland Holding GmbH</w:t>
            </w:r>
          </w:p>
        </w:tc>
        <w:tc>
          <w:tcPr>
            <w:tcW w:w="3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Switzerland</w:t>
            </w:r>
          </w:p>
        </w:tc>
      </w:tr>
      <w:tr>
        <w:trPr>
          <w:trHeight w:val="24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Energy Beverages Rus</w:t>
            </w:r>
          </w:p>
        </w:tc>
        <w:tc>
          <w:tcPr>
            <w:tcW w:w="3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Russia</w:t>
            </w:r>
          </w:p>
        </w:tc>
      </w:tr>
      <w:tr>
        <w:trPr>
          <w:trHeight w:val="361"/>
        </w:trPr>
        <w:tc>
          <w:tcPr>
            <w:tcW w:w="8060" w:type="dxa"/>
            <w:vAlign w:val="bottom"/>
            <w:tcBorders>
              <w:bottom w:val="single" w:sz="8" w:color="808080"/>
            </w:tcBorders>
          </w:tcPr>
          <w:p>
            <w:pPr>
              <w:spacing w:after="0"/>
              <w:rPr>
                <w:sz w:val="24"/>
                <w:szCs w:val="24"/>
                <w:color w:val="auto"/>
              </w:rPr>
            </w:pPr>
          </w:p>
        </w:tc>
        <w:tc>
          <w:tcPr>
            <w:tcW w:w="3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4" w:right="199" w:bottom="0" w:gutter="0" w:footer="0" w:header="0"/>
        </w:sect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Monster Energy Vietnam Company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Monster Energy India Private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Monster Energy PRC Holdings (HK)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Monster Energy Company (Taiwan)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Monster İçecek Ticaret Limited Şirketi</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Monster Energy Nigeria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Monster Energy SER doo Beograd-Vracar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Liability Company M Energy Rus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Monster Energy International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Rialto Renaissance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TC Corona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Energy Beverages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Energy Beverages Australia Pty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Monster Energy Beverage (Shanghai) Co.,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Monster Energy Costa Rica, Ltda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Monster Energy Company (Swaziland)(Proprietary)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Monster Beverage 1990 Corporation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Fruits &amp; Flavors LLC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Energy Beverages Europe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MEC Corona Summit III,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Vietnam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Hong Kong</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Taiwan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Turkey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Nigeria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Serbia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Russia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Rica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Swaziland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ectPr>
          <w:pgSz w:w="11900" w:h="16838" w:orient="portrait"/>
          <w:cols w:equalWidth="0" w:num="2">
            <w:col w:w="7860" w:space="720"/>
            <w:col w:w="2880"/>
          </w:cols>
          <w:pgMar w:left="240" w:top="114" w:right="199" w:bottom="0" w:gutter="0" w:footer="0" w:header="0"/>
          <w:type w:val="continuous"/>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20"/>
          <w:szCs w:val="20"/>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p>
      <w:pPr>
        <w:spacing w:after="0" w:line="2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consent to the incorporation by reference in Registration Statement No. 333-215326 and Post-Effective Amendment No. 1 to Registration Statement No. 333-41333, No. 333-89123, No. 333-112482, No. 333-131467, No. 333-170713 and No. 333-174614 and Post-Effective Amendment No. 2 to Registration Statement No. 033-92526 on Form S-8 of our reports dated February 29, 2016, relating to the consolidated financial statements and financial statement schedule of Monster Beverage Corporation and subsidiaries (the “Company”) and the effectiveness of the Company’s internal control over financial reporting, appearing in this Annual Report on Form 10-K of Monster Beverage Corporation and subsidiaries for the year ended December 31, 2016.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Costa Mesa</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California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0" w:name="page81"/>
    <w:bookmarkEnd w:id="80"/>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32" w:lineRule="exact"/>
        <w:rPr>
          <w:sz w:val="20"/>
          <w:szCs w:val="20"/>
          <w:color w:val="auto"/>
        </w:rPr>
      </w:pPr>
    </w:p>
    <w:p>
      <w:pPr>
        <w:jc w:val="center"/>
        <w:ind w:right="40"/>
        <w:spacing w:after="0" w:line="254" w:lineRule="auto"/>
        <w:rPr>
          <w:sz w:val="20"/>
          <w:szCs w:val="20"/>
          <w:color w:val="auto"/>
        </w:rPr>
      </w:pPr>
      <w:r>
        <w:rPr>
          <w:rFonts w:ascii="Times New Roman" w:cs="Times New Roman" w:eastAsia="Times New Roman" w:hAnsi="Times New Roman"/>
          <w:sz w:val="20"/>
          <w:szCs w:val="20"/>
          <w:color w:val="auto"/>
        </w:rPr>
        <w:t>CERTIFICATION PURSUANT TO RULE 13A-14(a) OR 15D-14(a) OF THE SECURITIES EXCHANGE ACT OF 1934, AS ADOPTED PURSUANT TO SECTION 302 OF THE SARBANES-OXLEY ACT OF 2002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Rodney Sacks, certify that:</w:t>
      </w:r>
    </w:p>
    <w:p>
      <w:pPr>
        <w:spacing w:after="0" w:line="229" w:lineRule="exact"/>
        <w:rPr>
          <w:sz w:val="20"/>
          <w:szCs w:val="20"/>
          <w:color w:val="auto"/>
        </w:rPr>
      </w:pPr>
    </w:p>
    <w:p>
      <w:pPr>
        <w:ind w:left="320" w:hanging="312"/>
        <w:spacing w:after="0"/>
        <w:tabs>
          <w:tab w:leader="none" w:pos="3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Monster Beverage Corporation;</w:t>
      </w:r>
    </w:p>
    <w:p>
      <w:pPr>
        <w:spacing w:after="0" w:line="229" w:lineRule="exact"/>
        <w:rPr>
          <w:rFonts w:ascii="Times New Roman" w:cs="Times New Roman" w:eastAsia="Times New Roman" w:hAnsi="Times New Roman"/>
          <w:sz w:val="20"/>
          <w:szCs w:val="20"/>
          <w:color w:val="auto"/>
        </w:rPr>
      </w:pPr>
    </w:p>
    <w:p>
      <w:pPr>
        <w:jc w:val="both"/>
        <w:ind w:left="340" w:right="40" w:hanging="332"/>
        <w:spacing w:after="0" w:line="254" w:lineRule="auto"/>
        <w:tabs>
          <w:tab w:leader="none" w:pos="43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20"/>
          <w:szCs w:val="20"/>
          <w:color w:val="auto"/>
        </w:rPr>
      </w:pPr>
    </w:p>
    <w:p>
      <w:pPr>
        <w:ind w:left="340" w:right="60" w:hanging="332"/>
        <w:spacing w:after="0" w:line="269" w:lineRule="auto"/>
        <w:tabs>
          <w:tab w:leader="none" w:pos="529"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20"/>
          <w:szCs w:val="20"/>
          <w:color w:val="auto"/>
        </w:rPr>
      </w:pPr>
    </w:p>
    <w:p>
      <w:pPr>
        <w:jc w:val="both"/>
        <w:ind w:left="340" w:right="40" w:hanging="332"/>
        <w:spacing w:after="0" w:line="254" w:lineRule="auto"/>
        <w:tabs>
          <w:tab w:leader="none" w:pos="502"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Times New Roman" w:cs="Times New Roman" w:eastAsia="Times New Roman" w:hAnsi="Times New Roman"/>
          <w:sz w:val="20"/>
          <w:szCs w:val="20"/>
          <w:color w:val="auto"/>
        </w:rPr>
      </w:pPr>
    </w:p>
    <w:p>
      <w:pPr>
        <w:jc w:val="both"/>
        <w:ind w:left="1620" w:right="40" w:hanging="315"/>
        <w:spacing w:after="0" w:line="254" w:lineRule="auto"/>
        <w:tabs>
          <w:tab w:leader="none" w:pos="1663"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Times New Roman" w:cs="Times New Roman" w:eastAsia="Times New Roman" w:hAnsi="Times New Roman"/>
          <w:sz w:val="20"/>
          <w:szCs w:val="20"/>
          <w:color w:val="auto"/>
        </w:rPr>
      </w:pPr>
    </w:p>
    <w:p>
      <w:pPr>
        <w:jc w:val="both"/>
        <w:ind w:left="1620" w:right="40" w:hanging="315"/>
        <w:spacing w:after="0" w:line="254" w:lineRule="auto"/>
        <w:tabs>
          <w:tab w:leader="none" w:pos="1863"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Times New Roman" w:cs="Times New Roman" w:eastAsia="Times New Roman" w:hAnsi="Times New Roman"/>
          <w:sz w:val="20"/>
          <w:szCs w:val="20"/>
          <w:color w:val="auto"/>
        </w:rPr>
      </w:pPr>
    </w:p>
    <w:p>
      <w:pPr>
        <w:jc w:val="both"/>
        <w:ind w:left="1620" w:right="40" w:hanging="315"/>
        <w:spacing w:after="0" w:line="254" w:lineRule="auto"/>
        <w:tabs>
          <w:tab w:leader="none" w:pos="2027"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20"/>
          <w:szCs w:val="20"/>
          <w:color w:val="auto"/>
        </w:rPr>
      </w:pPr>
    </w:p>
    <w:p>
      <w:pPr>
        <w:jc w:val="both"/>
        <w:ind w:left="1620" w:right="40" w:hanging="315"/>
        <w:spacing w:after="0" w:line="274" w:lineRule="auto"/>
        <w:tabs>
          <w:tab w:leader="none" w:pos="1809" w:val="left"/>
        </w:tabs>
        <w:numPr>
          <w:ilvl w:val="1"/>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Times New Roman" w:cs="Times New Roman" w:eastAsia="Times New Roman" w:hAnsi="Times New Roman"/>
          <w:sz w:val="19"/>
          <w:szCs w:val="19"/>
          <w:color w:val="auto"/>
        </w:rPr>
      </w:pPr>
    </w:p>
    <w:p>
      <w:pPr>
        <w:jc w:val="both"/>
        <w:ind w:left="340" w:right="40" w:hanging="332"/>
        <w:spacing w:after="0" w:line="254" w:lineRule="auto"/>
        <w:tabs>
          <w:tab w:leader="none" w:pos="542"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8" w:lineRule="exact"/>
        <w:rPr>
          <w:rFonts w:ascii="Times New Roman" w:cs="Times New Roman" w:eastAsia="Times New Roman" w:hAnsi="Times New Roman"/>
          <w:sz w:val="20"/>
          <w:szCs w:val="20"/>
          <w:color w:val="auto"/>
        </w:rPr>
      </w:pPr>
    </w:p>
    <w:p>
      <w:pPr>
        <w:jc w:val="both"/>
        <w:ind w:left="1620" w:right="40" w:hanging="315"/>
        <w:spacing w:after="0" w:line="254" w:lineRule="auto"/>
        <w:tabs>
          <w:tab w:leader="none" w:pos="1717"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20"/>
          <w:szCs w:val="20"/>
          <w:color w:val="auto"/>
        </w:rPr>
      </w:pPr>
    </w:p>
    <w:p>
      <w:pPr>
        <w:ind w:left="1620" w:right="40" w:hanging="315"/>
        <w:spacing w:after="0" w:line="269" w:lineRule="auto"/>
        <w:tabs>
          <w:tab w:leader="none" w:pos="1863"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50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March 1, 2017</w:t>
            </w:r>
          </w:p>
        </w:tc>
        <w:tc>
          <w:tcPr>
            <w:tcW w:w="5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/s/Rodney C. Sacks</w:t>
            </w:r>
          </w:p>
        </w:tc>
        <w:tc>
          <w:tcPr>
            <w:tcW w:w="40" w:type="dxa"/>
            <w:vAlign w:val="bottom"/>
          </w:tcPr>
          <w:p>
            <w:pPr>
              <w:spacing w:after="0"/>
              <w:rPr>
                <w:sz w:val="21"/>
                <w:szCs w:val="21"/>
                <w:color w:val="auto"/>
              </w:rPr>
            </w:pPr>
          </w:p>
        </w:tc>
      </w:tr>
      <w:tr>
        <w:trPr>
          <w:trHeight w:val="200"/>
        </w:trPr>
        <w:tc>
          <w:tcPr>
            <w:tcW w:w="74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5600" w:type="dxa"/>
            <w:vAlign w:val="bottom"/>
          </w:tcPr>
          <w:p>
            <w:pPr>
              <w:ind w:left="120"/>
              <w:spacing w:after="0" w:line="200" w:lineRule="exact"/>
              <w:rPr>
                <w:sz w:val="20"/>
                <w:szCs w:val="20"/>
                <w:color w:val="auto"/>
              </w:rPr>
            </w:pPr>
            <w:r>
              <w:rPr>
                <w:rFonts w:ascii="Times New Roman" w:cs="Times New Roman" w:eastAsia="Times New Roman" w:hAnsi="Times New Roman"/>
                <w:sz w:val="20"/>
                <w:szCs w:val="20"/>
                <w:color w:val="auto"/>
              </w:rPr>
              <w:t>Rodney C. Sacks</w:t>
            </w:r>
          </w:p>
        </w:tc>
        <w:tc>
          <w:tcPr>
            <w:tcW w:w="40" w:type="dxa"/>
            <w:vAlign w:val="bottom"/>
          </w:tcPr>
          <w:p>
            <w:pPr>
              <w:spacing w:after="0"/>
              <w:rPr>
                <w:sz w:val="17"/>
                <w:szCs w:val="17"/>
                <w:color w:val="auto"/>
              </w:rPr>
            </w:pPr>
          </w:p>
        </w:tc>
      </w:tr>
      <w:tr>
        <w:trPr>
          <w:trHeight w:val="230"/>
        </w:trPr>
        <w:tc>
          <w:tcPr>
            <w:tcW w:w="74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56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Chairman of the Board of Directors</w:t>
            </w:r>
          </w:p>
        </w:tc>
        <w:tc>
          <w:tcPr>
            <w:tcW w:w="40" w:type="dxa"/>
            <w:vAlign w:val="bottom"/>
          </w:tcPr>
          <w:p>
            <w:pPr>
              <w:spacing w:after="0"/>
              <w:rPr>
                <w:sz w:val="19"/>
                <w:szCs w:val="19"/>
                <w:color w:val="auto"/>
              </w:rPr>
            </w:pPr>
          </w:p>
        </w:tc>
      </w:tr>
      <w:tr>
        <w:trPr>
          <w:trHeight w:val="258"/>
        </w:trPr>
        <w:tc>
          <w:tcPr>
            <w:tcW w:w="740" w:type="dxa"/>
            <w:vAlign w:val="bottom"/>
          </w:tcPr>
          <w:p>
            <w:pPr>
              <w:spacing w:after="0"/>
              <w:rPr>
                <w:sz w:val="22"/>
                <w:szCs w:val="22"/>
                <w:color w:val="auto"/>
              </w:rPr>
            </w:pPr>
          </w:p>
        </w:tc>
        <w:tc>
          <w:tcPr>
            <w:tcW w:w="5080" w:type="dxa"/>
            <w:vAlign w:val="bottom"/>
          </w:tcPr>
          <w:p>
            <w:pPr>
              <w:spacing w:after="0"/>
              <w:rPr>
                <w:sz w:val="22"/>
                <w:szCs w:val="22"/>
                <w:color w:val="auto"/>
              </w:rPr>
            </w:pPr>
          </w:p>
        </w:tc>
        <w:tc>
          <w:tcPr>
            <w:tcW w:w="56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and Chief Executive Officer</w:t>
            </w:r>
          </w:p>
        </w:tc>
        <w:tc>
          <w:tcPr>
            <w:tcW w:w="40" w:type="dxa"/>
            <w:vAlign w:val="bottom"/>
          </w:tcPr>
          <w:p>
            <w:pPr>
              <w:spacing w:after="0"/>
              <w:rPr>
                <w:sz w:val="22"/>
                <w:szCs w:val="22"/>
                <w:color w:val="auto"/>
              </w:rPr>
            </w:pPr>
          </w:p>
        </w:tc>
      </w:tr>
      <w:tr>
        <w:trPr>
          <w:trHeight w:val="355"/>
        </w:trPr>
        <w:tc>
          <w:tcPr>
            <w:tcW w:w="740" w:type="dxa"/>
            <w:vAlign w:val="bottom"/>
            <w:tcBorders>
              <w:bottom w:val="single" w:sz="8" w:color="808080"/>
            </w:tcBorders>
          </w:tcPr>
          <w:p>
            <w:pPr>
              <w:spacing w:after="0"/>
              <w:rPr>
                <w:sz w:val="24"/>
                <w:szCs w:val="24"/>
                <w:color w:val="auto"/>
              </w:rPr>
            </w:pPr>
          </w:p>
        </w:tc>
        <w:tc>
          <w:tcPr>
            <w:tcW w:w="508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4" w:right="199" w:bottom="1440" w:gutter="0" w:footer="0" w:header="0"/>
        </w:sectPr>
      </w:pPr>
    </w:p>
    <w:bookmarkStart w:id="81" w:name="page82"/>
    <w:bookmarkEnd w:id="81"/>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32" w:lineRule="exact"/>
        <w:rPr>
          <w:sz w:val="20"/>
          <w:szCs w:val="20"/>
          <w:color w:val="auto"/>
        </w:rPr>
      </w:pPr>
    </w:p>
    <w:p>
      <w:pPr>
        <w:jc w:val="center"/>
        <w:ind w:right="40"/>
        <w:spacing w:after="0" w:line="254" w:lineRule="auto"/>
        <w:rPr>
          <w:sz w:val="20"/>
          <w:szCs w:val="20"/>
          <w:color w:val="auto"/>
        </w:rPr>
      </w:pPr>
      <w:r>
        <w:rPr>
          <w:rFonts w:ascii="Times New Roman" w:cs="Times New Roman" w:eastAsia="Times New Roman" w:hAnsi="Times New Roman"/>
          <w:sz w:val="20"/>
          <w:szCs w:val="20"/>
          <w:color w:val="auto"/>
        </w:rPr>
        <w:t>CERTIFICATION PURSUANT TO RULE 13A-14(a) OR 15D-14(a) OF THE SECURITIES EXCHANGE ACT OF 1934, AS ADOPTED PURSUANT TO SECTION 302 OF THE SARBANES-OXLEY ACT OF 2002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Hilton Schlosberg, certify that:</w:t>
      </w:r>
    </w:p>
    <w:p>
      <w:pPr>
        <w:spacing w:after="0" w:line="229" w:lineRule="exact"/>
        <w:rPr>
          <w:sz w:val="20"/>
          <w:szCs w:val="20"/>
          <w:color w:val="auto"/>
        </w:rPr>
      </w:pPr>
    </w:p>
    <w:p>
      <w:pPr>
        <w:ind w:left="320" w:hanging="312"/>
        <w:spacing w:after="0"/>
        <w:tabs>
          <w:tab w:leader="none" w:pos="3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Monster Beverage Corporation;</w:t>
      </w:r>
    </w:p>
    <w:p>
      <w:pPr>
        <w:spacing w:after="0" w:line="229" w:lineRule="exact"/>
        <w:rPr>
          <w:rFonts w:ascii="Times New Roman" w:cs="Times New Roman" w:eastAsia="Times New Roman" w:hAnsi="Times New Roman"/>
          <w:sz w:val="20"/>
          <w:szCs w:val="20"/>
          <w:color w:val="auto"/>
        </w:rPr>
      </w:pPr>
    </w:p>
    <w:p>
      <w:pPr>
        <w:jc w:val="both"/>
        <w:ind w:left="340" w:right="40" w:hanging="332"/>
        <w:spacing w:after="0" w:line="254" w:lineRule="auto"/>
        <w:tabs>
          <w:tab w:leader="none" w:pos="43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20"/>
          <w:szCs w:val="20"/>
          <w:color w:val="auto"/>
        </w:rPr>
      </w:pPr>
    </w:p>
    <w:p>
      <w:pPr>
        <w:ind w:left="340" w:right="60" w:hanging="332"/>
        <w:spacing w:after="0" w:line="269" w:lineRule="auto"/>
        <w:tabs>
          <w:tab w:leader="none" w:pos="529"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20"/>
          <w:szCs w:val="20"/>
          <w:color w:val="auto"/>
        </w:rPr>
      </w:pPr>
    </w:p>
    <w:p>
      <w:pPr>
        <w:jc w:val="both"/>
        <w:ind w:left="340" w:right="40" w:hanging="332"/>
        <w:spacing w:after="0" w:line="254" w:lineRule="auto"/>
        <w:tabs>
          <w:tab w:leader="none" w:pos="502"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Times New Roman" w:cs="Times New Roman" w:eastAsia="Times New Roman" w:hAnsi="Times New Roman"/>
          <w:sz w:val="20"/>
          <w:szCs w:val="20"/>
          <w:color w:val="auto"/>
        </w:rPr>
      </w:pPr>
    </w:p>
    <w:p>
      <w:pPr>
        <w:jc w:val="both"/>
        <w:ind w:left="1620" w:right="40" w:hanging="315"/>
        <w:spacing w:after="0" w:line="254" w:lineRule="auto"/>
        <w:tabs>
          <w:tab w:leader="none" w:pos="1663"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Times New Roman" w:cs="Times New Roman" w:eastAsia="Times New Roman" w:hAnsi="Times New Roman"/>
          <w:sz w:val="20"/>
          <w:szCs w:val="20"/>
          <w:color w:val="auto"/>
        </w:rPr>
      </w:pPr>
    </w:p>
    <w:p>
      <w:pPr>
        <w:jc w:val="both"/>
        <w:ind w:left="1620" w:right="40" w:hanging="315"/>
        <w:spacing w:after="0" w:line="254" w:lineRule="auto"/>
        <w:tabs>
          <w:tab w:leader="none" w:pos="1863"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Times New Roman" w:cs="Times New Roman" w:eastAsia="Times New Roman" w:hAnsi="Times New Roman"/>
          <w:sz w:val="20"/>
          <w:szCs w:val="20"/>
          <w:color w:val="auto"/>
        </w:rPr>
      </w:pPr>
    </w:p>
    <w:p>
      <w:pPr>
        <w:jc w:val="both"/>
        <w:ind w:left="1620" w:right="40" w:hanging="315"/>
        <w:spacing w:after="0" w:line="254" w:lineRule="auto"/>
        <w:tabs>
          <w:tab w:leader="none" w:pos="2027"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20"/>
          <w:szCs w:val="20"/>
          <w:color w:val="auto"/>
        </w:rPr>
      </w:pPr>
    </w:p>
    <w:p>
      <w:pPr>
        <w:jc w:val="both"/>
        <w:ind w:left="1620" w:right="40" w:hanging="315"/>
        <w:spacing w:after="0" w:line="274" w:lineRule="auto"/>
        <w:tabs>
          <w:tab w:leader="none" w:pos="1809" w:val="left"/>
        </w:tabs>
        <w:numPr>
          <w:ilvl w:val="1"/>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Times New Roman" w:cs="Times New Roman" w:eastAsia="Times New Roman" w:hAnsi="Times New Roman"/>
          <w:sz w:val="19"/>
          <w:szCs w:val="19"/>
          <w:color w:val="auto"/>
        </w:rPr>
      </w:pPr>
    </w:p>
    <w:p>
      <w:pPr>
        <w:jc w:val="both"/>
        <w:ind w:left="340" w:right="40" w:hanging="332"/>
        <w:spacing w:after="0" w:line="254" w:lineRule="auto"/>
        <w:tabs>
          <w:tab w:leader="none" w:pos="542"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8" w:lineRule="exact"/>
        <w:rPr>
          <w:rFonts w:ascii="Times New Roman" w:cs="Times New Roman" w:eastAsia="Times New Roman" w:hAnsi="Times New Roman"/>
          <w:sz w:val="20"/>
          <w:szCs w:val="20"/>
          <w:color w:val="auto"/>
        </w:rPr>
      </w:pPr>
    </w:p>
    <w:p>
      <w:pPr>
        <w:jc w:val="both"/>
        <w:ind w:left="1620" w:right="40" w:hanging="315"/>
        <w:spacing w:after="0" w:line="254" w:lineRule="auto"/>
        <w:tabs>
          <w:tab w:leader="none" w:pos="1717"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20"/>
          <w:szCs w:val="20"/>
          <w:color w:val="auto"/>
        </w:rPr>
      </w:pPr>
    </w:p>
    <w:p>
      <w:pPr>
        <w:ind w:left="1620" w:right="40" w:hanging="315"/>
        <w:spacing w:after="0" w:line="269" w:lineRule="auto"/>
        <w:tabs>
          <w:tab w:leader="none" w:pos="1863"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48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March 1, 2017</w:t>
            </w:r>
          </w:p>
        </w:tc>
        <w:tc>
          <w:tcPr>
            <w:tcW w:w="5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/s/ Hilton H. Schlosberg</w:t>
            </w:r>
          </w:p>
        </w:tc>
        <w:tc>
          <w:tcPr>
            <w:tcW w:w="40" w:type="dxa"/>
            <w:vAlign w:val="bottom"/>
          </w:tcPr>
          <w:p>
            <w:pPr>
              <w:spacing w:after="0"/>
              <w:rPr>
                <w:sz w:val="21"/>
                <w:szCs w:val="21"/>
                <w:color w:val="auto"/>
              </w:rPr>
            </w:pPr>
          </w:p>
        </w:tc>
      </w:tr>
      <w:tr>
        <w:trPr>
          <w:trHeight w:val="200"/>
        </w:trPr>
        <w:tc>
          <w:tcPr>
            <w:tcW w:w="84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5700" w:type="dxa"/>
            <w:vAlign w:val="bottom"/>
          </w:tcPr>
          <w:p>
            <w:pPr>
              <w:ind w:left="140"/>
              <w:spacing w:after="0" w:line="200" w:lineRule="exact"/>
              <w:rPr>
                <w:sz w:val="20"/>
                <w:szCs w:val="20"/>
                <w:color w:val="auto"/>
              </w:rPr>
            </w:pPr>
            <w:r>
              <w:rPr>
                <w:rFonts w:ascii="Times New Roman" w:cs="Times New Roman" w:eastAsia="Times New Roman" w:hAnsi="Times New Roman"/>
                <w:sz w:val="20"/>
                <w:szCs w:val="20"/>
                <w:color w:val="auto"/>
              </w:rPr>
              <w:t>Hilton H. Schlosberg</w:t>
            </w:r>
          </w:p>
        </w:tc>
        <w:tc>
          <w:tcPr>
            <w:tcW w:w="40" w:type="dxa"/>
            <w:vAlign w:val="bottom"/>
          </w:tcPr>
          <w:p>
            <w:pPr>
              <w:spacing w:after="0"/>
              <w:rPr>
                <w:sz w:val="17"/>
                <w:szCs w:val="17"/>
                <w:color w:val="auto"/>
              </w:rPr>
            </w:pPr>
          </w:p>
        </w:tc>
      </w:tr>
      <w:tr>
        <w:trPr>
          <w:trHeight w:val="230"/>
        </w:trPr>
        <w:tc>
          <w:tcPr>
            <w:tcW w:w="84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5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Vice Chairman of the Board of Directors,</w:t>
            </w:r>
          </w:p>
        </w:tc>
        <w:tc>
          <w:tcPr>
            <w:tcW w:w="40" w:type="dxa"/>
            <w:vAlign w:val="bottom"/>
          </w:tcPr>
          <w:p>
            <w:pPr>
              <w:spacing w:after="0"/>
              <w:rPr>
                <w:sz w:val="19"/>
                <w:szCs w:val="19"/>
                <w:color w:val="auto"/>
              </w:rPr>
            </w:pPr>
          </w:p>
        </w:tc>
      </w:tr>
      <w:tr>
        <w:trPr>
          <w:trHeight w:val="230"/>
        </w:trPr>
        <w:tc>
          <w:tcPr>
            <w:tcW w:w="84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5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President, Chief Operating Officer, Chief</w:t>
            </w:r>
          </w:p>
        </w:tc>
        <w:tc>
          <w:tcPr>
            <w:tcW w:w="40" w:type="dxa"/>
            <w:vAlign w:val="bottom"/>
          </w:tcPr>
          <w:p>
            <w:pPr>
              <w:spacing w:after="0"/>
              <w:rPr>
                <w:sz w:val="19"/>
                <w:szCs w:val="19"/>
                <w:color w:val="auto"/>
              </w:rPr>
            </w:pPr>
          </w:p>
        </w:tc>
      </w:tr>
      <w:tr>
        <w:trPr>
          <w:trHeight w:val="258"/>
        </w:trPr>
        <w:tc>
          <w:tcPr>
            <w:tcW w:w="84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5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Financial Officer and Secretary</w:t>
            </w:r>
          </w:p>
        </w:tc>
        <w:tc>
          <w:tcPr>
            <w:tcW w:w="40" w:type="dxa"/>
            <w:vAlign w:val="bottom"/>
          </w:tcPr>
          <w:p>
            <w:pPr>
              <w:spacing w:after="0"/>
              <w:rPr>
                <w:sz w:val="22"/>
                <w:szCs w:val="22"/>
                <w:color w:val="auto"/>
              </w:rPr>
            </w:pPr>
          </w:p>
        </w:tc>
      </w:tr>
      <w:tr>
        <w:trPr>
          <w:trHeight w:val="355"/>
        </w:trPr>
        <w:tc>
          <w:tcPr>
            <w:tcW w:w="840" w:type="dxa"/>
            <w:vAlign w:val="bottom"/>
            <w:tcBorders>
              <w:bottom w:val="single" w:sz="8" w:color="808080"/>
            </w:tcBorders>
          </w:tcPr>
          <w:p>
            <w:pPr>
              <w:spacing w:after="0"/>
              <w:rPr>
                <w:sz w:val="24"/>
                <w:szCs w:val="24"/>
                <w:color w:val="auto"/>
              </w:rPr>
            </w:pPr>
          </w:p>
        </w:tc>
        <w:tc>
          <w:tcPr>
            <w:tcW w:w="488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4" w:right="199" w:bottom="1440" w:gutter="0" w:footer="0" w:header="0"/>
        </w:sectPr>
      </w:pPr>
    </w:p>
    <w:bookmarkStart w:id="82" w:name="page83"/>
    <w:bookmarkEnd w:id="82"/>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CERTIFICATION PURSUANT TO</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18 U.S.C. SECTION 1350,</w:t>
      </w:r>
    </w:p>
    <w:p>
      <w:pPr>
        <w:jc w:val="center"/>
        <w:ind w:right="40"/>
        <w:spacing w:after="0"/>
        <w:rPr>
          <w:sz w:val="20"/>
          <w:szCs w:val="20"/>
          <w:color w:val="auto"/>
        </w:rPr>
      </w:pPr>
      <w:r>
        <w:rPr>
          <w:rFonts w:ascii="Times New Roman" w:cs="Times New Roman" w:eastAsia="Times New Roman" w:hAnsi="Times New Roman"/>
          <w:sz w:val="20"/>
          <w:szCs w:val="20"/>
          <w:color w:val="auto"/>
        </w:rPr>
        <w:t>AS ADOPTED PURSUANT TO</w:t>
      </w:r>
    </w:p>
    <w:p>
      <w:pPr>
        <w:jc w:val="center"/>
        <w:ind w:right="40"/>
        <w:spacing w:after="0"/>
        <w:rPr>
          <w:sz w:val="20"/>
          <w:szCs w:val="20"/>
          <w:color w:val="auto"/>
        </w:rPr>
      </w:pPr>
      <w:r>
        <w:rPr>
          <w:rFonts w:ascii="Times New Roman" w:cs="Times New Roman" w:eastAsia="Times New Roman" w:hAnsi="Times New Roman"/>
          <w:sz w:val="20"/>
          <w:szCs w:val="20"/>
          <w:color w:val="auto"/>
        </w:rPr>
        <w:t>SECTION 906 OF THE SARBANES-OXLEY ACT OF 2002</w:t>
      </w:r>
    </w:p>
    <w:p>
      <w:pPr>
        <w:spacing w:after="0" w:line="207"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In connection with the annual report of Monster Beverage Corporation (the “Company”) on Form 10-K for the year ended December 31, 2016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194" w:lineRule="exact"/>
        <w:rPr>
          <w:sz w:val="20"/>
          <w:szCs w:val="20"/>
          <w:color w:val="auto"/>
        </w:rPr>
      </w:pPr>
    </w:p>
    <w:p>
      <w:pPr>
        <w:ind w:left="960" w:hanging="304"/>
        <w:spacing w:after="0"/>
        <w:tabs>
          <w:tab w:leader="none" w:pos="9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29" w:lineRule="exact"/>
        <w:rPr>
          <w:rFonts w:ascii="Times New Roman" w:cs="Times New Roman" w:eastAsia="Times New Roman" w:hAnsi="Times New Roman"/>
          <w:sz w:val="20"/>
          <w:szCs w:val="20"/>
          <w:color w:val="auto"/>
        </w:rPr>
      </w:pPr>
    </w:p>
    <w:p>
      <w:pPr>
        <w:ind w:left="980" w:right="160" w:hanging="324"/>
        <w:spacing w:after="0" w:line="269" w:lineRule="auto"/>
        <w:tabs>
          <w:tab w:leader="none" w:pos="966"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48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March 1, 2017</w:t>
            </w:r>
          </w:p>
        </w:tc>
        <w:tc>
          <w:tcPr>
            <w:tcW w:w="5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/s/ Rodney C. Sacks</w:t>
            </w:r>
          </w:p>
        </w:tc>
        <w:tc>
          <w:tcPr>
            <w:tcW w:w="40" w:type="dxa"/>
            <w:vAlign w:val="bottom"/>
          </w:tcPr>
          <w:p>
            <w:pPr>
              <w:spacing w:after="0"/>
              <w:rPr>
                <w:sz w:val="21"/>
                <w:szCs w:val="21"/>
                <w:color w:val="auto"/>
              </w:rPr>
            </w:pPr>
          </w:p>
        </w:tc>
      </w:tr>
      <w:tr>
        <w:trPr>
          <w:trHeight w:val="200"/>
        </w:trPr>
        <w:tc>
          <w:tcPr>
            <w:tcW w:w="84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5700" w:type="dxa"/>
            <w:vAlign w:val="bottom"/>
          </w:tcPr>
          <w:p>
            <w:pPr>
              <w:ind w:left="140"/>
              <w:spacing w:after="0" w:line="200" w:lineRule="exact"/>
              <w:rPr>
                <w:sz w:val="20"/>
                <w:szCs w:val="20"/>
                <w:color w:val="auto"/>
              </w:rPr>
            </w:pPr>
            <w:r>
              <w:rPr>
                <w:rFonts w:ascii="Times New Roman" w:cs="Times New Roman" w:eastAsia="Times New Roman" w:hAnsi="Times New Roman"/>
                <w:sz w:val="20"/>
                <w:szCs w:val="20"/>
                <w:color w:val="auto"/>
              </w:rPr>
              <w:t>Rodney C. Sacks</w:t>
            </w:r>
          </w:p>
        </w:tc>
        <w:tc>
          <w:tcPr>
            <w:tcW w:w="40" w:type="dxa"/>
            <w:vAlign w:val="bottom"/>
          </w:tcPr>
          <w:p>
            <w:pPr>
              <w:spacing w:after="0"/>
              <w:rPr>
                <w:sz w:val="17"/>
                <w:szCs w:val="17"/>
                <w:color w:val="auto"/>
              </w:rPr>
            </w:pPr>
          </w:p>
        </w:tc>
      </w:tr>
      <w:tr>
        <w:trPr>
          <w:trHeight w:val="230"/>
        </w:trPr>
        <w:tc>
          <w:tcPr>
            <w:tcW w:w="84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5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Chairman of the Board of Directors</w:t>
            </w:r>
          </w:p>
        </w:tc>
        <w:tc>
          <w:tcPr>
            <w:tcW w:w="40" w:type="dxa"/>
            <w:vAlign w:val="bottom"/>
          </w:tcPr>
          <w:p>
            <w:pPr>
              <w:spacing w:after="0"/>
              <w:rPr>
                <w:sz w:val="19"/>
                <w:szCs w:val="19"/>
                <w:color w:val="auto"/>
              </w:rPr>
            </w:pPr>
          </w:p>
        </w:tc>
      </w:tr>
      <w:tr>
        <w:trPr>
          <w:trHeight w:val="258"/>
        </w:trPr>
        <w:tc>
          <w:tcPr>
            <w:tcW w:w="84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5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and Chief Executive Officer</w:t>
            </w:r>
          </w:p>
        </w:tc>
        <w:tc>
          <w:tcPr>
            <w:tcW w:w="40" w:type="dxa"/>
            <w:vAlign w:val="bottom"/>
          </w:tcPr>
          <w:p>
            <w:pPr>
              <w:spacing w:after="0"/>
              <w:rPr>
                <w:sz w:val="22"/>
                <w:szCs w:val="22"/>
                <w:color w:val="auto"/>
              </w:rPr>
            </w:pPr>
          </w:p>
        </w:tc>
      </w:tr>
      <w:tr>
        <w:trPr>
          <w:trHeight w:val="355"/>
        </w:trPr>
        <w:tc>
          <w:tcPr>
            <w:tcW w:w="840" w:type="dxa"/>
            <w:vAlign w:val="bottom"/>
            <w:tcBorders>
              <w:bottom w:val="single" w:sz="8" w:color="808080"/>
            </w:tcBorders>
          </w:tcPr>
          <w:p>
            <w:pPr>
              <w:spacing w:after="0"/>
              <w:rPr>
                <w:sz w:val="24"/>
                <w:szCs w:val="24"/>
                <w:color w:val="auto"/>
              </w:rPr>
            </w:pPr>
          </w:p>
        </w:tc>
        <w:tc>
          <w:tcPr>
            <w:tcW w:w="488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4" w:right="199" w:bottom="1440" w:gutter="0" w:footer="0" w:header="0"/>
        </w:sectPr>
      </w:pPr>
    </w:p>
    <w:bookmarkStart w:id="83" w:name="page84"/>
    <w:bookmarkEnd w:id="83"/>
    <w:p>
      <w:pPr>
        <w:jc w:val="right"/>
        <w:ind w:right="40"/>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CERTIFICATION PURSUANT TO</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18 U.S.C. SECTION 1350,</w:t>
      </w:r>
    </w:p>
    <w:p>
      <w:pPr>
        <w:jc w:val="center"/>
        <w:ind w:right="40"/>
        <w:spacing w:after="0"/>
        <w:rPr>
          <w:sz w:val="20"/>
          <w:szCs w:val="20"/>
          <w:color w:val="auto"/>
        </w:rPr>
      </w:pPr>
      <w:r>
        <w:rPr>
          <w:rFonts w:ascii="Times New Roman" w:cs="Times New Roman" w:eastAsia="Times New Roman" w:hAnsi="Times New Roman"/>
          <w:sz w:val="20"/>
          <w:szCs w:val="20"/>
          <w:color w:val="auto"/>
        </w:rPr>
        <w:t>AS ADOPTED PURSUANT TO</w:t>
      </w:r>
    </w:p>
    <w:p>
      <w:pPr>
        <w:jc w:val="center"/>
        <w:ind w:right="40"/>
        <w:spacing w:after="0"/>
        <w:rPr>
          <w:sz w:val="20"/>
          <w:szCs w:val="20"/>
          <w:color w:val="auto"/>
        </w:rPr>
      </w:pPr>
      <w:r>
        <w:rPr>
          <w:rFonts w:ascii="Times New Roman" w:cs="Times New Roman" w:eastAsia="Times New Roman" w:hAnsi="Times New Roman"/>
          <w:sz w:val="20"/>
          <w:szCs w:val="20"/>
          <w:color w:val="auto"/>
        </w:rPr>
        <w:t>SECTION 906 OF THE SARBANES-OXLEY ACT OF 2002</w:t>
      </w:r>
    </w:p>
    <w:p>
      <w:pPr>
        <w:spacing w:after="0" w:line="207"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In connection with the annual report of Monster Beverage Corporation (the “Company”) on Form 10-K for the year ended December 31, 2016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194" w:lineRule="exact"/>
        <w:rPr>
          <w:sz w:val="20"/>
          <w:szCs w:val="20"/>
          <w:color w:val="auto"/>
        </w:rPr>
      </w:pPr>
    </w:p>
    <w:p>
      <w:pPr>
        <w:ind w:left="960" w:hanging="304"/>
        <w:spacing w:after="0"/>
        <w:tabs>
          <w:tab w:leader="none" w:pos="9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29" w:lineRule="exact"/>
        <w:rPr>
          <w:rFonts w:ascii="Times New Roman" w:cs="Times New Roman" w:eastAsia="Times New Roman" w:hAnsi="Times New Roman"/>
          <w:sz w:val="20"/>
          <w:szCs w:val="20"/>
          <w:color w:val="auto"/>
        </w:rPr>
      </w:pPr>
    </w:p>
    <w:p>
      <w:pPr>
        <w:ind w:left="980" w:right="160" w:hanging="324"/>
        <w:spacing w:after="0" w:line="269" w:lineRule="auto"/>
        <w:tabs>
          <w:tab w:leader="none" w:pos="96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47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March 1, 2017</w:t>
            </w:r>
          </w:p>
        </w:tc>
        <w:tc>
          <w:tcPr>
            <w:tcW w:w="5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 Hilton H. Schlosberg</w:t>
            </w:r>
          </w:p>
        </w:tc>
        <w:tc>
          <w:tcPr>
            <w:tcW w:w="40" w:type="dxa"/>
            <w:vAlign w:val="bottom"/>
          </w:tcPr>
          <w:p>
            <w:pPr>
              <w:spacing w:after="0"/>
              <w:rPr>
                <w:sz w:val="21"/>
                <w:szCs w:val="21"/>
                <w:color w:val="auto"/>
              </w:rPr>
            </w:pPr>
          </w:p>
        </w:tc>
      </w:tr>
      <w:tr>
        <w:trPr>
          <w:trHeight w:val="200"/>
        </w:trPr>
        <w:tc>
          <w:tcPr>
            <w:tcW w:w="88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5820" w:type="dxa"/>
            <w:vAlign w:val="bottom"/>
          </w:tcPr>
          <w:p>
            <w:pPr>
              <w:ind w:left="120"/>
              <w:spacing w:after="0" w:line="200" w:lineRule="exact"/>
              <w:rPr>
                <w:sz w:val="20"/>
                <w:szCs w:val="20"/>
                <w:color w:val="auto"/>
              </w:rPr>
            </w:pPr>
            <w:r>
              <w:rPr>
                <w:rFonts w:ascii="Times New Roman" w:cs="Times New Roman" w:eastAsia="Times New Roman" w:hAnsi="Times New Roman"/>
                <w:sz w:val="20"/>
                <w:szCs w:val="20"/>
                <w:color w:val="auto"/>
              </w:rPr>
              <w:t>Hilton H. Schlosberg</w:t>
            </w:r>
          </w:p>
        </w:tc>
        <w:tc>
          <w:tcPr>
            <w:tcW w:w="40" w:type="dxa"/>
            <w:vAlign w:val="bottom"/>
          </w:tcPr>
          <w:p>
            <w:pPr>
              <w:spacing w:after="0"/>
              <w:rPr>
                <w:sz w:val="17"/>
                <w:szCs w:val="17"/>
                <w:color w:val="auto"/>
              </w:rPr>
            </w:pPr>
          </w:p>
        </w:tc>
      </w:tr>
      <w:tr>
        <w:trPr>
          <w:trHeight w:val="230"/>
        </w:trPr>
        <w:tc>
          <w:tcPr>
            <w:tcW w:w="88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Vice Chairman of the Board of Directors,</w:t>
            </w:r>
          </w:p>
        </w:tc>
        <w:tc>
          <w:tcPr>
            <w:tcW w:w="4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President, Chief Operating Officer, Chief</w:t>
            </w:r>
          </w:p>
        </w:tc>
        <w:tc>
          <w:tcPr>
            <w:tcW w:w="40" w:type="dxa"/>
            <w:vAlign w:val="bottom"/>
          </w:tcPr>
          <w:p>
            <w:pPr>
              <w:spacing w:after="0"/>
              <w:rPr>
                <w:sz w:val="19"/>
                <w:szCs w:val="19"/>
                <w:color w:val="auto"/>
              </w:rPr>
            </w:pPr>
          </w:p>
        </w:tc>
      </w:tr>
      <w:tr>
        <w:trPr>
          <w:trHeight w:val="258"/>
        </w:trPr>
        <w:tc>
          <w:tcPr>
            <w:tcW w:w="880" w:type="dxa"/>
            <w:vAlign w:val="bottom"/>
          </w:tcPr>
          <w:p>
            <w:pPr>
              <w:spacing w:after="0"/>
              <w:rPr>
                <w:sz w:val="22"/>
                <w:szCs w:val="22"/>
                <w:color w:val="auto"/>
              </w:rPr>
            </w:pPr>
          </w:p>
        </w:tc>
        <w:tc>
          <w:tcPr>
            <w:tcW w:w="4720" w:type="dxa"/>
            <w:vAlign w:val="bottom"/>
          </w:tcPr>
          <w:p>
            <w:pPr>
              <w:spacing w:after="0"/>
              <w:rPr>
                <w:sz w:val="22"/>
                <w:szCs w:val="22"/>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Financial Officer and Secretary</w:t>
            </w:r>
          </w:p>
        </w:tc>
        <w:tc>
          <w:tcPr>
            <w:tcW w:w="40" w:type="dxa"/>
            <w:vAlign w:val="bottom"/>
          </w:tcPr>
          <w:p>
            <w:pPr>
              <w:spacing w:after="0"/>
              <w:rPr>
                <w:sz w:val="22"/>
                <w:szCs w:val="22"/>
                <w:color w:val="auto"/>
              </w:rPr>
            </w:pPr>
          </w:p>
        </w:tc>
      </w:tr>
      <w:tr>
        <w:trPr>
          <w:trHeight w:val="355"/>
        </w:trPr>
        <w:tc>
          <w:tcPr>
            <w:tcW w:w="880" w:type="dxa"/>
            <w:vAlign w:val="bottom"/>
            <w:tcBorders>
              <w:bottom w:val="single" w:sz="8" w:color="808080"/>
            </w:tcBorders>
          </w:tcPr>
          <w:p>
            <w:pPr>
              <w:spacing w:after="0"/>
              <w:rPr>
                <w:sz w:val="24"/>
                <w:szCs w:val="24"/>
                <w:color w:val="auto"/>
              </w:rPr>
            </w:pPr>
          </w:p>
        </w:tc>
        <w:tc>
          <w:tcPr>
            <w:tcW w:w="4720" w:type="dxa"/>
            <w:vAlign w:val="bottom"/>
            <w:tcBorders>
              <w:bottom w:val="single" w:sz="8" w:color="808080"/>
            </w:tcBorders>
          </w:tcPr>
          <w:p>
            <w:pPr>
              <w:spacing w:after="0"/>
              <w:rPr>
                <w:sz w:val="24"/>
                <w:szCs w:val="24"/>
                <w:color w:val="auto"/>
              </w:rPr>
            </w:pPr>
          </w:p>
        </w:tc>
        <w:tc>
          <w:tcPr>
            <w:tcW w:w="58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08"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decimal"/>
      <w:start w:val="5"/>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1)"/>
      <w:numFmt w:val="lowerLetter"/>
      <w:start w:val="1"/>
    </w:lvl>
  </w:abstractNum>
  <w:abstractNum w:abstractNumId="5">
    <w:nsid w:val="7C3DBD3D"/>
    <w:multiLevelType w:val="hybridMultilevel"/>
    <w:lvl w:ilvl="0">
      <w:lvlJc w:val="left"/>
      <w:lvlText w:val="(%1)"/>
      <w:numFmt w:val="lowerLetter"/>
      <w:start w:val="2"/>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1)"/>
      <w:numFmt w:val="decimal"/>
      <w:start w:val="2"/>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1)"/>
      <w:numFmt w:val="lowerRoman"/>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1)"/>
      <w:numFmt w:val="decimal"/>
      <w:start w:val="1"/>
    </w:lvl>
  </w:abstractNum>
  <w:abstractNum w:abstractNumId="19">
    <w:nsid w:val="5C482A97"/>
    <w:multiLevelType w:val="hybridMultilevel"/>
    <w:lvl w:ilvl="0">
      <w:lvlJc w:val="left"/>
      <w:lvlText w:val="(%1)"/>
      <w:numFmt w:val="decimal"/>
      <w:start w:val="951"/>
    </w:lvl>
  </w:abstractNum>
  <w:abstractNum w:abstractNumId="20">
    <w:nsid w:val="2463B9EA"/>
    <w:multiLevelType w:val="hybridMultilevel"/>
    <w:lvl w:ilvl="0">
      <w:lvlJc w:val="left"/>
      <w:lvlText w:val="(%1)"/>
      <w:numFmt w:val="decimal"/>
      <w:start w:val="800"/>
    </w:lvl>
  </w:abstractNum>
  <w:abstractNum w:abstractNumId="21">
    <w:nsid w:val="5E884ADC"/>
    <w:multiLevelType w:val="hybridMultilevel"/>
    <w:lvl w:ilvl="0">
      <w:lvlJc w:val="left"/>
      <w:lvlText w:val="(%1)"/>
      <w:numFmt w:val="lowerLetter"/>
      <w:start w:val="3"/>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¹"/>
      <w:numFmt w:val="bullet"/>
      <w:start w:val="1"/>
    </w:lvl>
  </w:abstractNum>
  <w:abstractNum w:abstractNumId="25">
    <w:nsid w:val="153EA438"/>
    <w:multiLevelType w:val="hybridMultilevel"/>
    <w:lvl w:ilvl="0">
      <w:lvlJc w:val="left"/>
      <w:lvlText w:val="¹"/>
      <w:numFmt w:val="bullet"/>
      <w:start w:val="1"/>
    </w:lvl>
  </w:abstractNum>
  <w:abstractNum w:abstractNumId="26">
    <w:nsid w:val="3855585C"/>
    <w:multiLevelType w:val="hybridMultilevel"/>
    <w:lvl w:ilvl="0">
      <w:lvlJc w:val="left"/>
      <w:lvlText w:val="¹"/>
      <w:numFmt w:val="bullet"/>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1."/>
      <w:numFmt w:val="decimal"/>
      <w:start w:val="2"/>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1."/>
      <w:numFmt w:val="decimal"/>
      <w:start w:val="3"/>
    </w:lvl>
  </w:abstractNum>
  <w:abstractNum w:abstractNumId="31">
    <w:nsid w:val="725A06FB"/>
    <w:multiLevelType w:val="hybridMultilevel"/>
    <w:lvl w:ilvl="0">
      <w:lvlJc w:val="left"/>
      <w:lvlText w:val="%1."/>
      <w:numFmt w:val="decimal"/>
      <w:start w:val="4"/>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1."/>
      <w:numFmt w:val="decimal"/>
      <w:start w:val="5"/>
    </w:lvl>
  </w:abstractNum>
  <w:abstractNum w:abstractNumId="34">
    <w:nsid w:val="7A6D8D3C"/>
    <w:multiLevelType w:val="hybridMultilevel"/>
    <w:lvl w:ilvl="0">
      <w:lvlJc w:val="left"/>
      <w:lvlText w:val="%1."/>
      <w:numFmt w:val="decimal"/>
      <w:start w:val="6"/>
    </w:lvl>
  </w:abstractNum>
  <w:abstractNum w:abstractNumId="35">
    <w:nsid w:val="4B588F54"/>
    <w:multiLevelType w:val="hybridMultilevel"/>
    <w:lvl w:ilvl="0">
      <w:lvlJc w:val="left"/>
      <w:lvlText w:val="%1."/>
      <w:numFmt w:val="decimal"/>
      <w:start w:val="7"/>
    </w:lvl>
  </w:abstractNum>
  <w:abstractNum w:abstractNumId="36">
    <w:nsid w:val="542289EC"/>
    <w:multiLevelType w:val="hybridMultilevel"/>
    <w:lvl w:ilvl="0">
      <w:lvlJc w:val="left"/>
      <w:lvlText w:val="%1."/>
      <w:numFmt w:val="decimal"/>
      <w:start w:val="8"/>
    </w:lvl>
  </w:abstractNum>
  <w:abstractNum w:abstractNumId="37">
    <w:nsid w:val="6DE91B18"/>
    <w:multiLevelType w:val="hybridMultilevel"/>
    <w:lvl w:ilvl="0">
      <w:lvlJc w:val="left"/>
      <w:lvlText w:val="%1."/>
      <w:numFmt w:val="decimal"/>
      <w:start w:val="9"/>
    </w:lvl>
  </w:abstractNum>
  <w:abstractNum w:abstractNumId="38">
    <w:nsid w:val="38437FDB"/>
    <w:multiLevelType w:val="hybridMultilevel"/>
    <w:lvl w:ilvl="0">
      <w:lvlJc w:val="left"/>
      <w:lvlText w:val="%1."/>
      <w:numFmt w:val="decimal"/>
      <w:start w:val="10"/>
    </w:lvl>
  </w:abstractNum>
  <w:abstractNum w:abstractNumId="39">
    <w:nsid w:val="7644A45C"/>
    <w:multiLevelType w:val="hybridMultilevel"/>
    <w:lvl w:ilvl="0">
      <w:lvlJc w:val="left"/>
      <w:lvlText w:val="%1."/>
      <w:numFmt w:val="decimal"/>
      <w:start w:val="11"/>
    </w:lvl>
  </w:abstractNum>
  <w:abstractNum w:abstractNumId="40">
    <w:nsid w:val="32FFF902"/>
    <w:multiLevelType w:val="hybridMultilevel"/>
    <w:lvl w:ilvl="0">
      <w:lvlJc w:val="left"/>
      <w:lvlText w:val="(%1)"/>
      <w:numFmt w:val="lowerRoman"/>
      <w:start w:val="1"/>
    </w:lvl>
  </w:abstractNum>
  <w:abstractNum w:abstractNumId="41">
    <w:nsid w:val="684A481A"/>
    <w:multiLevelType w:val="hybridMultilevel"/>
    <w:lvl w:ilvl="0">
      <w:lvlJc w:val="left"/>
      <w:lvlText w:val="%1."/>
      <w:numFmt w:val="decimal"/>
      <w:start w:val="12"/>
    </w:lvl>
  </w:abstractNum>
  <w:abstractNum w:abstractNumId="42">
    <w:nsid w:val="579478FE"/>
    <w:multiLevelType w:val="hybridMultilevel"/>
    <w:lvl w:ilvl="0">
      <w:lvlJc w:val="left"/>
      <w:lvlText w:val="%1."/>
      <w:numFmt w:val="decimal"/>
      <w:start w:val="14"/>
    </w:lvl>
  </w:abstractNum>
  <w:abstractNum w:abstractNumId="43">
    <w:nsid w:val="749ABB43"/>
    <w:multiLevelType w:val="hybridMultilevel"/>
    <w:lvl w:ilvl="0">
      <w:lvlJc w:val="left"/>
      <w:lvlText w:val="%1."/>
      <w:numFmt w:val="decimal"/>
      <w:start w:val="15"/>
    </w:lvl>
  </w:abstractNum>
  <w:abstractNum w:abstractNumId="44">
    <w:nsid w:val="3DC240FB"/>
    <w:multiLevelType w:val="hybridMultilevel"/>
    <w:lvl w:ilvl="0">
      <w:lvlJc w:val="left"/>
      <w:lvlText w:val="%1."/>
      <w:numFmt w:val="decimal"/>
      <w:start w:val="16"/>
    </w:lvl>
  </w:abstractNum>
  <w:abstractNum w:abstractNumId="45">
    <w:nsid w:val="1BA026FA"/>
    <w:multiLevelType w:val="hybridMultilevel"/>
    <w:lvl w:ilvl="0">
      <w:lvlJc w:val="left"/>
      <w:lvlText w:val="%1."/>
      <w:numFmt w:val="decimal"/>
      <w:start w:val="17"/>
    </w:lvl>
  </w:abstractNum>
  <w:abstractNum w:abstractNumId="46">
    <w:nsid w:val="79A1DEAA"/>
    <w:multiLevelType w:val="hybridMultilevel"/>
    <w:lvl w:ilvl="0">
      <w:lvlJc w:val="left"/>
      <w:lvlText w:val="%1."/>
      <w:numFmt w:val="decimal"/>
      <w:start w:val="18"/>
    </w:lvl>
  </w:abstractNum>
  <w:abstractNum w:abstractNumId="47">
    <w:nsid w:val="75C6C33A"/>
    <w:multiLevelType w:val="hybridMultilevel"/>
    <w:lvl w:ilvl="0">
      <w:lvlJc w:val="left"/>
      <w:lvlText w:val="(%1)"/>
      <w:numFmt w:val="lowerRoman"/>
      <w:start w:val="2"/>
    </w:lvl>
  </w:abstractNum>
  <w:abstractNum w:abstractNumId="48">
    <w:nsid w:val="12E685FB"/>
    <w:multiLevelType w:val="hybridMultilevel"/>
    <w:lvl w:ilvl="0">
      <w:lvlJc w:val="left"/>
      <w:lvlText w:val="(%1)"/>
      <w:numFmt w:val="decimal"/>
      <w:start w:val="1"/>
    </w:lvl>
  </w:abstractNum>
  <w:abstractNum w:abstractNumId="49">
    <w:nsid w:val="70C6A529"/>
    <w:multiLevelType w:val="hybridMultilevel"/>
    <w:lvl w:ilvl="0">
      <w:lvlJc w:val="left"/>
      <w:lvlText w:val="%1."/>
      <w:numFmt w:val="decimal"/>
      <w:start w:val="19"/>
    </w:lvl>
  </w:abstractNum>
  <w:abstractNum w:abstractNumId="50">
    <w:nsid w:val="520EEDD1"/>
    <w:multiLevelType w:val="hybridMultilevel"/>
    <w:lvl w:ilvl="0">
      <w:lvlJc w:val="left"/>
      <w:lvlText w:val="%1."/>
      <w:numFmt w:val="decimal"/>
      <w:start w:val="20"/>
    </w:lvl>
  </w:abstractNum>
  <w:abstractNum w:abstractNumId="51">
    <w:nsid w:val="374A3FE6"/>
    <w:multiLevelType w:val="hybridMultilevel"/>
    <w:lvl w:ilvl="0">
      <w:lvlJc w:val="left"/>
      <w:lvlText w:val="%1."/>
      <w:numFmt w:val="decimal"/>
      <w:start w:val="2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2019-12-29T07:09:07Z</dcterms:created>
  <dcterms:modified xsi:type="dcterms:W3CDTF">2019-12-29T07:09:07Z</dcterms:modified>
</cp:coreProperties>
</file>