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spacing w:after="0"/>
        <w:tabs>
          <w:tab w:leader="none" w:pos="7700" w:val="left"/>
        </w:tabs>
        <w:rPr>
          <w:sz w:val="20"/>
          <w:szCs w:val="20"/>
          <w:color w:val="auto"/>
        </w:rPr>
      </w:pPr>
      <w:r>
        <w:rPr>
          <w:rFonts w:ascii="Arial" w:cs="Arial" w:eastAsia="Arial" w:hAnsi="Arial"/>
          <w:sz w:val="20"/>
          <w:szCs w:val="20"/>
          <w:color w:val="auto"/>
        </w:rPr>
        <w:t>For the quarterly period ended March 31, 2017</w:t>
      </w:r>
      <w:r>
        <w:rPr>
          <w:sz w:val="20"/>
          <w:szCs w:val="20"/>
          <w:color w:val="auto"/>
        </w:rPr>
        <w:tab/>
      </w:r>
      <w:r>
        <w:rPr>
          <w:rFonts w:ascii="Arial" w:cs="Arial" w:eastAsia="Arial" w:hAnsi="Arial"/>
          <w:sz w:val="18"/>
          <w:szCs w:val="18"/>
          <w:color w:val="auto"/>
        </w:rPr>
        <w:t xml:space="preserve">Commission File Number </w:t>
      </w:r>
      <w:r>
        <w:rPr>
          <w:rFonts w:ascii="Arial" w:cs="Arial" w:eastAsia="Arial" w:hAnsi="Arial"/>
          <w:sz w:val="19"/>
          <w:szCs w:val="19"/>
          <w:color w:val="auto"/>
        </w:rPr>
        <w:t>001-18761</w:t>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10" w:lineRule="exact"/>
        <w:rPr>
          <w:sz w:val="24"/>
          <w:szCs w:val="24"/>
          <w:color w:val="auto"/>
        </w:rPr>
      </w:pPr>
    </w:p>
    <w:p>
      <w:pPr>
        <w:jc w:val="center"/>
        <w:ind w:left="74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color w:val="auto"/>
        </w:rPr>
        <w:t>47-1809393</w:t>
      </w:r>
    </w:p>
    <w:p>
      <w:pPr>
        <w:spacing w:after="0" w:line="43" w:lineRule="exact"/>
        <w:rPr>
          <w:sz w:val="24"/>
          <w:szCs w:val="24"/>
          <w:color w:val="auto"/>
        </w:rPr>
      </w:pPr>
    </w:p>
    <w:p>
      <w:pPr>
        <w:sectPr>
          <w:pgSz w:w="11900" w:h="16838" w:orient="portrait"/>
          <w:cols w:equalWidth="0" w:num="2">
            <w:col w:w="5900" w:space="720"/>
            <w:col w:w="4800"/>
          </w:cols>
          <w:pgMar w:left="240" w:top="233" w:right="239" w:bottom="0" w:gutter="0" w:footer="0" w:header="0"/>
          <w:type w:val="continuous"/>
        </w:sectPr>
      </w:pPr>
    </w:p>
    <w:p>
      <w:pPr>
        <w:spacing w:after="0" w:line="12" w:lineRule="exact"/>
        <w:rPr>
          <w:sz w:val="24"/>
          <w:szCs w:val="24"/>
          <w:color w:val="auto"/>
        </w:rPr>
      </w:pPr>
    </w:p>
    <w:p>
      <w:pPr>
        <w:ind w:left="2940"/>
        <w:spacing w:after="0"/>
        <w:rPr>
          <w:sz w:val="20"/>
          <w:szCs w:val="20"/>
          <w:color w:val="auto"/>
        </w:rPr>
      </w:pPr>
      <w:r>
        <w:rPr>
          <w:rFonts w:ascii="Arial" w:cs="Arial" w:eastAsia="Arial" w:hAnsi="Arial"/>
          <w:sz w:val="13"/>
          <w:szCs w:val="13"/>
          <w:color w:val="auto"/>
        </w:rPr>
        <w:t>(State or other jurisdiction of</w:t>
      </w:r>
    </w:p>
    <w:p>
      <w:pPr>
        <w:ind w:left="294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5900" w:space="720"/>
            <w:col w:w="4800"/>
          </w:cols>
          <w:pgMar w:left="240" w:top="233" w:right="239" w:bottom="0" w:gutter="0" w:footer="0" w:header="0"/>
          <w:type w:val="continuous"/>
        </w:sect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 Monster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Corona, California 92879</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(951) 739 – 6200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jc w:val="center"/>
        <w:spacing w:after="0"/>
        <w:tabs>
          <w:tab w:leader="none" w:pos="18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2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00"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00" w:lineRule="exact"/>
        <w:rPr>
          <w:sz w:val="24"/>
          <w:szCs w:val="24"/>
          <w:color w:val="auto"/>
        </w:rPr>
      </w:pPr>
    </w:p>
    <w:p>
      <w:pPr>
        <w:spacing w:after="0" w:line="25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17" w:lineRule="exact"/>
        <w:rPr>
          <w:sz w:val="24"/>
          <w:szCs w:val="24"/>
          <w:color w:val="auto"/>
        </w:rPr>
      </w:pPr>
    </w:p>
    <w:p>
      <w:pPr>
        <w:sectPr>
          <w:pgSz w:w="11900" w:h="16838" w:orient="portrait"/>
          <w:cols w:equalWidth="0" w:num="2">
            <w:col w:w="6680" w:space="720"/>
            <w:col w:w="4020"/>
          </w:cols>
          <w:pgMar w:left="240" w:top="233" w:right="239" w:bottom="0" w:gutter="0" w:footer="0" w:header="0"/>
          <w:type w:val="continuous"/>
        </w:sectPr>
      </w:pPr>
    </w:p>
    <w:p>
      <w:pPr>
        <w:spacing w:after="0"/>
        <w:rPr>
          <w:sz w:val="20"/>
          <w:szCs w:val="20"/>
          <w:color w:val="auto"/>
        </w:rPr>
      </w:pPr>
      <w:r>
        <w:rPr>
          <w:rFonts w:ascii="Arial" w:cs="Arial" w:eastAsia="Arial" w:hAnsi="Arial"/>
          <w:sz w:val="18"/>
          <w:szCs w:val="18"/>
          <w:color w:val="auto"/>
        </w:rPr>
        <w:t>Non-accelerated filer o (Do not check if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222" w:lineRule="exact"/>
        <w:rPr>
          <w:sz w:val="24"/>
          <w:szCs w:val="24"/>
          <w:color w:val="auto"/>
        </w:rPr>
      </w:pPr>
    </w:p>
    <w:p>
      <w:pPr>
        <w:sectPr>
          <w:pgSz w:w="11900" w:h="16838" w:orient="portrait"/>
          <w:cols w:equalWidth="0" w:num="2">
            <w:col w:w="6680" w:space="720"/>
            <w:col w:w="4020"/>
          </w:cols>
          <w:pgMar w:left="240" w:top="233" w:right="239" w:bottom="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ectPr>
          <w:pgSz w:w="11900" w:h="16838" w:orient="portrait"/>
          <w:cols w:equalWidth="0" w:num="1">
            <w:col w:w="11420"/>
          </w:cols>
          <w:pgMar w:left="240" w:top="233" w:right="239" w:bottom="0" w:gutter="0" w:footer="0" w:header="0"/>
          <w:type w:val="continuous"/>
        </w:sectPr>
      </w:pPr>
    </w:p>
    <w:p>
      <w:pPr>
        <w:spacing w:after="0" w:line="252" w:lineRule="exact"/>
        <w:rPr>
          <w:sz w:val="24"/>
          <w:szCs w:val="24"/>
          <w:color w:val="auto"/>
        </w:rPr>
      </w:pPr>
    </w:p>
    <w:p>
      <w:pPr>
        <w:ind w:firstLine="648"/>
        <w:spacing w:after="0" w:line="287"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6"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2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20"/>
          <w:szCs w:val="20"/>
          <w:color w:val="auto"/>
        </w:rPr>
        <w:t>The Registrant had 567,811,810 shares of common stock, par value $0.005 per share, outstanding as of April 24,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33" w:right="23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20"/>
          <w:szCs w:val="20"/>
          <w:b w:val="1"/>
          <w:bCs w:val="1"/>
          <w:u w:val="single" w:color="auto"/>
          <w:color w:val="auto"/>
        </w:rPr>
        <w:t>MONSTER BEVERAGE CORPORATION AND SUBSIDIARIES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u w:val="single" w:color="auto"/>
          <w:color w:val="auto"/>
        </w:rPr>
        <w:t>MARCH 31, 2017</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0" w:type="dxa"/>
            <w:vAlign w:val="bottom"/>
            <w:tcBorders>
              <w:bottom w:val="single" w:sz="8" w:color="auto"/>
            </w:tcBorders>
            <w:gridSpan w:val="3"/>
          </w:tcPr>
          <w:p>
            <w:pPr>
              <w:spacing w:after="0"/>
              <w:rPr>
                <w:sz w:val="20"/>
                <w:szCs w:val="20"/>
                <w:color w:val="auto"/>
              </w:rPr>
            </w:pPr>
            <w:r>
              <w:rPr>
                <w:rFonts w:ascii="Arial" w:cs="Arial" w:eastAsia="Arial" w:hAnsi="Arial"/>
                <w:sz w:val="20"/>
                <w:szCs w:val="20"/>
                <w:b w:val="1"/>
                <w:bCs w:val="1"/>
                <w:color w:val="auto"/>
              </w:rPr>
              <w:t>INDEX</w:t>
            </w:r>
          </w:p>
        </w:tc>
        <w:tc>
          <w:tcPr>
            <w:tcW w:w="4620" w:type="dxa"/>
            <w:vAlign w:val="bottom"/>
            <w:gridSpan w:val="6"/>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42"/>
        </w:trPr>
        <w:tc>
          <w:tcPr>
            <w:tcW w:w="560" w:type="dxa"/>
            <w:vAlign w:val="bottom"/>
          </w:tcPr>
          <w:p>
            <w:pPr>
              <w:spacing w:after="0"/>
              <w:rPr>
                <w:rFonts w:ascii="Arial" w:cs="Arial" w:eastAsia="Arial" w:hAnsi="Arial"/>
                <w:sz w:val="20"/>
                <w:szCs w:val="20"/>
                <w:b w:val="1"/>
                <w:bCs w:val="1"/>
                <w:color w:val="0000EE"/>
                <w:w w:val="97"/>
              </w:rPr>
            </w:pPr>
            <w:hyperlink w:anchor="page2">
              <w:r>
                <w:rPr>
                  <w:rFonts w:ascii="Arial" w:cs="Arial" w:eastAsia="Arial" w:hAnsi="Arial"/>
                  <w:sz w:val="20"/>
                  <w:szCs w:val="20"/>
                  <w:b w:val="1"/>
                  <w:bCs w:val="1"/>
                  <w:color w:val="0000EE"/>
                  <w:w w:val="97"/>
                </w:rPr>
                <w:t>Part I.</w:t>
              </w:r>
            </w:hyperlink>
          </w:p>
        </w:tc>
        <w:tc>
          <w:tcPr>
            <w:tcW w:w="700" w:type="dxa"/>
            <w:vAlign w:val="bottom"/>
            <w:gridSpan w:val="3"/>
          </w:tcPr>
          <w:p>
            <w:pPr>
              <w:spacing w:after="0"/>
              <w:rPr>
                <w:sz w:val="24"/>
                <w:szCs w:val="24"/>
                <w:color w:val="auto"/>
              </w:rPr>
            </w:pPr>
          </w:p>
        </w:tc>
        <w:tc>
          <w:tcPr>
            <w:tcW w:w="2640" w:type="dxa"/>
            <w:vAlign w:val="bottom"/>
            <w:gridSpan w:val="9"/>
          </w:tcPr>
          <w:p>
            <w:pPr>
              <w:spacing w:after="0"/>
              <w:rPr>
                <w:rFonts w:ascii="Arial" w:cs="Arial" w:eastAsia="Arial" w:hAnsi="Arial"/>
                <w:sz w:val="20"/>
                <w:szCs w:val="20"/>
                <w:b w:val="1"/>
                <w:bCs w:val="1"/>
                <w:color w:val="0000EE"/>
              </w:rPr>
            </w:pPr>
            <w:hyperlink w:anchor="page2">
              <w:r>
                <w:rPr>
                  <w:rFonts w:ascii="Arial" w:cs="Arial" w:eastAsia="Arial" w:hAnsi="Arial"/>
                  <w:sz w:val="20"/>
                  <w:szCs w:val="20"/>
                  <w:b w:val="1"/>
                  <w:bCs w:val="1"/>
                  <w:color w:val="0000EE"/>
                </w:rPr>
                <w:t>FINANCIAL INFORMATION</w:t>
              </w:r>
            </w:hyperlink>
          </w:p>
        </w:tc>
        <w:tc>
          <w:tcPr>
            <w:tcW w:w="6780" w:type="dxa"/>
            <w:vAlign w:val="bottom"/>
            <w:gridSpan w:val="10"/>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w w:val="84"/>
              </w:rPr>
              <w:t>Page No.</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260" w:type="dxa"/>
            <w:vAlign w:val="bottom"/>
            <w:gridSpan w:val="4"/>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Item 1.</w:t>
              </w:r>
            </w:hyperlink>
          </w:p>
        </w:tc>
        <w:tc>
          <w:tcPr>
            <w:tcW w:w="9420" w:type="dxa"/>
            <w:vAlign w:val="bottom"/>
            <w:gridSpan w:val="19"/>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Condensed Consolidated Financial Statements (Unaudited)</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20" w:type="dxa"/>
            <w:vAlign w:val="bottom"/>
            <w:gridSpan w:val="19"/>
          </w:tcPr>
          <w:p>
            <w:pPr>
              <w:spacing w:after="0"/>
              <w:rPr>
                <w:rFonts w:ascii="Arial" w:cs="Arial" w:eastAsia="Arial" w:hAnsi="Arial"/>
                <w:sz w:val="20"/>
                <w:szCs w:val="20"/>
                <w:color w:val="0000EE"/>
              </w:rPr>
            </w:pPr>
            <w:hyperlink w:anchor="page2">
              <w:r>
                <w:rPr>
                  <w:rFonts w:ascii="Arial" w:cs="Arial" w:eastAsia="Arial" w:hAnsi="Arial"/>
                  <w:sz w:val="20"/>
                  <w:szCs w:val="20"/>
                  <w:color w:val="0000EE"/>
                </w:rPr>
                <w:t>Condensed Consolidated Balance Sheets as of March 31, 2017 and December 31, 2016</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3</w:t>
            </w:r>
          </w:p>
        </w:tc>
      </w:tr>
      <w:tr>
        <w:trPr>
          <w:trHeight w:val="20"/>
        </w:trPr>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60" w:type="dxa"/>
            <w:vAlign w:val="bottom"/>
            <w:tcBorders>
              <w:bottom w:val="single" w:sz="8" w:color="0000EE"/>
            </w:tcBorders>
            <w:gridSpan w:val="16"/>
          </w:tcPr>
          <w:p>
            <w:pPr>
              <w:spacing w:after="0"/>
              <w:rPr>
                <w:rFonts w:ascii="Arial" w:cs="Arial" w:eastAsia="Arial" w:hAnsi="Arial"/>
                <w:sz w:val="20"/>
                <w:szCs w:val="20"/>
                <w:color w:val="0000EE"/>
                <w:w w:val="89"/>
              </w:rPr>
            </w:pPr>
            <w:hyperlink w:anchor="page3">
              <w:r>
                <w:rPr>
                  <w:rFonts w:ascii="Arial" w:cs="Arial" w:eastAsia="Arial" w:hAnsi="Arial"/>
                  <w:sz w:val="20"/>
                  <w:szCs w:val="20"/>
                  <w:color w:val="0000EE"/>
                  <w:w w:val="89"/>
                </w:rPr>
                <w:t>Condensed Consolidated Statements of Income for the Three-Months Ended March 31, 2017 and 2016</w:t>
              </w:r>
            </w:hyperlink>
          </w:p>
        </w:tc>
        <w:tc>
          <w:tcPr>
            <w:tcW w:w="1260" w:type="dxa"/>
            <w:vAlign w:val="bottom"/>
            <w:gridSpan w:val="3"/>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20" w:type="dxa"/>
            <w:vAlign w:val="bottom"/>
            <w:gridSpan w:val="19"/>
          </w:tcPr>
          <w:p>
            <w:pPr>
              <w:spacing w:after="0"/>
              <w:rPr>
                <w:rFonts w:ascii="Arial" w:cs="Arial" w:eastAsia="Arial" w:hAnsi="Arial"/>
                <w:sz w:val="20"/>
                <w:szCs w:val="20"/>
                <w:color w:val="0000EE"/>
                <w:w w:val="93"/>
              </w:rPr>
            </w:pPr>
            <w:hyperlink w:anchor="page4">
              <w:r>
                <w:rPr>
                  <w:rFonts w:ascii="Arial" w:cs="Arial" w:eastAsia="Arial" w:hAnsi="Arial"/>
                  <w:sz w:val="20"/>
                  <w:szCs w:val="20"/>
                  <w:color w:val="0000EE"/>
                  <w:w w:val="93"/>
                </w:rPr>
                <w:t>Condensed Consolidated Statements of Comprehensive Income for the Three-Months Ended March 31, 2017 and</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5</w:t>
            </w:r>
          </w:p>
        </w:tc>
      </w:tr>
      <w:tr>
        <w:trPr>
          <w:trHeight w:val="210"/>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5"/>
              </w:rPr>
            </w:pPr>
            <w:hyperlink w:anchor="page4">
              <w:r>
                <w:rPr>
                  <w:rFonts w:ascii="Arial" w:cs="Arial" w:eastAsia="Arial" w:hAnsi="Arial"/>
                  <w:sz w:val="20"/>
                  <w:szCs w:val="20"/>
                  <w:color w:val="0000EE"/>
                  <w:w w:val="85"/>
                </w:rPr>
                <w:t>2016</w:t>
              </w:r>
            </w:hyperlink>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20" w:type="dxa"/>
            <w:vAlign w:val="bottom"/>
            <w:gridSpan w:val="19"/>
          </w:tcPr>
          <w:p>
            <w:pPr>
              <w:spacing w:after="0"/>
              <w:rPr>
                <w:rFonts w:ascii="Arial" w:cs="Arial" w:eastAsia="Arial" w:hAnsi="Arial"/>
                <w:sz w:val="20"/>
                <w:szCs w:val="20"/>
                <w:color w:val="0000EE"/>
                <w:w w:val="98"/>
              </w:rPr>
            </w:pPr>
            <w:hyperlink w:anchor="page4">
              <w:r>
                <w:rPr>
                  <w:rFonts w:ascii="Arial" w:cs="Arial" w:eastAsia="Arial" w:hAnsi="Arial"/>
                  <w:sz w:val="20"/>
                  <w:szCs w:val="20"/>
                  <w:color w:val="0000EE"/>
                  <w:w w:val="98"/>
                </w:rPr>
                <w:t>Condensed Consolidated Statements of Cash Flows for the Three-Months Ended March 31, 2017 and 2016</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6</w:t>
            </w: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0" w:type="dxa"/>
            <w:vAlign w:val="bottom"/>
            <w:tcBorders>
              <w:top w:val="single" w:sz="8" w:color="0000EE"/>
              <w:bottom w:val="single" w:sz="8" w:color="0000EE"/>
            </w:tcBorders>
            <w:gridSpan w:val="11"/>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Notes to Condensed Consolidated Financial Statements</w:t>
              </w:r>
            </w:hyperlink>
          </w:p>
        </w:tc>
        <w:tc>
          <w:tcPr>
            <w:tcW w:w="4080" w:type="dxa"/>
            <w:vAlign w:val="bottom"/>
            <w:tcBorders>
              <w:top w:val="single" w:sz="8" w:color="0000EE"/>
            </w:tcBorders>
            <w:gridSpan w:val="6"/>
          </w:tcPr>
          <w:p>
            <w:pPr>
              <w:spacing w:after="0"/>
              <w:rPr>
                <w:sz w:val="24"/>
                <w:szCs w:val="24"/>
                <w:color w:val="auto"/>
              </w:rPr>
            </w:pPr>
          </w:p>
        </w:tc>
        <w:tc>
          <w:tcPr>
            <w:tcW w:w="940" w:type="dxa"/>
            <w:vAlign w:val="bottom"/>
            <w:gridSpan w:val="2"/>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8</w:t>
            </w:r>
          </w:p>
        </w:tc>
      </w:tr>
      <w:tr>
        <w:trPr>
          <w:trHeight w:val="439"/>
        </w:trPr>
        <w:tc>
          <w:tcPr>
            <w:tcW w:w="1260" w:type="dxa"/>
            <w:vAlign w:val="bottom"/>
            <w:gridSpan w:val="4"/>
          </w:tcPr>
          <w:p>
            <w:pPr>
              <w:spacing w:after="0"/>
              <w:rPr>
                <w:rFonts w:ascii="Arial" w:cs="Arial" w:eastAsia="Arial" w:hAnsi="Arial"/>
                <w:sz w:val="20"/>
                <w:szCs w:val="20"/>
                <w:color w:val="0000EE"/>
              </w:rPr>
            </w:pPr>
            <w:hyperlink w:anchor="page17">
              <w:r>
                <w:rPr>
                  <w:rFonts w:ascii="Arial" w:cs="Arial" w:eastAsia="Arial" w:hAnsi="Arial"/>
                  <w:sz w:val="20"/>
                  <w:szCs w:val="20"/>
                  <w:color w:val="0000EE"/>
                </w:rPr>
                <w:t>Item 2.</w:t>
              </w:r>
            </w:hyperlink>
          </w:p>
        </w:tc>
        <w:tc>
          <w:tcPr>
            <w:tcW w:w="9420" w:type="dxa"/>
            <w:vAlign w:val="bottom"/>
            <w:gridSpan w:val="19"/>
          </w:tcPr>
          <w:p>
            <w:pPr>
              <w:spacing w:after="0"/>
              <w:rPr>
                <w:rFonts w:ascii="Arial" w:cs="Arial" w:eastAsia="Arial" w:hAnsi="Arial"/>
                <w:sz w:val="20"/>
                <w:szCs w:val="20"/>
                <w:color w:val="0000EE"/>
              </w:rPr>
            </w:pPr>
            <w:hyperlink w:anchor="page17">
              <w:r>
                <w:rPr>
                  <w:rFonts w:ascii="Arial" w:cs="Arial" w:eastAsia="Arial" w:hAnsi="Arial"/>
                  <w:sz w:val="20"/>
                  <w:szCs w:val="20"/>
                  <w:color w:val="0000EE"/>
                </w:rPr>
                <w:t>Management’s Discussion and Analysis of Financial Condition and Results of Operations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25</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40" w:type="dxa"/>
            <w:vAlign w:val="bottom"/>
            <w:tcBorders>
              <w:right w:val="single" w:sz="8" w:color="0000EE"/>
            </w:tcBorders>
            <w:gridSpan w:val="5"/>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260" w:type="dxa"/>
            <w:vAlign w:val="bottom"/>
            <w:gridSpan w:val="4"/>
          </w:tcPr>
          <w:p>
            <w:pPr>
              <w:spacing w:after="0"/>
              <w:rPr>
                <w:rFonts w:ascii="Arial" w:cs="Arial" w:eastAsia="Arial" w:hAnsi="Arial"/>
                <w:sz w:val="20"/>
                <w:szCs w:val="20"/>
                <w:color w:val="0000EE"/>
              </w:rPr>
            </w:pPr>
            <w:hyperlink w:anchor="page27">
              <w:r>
                <w:rPr>
                  <w:rFonts w:ascii="Arial" w:cs="Arial" w:eastAsia="Arial" w:hAnsi="Arial"/>
                  <w:sz w:val="20"/>
                  <w:szCs w:val="20"/>
                  <w:color w:val="0000EE"/>
                </w:rPr>
                <w:t>Item 3.</w:t>
              </w:r>
            </w:hyperlink>
          </w:p>
        </w:tc>
        <w:tc>
          <w:tcPr>
            <w:tcW w:w="9420" w:type="dxa"/>
            <w:vAlign w:val="bottom"/>
            <w:gridSpan w:val="19"/>
          </w:tcPr>
          <w:p>
            <w:pPr>
              <w:spacing w:after="0"/>
              <w:rPr>
                <w:rFonts w:ascii="Arial" w:cs="Arial" w:eastAsia="Arial" w:hAnsi="Arial"/>
                <w:sz w:val="20"/>
                <w:szCs w:val="20"/>
                <w:color w:val="0000EE"/>
              </w:rPr>
            </w:pPr>
            <w:hyperlink w:anchor="page27">
              <w:r>
                <w:rPr>
                  <w:rFonts w:ascii="Arial" w:cs="Arial" w:eastAsia="Arial" w:hAnsi="Arial"/>
                  <w:sz w:val="20"/>
                  <w:szCs w:val="20"/>
                  <w:color w:val="0000EE"/>
                </w:rPr>
                <w:t>Quantitative and Qualitative Disclosures About Market Risk</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39</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40" w:type="dxa"/>
            <w:vAlign w:val="bottom"/>
            <w:tcBorders>
              <w:right w:val="single" w:sz="8" w:color="0000EE"/>
            </w:tcBorders>
            <w:gridSpan w:val="5"/>
            <w:shd w:val="clear" w:color="auto" w:fill="0000EE"/>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260" w:type="dxa"/>
            <w:vAlign w:val="bottom"/>
            <w:gridSpan w:val="4"/>
          </w:tcPr>
          <w:p>
            <w:pPr>
              <w:spacing w:after="0"/>
              <w:rPr>
                <w:rFonts w:ascii="Arial" w:cs="Arial" w:eastAsia="Arial" w:hAnsi="Arial"/>
                <w:sz w:val="20"/>
                <w:szCs w:val="20"/>
                <w:color w:val="0000EE"/>
              </w:rPr>
            </w:pPr>
            <w:hyperlink w:anchor="page27">
              <w:r>
                <w:rPr>
                  <w:rFonts w:ascii="Arial" w:cs="Arial" w:eastAsia="Arial" w:hAnsi="Arial"/>
                  <w:sz w:val="20"/>
                  <w:szCs w:val="20"/>
                  <w:color w:val="0000EE"/>
                </w:rPr>
                <w:t>Item 4.</w:t>
              </w:r>
            </w:hyperlink>
          </w:p>
        </w:tc>
        <w:tc>
          <w:tcPr>
            <w:tcW w:w="9420" w:type="dxa"/>
            <w:vAlign w:val="bottom"/>
            <w:gridSpan w:val="19"/>
          </w:tcPr>
          <w:p>
            <w:pPr>
              <w:spacing w:after="0"/>
              <w:rPr>
                <w:rFonts w:ascii="Arial" w:cs="Arial" w:eastAsia="Arial" w:hAnsi="Arial"/>
                <w:sz w:val="20"/>
                <w:szCs w:val="20"/>
                <w:color w:val="0000EE"/>
              </w:rPr>
            </w:pPr>
            <w:hyperlink w:anchor="page27">
              <w:r>
                <w:rPr>
                  <w:rFonts w:ascii="Arial" w:cs="Arial" w:eastAsia="Arial" w:hAnsi="Arial"/>
                  <w:sz w:val="20"/>
                  <w:szCs w:val="20"/>
                  <w:color w:val="0000EE"/>
                </w:rPr>
                <w:t>Controls and Procedures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39</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640" w:type="dxa"/>
            <w:vAlign w:val="bottom"/>
            <w:gridSpan w:val="2"/>
          </w:tcPr>
          <w:p>
            <w:pPr>
              <w:spacing w:after="0"/>
              <w:rPr>
                <w:rFonts w:ascii="Arial" w:cs="Arial" w:eastAsia="Arial" w:hAnsi="Arial"/>
                <w:sz w:val="20"/>
                <w:szCs w:val="20"/>
                <w:b w:val="1"/>
                <w:bCs w:val="1"/>
                <w:color w:val="0000EE"/>
              </w:rPr>
            </w:pPr>
            <w:hyperlink w:anchor="page28">
              <w:r>
                <w:rPr>
                  <w:rFonts w:ascii="Arial" w:cs="Arial" w:eastAsia="Arial" w:hAnsi="Arial"/>
                  <w:sz w:val="20"/>
                  <w:szCs w:val="20"/>
                  <w:b w:val="1"/>
                  <w:bCs w:val="1"/>
                  <w:color w:val="0000EE"/>
                </w:rPr>
                <w:t>Part II.</w:t>
              </w:r>
            </w:hyperlink>
          </w:p>
        </w:tc>
        <w:tc>
          <w:tcPr>
            <w:tcW w:w="620" w:type="dxa"/>
            <w:vAlign w:val="bottom"/>
            <w:gridSpan w:val="2"/>
          </w:tcPr>
          <w:p>
            <w:pPr>
              <w:spacing w:after="0"/>
              <w:rPr>
                <w:sz w:val="24"/>
                <w:szCs w:val="24"/>
                <w:color w:val="auto"/>
              </w:rPr>
            </w:pPr>
          </w:p>
        </w:tc>
        <w:tc>
          <w:tcPr>
            <w:tcW w:w="9420" w:type="dxa"/>
            <w:vAlign w:val="bottom"/>
            <w:gridSpan w:val="19"/>
          </w:tcPr>
          <w:p>
            <w:pPr>
              <w:spacing w:after="0"/>
              <w:rPr>
                <w:rFonts w:ascii="Arial" w:cs="Arial" w:eastAsia="Arial" w:hAnsi="Arial"/>
                <w:sz w:val="20"/>
                <w:szCs w:val="20"/>
                <w:b w:val="1"/>
                <w:bCs w:val="1"/>
                <w:color w:val="0000EE"/>
              </w:rPr>
            </w:pPr>
            <w:hyperlink w:anchor="page28">
              <w:r>
                <w:rPr>
                  <w:rFonts w:ascii="Arial" w:cs="Arial" w:eastAsia="Arial" w:hAnsi="Arial"/>
                  <w:sz w:val="20"/>
                  <w:szCs w:val="20"/>
                  <w:b w:val="1"/>
                  <w:bCs w:val="1"/>
                  <w:color w:val="0000EE"/>
                </w:rPr>
                <w:t>OTHER INFORMATION</w:t>
              </w:r>
            </w:hyperlink>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9"/>
        </w:trPr>
        <w:tc>
          <w:tcPr>
            <w:tcW w:w="640" w:type="dxa"/>
            <w:vAlign w:val="bottom"/>
            <w:tcBorders>
              <w:top w:val="single" w:sz="8" w:color="0000EE"/>
            </w:tcBorders>
            <w:gridSpan w:val="2"/>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Item 1.</w:t>
              </w:r>
            </w:hyperlink>
          </w:p>
        </w:tc>
        <w:tc>
          <w:tcPr>
            <w:tcW w:w="620" w:type="dxa"/>
            <w:vAlign w:val="bottom"/>
            <w:gridSpan w:val="2"/>
          </w:tcPr>
          <w:p>
            <w:pPr>
              <w:spacing w:after="0"/>
              <w:rPr>
                <w:sz w:val="24"/>
                <w:szCs w:val="24"/>
                <w:color w:val="auto"/>
              </w:rPr>
            </w:pPr>
          </w:p>
        </w:tc>
        <w:tc>
          <w:tcPr>
            <w:tcW w:w="2220" w:type="dxa"/>
            <w:vAlign w:val="bottom"/>
            <w:tcBorders>
              <w:top w:val="single" w:sz="8" w:color="0000EE"/>
            </w:tcBorders>
            <w:gridSpan w:val="7"/>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Legal Proceedings</w:t>
              </w:r>
            </w:hyperlink>
          </w:p>
        </w:tc>
        <w:tc>
          <w:tcPr>
            <w:tcW w:w="7200" w:type="dxa"/>
            <w:vAlign w:val="bottom"/>
            <w:gridSpan w:val="12"/>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40</w:t>
            </w:r>
          </w:p>
        </w:tc>
      </w:tr>
      <w:tr>
        <w:trPr>
          <w:trHeight w:val="20"/>
        </w:trPr>
        <w:tc>
          <w:tcPr>
            <w:tcW w:w="5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3"/>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462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720" w:type="dxa"/>
            <w:vAlign w:val="bottom"/>
            <w:tcBorders>
              <w:bottom w:val="single" w:sz="8" w:color="0000EE"/>
            </w:tcBorders>
            <w:gridSpan w:val="3"/>
          </w:tcPr>
          <w:p>
            <w:pPr>
              <w:spacing w:after="0"/>
              <w:rPr>
                <w:rFonts w:ascii="Arial" w:cs="Arial" w:eastAsia="Arial" w:hAnsi="Arial"/>
                <w:sz w:val="20"/>
                <w:szCs w:val="20"/>
                <w:color w:val="0000EE"/>
                <w:w w:val="93"/>
              </w:rPr>
            </w:pPr>
            <w:hyperlink w:anchor="page28">
              <w:r>
                <w:rPr>
                  <w:rFonts w:ascii="Arial" w:cs="Arial" w:eastAsia="Arial" w:hAnsi="Arial"/>
                  <w:sz w:val="20"/>
                  <w:szCs w:val="20"/>
                  <w:color w:val="0000EE"/>
                  <w:w w:val="93"/>
                </w:rPr>
                <w:t>Item 1A.</w:t>
              </w:r>
            </w:hyperlink>
          </w:p>
        </w:tc>
        <w:tc>
          <w:tcPr>
            <w:tcW w:w="540" w:type="dxa"/>
            <w:vAlign w:val="bottom"/>
          </w:tcPr>
          <w:p>
            <w:pPr>
              <w:spacing w:after="0"/>
              <w:rPr>
                <w:sz w:val="24"/>
                <w:szCs w:val="24"/>
                <w:color w:val="auto"/>
              </w:rPr>
            </w:pPr>
          </w:p>
        </w:tc>
        <w:tc>
          <w:tcPr>
            <w:tcW w:w="1000" w:type="dxa"/>
            <w:vAlign w:val="bottom"/>
            <w:tcBorders>
              <w:bottom w:val="single" w:sz="8" w:color="0000EE"/>
            </w:tcBorders>
            <w:gridSpan w:val="4"/>
          </w:tcPr>
          <w:p>
            <w:pPr>
              <w:spacing w:after="0"/>
              <w:rPr>
                <w:rFonts w:ascii="Arial" w:cs="Arial" w:eastAsia="Arial" w:hAnsi="Arial"/>
                <w:sz w:val="20"/>
                <w:szCs w:val="20"/>
                <w:color w:val="0000EE"/>
                <w:w w:val="88"/>
              </w:rPr>
            </w:pPr>
            <w:hyperlink w:anchor="page28">
              <w:r>
                <w:rPr>
                  <w:rFonts w:ascii="Arial" w:cs="Arial" w:eastAsia="Arial" w:hAnsi="Arial"/>
                  <w:sz w:val="20"/>
                  <w:szCs w:val="20"/>
                  <w:color w:val="0000EE"/>
                  <w:w w:val="88"/>
                </w:rPr>
                <w:t>Risk Factors</w:t>
              </w:r>
            </w:hyperlink>
          </w:p>
        </w:tc>
        <w:tc>
          <w:tcPr>
            <w:tcW w:w="8420" w:type="dxa"/>
            <w:vAlign w:val="bottom"/>
            <w:gridSpan w:val="15"/>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40</w:t>
            </w:r>
          </w:p>
        </w:tc>
      </w:tr>
      <w:tr>
        <w:trPr>
          <w:trHeight w:val="439"/>
        </w:trPr>
        <w:tc>
          <w:tcPr>
            <w:tcW w:w="1260" w:type="dxa"/>
            <w:vAlign w:val="bottom"/>
            <w:gridSpan w:val="4"/>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Item 2.</w:t>
              </w:r>
            </w:hyperlink>
          </w:p>
        </w:tc>
        <w:tc>
          <w:tcPr>
            <w:tcW w:w="9420" w:type="dxa"/>
            <w:vAlign w:val="bottom"/>
            <w:gridSpan w:val="19"/>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Unregistered Sales of Equity Securities and Use of Proceeds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40</w:t>
            </w:r>
          </w:p>
        </w:tc>
      </w:tr>
      <w:tr>
        <w:trPr>
          <w:trHeight w:val="439"/>
        </w:trPr>
        <w:tc>
          <w:tcPr>
            <w:tcW w:w="1260" w:type="dxa"/>
            <w:vAlign w:val="bottom"/>
            <w:tcBorders>
              <w:top w:val="single" w:sz="8" w:color="0000EE"/>
              <w:bottom w:val="single" w:sz="8" w:color="0000EE"/>
            </w:tcBorders>
            <w:gridSpan w:val="4"/>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Item 3.</w:t>
              </w:r>
            </w:hyperlink>
          </w:p>
        </w:tc>
        <w:tc>
          <w:tcPr>
            <w:tcW w:w="2560" w:type="dxa"/>
            <w:vAlign w:val="bottom"/>
            <w:tcBorders>
              <w:top w:val="single" w:sz="8" w:color="0000EE"/>
              <w:bottom w:val="single" w:sz="8" w:color="0000EE"/>
            </w:tcBorders>
            <w:gridSpan w:val="8"/>
          </w:tcPr>
          <w:p>
            <w:pPr>
              <w:spacing w:after="0"/>
              <w:rPr>
                <w:rFonts w:ascii="Arial" w:cs="Arial" w:eastAsia="Arial" w:hAnsi="Arial"/>
                <w:sz w:val="20"/>
                <w:szCs w:val="20"/>
                <w:color w:val="0000EE"/>
                <w:w w:val="89"/>
              </w:rPr>
            </w:pPr>
            <w:hyperlink w:anchor="page28">
              <w:r>
                <w:rPr>
                  <w:rFonts w:ascii="Arial" w:cs="Arial" w:eastAsia="Arial" w:hAnsi="Arial"/>
                  <w:sz w:val="20"/>
                  <w:szCs w:val="20"/>
                  <w:color w:val="0000EE"/>
                  <w:w w:val="89"/>
                </w:rPr>
                <w:t>Defaults Upon Senior Securities</w:t>
              </w:r>
            </w:hyperlink>
          </w:p>
        </w:tc>
        <w:tc>
          <w:tcPr>
            <w:tcW w:w="2240" w:type="dxa"/>
            <w:vAlign w:val="bottom"/>
            <w:tcBorders>
              <w:top w:val="single" w:sz="8" w:color="0000EE"/>
            </w:tcBorders>
            <w:gridSpan w:val="5"/>
          </w:tcPr>
          <w:p>
            <w:pPr>
              <w:spacing w:after="0"/>
              <w:rPr>
                <w:sz w:val="24"/>
                <w:szCs w:val="24"/>
                <w:color w:val="auto"/>
              </w:rPr>
            </w:pPr>
          </w:p>
        </w:tc>
        <w:tc>
          <w:tcPr>
            <w:tcW w:w="4620" w:type="dxa"/>
            <w:vAlign w:val="bottom"/>
            <w:gridSpan w:val="6"/>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40</w:t>
            </w:r>
          </w:p>
        </w:tc>
      </w:tr>
      <w:tr>
        <w:trPr>
          <w:trHeight w:val="439"/>
        </w:trPr>
        <w:tc>
          <w:tcPr>
            <w:tcW w:w="1260" w:type="dxa"/>
            <w:vAlign w:val="bottom"/>
            <w:gridSpan w:val="4"/>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Item 4.</w:t>
              </w:r>
            </w:hyperlink>
          </w:p>
        </w:tc>
        <w:tc>
          <w:tcPr>
            <w:tcW w:w="9420" w:type="dxa"/>
            <w:vAlign w:val="bottom"/>
            <w:gridSpan w:val="19"/>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Mine Safety Disclosures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40</w:t>
            </w:r>
          </w:p>
        </w:tc>
      </w:tr>
      <w:tr>
        <w:trPr>
          <w:trHeight w:val="20"/>
        </w:trPr>
        <w:tc>
          <w:tcPr>
            <w:tcW w:w="5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7480" w:type="dxa"/>
            <w:vAlign w:val="bottom"/>
            <w:gridSpan w:val="1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260" w:type="dxa"/>
            <w:vAlign w:val="bottom"/>
            <w:gridSpan w:val="4"/>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Item 5.</w:t>
              </w:r>
            </w:hyperlink>
          </w:p>
        </w:tc>
        <w:tc>
          <w:tcPr>
            <w:tcW w:w="9420" w:type="dxa"/>
            <w:vAlign w:val="bottom"/>
            <w:gridSpan w:val="19"/>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Other Information</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40</w:t>
            </w:r>
          </w:p>
        </w:tc>
      </w:tr>
      <w:tr>
        <w:trPr>
          <w:trHeight w:val="20"/>
        </w:trPr>
        <w:tc>
          <w:tcPr>
            <w:tcW w:w="5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980" w:type="dxa"/>
            <w:vAlign w:val="bottom"/>
            <w:gridSpan w:val="1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1260" w:type="dxa"/>
            <w:vAlign w:val="bottom"/>
            <w:gridSpan w:val="4"/>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Item 6.</w:t>
              </w:r>
            </w:hyperlink>
          </w:p>
        </w:tc>
        <w:tc>
          <w:tcPr>
            <w:tcW w:w="9420" w:type="dxa"/>
            <w:vAlign w:val="bottom"/>
            <w:gridSpan w:val="19"/>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Exhibits</w:t>
              </w:r>
            </w:hyperlink>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40</w:t>
            </w: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80" w:type="dxa"/>
            <w:vAlign w:val="bottom"/>
            <w:gridSpan w:val="1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439"/>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bottom w:val="single" w:sz="8" w:color="0000EE"/>
            </w:tcBorders>
            <w:gridSpan w:val="3"/>
          </w:tcPr>
          <w:p>
            <w:pPr>
              <w:spacing w:after="0"/>
              <w:rPr>
                <w:rFonts w:ascii="Arial" w:cs="Arial" w:eastAsia="Arial" w:hAnsi="Arial"/>
                <w:sz w:val="20"/>
                <w:szCs w:val="20"/>
                <w:color w:val="0000EE"/>
                <w:w w:val="85"/>
              </w:rPr>
            </w:pPr>
            <w:hyperlink w:anchor="page28">
              <w:r>
                <w:rPr>
                  <w:rFonts w:ascii="Arial" w:cs="Arial" w:eastAsia="Arial" w:hAnsi="Arial"/>
                  <w:sz w:val="20"/>
                  <w:szCs w:val="20"/>
                  <w:color w:val="0000EE"/>
                  <w:w w:val="85"/>
                </w:rPr>
                <w:t>Signatures</w:t>
              </w:r>
            </w:hyperlink>
          </w:p>
        </w:tc>
        <w:tc>
          <w:tcPr>
            <w:tcW w:w="8580" w:type="dxa"/>
            <w:vAlign w:val="bottom"/>
            <w:gridSpan w:val="16"/>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20"/>
                <w:szCs w:val="20"/>
                <w:color w:val="auto"/>
              </w:rPr>
              <w:t>41</w:t>
            </w:r>
          </w:p>
        </w:tc>
      </w:tr>
      <w:tr>
        <w:trPr>
          <w:trHeight w:val="453"/>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80" w:type="dxa"/>
            <w:vAlign w:val="bottom"/>
            <w:gridSpan w:val="12"/>
          </w:tcPr>
          <w:p>
            <w:pPr>
              <w:ind w:left="44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CONDENSED CONSOLIDATED FINANCIAL STATEMENTS (UNAUDITED)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BALANCE SHEETS</w:t>
      </w:r>
    </w:p>
    <w:p>
      <w:pPr>
        <w:spacing w:after="0"/>
        <w:rPr>
          <w:sz w:val="20"/>
          <w:szCs w:val="20"/>
          <w:color w:val="auto"/>
        </w:rPr>
      </w:pPr>
      <w:r>
        <w:rPr>
          <w:rFonts w:ascii="Arial" w:cs="Arial" w:eastAsia="Arial" w:hAnsi="Arial"/>
          <w:sz w:val="20"/>
          <w:szCs w:val="20"/>
          <w:b w:val="1"/>
          <w:bCs w:val="1"/>
          <w:color w:val="auto"/>
        </w:rPr>
        <w:t>AS OF MARCH 31, 2017 AND DECEMBER 31, 2016</w:t>
      </w:r>
    </w:p>
    <w:p>
      <w:pPr>
        <w:spacing w:after="0"/>
        <w:rPr>
          <w:sz w:val="20"/>
          <w:szCs w:val="20"/>
          <w:color w:val="auto"/>
        </w:rPr>
      </w:pPr>
      <w:r>
        <w:rPr>
          <w:rFonts w:ascii="Arial" w:cs="Arial" w:eastAsia="Arial" w:hAnsi="Arial"/>
          <w:sz w:val="20"/>
          <w:szCs w:val="20"/>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7"/>
                <w:szCs w:val="17"/>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5020" w:type="dxa"/>
            <w:vAlign w:val="bottom"/>
            <w:gridSpan w:val="3"/>
            <w:vMerge w:val="restart"/>
          </w:tcPr>
          <w:p>
            <w:pPr>
              <w:ind w:left="46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148"/>
        </w:trPr>
        <w:tc>
          <w:tcPr>
            <w:tcW w:w="3180" w:type="dxa"/>
            <w:vAlign w:val="bottom"/>
            <w:vMerge w:val="restart"/>
          </w:tcPr>
          <w:p>
            <w:pPr>
              <w:spacing w:after="0"/>
              <w:rPr>
                <w:sz w:val="20"/>
                <w:szCs w:val="20"/>
                <w:color w:val="auto"/>
              </w:rPr>
            </w:pPr>
            <w:r>
              <w:rPr>
                <w:rFonts w:ascii="Arial" w:cs="Arial" w:eastAsia="Arial" w:hAnsi="Arial"/>
                <w:sz w:val="16"/>
                <w:szCs w:val="16"/>
                <w:color w:val="auto"/>
              </w:rPr>
              <w:t>CURRENT ASSETS:</w:t>
            </w:r>
          </w:p>
        </w:tc>
        <w:tc>
          <w:tcPr>
            <w:tcW w:w="50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318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3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528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576,337</w:t>
            </w:r>
          </w:p>
        </w:tc>
        <w:tc>
          <w:tcPr>
            <w:tcW w:w="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377,582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Short-term investments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209,366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220,554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509,477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448,051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TCCC Transaction receivable</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62,500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171,290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161,971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46,703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32,562</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6"/>
                <w:szCs w:val="16"/>
                <w:color w:val="auto"/>
              </w:rPr>
              <w:t>Prepaid income taxes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41,143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66,550</w:t>
            </w:r>
          </w:p>
        </w:tc>
        <w:tc>
          <w:tcPr>
            <w:tcW w:w="0" w:type="dxa"/>
            <w:vAlign w:val="bottom"/>
          </w:tcPr>
          <w:p>
            <w:pPr>
              <w:spacing w:after="0"/>
              <w:rPr>
                <w:sz w:val="1"/>
                <w:szCs w:val="1"/>
                <w:color w:val="auto"/>
              </w:rPr>
            </w:pPr>
          </w:p>
        </w:tc>
      </w:tr>
      <w:tr>
        <w:trPr>
          <w:trHeight w:val="217"/>
        </w:trPr>
        <w:tc>
          <w:tcPr>
            <w:tcW w:w="318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1,616,816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1,432,270</w:t>
            </w:r>
          </w:p>
        </w:tc>
        <w:tc>
          <w:tcPr>
            <w:tcW w:w="0" w:type="dxa"/>
            <w:vAlign w:val="bottom"/>
          </w:tcPr>
          <w:p>
            <w:pPr>
              <w:spacing w:after="0"/>
              <w:rPr>
                <w:sz w:val="1"/>
                <w:szCs w:val="1"/>
                <w:color w:val="auto"/>
              </w:rPr>
            </w:pPr>
          </w:p>
        </w:tc>
      </w:tr>
    </w:tbl>
    <w:p>
      <w:pPr>
        <w:sectPr>
          <w:pgSz w:w="11900" w:h="16838" w:orient="portrait"/>
          <w:cols w:equalWidth="0" w:num="1">
            <w:col w:w="11460"/>
          </w:cols>
          <w:pgMar w:left="240" w:top="115" w:right="199" w:bottom="0" w:gutter="0" w:footer="0" w:header="0"/>
        </w:sectPr>
      </w:pPr>
    </w:p>
    <w:bookmarkStart w:id="2" w:name="page3"/>
    <w:bookmarkEnd w:id="2"/>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0" w:type="dxa"/>
            <w:vAlign w:val="bottom"/>
            <w:gridSpan w:val="3"/>
          </w:tcPr>
          <w:p>
            <w:pPr>
              <w:spacing w:after="0"/>
              <w:rPr>
                <w:sz w:val="20"/>
                <w:szCs w:val="20"/>
                <w:color w:val="auto"/>
              </w:rPr>
            </w:pPr>
            <w:r>
              <w:rPr>
                <w:rFonts w:ascii="Arial" w:cs="Arial" w:eastAsia="Arial" w:hAnsi="Arial"/>
                <w:sz w:val="16"/>
                <w:szCs w:val="16"/>
                <w:color w:val="auto"/>
              </w:rPr>
              <w:t>INVESTMENTS</w:t>
            </w: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477</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2,394</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PROPERTY AND EQUIPMENT, net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189,631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173,343</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158,739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159,556</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1,331,643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1,331,643</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OTHER INTANGIBLE ASSETS, net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1,032,886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1,032,635</w:t>
            </w:r>
          </w:p>
        </w:tc>
        <w:tc>
          <w:tcPr>
            <w:tcW w:w="0" w:type="dxa"/>
            <w:vAlign w:val="bottom"/>
          </w:tcPr>
          <w:p>
            <w:pPr>
              <w:spacing w:after="0"/>
              <w:rPr>
                <w:sz w:val="1"/>
                <w:szCs w:val="1"/>
                <w:color w:val="auto"/>
              </w:rPr>
            </w:pPr>
          </w:p>
        </w:tc>
      </w:tr>
      <w:tr>
        <w:trPr>
          <w:trHeight w:val="209"/>
        </w:trPr>
        <w:tc>
          <w:tcPr>
            <w:tcW w:w="8200" w:type="dxa"/>
            <w:vAlign w:val="bottom"/>
            <w:gridSpan w:val="3"/>
          </w:tcPr>
          <w:p>
            <w:pPr>
              <w:spacing w:after="0"/>
              <w:rPr>
                <w:sz w:val="20"/>
                <w:szCs w:val="20"/>
                <w:color w:val="auto"/>
              </w:rPr>
            </w:pPr>
            <w:r>
              <w:rPr>
                <w:rFonts w:ascii="Arial" w:cs="Arial" w:eastAsia="Arial" w:hAnsi="Arial"/>
                <w:sz w:val="16"/>
                <w:szCs w:val="16"/>
                <w:color w:val="auto"/>
              </w:rPr>
              <w:t>OTHER ASSETS</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19,555</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21,630</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6000" w:type="dxa"/>
            <w:vAlign w:val="bottom"/>
            <w:gridSpan w:val="2"/>
          </w:tcPr>
          <w:p>
            <w:pPr>
              <w:jc w:val="center"/>
              <w:ind w:right="2500"/>
              <w:spacing w:after="0"/>
              <w:rPr>
                <w:sz w:val="20"/>
                <w:szCs w:val="20"/>
                <w:color w:val="auto"/>
              </w:rPr>
            </w:pPr>
            <w:r>
              <w:rPr>
                <w:rFonts w:ascii="Arial" w:cs="Arial" w:eastAsia="Arial" w:hAnsi="Arial"/>
                <w:sz w:val="16"/>
                <w:szCs w:val="16"/>
                <w:b w:val="1"/>
                <w:bCs w:val="1"/>
                <w:color w:val="auto"/>
                <w:w w:val="86"/>
              </w:rPr>
              <w:t>Total Assets</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4,349,747</w:t>
            </w:r>
          </w:p>
        </w:tc>
        <w:tc>
          <w:tcPr>
            <w:tcW w:w="280" w:type="dxa"/>
            <w:vAlign w:val="bottom"/>
          </w:tcPr>
          <w:p>
            <w:pPr>
              <w:spacing w:after="0"/>
              <w:rPr>
                <w:sz w:val="18"/>
                <w:szCs w:val="18"/>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4,153,471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LIABILITIES AND STOCKHOLDERS’ EQUITY</w:t>
            </w:r>
          </w:p>
        </w:tc>
        <w:tc>
          <w:tcPr>
            <w:tcW w:w="24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2200" w:type="dxa"/>
            <w:vAlign w:val="bottom"/>
          </w:tcPr>
          <w:p>
            <w:pPr>
              <w:spacing w:after="0"/>
              <w:rPr>
                <w:sz w:val="24"/>
                <w:szCs w:val="24"/>
                <w:color w:val="auto"/>
              </w:rPr>
            </w:pPr>
          </w:p>
        </w:tc>
        <w:tc>
          <w:tcPr>
            <w:tcW w:w="3520" w:type="dxa"/>
            <w:vAlign w:val="bottom"/>
            <w:tcBorders>
              <w:bottom w:val="single" w:sz="8" w:color="auto"/>
            </w:tcBorders>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200" w:type="dxa"/>
            <w:vAlign w:val="bottom"/>
            <w:gridSpan w:val="3"/>
          </w:tcPr>
          <w:p>
            <w:pPr>
              <w:spacing w:after="0"/>
              <w:rPr>
                <w:sz w:val="20"/>
                <w:szCs w:val="20"/>
                <w:color w:val="auto"/>
              </w:rPr>
            </w:pPr>
            <w:r>
              <w:rPr>
                <w:rFonts w:ascii="Arial" w:cs="Arial" w:eastAsia="Arial" w:hAnsi="Arial"/>
                <w:sz w:val="16"/>
                <w:szCs w:val="16"/>
                <w:color w:val="auto"/>
              </w:rPr>
              <w:t>CURRENT LIABILITIES:</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178,093</w:t>
            </w:r>
          </w:p>
        </w:tc>
        <w:tc>
          <w:tcPr>
            <w:tcW w:w="280" w:type="dxa"/>
            <w:vAlign w:val="bottom"/>
          </w:tcPr>
          <w:p>
            <w:pPr>
              <w:spacing w:after="0"/>
              <w:rPr>
                <w:sz w:val="18"/>
                <w:szCs w:val="18"/>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193,270</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92,043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79,526</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Accrued promotional allowances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125,533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110,237</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Accrued distributor terminations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8,506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8,184</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42,625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41,672</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Accrued compensation</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14,275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30,043</w:t>
            </w:r>
          </w:p>
        </w:tc>
        <w:tc>
          <w:tcPr>
            <w:tcW w:w="0" w:type="dxa"/>
            <w:vAlign w:val="bottom"/>
          </w:tcPr>
          <w:p>
            <w:pPr>
              <w:spacing w:after="0"/>
              <w:rPr>
                <w:sz w:val="1"/>
                <w:szCs w:val="1"/>
                <w:color w:val="auto"/>
              </w:rPr>
            </w:pPr>
          </w:p>
        </w:tc>
      </w:tr>
      <w:tr>
        <w:trPr>
          <w:trHeight w:val="209"/>
        </w:trPr>
        <w:tc>
          <w:tcPr>
            <w:tcW w:w="8200" w:type="dxa"/>
            <w:vAlign w:val="bottom"/>
            <w:gridSpan w:val="3"/>
          </w:tcPr>
          <w:p>
            <w:pPr>
              <w:spacing w:after="0"/>
              <w:rPr>
                <w:sz w:val="20"/>
                <w:szCs w:val="20"/>
                <w:color w:val="auto"/>
              </w:rPr>
            </w:pPr>
            <w:r>
              <w:rPr>
                <w:rFonts w:ascii="Arial" w:cs="Arial" w:eastAsia="Arial" w:hAnsi="Arial"/>
                <w:sz w:val="16"/>
                <w:szCs w:val="16"/>
                <w:color w:val="auto"/>
              </w:rPr>
              <w:t>Income taxes payable</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8,749</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7,657</w:t>
            </w:r>
          </w:p>
        </w:tc>
        <w:tc>
          <w:tcPr>
            <w:tcW w:w="0" w:type="dxa"/>
            <w:vAlign w:val="bottom"/>
          </w:tcPr>
          <w:p>
            <w:pPr>
              <w:spacing w:after="0"/>
              <w:rPr>
                <w:sz w:val="1"/>
                <w:szCs w:val="1"/>
                <w:color w:val="auto"/>
              </w:rPr>
            </w:pPr>
          </w:p>
        </w:tc>
      </w:tr>
      <w:tr>
        <w:trPr>
          <w:trHeight w:val="217"/>
        </w:trPr>
        <w:tc>
          <w:tcPr>
            <w:tcW w:w="8200" w:type="dxa"/>
            <w:vAlign w:val="bottom"/>
            <w:gridSpan w:val="3"/>
          </w:tcPr>
          <w:p>
            <w:pPr>
              <w:ind w:left="200"/>
              <w:spacing w:after="0"/>
              <w:rPr>
                <w:sz w:val="20"/>
                <w:szCs w:val="20"/>
                <w:color w:val="auto"/>
              </w:rPr>
            </w:pPr>
            <w:r>
              <w:rPr>
                <w:rFonts w:ascii="Arial" w:cs="Arial" w:eastAsia="Arial" w:hAnsi="Arial"/>
                <w:sz w:val="16"/>
                <w:szCs w:val="16"/>
                <w:color w:val="auto"/>
              </w:rPr>
              <w:t>Total current liabilities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469,824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470,589</w:t>
            </w:r>
          </w:p>
        </w:tc>
        <w:tc>
          <w:tcPr>
            <w:tcW w:w="0" w:type="dxa"/>
            <w:vAlign w:val="bottom"/>
          </w:tcPr>
          <w:p>
            <w:pPr>
              <w:spacing w:after="0"/>
              <w:rPr>
                <w:sz w:val="1"/>
                <w:szCs w:val="1"/>
                <w:color w:val="auto"/>
              </w:rPr>
            </w:pPr>
          </w:p>
        </w:tc>
      </w:tr>
      <w:tr>
        <w:trPr>
          <w:trHeight w:val="311"/>
        </w:trPr>
        <w:tc>
          <w:tcPr>
            <w:tcW w:w="820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349,697</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353,173</w:t>
            </w:r>
          </w:p>
        </w:tc>
        <w:tc>
          <w:tcPr>
            <w:tcW w:w="0" w:type="dxa"/>
            <w:vAlign w:val="bottom"/>
          </w:tcPr>
          <w:p>
            <w:pPr>
              <w:spacing w:after="0"/>
              <w:rPr>
                <w:sz w:val="1"/>
                <w:szCs w:val="1"/>
                <w:color w:val="auto"/>
              </w:rPr>
            </w:pPr>
          </w:p>
        </w:tc>
      </w:tr>
      <w:tr>
        <w:trPr>
          <w:trHeight w:val="311"/>
        </w:trPr>
        <w:tc>
          <w:tcPr>
            <w:tcW w:w="8200" w:type="dxa"/>
            <w:vAlign w:val="bottom"/>
            <w:gridSpan w:val="3"/>
          </w:tcPr>
          <w:p>
            <w:pPr>
              <w:spacing w:after="0"/>
              <w:rPr>
                <w:sz w:val="20"/>
                <w:szCs w:val="20"/>
                <w:color w:val="auto"/>
              </w:rPr>
            </w:pPr>
            <w:r>
              <w:rPr>
                <w:rFonts w:ascii="Arial" w:cs="Arial" w:eastAsia="Arial" w:hAnsi="Arial"/>
                <w:sz w:val="16"/>
                <w:szCs w:val="16"/>
                <w:color w:val="auto"/>
              </w:rPr>
              <w:t>COMMITMENTS AND CONTINGENCIES (Note 10)</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0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200" w:type="dxa"/>
            <w:vAlign w:val="bottom"/>
            <w:gridSpan w:val="3"/>
          </w:tcPr>
          <w:p>
            <w:pPr>
              <w:spacing w:after="0"/>
              <w:rPr>
                <w:sz w:val="20"/>
                <w:szCs w:val="20"/>
                <w:color w:val="auto"/>
              </w:rPr>
            </w:pPr>
            <w:r>
              <w:rPr>
                <w:rFonts w:ascii="Arial" w:cs="Arial" w:eastAsia="Arial" w:hAnsi="Arial"/>
                <w:sz w:val="16"/>
                <w:szCs w:val="16"/>
                <w:color w:val="auto"/>
              </w:rPr>
              <w:t>Common stock - $0.005 par value; 1,250,000 shares authorized;</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00" w:type="dxa"/>
            <w:vAlign w:val="bottom"/>
            <w:gridSpan w:val="3"/>
          </w:tcPr>
          <w:p>
            <w:pPr>
              <w:ind w:left="140"/>
              <w:spacing w:after="0"/>
              <w:rPr>
                <w:sz w:val="20"/>
                <w:szCs w:val="20"/>
                <w:color w:val="auto"/>
              </w:rPr>
            </w:pPr>
            <w:r>
              <w:rPr>
                <w:rFonts w:ascii="Arial" w:cs="Arial" w:eastAsia="Arial" w:hAnsi="Arial"/>
                <w:sz w:val="16"/>
                <w:szCs w:val="16"/>
                <w:color w:val="auto"/>
              </w:rPr>
              <w:t>624,405 shares issued and 567,769 outstanding as of March 31, 2017;</w:t>
            </w: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0" w:type="dxa"/>
            <w:vAlign w:val="bottom"/>
            <w:gridSpan w:val="3"/>
          </w:tcPr>
          <w:p>
            <w:pPr>
              <w:ind w:left="140"/>
              <w:spacing w:after="0"/>
              <w:rPr>
                <w:sz w:val="20"/>
                <w:szCs w:val="20"/>
                <w:color w:val="auto"/>
              </w:rPr>
            </w:pPr>
            <w:r>
              <w:rPr>
                <w:rFonts w:ascii="Arial" w:cs="Arial" w:eastAsia="Arial" w:hAnsi="Arial"/>
                <w:sz w:val="16"/>
                <w:szCs w:val="16"/>
                <w:color w:val="auto"/>
              </w:rPr>
              <w:t>623,201 shares issued and 566,566 outstanding as of December 31, 2016</w:t>
            </w: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3,122</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3,116</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4,072,508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4,051,245</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Retained earnings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2,285,528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2,107,548</w:t>
            </w: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6"/>
                <w:szCs w:val="16"/>
                <w:color w:val="auto"/>
              </w:rPr>
              <w:t>Accumulated other comprehensive loss</w:t>
            </w:r>
          </w:p>
        </w:tc>
        <w:tc>
          <w:tcPr>
            <w:tcW w:w="4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(21,917)</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(23,249)</w:t>
            </w:r>
          </w:p>
        </w:tc>
        <w:tc>
          <w:tcPr>
            <w:tcW w:w="0" w:type="dxa"/>
            <w:vAlign w:val="bottom"/>
          </w:tcPr>
          <w:p>
            <w:pPr>
              <w:spacing w:after="0"/>
              <w:rPr>
                <w:sz w:val="1"/>
                <w:szCs w:val="1"/>
                <w:color w:val="auto"/>
              </w:rPr>
            </w:pPr>
          </w:p>
        </w:tc>
      </w:tr>
      <w:tr>
        <w:trPr>
          <w:trHeight w:val="212"/>
        </w:trPr>
        <w:tc>
          <w:tcPr>
            <w:tcW w:w="8200" w:type="dxa"/>
            <w:vAlign w:val="bottom"/>
            <w:gridSpan w:val="3"/>
          </w:tcPr>
          <w:p>
            <w:pPr>
              <w:spacing w:after="0"/>
              <w:rPr>
                <w:sz w:val="20"/>
                <w:szCs w:val="20"/>
                <w:color w:val="auto"/>
              </w:rPr>
            </w:pPr>
            <w:r>
              <w:rPr>
                <w:rFonts w:ascii="Arial" w:cs="Arial" w:eastAsia="Arial" w:hAnsi="Arial"/>
                <w:sz w:val="16"/>
                <w:szCs w:val="16"/>
                <w:color w:val="auto"/>
                <w:w w:val="99"/>
              </w:rPr>
              <w:t>Common stock in treasury, at cost; 56,636 shares and 56,635 shares as of March 31, 2017 and December 31, 2016,</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200" w:type="dxa"/>
            <w:vAlign w:val="bottom"/>
            <w:gridSpan w:val="3"/>
          </w:tcPr>
          <w:p>
            <w:pPr>
              <w:ind w:left="140"/>
              <w:spacing w:after="0"/>
              <w:rPr>
                <w:sz w:val="20"/>
                <w:szCs w:val="20"/>
                <w:color w:val="auto"/>
              </w:rPr>
            </w:pPr>
            <w:r>
              <w:rPr>
                <w:rFonts w:ascii="Arial" w:cs="Arial" w:eastAsia="Arial" w:hAnsi="Arial"/>
                <w:sz w:val="16"/>
                <w:szCs w:val="16"/>
                <w:color w:val="auto"/>
              </w:rPr>
              <w:t>respectively</w:t>
            </w:r>
          </w:p>
        </w:tc>
        <w:tc>
          <w:tcPr>
            <w:tcW w:w="44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(2,809,015)</w:t>
            </w: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(2,808,951)</w:t>
            </w:r>
          </w:p>
        </w:tc>
        <w:tc>
          <w:tcPr>
            <w:tcW w:w="0" w:type="dxa"/>
            <w:vAlign w:val="bottom"/>
          </w:tcPr>
          <w:p>
            <w:pPr>
              <w:spacing w:after="0"/>
              <w:rPr>
                <w:sz w:val="1"/>
                <w:szCs w:val="1"/>
                <w:color w:val="auto"/>
              </w:rPr>
            </w:pPr>
          </w:p>
        </w:tc>
      </w:tr>
      <w:tr>
        <w:trPr>
          <w:trHeight w:val="210"/>
        </w:trPr>
        <w:tc>
          <w:tcPr>
            <w:tcW w:w="8200" w:type="dxa"/>
            <w:vAlign w:val="bottom"/>
            <w:gridSpan w:val="3"/>
          </w:tcPr>
          <w:p>
            <w:pPr>
              <w:ind w:left="200"/>
              <w:spacing w:after="0"/>
              <w:rPr>
                <w:sz w:val="20"/>
                <w:szCs w:val="20"/>
                <w:color w:val="auto"/>
              </w:rPr>
            </w:pPr>
            <w:r>
              <w:rPr>
                <w:rFonts w:ascii="Arial" w:cs="Arial" w:eastAsia="Arial" w:hAnsi="Arial"/>
                <w:sz w:val="16"/>
                <w:szCs w:val="16"/>
                <w:color w:val="auto"/>
              </w:rPr>
              <w:t>Total stockholders’ equity</w:t>
            </w: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3,530,226</w:t>
            </w:r>
          </w:p>
        </w:tc>
        <w:tc>
          <w:tcPr>
            <w:tcW w:w="2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3,329,709</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6000" w:type="dxa"/>
            <w:vAlign w:val="bottom"/>
            <w:gridSpan w:val="2"/>
          </w:tcPr>
          <w:p>
            <w:pPr>
              <w:jc w:val="center"/>
              <w:ind w:right="250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4,349,747</w:t>
            </w:r>
          </w:p>
        </w:tc>
        <w:tc>
          <w:tcPr>
            <w:tcW w:w="280" w:type="dxa"/>
            <w:vAlign w:val="bottom"/>
          </w:tcPr>
          <w:p>
            <w:pPr>
              <w:spacing w:after="0"/>
              <w:rPr>
                <w:sz w:val="18"/>
                <w:szCs w:val="18"/>
                <w:color w:val="auto"/>
              </w:rPr>
            </w:pP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4,153,471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62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INCOME FOR THE THREE-MONTHS ENDED MARCH 31, 2017 AND 2016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Three-Months Ended</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26"/>
        </w:trPr>
        <w:tc>
          <w:tcPr>
            <w:tcW w:w="5320" w:type="dxa"/>
            <w:vAlign w:val="bottom"/>
          </w:tcPr>
          <w:p>
            <w:pPr>
              <w:spacing w:after="0"/>
              <w:rPr>
                <w:sz w:val="20"/>
                <w:szCs w:val="20"/>
                <w:color w:val="auto"/>
              </w:rPr>
            </w:pPr>
            <w:r>
              <w:rPr>
                <w:rFonts w:ascii="Arial" w:cs="Arial" w:eastAsia="Arial" w:hAnsi="Arial"/>
                <w:sz w:val="18"/>
                <w:szCs w:val="18"/>
                <w:color w:val="auto"/>
              </w:rPr>
              <w:t>NET SALES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742,146</w:t>
            </w:r>
          </w:p>
        </w:tc>
        <w:tc>
          <w:tcPr>
            <w:tcW w:w="200" w:type="dxa"/>
            <w:vAlign w:val="bottom"/>
          </w:tcPr>
          <w:p>
            <w:pPr>
              <w:spacing w:after="0"/>
              <w:rPr>
                <w:sz w:val="24"/>
                <w:szCs w:val="24"/>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680,186</w:t>
            </w: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261,272</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257,088</w:t>
            </w:r>
          </w:p>
        </w:tc>
        <w:tc>
          <w:tcPr>
            <w:tcW w:w="0" w:type="dxa"/>
            <w:vAlign w:val="bottom"/>
          </w:tcPr>
          <w:p>
            <w:pPr>
              <w:spacing w:after="0"/>
              <w:rPr>
                <w:sz w:val="1"/>
                <w:szCs w:val="1"/>
                <w:color w:val="auto"/>
              </w:rPr>
            </w:pPr>
          </w:p>
        </w:tc>
      </w:tr>
      <w:tr>
        <w:trPr>
          <w:trHeight w:val="426"/>
        </w:trPr>
        <w:tc>
          <w:tcPr>
            <w:tcW w:w="5320" w:type="dxa"/>
            <w:vAlign w:val="bottom"/>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480,874</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423,098</w:t>
            </w: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216,612</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168,385</w:t>
            </w:r>
          </w:p>
        </w:tc>
        <w:tc>
          <w:tcPr>
            <w:tcW w:w="0" w:type="dxa"/>
            <w:vAlign w:val="bottom"/>
          </w:tcPr>
          <w:p>
            <w:pPr>
              <w:spacing w:after="0"/>
              <w:rPr>
                <w:sz w:val="1"/>
                <w:szCs w:val="1"/>
                <w:color w:val="auto"/>
              </w:rPr>
            </w:pPr>
          </w:p>
        </w:tc>
      </w:tr>
      <w:tr>
        <w:trPr>
          <w:trHeight w:val="426"/>
        </w:trPr>
        <w:tc>
          <w:tcPr>
            <w:tcW w:w="5320" w:type="dxa"/>
            <w:vAlign w:val="bottom"/>
          </w:tcPr>
          <w:p>
            <w:pPr>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264,262</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254,713</w:t>
            </w: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426"/>
        </w:trPr>
        <w:tc>
          <w:tcPr>
            <w:tcW w:w="53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264,920</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255,321</w:t>
            </w: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86,940</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91,444</w:t>
            </w:r>
          </w:p>
        </w:tc>
        <w:tc>
          <w:tcPr>
            <w:tcW w:w="0" w:type="dxa"/>
            <w:vAlign w:val="bottom"/>
          </w:tcPr>
          <w:p>
            <w:pPr>
              <w:spacing w:after="0"/>
              <w:rPr>
                <w:sz w:val="1"/>
                <w:szCs w:val="1"/>
                <w:color w:val="auto"/>
              </w:rPr>
            </w:pPr>
          </w:p>
        </w:tc>
      </w:tr>
      <w:tr>
        <w:trPr>
          <w:trHeight w:val="426"/>
        </w:trPr>
        <w:tc>
          <w:tcPr>
            <w:tcW w:w="532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177,980</w:t>
            </w:r>
          </w:p>
        </w:tc>
        <w:tc>
          <w:tcPr>
            <w:tcW w:w="200" w:type="dxa"/>
            <w:vAlign w:val="bottom"/>
          </w:tcPr>
          <w:p>
            <w:pPr>
              <w:spacing w:after="0"/>
              <w:rPr>
                <w:sz w:val="24"/>
                <w:szCs w:val="24"/>
                <w:color w:val="auto"/>
              </w:rPr>
            </w:pP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163,877</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00" w:type="dxa"/>
            <w:vAlign w:val="bottom"/>
          </w:tcPr>
          <w:p>
            <w:pPr>
              <w:spacing w:after="0"/>
              <w:rPr>
                <w:sz w:val="20"/>
                <w:szCs w:val="20"/>
                <w:color w:val="auto"/>
              </w:rPr>
            </w:pP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200" w:type="dxa"/>
            <w:vAlign w:val="bottom"/>
          </w:tcPr>
          <w:p>
            <w:pPr>
              <w:spacing w:after="0"/>
              <w:rPr>
                <w:sz w:val="17"/>
                <w:szCs w:val="17"/>
                <w:color w:val="auto"/>
              </w:rPr>
            </w:pPr>
          </w:p>
        </w:tc>
        <w:tc>
          <w:tcPr>
            <w:tcW w:w="4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NUMBER OF SHARES OF COMMON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AND COMMON STOCK EQUIVALENTS:</w:t>
      </w:r>
    </w:p>
    <w:p>
      <w:pPr>
        <w:sectPr>
          <w:pgSz w:w="11900" w:h="16848" w:orient="portrait"/>
          <w:cols w:equalWidth="0" w:num="1">
            <w:col w:w="11420"/>
          </w:cols>
          <w:pgMar w:left="240" w:top="359" w:right="239" w:bottom="0" w:gutter="0" w:footer="0" w:header="0"/>
        </w:sectPr>
      </w:pPr>
    </w:p>
    <w:bookmarkStart w:id="3" w:name="page4"/>
    <w:bookmarkEnd w:id="3"/>
    <w:tbl>
      <w:tblPr>
        <w:tblLayout w:type="fixed"/>
        <w:tblInd w:w="38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Basic</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571,578</w:t>
            </w:r>
          </w:p>
        </w:tc>
        <w:tc>
          <w:tcPr>
            <w:tcW w:w="20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608,838</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color w:val="auto"/>
              </w:rPr>
              <w:t>Diluted</w:t>
            </w: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582,032</w:t>
            </w: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620,724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120"/>
        <w:spacing w:after="0" w:line="241" w:lineRule="auto"/>
        <w:rPr>
          <w:sz w:val="20"/>
          <w:szCs w:val="20"/>
          <w:color w:val="auto"/>
        </w:rPr>
      </w:pPr>
      <w:r>
        <w:rPr>
          <w:rFonts w:ascii="Arial" w:cs="Arial" w:eastAsia="Arial" w:hAnsi="Arial"/>
          <w:sz w:val="20"/>
          <w:szCs w:val="20"/>
          <w:b w:val="1"/>
          <w:bCs w:val="1"/>
          <w:color w:val="auto"/>
        </w:rPr>
        <w:t>CONDENSED CONSOLIDATED STATEMENTS OF COMPREHENSIVE INCOME FOR THE THREE-MONTHS ENDED MARCH 31, 2017 AND 2016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00" w:type="dxa"/>
            <w:vAlign w:val="bottom"/>
            <w:gridSpan w:val="4"/>
          </w:tcPr>
          <w:p>
            <w:pPr>
              <w:jc w:val="right"/>
              <w:ind w:right="481"/>
              <w:spacing w:after="0"/>
              <w:rPr>
                <w:sz w:val="20"/>
                <w:szCs w:val="20"/>
                <w:color w:val="auto"/>
              </w:rPr>
            </w:pPr>
            <w:r>
              <w:rPr>
                <w:rFonts w:ascii="Arial" w:cs="Arial" w:eastAsia="Arial" w:hAnsi="Arial"/>
                <w:sz w:val="20"/>
                <w:szCs w:val="20"/>
                <w:color w:val="auto"/>
              </w:rPr>
              <w:t>Three-Months Ended</w:t>
            </w:r>
          </w:p>
        </w:tc>
        <w:tc>
          <w:tcPr>
            <w:tcW w:w="0" w:type="dxa"/>
            <w:vAlign w:val="bottom"/>
          </w:tcPr>
          <w:p>
            <w:pPr>
              <w:spacing w:after="0"/>
              <w:rPr>
                <w:sz w:val="1"/>
                <w:szCs w:val="1"/>
                <w:color w:val="auto"/>
              </w:rPr>
            </w:pPr>
          </w:p>
        </w:tc>
      </w:tr>
      <w:tr>
        <w:trPr>
          <w:trHeight w:val="246"/>
        </w:trPr>
        <w:tc>
          <w:tcPr>
            <w:tcW w:w="5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March 31,</w:t>
            </w: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20" w:type="dxa"/>
            <w:vAlign w:val="bottom"/>
            <w:vMerge w:val="restart"/>
          </w:tcPr>
          <w:p>
            <w:pPr>
              <w:spacing w:after="0"/>
              <w:rPr>
                <w:sz w:val="20"/>
                <w:szCs w:val="20"/>
                <w:color w:val="auto"/>
              </w:rPr>
            </w:pPr>
            <w:r>
              <w:rPr>
                <w:rFonts w:ascii="Arial" w:cs="Arial" w:eastAsia="Arial" w:hAnsi="Arial"/>
                <w:sz w:val="20"/>
                <w:szCs w:val="20"/>
                <w:color w:val="auto"/>
              </w:rPr>
              <w:t>Net income, as reported</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2017</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1"/>
              <w:spacing w:after="0" w:line="223"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06"/>
        </w:trPr>
        <w:tc>
          <w:tcPr>
            <w:tcW w:w="5120" w:type="dxa"/>
            <w:vAlign w:val="bottom"/>
            <w:vMerge w:val="continue"/>
          </w:tcPr>
          <w:p>
            <w:pPr>
              <w:spacing w:after="0"/>
              <w:rPr>
                <w:sz w:val="17"/>
                <w:szCs w:val="17"/>
                <w:color w:val="auto"/>
              </w:rPr>
            </w:pP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020" w:type="dxa"/>
            <w:vAlign w:val="bottom"/>
          </w:tcPr>
          <w:p>
            <w:pPr>
              <w:jc w:val="right"/>
              <w:spacing w:after="0" w:line="207" w:lineRule="exact"/>
              <w:rPr>
                <w:sz w:val="20"/>
                <w:szCs w:val="20"/>
                <w:color w:val="auto"/>
              </w:rPr>
            </w:pPr>
            <w:r>
              <w:rPr>
                <w:rFonts w:ascii="Arial" w:cs="Arial" w:eastAsia="Arial" w:hAnsi="Arial"/>
                <w:sz w:val="20"/>
                <w:szCs w:val="20"/>
                <w:color w:val="auto"/>
              </w:rPr>
              <w:t>177,980</w:t>
            </w:r>
          </w:p>
        </w:tc>
        <w:tc>
          <w:tcPr>
            <w:tcW w:w="160" w:type="dxa"/>
            <w:vAlign w:val="bottom"/>
          </w:tcPr>
          <w:p>
            <w:pPr>
              <w:spacing w:after="0"/>
              <w:rPr>
                <w:sz w:val="17"/>
                <w:szCs w:val="17"/>
                <w:color w:val="auto"/>
              </w:rPr>
            </w:pP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940" w:type="dxa"/>
            <w:vAlign w:val="bottom"/>
          </w:tcPr>
          <w:p>
            <w:pPr>
              <w:jc w:val="right"/>
              <w:spacing w:after="0" w:line="207" w:lineRule="exact"/>
              <w:rPr>
                <w:sz w:val="20"/>
                <w:szCs w:val="20"/>
                <w:color w:val="auto"/>
              </w:rPr>
            </w:pPr>
            <w:r>
              <w:rPr>
                <w:rFonts w:ascii="Arial" w:cs="Arial" w:eastAsia="Arial" w:hAnsi="Arial"/>
                <w:sz w:val="20"/>
                <w:szCs w:val="20"/>
                <w:color w:val="auto"/>
              </w:rPr>
              <w:t>163,877</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color w:val="auto"/>
              </w:rPr>
              <w:t>Other comprehensive income:</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20"/>
                <w:szCs w:val="20"/>
                <w:color w:val="auto"/>
              </w:rPr>
              <w:t>Change in foreign currency translation adjustment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1,201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6,435</w:t>
            </w: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20"/>
                <w:szCs w:val="20"/>
                <w:color w:val="auto"/>
              </w:rPr>
              <w:t>Available-for-sale investments:</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540"/>
              <w:spacing w:after="0"/>
              <w:rPr>
                <w:sz w:val="20"/>
                <w:szCs w:val="20"/>
                <w:color w:val="auto"/>
              </w:rPr>
            </w:pPr>
            <w:r>
              <w:rPr>
                <w:rFonts w:ascii="Arial" w:cs="Arial" w:eastAsia="Arial" w:hAnsi="Arial"/>
                <w:sz w:val="20"/>
                <w:szCs w:val="20"/>
                <w:color w:val="auto"/>
              </w:rPr>
              <w:t>Change in net unrealized gains</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540"/>
              <w:spacing w:after="0"/>
              <w:rPr>
                <w:sz w:val="20"/>
                <w:szCs w:val="20"/>
                <w:color w:val="auto"/>
              </w:rPr>
            </w:pPr>
            <w:r>
              <w:rPr>
                <w:rFonts w:ascii="Arial" w:cs="Arial" w:eastAsia="Arial" w:hAnsi="Arial"/>
                <w:sz w:val="20"/>
                <w:szCs w:val="20"/>
                <w:color w:val="auto"/>
                <w:w w:val="99"/>
              </w:rPr>
              <w:t>Reclassification adjustment for net gains included in</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120" w:type="dxa"/>
            <w:vAlign w:val="bottom"/>
          </w:tcPr>
          <w:p>
            <w:pPr>
              <w:ind w:left="720"/>
              <w:spacing w:after="0"/>
              <w:rPr>
                <w:sz w:val="20"/>
                <w:szCs w:val="20"/>
                <w:color w:val="auto"/>
              </w:rPr>
            </w:pPr>
            <w:r>
              <w:rPr>
                <w:rFonts w:ascii="Arial" w:cs="Arial" w:eastAsia="Arial" w:hAnsi="Arial"/>
                <w:sz w:val="20"/>
                <w:szCs w:val="20"/>
                <w:color w:val="auto"/>
              </w:rPr>
              <w:t>net income</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120" w:type="dxa"/>
            <w:vAlign w:val="bottom"/>
          </w:tcPr>
          <w:p>
            <w:pPr>
              <w:ind w:left="540"/>
              <w:spacing w:after="0" w:line="213" w:lineRule="exact"/>
              <w:rPr>
                <w:sz w:val="20"/>
                <w:szCs w:val="20"/>
                <w:color w:val="auto"/>
              </w:rPr>
            </w:pPr>
            <w:r>
              <w:rPr>
                <w:rFonts w:ascii="Arial" w:cs="Arial" w:eastAsia="Arial" w:hAnsi="Arial"/>
                <w:sz w:val="20"/>
                <w:szCs w:val="20"/>
                <w:color w:val="auto"/>
              </w:rPr>
              <w:t>Net change in available-for-sale investments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131</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120" w:type="dxa"/>
            <w:vAlign w:val="bottom"/>
          </w:tcPr>
          <w:p>
            <w:pPr>
              <w:spacing w:after="0" w:line="213" w:lineRule="exact"/>
              <w:rPr>
                <w:sz w:val="20"/>
                <w:szCs w:val="20"/>
                <w:color w:val="auto"/>
              </w:rPr>
            </w:pPr>
            <w:r>
              <w:rPr>
                <w:rFonts w:ascii="Arial" w:cs="Arial" w:eastAsia="Arial" w:hAnsi="Arial"/>
                <w:sz w:val="20"/>
                <w:szCs w:val="20"/>
                <w:color w:val="auto"/>
              </w:rPr>
              <w:t>Other comprehensive income</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1,332</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6,435</w:t>
            </w:r>
          </w:p>
        </w:tc>
        <w:tc>
          <w:tcPr>
            <w:tcW w:w="0" w:type="dxa"/>
            <w:vAlign w:val="bottom"/>
          </w:tcPr>
          <w:p>
            <w:pPr>
              <w:spacing w:after="0"/>
              <w:rPr>
                <w:sz w:val="1"/>
                <w:szCs w:val="1"/>
                <w:color w:val="auto"/>
              </w:rPr>
            </w:pPr>
          </w:p>
        </w:tc>
      </w:tr>
      <w:tr>
        <w:trPr>
          <w:trHeight w:val="230"/>
        </w:trPr>
        <w:tc>
          <w:tcPr>
            <w:tcW w:w="5120" w:type="dxa"/>
            <w:vAlign w:val="bottom"/>
          </w:tcPr>
          <w:p>
            <w:pPr>
              <w:spacing w:after="0" w:line="220" w:lineRule="exact"/>
              <w:rPr>
                <w:sz w:val="20"/>
                <w:szCs w:val="20"/>
                <w:color w:val="auto"/>
              </w:rPr>
            </w:pPr>
            <w:r>
              <w:rPr>
                <w:rFonts w:ascii="Arial" w:cs="Arial" w:eastAsia="Arial" w:hAnsi="Arial"/>
                <w:sz w:val="20"/>
                <w:szCs w:val="20"/>
                <w:color w:val="auto"/>
              </w:rPr>
              <w:t>Comprehensive income</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179,312</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170,312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4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THREE-MONTHS ENDED MARCH 31, 2017 AND 2016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Three-Months Ended</w:t>
            </w:r>
          </w:p>
        </w:tc>
        <w:tc>
          <w:tcPr>
            <w:tcW w:w="0" w:type="dxa"/>
            <w:vAlign w:val="bottom"/>
          </w:tcPr>
          <w:p>
            <w:pPr>
              <w:spacing w:after="0"/>
              <w:rPr>
                <w:sz w:val="1"/>
                <w:szCs w:val="1"/>
                <w:color w:val="auto"/>
              </w:rPr>
            </w:pPr>
          </w:p>
        </w:tc>
      </w:tr>
      <w:tr>
        <w:trPr>
          <w:trHeight w:val="142"/>
        </w:trPr>
        <w:tc>
          <w:tcPr>
            <w:tcW w:w="8000" w:type="dxa"/>
            <w:vAlign w:val="bottom"/>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tcPr>
          <w:p>
            <w:pPr>
              <w:spacing w:after="0"/>
              <w:rPr>
                <w:sz w:val="12"/>
                <w:szCs w:val="12"/>
                <w:color w:val="auto"/>
              </w:rPr>
            </w:pPr>
          </w:p>
        </w:tc>
        <w:tc>
          <w:tcPr>
            <w:tcW w:w="16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12"/>
                <w:szCs w:val="12"/>
                <w:color w:val="auto"/>
              </w:rPr>
            </w:pPr>
          </w:p>
        </w:tc>
        <w:tc>
          <w:tcPr>
            <w:tcW w:w="1360" w:type="dxa"/>
            <w:vAlign w:val="bottom"/>
          </w:tcPr>
          <w:p>
            <w:pPr>
              <w:jc w:val="right"/>
              <w:ind w:right="248"/>
              <w:spacing w:after="0" w:line="142" w:lineRule="exact"/>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137"/>
        </w:trPr>
        <w:tc>
          <w:tcPr>
            <w:tcW w:w="8000" w:type="dxa"/>
            <w:vAlign w:val="bottom"/>
            <w:vMerge w:val="continue"/>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000" w:type="dxa"/>
            <w:vAlign w:val="bottom"/>
          </w:tcPr>
          <w:p>
            <w:pPr>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177,980</w:t>
            </w:r>
          </w:p>
        </w:tc>
        <w:tc>
          <w:tcPr>
            <w:tcW w:w="220" w:type="dxa"/>
            <w:vAlign w:val="bottom"/>
          </w:tcPr>
          <w:p>
            <w:pPr>
              <w:spacing w:after="0"/>
              <w:rPr>
                <w:sz w:val="14"/>
                <w:szCs w:val="14"/>
                <w:color w:val="auto"/>
              </w:rPr>
            </w:pP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163,877</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11,183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9,024</w:t>
            </w:r>
          </w:p>
        </w:tc>
        <w:tc>
          <w:tcPr>
            <w:tcW w:w="0" w:type="dxa"/>
            <w:vAlign w:val="bottom"/>
          </w:tcPr>
          <w:p>
            <w:pPr>
              <w:spacing w:after="0"/>
              <w:rPr>
                <w:sz w:val="1"/>
                <w:szCs w:val="1"/>
                <w:color w:val="auto"/>
              </w:rPr>
            </w:pPr>
          </w:p>
        </w:tc>
      </w:tr>
      <w:tr>
        <w:trPr>
          <w:trHeight w:val="162"/>
        </w:trPr>
        <w:tc>
          <w:tcPr>
            <w:tcW w:w="8000" w:type="dxa"/>
            <w:vAlign w:val="bottom"/>
          </w:tcPr>
          <w:p>
            <w:pPr>
              <w:ind w:left="380"/>
              <w:spacing w:after="0"/>
              <w:rPr>
                <w:sz w:val="20"/>
                <w:szCs w:val="20"/>
                <w:color w:val="auto"/>
              </w:rPr>
            </w:pPr>
            <w:r>
              <w:rPr>
                <w:rFonts w:ascii="Arial" w:cs="Arial" w:eastAsia="Arial" w:hAnsi="Arial"/>
                <w:sz w:val="14"/>
                <w:szCs w:val="14"/>
                <w:color w:val="auto"/>
              </w:rPr>
              <w:t>Loss (gain) on disposal of property and equipment</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2"/>
        </w:trPr>
        <w:tc>
          <w:tcPr>
            <w:tcW w:w="800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13,142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10,062</w:t>
            </w:r>
          </w:p>
        </w:tc>
        <w:tc>
          <w:tcPr>
            <w:tcW w:w="0" w:type="dxa"/>
            <w:vAlign w:val="bottom"/>
          </w:tcPr>
          <w:p>
            <w:pPr>
              <w:spacing w:after="0"/>
              <w:rPr>
                <w:sz w:val="1"/>
                <w:szCs w:val="1"/>
                <w:color w:val="auto"/>
              </w:rPr>
            </w:pPr>
          </w:p>
        </w:tc>
      </w:tr>
      <w:tr>
        <w:trPr>
          <w:trHeight w:val="162"/>
        </w:trPr>
        <w:tc>
          <w:tcPr>
            <w:tcW w:w="800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1,862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8000" w:type="dxa"/>
            <w:vAlign w:val="bottom"/>
          </w:tcPr>
          <w:p>
            <w:pPr>
              <w:ind w:left="380"/>
              <w:spacing w:after="0"/>
              <w:rPr>
                <w:sz w:val="20"/>
                <w:szCs w:val="20"/>
                <w:color w:val="auto"/>
              </w:rPr>
            </w:pPr>
            <w:r>
              <w:rPr>
                <w:rFonts w:ascii="Arial" w:cs="Arial" w:eastAsia="Arial" w:hAnsi="Arial"/>
                <w:sz w:val="14"/>
                <w:szCs w:val="14"/>
                <w:color w:val="auto"/>
              </w:rPr>
              <w:t>Effect on cash of changes in operating assets and liabilities:</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0" w:type="dxa"/>
            <w:vAlign w:val="bottom"/>
          </w:tcPr>
          <w:p>
            <w:pPr>
              <w:ind w:left="560"/>
              <w:spacing w:after="0"/>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7,441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(58,550)</w:t>
            </w:r>
          </w:p>
        </w:tc>
        <w:tc>
          <w:tcPr>
            <w:tcW w:w="0" w:type="dxa"/>
            <w:vAlign w:val="bottom"/>
          </w:tcPr>
          <w:p>
            <w:pPr>
              <w:spacing w:after="0"/>
              <w:rPr>
                <w:sz w:val="1"/>
                <w:szCs w:val="1"/>
                <w:color w:val="auto"/>
              </w:rPr>
            </w:pPr>
          </w:p>
        </w:tc>
      </w:tr>
      <w:tr>
        <w:trPr>
          <w:trHeight w:val="162"/>
        </w:trPr>
        <w:tc>
          <w:tcPr>
            <w:tcW w:w="8000" w:type="dxa"/>
            <w:vAlign w:val="bottom"/>
          </w:tcPr>
          <w:p>
            <w:pPr>
              <w:ind w:left="560"/>
              <w:spacing w:after="0"/>
              <w:rPr>
                <w:sz w:val="20"/>
                <w:szCs w:val="20"/>
                <w:color w:val="auto"/>
              </w:rPr>
            </w:pPr>
            <w:r>
              <w:rPr>
                <w:rFonts w:ascii="Arial" w:cs="Arial" w:eastAsia="Arial" w:hAnsi="Arial"/>
                <w:sz w:val="14"/>
                <w:szCs w:val="14"/>
                <w:color w:val="auto"/>
              </w:rPr>
              <w:t>Distributor receivables</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(951)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(1,656)</w:t>
            </w:r>
          </w:p>
        </w:tc>
        <w:tc>
          <w:tcPr>
            <w:tcW w:w="0" w:type="dxa"/>
            <w:vAlign w:val="bottom"/>
          </w:tcPr>
          <w:p>
            <w:pPr>
              <w:spacing w:after="0"/>
              <w:rPr>
                <w:sz w:val="1"/>
                <w:szCs w:val="1"/>
                <w:color w:val="auto"/>
              </w:rPr>
            </w:pPr>
          </w:p>
        </w:tc>
      </w:tr>
      <w:tr>
        <w:trPr>
          <w:trHeight w:val="162"/>
        </w:trPr>
        <w:tc>
          <w:tcPr>
            <w:tcW w:w="8000" w:type="dxa"/>
            <w:vAlign w:val="bottom"/>
          </w:tcPr>
          <w:p>
            <w:pPr>
              <w:ind w:left="560"/>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(7,793)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(7,639)</w:t>
            </w:r>
          </w:p>
        </w:tc>
        <w:tc>
          <w:tcPr>
            <w:tcW w:w="0" w:type="dxa"/>
            <w:vAlign w:val="bottom"/>
          </w:tcPr>
          <w:p>
            <w:pPr>
              <w:spacing w:after="0"/>
              <w:rPr>
                <w:sz w:val="1"/>
                <w:szCs w:val="1"/>
                <w:color w:val="auto"/>
              </w:rPr>
            </w:pPr>
          </w:p>
        </w:tc>
      </w:tr>
      <w:tr>
        <w:trPr>
          <w:trHeight w:val="162"/>
        </w:trPr>
        <w:tc>
          <w:tcPr>
            <w:tcW w:w="8000" w:type="dxa"/>
            <w:vAlign w:val="bottom"/>
          </w:tcPr>
          <w:p>
            <w:pPr>
              <w:ind w:left="56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(11,368)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(12,841)</w:t>
            </w:r>
          </w:p>
        </w:tc>
        <w:tc>
          <w:tcPr>
            <w:tcW w:w="0" w:type="dxa"/>
            <w:vAlign w:val="bottom"/>
          </w:tcPr>
          <w:p>
            <w:pPr>
              <w:spacing w:after="0"/>
              <w:rPr>
                <w:sz w:val="1"/>
                <w:szCs w:val="1"/>
                <w:color w:val="auto"/>
              </w:rPr>
            </w:pPr>
          </w:p>
        </w:tc>
      </w:tr>
      <w:tr>
        <w:trPr>
          <w:trHeight w:val="162"/>
        </w:trPr>
        <w:tc>
          <w:tcPr>
            <w:tcW w:w="8000" w:type="dxa"/>
            <w:vAlign w:val="bottom"/>
          </w:tcPr>
          <w:p>
            <w:pPr>
              <w:ind w:left="560"/>
              <w:spacing w:after="0"/>
              <w:rPr>
                <w:sz w:val="20"/>
                <w:szCs w:val="20"/>
                <w:color w:val="auto"/>
              </w:rPr>
            </w:pPr>
            <w:r>
              <w:rPr>
                <w:rFonts w:ascii="Arial" w:cs="Arial" w:eastAsia="Arial" w:hAnsi="Arial"/>
                <w:sz w:val="14"/>
                <w:szCs w:val="14"/>
                <w:color w:val="auto"/>
              </w:rPr>
              <w:t>Prepaid income taxes</w:t>
            </w:r>
          </w:p>
        </w:tc>
        <w:tc>
          <w:tcPr>
            <w:tcW w:w="24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25,601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(10,535)</w:t>
            </w:r>
          </w:p>
        </w:tc>
        <w:tc>
          <w:tcPr>
            <w:tcW w:w="0" w:type="dxa"/>
            <w:vAlign w:val="bottom"/>
          </w:tcPr>
          <w:p>
            <w:pPr>
              <w:spacing w:after="0"/>
              <w:rPr>
                <w:sz w:val="1"/>
                <w:szCs w:val="1"/>
                <w:color w:val="auto"/>
              </w:rPr>
            </w:pPr>
          </w:p>
        </w:tc>
      </w:tr>
      <w:tr>
        <w:trPr>
          <w:trHeight w:val="162"/>
        </w:trPr>
        <w:tc>
          <w:tcPr>
            <w:tcW w:w="8000" w:type="dxa"/>
            <w:vAlign w:val="bottom"/>
          </w:tcPr>
          <w:p>
            <w:pPr>
              <w:ind w:left="560"/>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(19,317)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36,086</w:t>
            </w:r>
          </w:p>
        </w:tc>
        <w:tc>
          <w:tcPr>
            <w:tcW w:w="0" w:type="dxa"/>
            <w:vAlign w:val="bottom"/>
          </w:tcPr>
          <w:p>
            <w:pPr>
              <w:spacing w:after="0"/>
              <w:rPr>
                <w:sz w:val="1"/>
                <w:szCs w:val="1"/>
                <w:color w:val="auto"/>
              </w:rPr>
            </w:pPr>
          </w:p>
        </w:tc>
      </w:tr>
      <w:tr>
        <w:trPr>
          <w:trHeight w:val="162"/>
        </w:trPr>
        <w:tc>
          <w:tcPr>
            <w:tcW w:w="8000" w:type="dxa"/>
            <w:vAlign w:val="bottom"/>
          </w:tcPr>
          <w:p>
            <w:pPr>
              <w:ind w:left="560"/>
              <w:spacing w:after="0"/>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6,788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12,239</w:t>
            </w:r>
          </w:p>
        </w:tc>
        <w:tc>
          <w:tcPr>
            <w:tcW w:w="0" w:type="dxa"/>
            <w:vAlign w:val="bottom"/>
          </w:tcPr>
          <w:p>
            <w:pPr>
              <w:spacing w:after="0"/>
              <w:rPr>
                <w:sz w:val="1"/>
                <w:szCs w:val="1"/>
                <w:color w:val="auto"/>
              </w:rPr>
            </w:pPr>
          </w:p>
        </w:tc>
      </w:tr>
      <w:tr>
        <w:trPr>
          <w:trHeight w:val="162"/>
        </w:trPr>
        <w:tc>
          <w:tcPr>
            <w:tcW w:w="8000" w:type="dxa"/>
            <w:vAlign w:val="bottom"/>
          </w:tcPr>
          <w:p>
            <w:pPr>
              <w:ind w:left="560"/>
              <w:spacing w:after="0"/>
              <w:rPr>
                <w:sz w:val="20"/>
                <w:szCs w:val="20"/>
                <w:color w:val="auto"/>
              </w:rPr>
            </w:pPr>
            <w:r>
              <w:rPr>
                <w:rFonts w:ascii="Arial" w:cs="Arial" w:eastAsia="Arial" w:hAnsi="Arial"/>
                <w:sz w:val="14"/>
                <w:szCs w:val="14"/>
                <w:color w:val="auto"/>
              </w:rPr>
              <w:t>Accrued promotional allowances</w:t>
            </w:r>
          </w:p>
        </w:tc>
        <w:tc>
          <w:tcPr>
            <w:tcW w:w="24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14,111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13,136</w:t>
            </w:r>
          </w:p>
        </w:tc>
        <w:tc>
          <w:tcPr>
            <w:tcW w:w="0" w:type="dxa"/>
            <w:vAlign w:val="bottom"/>
          </w:tcPr>
          <w:p>
            <w:pPr>
              <w:spacing w:after="0"/>
              <w:rPr>
                <w:sz w:val="1"/>
                <w:szCs w:val="1"/>
                <w:color w:val="auto"/>
              </w:rPr>
            </w:pPr>
          </w:p>
        </w:tc>
      </w:tr>
      <w:tr>
        <w:trPr>
          <w:trHeight w:val="162"/>
        </w:trPr>
        <w:tc>
          <w:tcPr>
            <w:tcW w:w="8000" w:type="dxa"/>
            <w:vAlign w:val="bottom"/>
          </w:tcPr>
          <w:p>
            <w:pPr>
              <w:ind w:left="560"/>
              <w:spacing w:after="0"/>
              <w:rPr>
                <w:sz w:val="20"/>
                <w:szCs w:val="20"/>
                <w:color w:val="auto"/>
              </w:rPr>
            </w:pPr>
            <w:r>
              <w:rPr>
                <w:rFonts w:ascii="Arial" w:cs="Arial" w:eastAsia="Arial" w:hAnsi="Arial"/>
                <w:sz w:val="14"/>
                <w:szCs w:val="14"/>
                <w:color w:val="auto"/>
              </w:rPr>
              <w:t>Accrued distributor terminations</w:t>
            </w:r>
          </w:p>
        </w:tc>
        <w:tc>
          <w:tcPr>
            <w:tcW w:w="24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315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(2,853)</w:t>
            </w:r>
          </w:p>
        </w:tc>
        <w:tc>
          <w:tcPr>
            <w:tcW w:w="0" w:type="dxa"/>
            <w:vAlign w:val="bottom"/>
          </w:tcPr>
          <w:p>
            <w:pPr>
              <w:spacing w:after="0"/>
              <w:rPr>
                <w:sz w:val="1"/>
                <w:szCs w:val="1"/>
                <w:color w:val="auto"/>
              </w:rPr>
            </w:pPr>
          </w:p>
        </w:tc>
      </w:tr>
      <w:tr>
        <w:trPr>
          <w:trHeight w:val="162"/>
        </w:trPr>
        <w:tc>
          <w:tcPr>
            <w:tcW w:w="8000" w:type="dxa"/>
            <w:vAlign w:val="bottom"/>
          </w:tcPr>
          <w:p>
            <w:pPr>
              <w:ind w:left="560"/>
              <w:spacing w:after="0"/>
              <w:rPr>
                <w:sz w:val="20"/>
                <w:szCs w:val="20"/>
                <w:color w:val="auto"/>
              </w:rPr>
            </w:pPr>
            <w:r>
              <w:rPr>
                <w:rFonts w:ascii="Arial" w:cs="Arial" w:eastAsia="Arial" w:hAnsi="Arial"/>
                <w:sz w:val="14"/>
                <w:szCs w:val="14"/>
                <w:color w:val="auto"/>
              </w:rPr>
              <w:t>Accrued compensation</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(15,802)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(9,147)</w:t>
            </w:r>
          </w:p>
        </w:tc>
        <w:tc>
          <w:tcPr>
            <w:tcW w:w="0" w:type="dxa"/>
            <w:vAlign w:val="bottom"/>
          </w:tcPr>
          <w:p>
            <w:pPr>
              <w:spacing w:after="0"/>
              <w:rPr>
                <w:sz w:val="1"/>
                <w:szCs w:val="1"/>
                <w:color w:val="auto"/>
              </w:rPr>
            </w:pPr>
          </w:p>
        </w:tc>
      </w:tr>
      <w:tr>
        <w:trPr>
          <w:trHeight w:val="162"/>
        </w:trPr>
        <w:tc>
          <w:tcPr>
            <w:tcW w:w="8000" w:type="dxa"/>
            <w:vAlign w:val="bottom"/>
          </w:tcPr>
          <w:p>
            <w:pPr>
              <w:ind w:left="560"/>
              <w:spacing w:after="0"/>
              <w:rPr>
                <w:sz w:val="20"/>
                <w:szCs w:val="20"/>
                <w:color w:val="auto"/>
              </w:rPr>
            </w:pPr>
            <w:r>
              <w:rPr>
                <w:rFonts w:ascii="Arial" w:cs="Arial" w:eastAsia="Arial" w:hAnsi="Arial"/>
                <w:sz w:val="14"/>
                <w:szCs w:val="14"/>
                <w:color w:val="auto"/>
              </w:rPr>
              <w:t>Income taxes payable</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(5,506)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(34,791)</w:t>
            </w:r>
          </w:p>
        </w:tc>
        <w:tc>
          <w:tcPr>
            <w:tcW w:w="0" w:type="dxa"/>
            <w:vAlign w:val="bottom"/>
          </w:tcPr>
          <w:p>
            <w:pPr>
              <w:spacing w:after="0"/>
              <w:rPr>
                <w:sz w:val="1"/>
                <w:szCs w:val="1"/>
                <w:color w:val="auto"/>
              </w:rPr>
            </w:pPr>
          </w:p>
        </w:tc>
      </w:tr>
      <w:tr>
        <w:trPr>
          <w:trHeight w:val="154"/>
        </w:trPr>
        <w:tc>
          <w:tcPr>
            <w:tcW w:w="8000" w:type="dxa"/>
            <w:vAlign w:val="bottom"/>
          </w:tcPr>
          <w:p>
            <w:pPr>
              <w:ind w:left="560"/>
              <w:spacing w:after="0" w:line="154" w:lineRule="exact"/>
              <w:rPr>
                <w:sz w:val="20"/>
                <w:szCs w:val="20"/>
                <w:color w:val="auto"/>
              </w:rPr>
            </w:pPr>
            <w:r>
              <w:rPr>
                <w:rFonts w:ascii="Arial" w:cs="Arial" w:eastAsia="Arial" w:hAnsi="Arial"/>
                <w:sz w:val="14"/>
                <w:szCs w:val="14"/>
                <w:color w:val="auto"/>
              </w:rPr>
              <w:t>Deferred revenue</w:t>
            </w: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(4,454)</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
              <w:spacing w:after="0" w:line="154" w:lineRule="exact"/>
              <w:rPr>
                <w:sz w:val="20"/>
                <w:szCs w:val="20"/>
                <w:color w:val="auto"/>
              </w:rPr>
            </w:pPr>
            <w:r>
              <w:rPr>
                <w:rFonts w:ascii="Arial" w:cs="Arial" w:eastAsia="Arial" w:hAnsi="Arial"/>
                <w:sz w:val="14"/>
                <w:szCs w:val="14"/>
                <w:color w:val="auto"/>
              </w:rPr>
              <w:t>3,092</w:t>
            </w:r>
          </w:p>
        </w:tc>
        <w:tc>
          <w:tcPr>
            <w:tcW w:w="0" w:type="dxa"/>
            <w:vAlign w:val="bottom"/>
          </w:tcPr>
          <w:p>
            <w:pPr>
              <w:spacing w:after="0"/>
              <w:rPr>
                <w:sz w:val="1"/>
                <w:szCs w:val="1"/>
                <w:color w:val="auto"/>
              </w:rPr>
            </w:pPr>
          </w:p>
        </w:tc>
      </w:tr>
      <w:tr>
        <w:trPr>
          <w:trHeight w:val="184"/>
        </w:trPr>
        <w:tc>
          <w:tcPr>
            <w:tcW w:w="8000" w:type="dxa"/>
            <w:vAlign w:val="bottom"/>
          </w:tcPr>
          <w:p>
            <w:pPr>
              <w:ind w:left="74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192,964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109,559</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000" w:type="dxa"/>
            <w:vAlign w:val="bottom"/>
          </w:tcPr>
          <w:p>
            <w:pPr>
              <w:spacing w:after="0"/>
              <w:rPr>
                <w:sz w:val="20"/>
                <w:szCs w:val="20"/>
                <w:color w:val="auto"/>
              </w:rPr>
            </w:pPr>
            <w:r>
              <w:rPr>
                <w:rFonts w:ascii="Arial" w:cs="Arial" w:eastAsia="Arial" w:hAnsi="Arial"/>
                <w:sz w:val="14"/>
                <w:szCs w:val="14"/>
                <w:color w:val="auto"/>
              </w:rPr>
              <w:t>Maturities of held-to-maturity investments</w:t>
            </w:r>
          </w:p>
        </w:tc>
        <w:tc>
          <w:tcPr>
            <w:tcW w:w="24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396,346</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20"/>
                <w:szCs w:val="20"/>
                <w:color w:val="auto"/>
              </w:rPr>
            </w:pPr>
            <w:r>
              <w:rPr>
                <w:rFonts w:ascii="Arial" w:cs="Arial" w:eastAsia="Arial" w:hAnsi="Arial"/>
                <w:sz w:val="14"/>
                <w:szCs w:val="14"/>
                <w:color w:val="auto"/>
              </w:rPr>
              <w:t>Sales of available-for-sale investments</w:t>
            </w:r>
          </w:p>
        </w:tc>
        <w:tc>
          <w:tcPr>
            <w:tcW w:w="24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71,553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20"/>
                <w:szCs w:val="20"/>
                <w:color w:val="auto"/>
              </w:rPr>
            </w:pPr>
            <w:r>
              <w:rPr>
                <w:rFonts w:ascii="Arial" w:cs="Arial" w:eastAsia="Arial" w:hAnsi="Arial"/>
                <w:sz w:val="14"/>
                <w:szCs w:val="14"/>
                <w:color w:val="auto"/>
              </w:rPr>
              <w:t>Purchases of held-to-maturity investments</w:t>
            </w:r>
          </w:p>
        </w:tc>
        <w:tc>
          <w:tcPr>
            <w:tcW w:w="24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(152,050)</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20"/>
                <w:szCs w:val="20"/>
                <w:color w:val="auto"/>
              </w:rPr>
            </w:pPr>
            <w:r>
              <w:rPr>
                <w:rFonts w:ascii="Arial" w:cs="Arial" w:eastAsia="Arial" w:hAnsi="Arial"/>
                <w:sz w:val="14"/>
                <w:szCs w:val="14"/>
                <w:color w:val="auto"/>
              </w:rPr>
              <w:t>Purchases of available-for-sale investments</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(58,314)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(19,093)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(8,205)</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20"/>
                <w:szCs w:val="20"/>
                <w:color w:val="auto"/>
              </w:rPr>
            </w:pPr>
            <w:r>
              <w:rPr>
                <w:rFonts w:ascii="Arial" w:cs="Arial" w:eastAsia="Arial" w:hAnsi="Arial"/>
                <w:sz w:val="14"/>
                <w:szCs w:val="14"/>
                <w:color w:val="auto"/>
              </w:rPr>
              <w:t>Proceeds from sale of property and equipment</w:t>
            </w:r>
          </w:p>
        </w:tc>
        <w:tc>
          <w:tcPr>
            <w:tcW w:w="24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452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20"/>
                <w:szCs w:val="20"/>
                <w:color w:val="auto"/>
              </w:rPr>
            </w:pPr>
            <w:r>
              <w:rPr>
                <w:rFonts w:ascii="Arial" w:cs="Arial" w:eastAsia="Arial" w:hAnsi="Arial"/>
                <w:sz w:val="14"/>
                <w:szCs w:val="14"/>
                <w:color w:val="auto"/>
              </w:rPr>
              <w:t>Increase in intangibles</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(848)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(2,342)</w:t>
            </w:r>
          </w:p>
        </w:tc>
        <w:tc>
          <w:tcPr>
            <w:tcW w:w="0" w:type="dxa"/>
            <w:vAlign w:val="bottom"/>
          </w:tcPr>
          <w:p>
            <w:pPr>
              <w:spacing w:after="0"/>
              <w:rPr>
                <w:sz w:val="1"/>
                <w:szCs w:val="1"/>
                <w:color w:val="auto"/>
              </w:rPr>
            </w:pPr>
          </w:p>
        </w:tc>
      </w:tr>
      <w:tr>
        <w:trPr>
          <w:trHeight w:val="154"/>
        </w:trPr>
        <w:tc>
          <w:tcPr>
            <w:tcW w:w="8000" w:type="dxa"/>
            <w:vAlign w:val="bottom"/>
          </w:tcPr>
          <w:p>
            <w:pPr>
              <w:spacing w:after="0" w:line="154" w:lineRule="exact"/>
              <w:rPr>
                <w:sz w:val="20"/>
                <w:szCs w:val="20"/>
                <w:color w:val="auto"/>
              </w:rPr>
            </w:pPr>
            <w:r>
              <w:rPr>
                <w:rFonts w:ascii="Arial" w:cs="Arial" w:eastAsia="Arial" w:hAnsi="Arial"/>
                <w:sz w:val="14"/>
                <w:szCs w:val="14"/>
                <w:color w:val="auto"/>
              </w:rPr>
              <w:t>Decrease (increase) in other assets</w:t>
            </w: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(52)</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
              <w:spacing w:after="0" w:line="154"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4"/>
        </w:trPr>
        <w:tc>
          <w:tcPr>
            <w:tcW w:w="8000" w:type="dxa"/>
            <w:vAlign w:val="bottom"/>
          </w:tcPr>
          <w:p>
            <w:pPr>
              <w:ind w:left="740"/>
              <w:spacing w:after="0"/>
              <w:rPr>
                <w:sz w:val="20"/>
                <w:szCs w:val="20"/>
                <w:color w:val="auto"/>
              </w:rPr>
            </w:pPr>
            <w:r>
              <w:rPr>
                <w:rFonts w:ascii="Arial" w:cs="Arial" w:eastAsia="Arial" w:hAnsi="Arial"/>
                <w:sz w:val="14"/>
                <w:szCs w:val="14"/>
                <w:color w:val="auto"/>
              </w:rPr>
              <w:t>Net cash (used in) provided by investing activities</w:t>
            </w:r>
          </w:p>
        </w:tc>
        <w:tc>
          <w:tcPr>
            <w:tcW w:w="2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(6,302)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234,272</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000" w:type="dxa"/>
            <w:vAlign w:val="bottom"/>
          </w:tcPr>
          <w:p>
            <w:pPr>
              <w:spacing w:after="0"/>
              <w:rPr>
                <w:sz w:val="20"/>
                <w:szCs w:val="20"/>
                <w:color w:val="auto"/>
              </w:rPr>
            </w:pPr>
            <w:r>
              <w:rPr>
                <w:rFonts w:ascii="Arial" w:cs="Arial" w:eastAsia="Arial" w:hAnsi="Arial"/>
                <w:sz w:val="14"/>
                <w:szCs w:val="14"/>
                <w:color w:val="auto"/>
              </w:rPr>
              <w:t>Principal payments on debt</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(700)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240" w:type="dxa"/>
            <w:vAlign w:val="bottom"/>
          </w:tcPr>
          <w:p>
            <w:pPr>
              <w:spacing w:after="0"/>
              <w:rPr>
                <w:sz w:val="14"/>
                <w:szCs w:val="14"/>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13,621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4,078</w:t>
            </w:r>
          </w:p>
        </w:tc>
        <w:tc>
          <w:tcPr>
            <w:tcW w:w="0" w:type="dxa"/>
            <w:vAlign w:val="bottom"/>
          </w:tcPr>
          <w:p>
            <w:pPr>
              <w:spacing w:after="0"/>
              <w:rPr>
                <w:sz w:val="1"/>
                <w:szCs w:val="1"/>
                <w:color w:val="auto"/>
              </w:rPr>
            </w:pPr>
          </w:p>
        </w:tc>
      </w:tr>
      <w:tr>
        <w:trPr>
          <w:trHeight w:val="154"/>
        </w:trPr>
        <w:tc>
          <w:tcPr>
            <w:tcW w:w="8000" w:type="dxa"/>
            <w:vAlign w:val="bottom"/>
          </w:tcPr>
          <w:p>
            <w:pPr>
              <w:spacing w:after="0" w:line="154" w:lineRule="exact"/>
              <w:rPr>
                <w:sz w:val="20"/>
                <w:szCs w:val="20"/>
                <w:color w:val="auto"/>
              </w:rPr>
            </w:pPr>
            <w:r>
              <w:rPr>
                <w:rFonts w:ascii="Arial" w:cs="Arial" w:eastAsia="Arial" w:hAnsi="Arial"/>
                <w:sz w:val="14"/>
                <w:szCs w:val="14"/>
                <w:color w:val="auto"/>
              </w:rPr>
              <w:t>Purchases of common stock held in treasury</w:t>
            </w: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(64)</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56"/>
        </w:trPr>
        <w:tc>
          <w:tcPr>
            <w:tcW w:w="8000" w:type="dxa"/>
            <w:vAlign w:val="bottom"/>
          </w:tcPr>
          <w:p>
            <w:pPr>
              <w:ind w:left="7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12,857</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1,540</w:t>
            </w:r>
          </w:p>
        </w:tc>
        <w:tc>
          <w:tcPr>
            <w:tcW w:w="0" w:type="dxa"/>
            <w:vAlign w:val="bottom"/>
          </w:tcPr>
          <w:p>
            <w:pPr>
              <w:spacing w:after="0"/>
              <w:rPr>
                <w:sz w:val="1"/>
                <w:szCs w:val="1"/>
                <w:color w:val="auto"/>
              </w:rPr>
            </w:pPr>
          </w:p>
        </w:tc>
      </w:tr>
      <w:tr>
        <w:trPr>
          <w:trHeight w:val="279"/>
        </w:trPr>
        <w:tc>
          <w:tcPr>
            <w:tcW w:w="800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(764)</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7,321</w:t>
            </w:r>
          </w:p>
        </w:tc>
        <w:tc>
          <w:tcPr>
            <w:tcW w:w="0" w:type="dxa"/>
            <w:vAlign w:val="bottom"/>
          </w:tcPr>
          <w:p>
            <w:pPr>
              <w:spacing w:after="0"/>
              <w:rPr>
                <w:sz w:val="1"/>
                <w:szCs w:val="1"/>
                <w:color w:val="auto"/>
              </w:rPr>
            </w:pPr>
          </w:p>
        </w:tc>
      </w:tr>
      <w:tr>
        <w:trPr>
          <w:trHeight w:val="257"/>
        </w:trPr>
        <w:tc>
          <w:tcPr>
            <w:tcW w:w="8000" w:type="dxa"/>
            <w:vAlign w:val="bottom"/>
          </w:tcPr>
          <w:p>
            <w:pPr>
              <w:spacing w:after="0"/>
              <w:rPr>
                <w:sz w:val="20"/>
                <w:szCs w:val="20"/>
                <w:color w:val="auto"/>
              </w:rPr>
            </w:pPr>
            <w:r>
              <w:rPr>
                <w:rFonts w:ascii="Arial" w:cs="Arial" w:eastAsia="Arial" w:hAnsi="Arial"/>
                <w:sz w:val="14"/>
                <w:szCs w:val="14"/>
                <w:color w:val="auto"/>
              </w:rPr>
              <w:t>NET INCREASE IN CASH AND</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4" w:name="page5"/>
    <w:bookmarkEnd w:id="4"/>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00" w:type="dxa"/>
            <w:vAlign w:val="bottom"/>
          </w:tcPr>
          <w:p>
            <w:pPr>
              <w:ind w:left="380"/>
              <w:spacing w:after="0"/>
              <w:rPr>
                <w:sz w:val="20"/>
                <w:szCs w:val="20"/>
                <w:color w:val="auto"/>
              </w:rPr>
            </w:pPr>
            <w:r>
              <w:rPr>
                <w:rFonts w:ascii="Arial" w:cs="Arial" w:eastAsia="Arial" w:hAnsi="Arial"/>
                <w:sz w:val="14"/>
                <w:szCs w:val="14"/>
                <w:color w:val="auto"/>
              </w:rPr>
              <w:t>CASH EQUIVALENTS</w:t>
            </w:r>
          </w:p>
        </w:tc>
        <w:tc>
          <w:tcPr>
            <w:tcW w:w="6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198,755</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352,692</w:t>
            </w:r>
          </w:p>
        </w:tc>
        <w:tc>
          <w:tcPr>
            <w:tcW w:w="0" w:type="dxa"/>
            <w:vAlign w:val="bottom"/>
          </w:tcPr>
          <w:p>
            <w:pPr>
              <w:spacing w:after="0"/>
              <w:rPr>
                <w:sz w:val="1"/>
                <w:szCs w:val="1"/>
                <w:color w:val="auto"/>
              </w:rPr>
            </w:pPr>
          </w:p>
        </w:tc>
      </w:tr>
      <w:tr>
        <w:trPr>
          <w:trHeight w:val="154"/>
        </w:trPr>
        <w:tc>
          <w:tcPr>
            <w:tcW w:w="8000" w:type="dxa"/>
            <w:vAlign w:val="bottom"/>
          </w:tcPr>
          <w:p>
            <w:pPr>
              <w:spacing w:after="0" w:line="154" w:lineRule="exact"/>
              <w:rPr>
                <w:sz w:val="20"/>
                <w:szCs w:val="20"/>
                <w:color w:val="auto"/>
              </w:rPr>
            </w:pPr>
            <w:r>
              <w:rPr>
                <w:rFonts w:ascii="Arial" w:cs="Arial" w:eastAsia="Arial" w:hAnsi="Arial"/>
                <w:sz w:val="14"/>
                <w:szCs w:val="14"/>
                <w:color w:val="auto"/>
              </w:rPr>
              <w:t>CASH AND CASH EQUIVALENTS, beginning of period</w:t>
            </w: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
              <w:spacing w:after="0" w:line="154" w:lineRule="exact"/>
              <w:rPr>
                <w:sz w:val="20"/>
                <w:szCs w:val="20"/>
                <w:color w:val="auto"/>
              </w:rPr>
            </w:pPr>
            <w:r>
              <w:rPr>
                <w:rFonts w:ascii="Arial" w:cs="Arial" w:eastAsia="Arial" w:hAnsi="Arial"/>
                <w:sz w:val="14"/>
                <w:szCs w:val="14"/>
                <w:color w:val="auto"/>
              </w:rPr>
              <w:t>377,582</w:t>
            </w:r>
          </w:p>
        </w:tc>
        <w:tc>
          <w:tcPr>
            <w:tcW w:w="2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8"/>
              <w:spacing w:after="0" w:line="154" w:lineRule="exact"/>
              <w:rPr>
                <w:sz w:val="20"/>
                <w:szCs w:val="20"/>
                <w:color w:val="auto"/>
              </w:rPr>
            </w:pPr>
            <w:r>
              <w:rPr>
                <w:rFonts w:ascii="Arial" w:cs="Arial" w:eastAsia="Arial" w:hAnsi="Arial"/>
                <w:sz w:val="14"/>
                <w:szCs w:val="14"/>
                <w:color w:val="auto"/>
              </w:rPr>
              <w:t>2,175,417</w:t>
            </w:r>
          </w:p>
        </w:tc>
        <w:tc>
          <w:tcPr>
            <w:tcW w:w="0" w:type="dxa"/>
            <w:vAlign w:val="bottom"/>
          </w:tcPr>
          <w:p>
            <w:pPr>
              <w:spacing w:after="0"/>
              <w:rPr>
                <w:sz w:val="1"/>
                <w:szCs w:val="1"/>
                <w:color w:val="auto"/>
              </w:rPr>
            </w:pPr>
          </w:p>
        </w:tc>
      </w:tr>
      <w:tr>
        <w:trPr>
          <w:trHeight w:val="156"/>
        </w:trPr>
        <w:tc>
          <w:tcPr>
            <w:tcW w:w="8000" w:type="dxa"/>
            <w:vAlign w:val="bottom"/>
          </w:tcPr>
          <w:p>
            <w:pPr>
              <w:spacing w:after="0" w:line="155" w:lineRule="exact"/>
              <w:rPr>
                <w:sz w:val="20"/>
                <w:szCs w:val="20"/>
                <w:color w:val="auto"/>
              </w:rPr>
            </w:pPr>
            <w:r>
              <w:rPr>
                <w:rFonts w:ascii="Arial" w:cs="Arial" w:eastAsia="Arial" w:hAnsi="Arial"/>
                <w:sz w:val="14"/>
                <w:szCs w:val="14"/>
                <w:color w:val="auto"/>
              </w:rPr>
              <w:t>CASH AND CASH EQUIVALENTS, end of period</w:t>
            </w:r>
          </w:p>
        </w:tc>
        <w:tc>
          <w:tcPr>
            <w:tcW w:w="60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576,337</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2,528,109</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000" w:type="dxa"/>
            <w:vAlign w:val="bottom"/>
            <w:vMerge w:val="continue"/>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8000" w:type="dxa"/>
            <w:vAlign w:val="bottom"/>
          </w:tcPr>
          <w:p>
            <w:pPr>
              <w:ind w:left="200"/>
              <w:spacing w:after="0"/>
              <w:rPr>
                <w:sz w:val="20"/>
                <w:szCs w:val="20"/>
                <w:color w:val="auto"/>
              </w:rPr>
            </w:pPr>
            <w:r>
              <w:rPr>
                <w:rFonts w:ascii="Arial" w:cs="Arial" w:eastAsia="Arial" w:hAnsi="Arial"/>
                <w:sz w:val="14"/>
                <w:szCs w:val="14"/>
                <w:color w:val="auto"/>
              </w:rPr>
              <w:t>Cash paid during the period for:</w:t>
            </w: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000" w:type="dxa"/>
            <w:vAlign w:val="bottom"/>
          </w:tcPr>
          <w:p>
            <w:pPr>
              <w:ind w:left="380"/>
              <w:spacing w:after="0" w:line="154" w:lineRule="exact"/>
              <w:rPr>
                <w:sz w:val="20"/>
                <w:szCs w:val="20"/>
                <w:color w:val="auto"/>
              </w:rPr>
            </w:pPr>
            <w:r>
              <w:rPr>
                <w:rFonts w:ascii="Arial" w:cs="Arial" w:eastAsia="Arial" w:hAnsi="Arial"/>
                <w:sz w:val="14"/>
                <w:szCs w:val="14"/>
                <w:color w:val="auto"/>
              </w:rPr>
              <w:t>Interest</w:t>
            </w:r>
          </w:p>
        </w:tc>
        <w:tc>
          <w:tcPr>
            <w:tcW w:w="600" w:type="dxa"/>
            <w:vAlign w:val="bottom"/>
            <w:tcBorders>
              <w:bottom w:val="single" w:sz="8" w:color="auto"/>
            </w:tcBorders>
          </w:tcPr>
          <w:p>
            <w:pPr>
              <w:jc w:val="right"/>
              <w:ind w:right="388"/>
              <w:spacing w:after="0" w:line="154"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line="154" w:lineRule="exact"/>
              <w:rPr>
                <w:sz w:val="20"/>
                <w:szCs w:val="20"/>
                <w:color w:val="auto"/>
              </w:rPr>
            </w:pPr>
            <w:r>
              <w:rPr>
                <w:rFonts w:ascii="Arial" w:cs="Arial" w:eastAsia="Arial" w:hAnsi="Arial"/>
                <w:sz w:val="14"/>
                <w:szCs w:val="14"/>
                <w:color w:val="auto"/>
              </w:rPr>
              <w:t>19</w:t>
            </w:r>
          </w:p>
        </w:tc>
        <w:tc>
          <w:tcPr>
            <w:tcW w:w="220" w:type="dxa"/>
            <w:vAlign w:val="bottom"/>
          </w:tcPr>
          <w:p>
            <w:pPr>
              <w:spacing w:after="0"/>
              <w:rPr>
                <w:sz w:val="13"/>
                <w:szCs w:val="13"/>
                <w:color w:val="auto"/>
              </w:rPr>
            </w:pPr>
          </w:p>
        </w:tc>
        <w:tc>
          <w:tcPr>
            <w:tcW w:w="540" w:type="dxa"/>
            <w:vAlign w:val="bottom"/>
            <w:tcBorders>
              <w:bottom w:val="single" w:sz="8" w:color="auto"/>
            </w:tcBorders>
          </w:tcPr>
          <w:p>
            <w:pPr>
              <w:jc w:val="right"/>
              <w:ind w:right="328"/>
              <w:spacing w:after="0" w:line="154"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line="154"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380"/>
              <w:spacing w:after="0"/>
              <w:rPr>
                <w:sz w:val="20"/>
                <w:szCs w:val="20"/>
                <w:color w:val="auto"/>
              </w:rPr>
            </w:pPr>
            <w:r>
              <w:rPr>
                <w:rFonts w:ascii="Arial" w:cs="Arial" w:eastAsia="Arial" w:hAnsi="Arial"/>
                <w:sz w:val="14"/>
                <w:szCs w:val="14"/>
                <w:color w:val="auto"/>
              </w:rPr>
              <w:t>Income taxes</w:t>
            </w: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00" w:type="dxa"/>
            <w:vAlign w:val="bottom"/>
            <w:vMerge w:val="continue"/>
          </w:tcPr>
          <w:p>
            <w:pPr>
              <w:spacing w:after="0"/>
              <w:rPr>
                <w:sz w:val="12"/>
                <w:szCs w:val="12"/>
                <w:color w:val="auto"/>
              </w:rPr>
            </w:pPr>
          </w:p>
        </w:tc>
        <w:tc>
          <w:tcPr>
            <w:tcW w:w="600" w:type="dxa"/>
            <w:vAlign w:val="bottom"/>
            <w:tcBorders>
              <w:bottom w:val="single" w:sz="8" w:color="auto"/>
            </w:tcBorders>
          </w:tcPr>
          <w:p>
            <w:pPr>
              <w:jc w:val="right"/>
              <w:ind w:right="388"/>
              <w:spacing w:after="0" w:line="143"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66,094</w:t>
            </w: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ind w:right="328"/>
              <w:spacing w:after="0" w:line="143"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137,186</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right="5460"/>
        <w:spacing w:after="0" w:line="248" w:lineRule="auto"/>
        <w:rPr>
          <w:sz w:val="20"/>
          <w:szCs w:val="20"/>
          <w:color w:val="auto"/>
        </w:rPr>
      </w:pPr>
      <w:r>
        <w:rPr>
          <w:rFonts w:ascii="Arial" w:cs="Arial" w:eastAsia="Arial" w:hAnsi="Arial"/>
          <w:sz w:val="20"/>
          <w:szCs w:val="20"/>
          <w:b w:val="1"/>
          <w:bCs w:val="1"/>
          <w:color w:val="auto"/>
        </w:rPr>
        <w:t>MONSTER BEVERAGE CORPORATION AND SUBSIDIARIES CONDENSED CONSOLIDATED STATEMENTS OF CASH FLOWS FOR THE THREE-MONTHS ENDED MARCH 31, 2017 AND 2016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entered into capital leases for the acquisition of promotional vehicles of $1.0 million and $1.2 million for the three-months ended March 31, 2017 and 2016, respectively.</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Included in accounts payable as of March 31, 2017 and 2016 were $4.3 million and $0.3 million, respectively, related to purchases of property and equipment.</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Included in accrued liabilities as of March 31, 2017 and 2016 were $6.2 million and $3.6 million, respectively, related to additions to other intangible assets.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BASIS OF PRESENTATION</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Reference is made to the Notes to Consolidated Financial Statements, in Monster Beverage Corporation and Subsidiaries (the “Company”) Annual Report on Form 10-K for the year ended December 31, 2016 (“Form 10-K”) for a summary of significant accounting policies utilized by the Company and its consolidated subsidiaries and other disclosures, which should be read in conjunction with this Quarterly Report on Form 10-Q (“Form 10-Q”).</w:t>
      </w:r>
    </w:p>
    <w:p>
      <w:pPr>
        <w:spacing w:after="0" w:line="20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three-months ended March 31, 2017 and 2016,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preparation of financial statements in conformity with GAAP necessarily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32" w:lineRule="exact"/>
        <w:rPr>
          <w:sz w:val="20"/>
          <w:szCs w:val="20"/>
          <w:color w:val="auto"/>
        </w:rPr>
      </w:pPr>
    </w:p>
    <w:p>
      <w:pPr>
        <w:ind w:left="640" w:hanging="632"/>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RECENT ACCOUNTING PRONOUNCEMENTS</w:t>
      </w:r>
    </w:p>
    <w:p>
      <w:pPr>
        <w:spacing w:after="0" w:line="22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January 2017, the Financial Accounting Standards Board (the “FASB”) issued Accounting Standards Update (“ASU”) No. 2017-01</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w:t>
      </w:r>
      <w:r>
        <w:rPr>
          <w:rFonts w:ascii="Arial" w:cs="Arial" w:eastAsia="Arial" w:hAnsi="Arial"/>
          <w:sz w:val="20"/>
          <w:szCs w:val="20"/>
          <w:color w:val="auto"/>
        </w:rPr>
        <w:t>Business Combinations (Topic 805): Clarifying the Definition of a Business</w:t>
      </w:r>
      <w:r>
        <w:rPr>
          <w:rFonts w:ascii="Arial" w:cs="Arial" w:eastAsia="Arial" w:hAnsi="Arial"/>
          <w:sz w:val="20"/>
          <w:szCs w:val="20"/>
          <w:i w:val="1"/>
          <w:iCs w:val="1"/>
          <w:color w:val="auto"/>
        </w:rPr>
        <w:t>”</w:t>
      </w:r>
      <w:r>
        <w:rPr>
          <w:rFonts w:ascii="Arial" w:cs="Arial" w:eastAsia="Arial" w:hAnsi="Arial"/>
          <w:sz w:val="20"/>
          <w:szCs w:val="20"/>
          <w:color w:val="auto"/>
        </w:rPr>
        <w:t>, which clarifies the definition of a business with the objective of</w:t>
      </w:r>
      <w:r>
        <w:rPr>
          <w:rFonts w:ascii="Arial" w:cs="Arial" w:eastAsia="Arial" w:hAnsi="Arial"/>
          <w:sz w:val="20"/>
          <w:szCs w:val="20"/>
          <w:i w:val="1"/>
          <w:iCs w:val="1"/>
          <w:color w:val="auto"/>
        </w:rPr>
        <w:t xml:space="preserve"> </w:t>
      </w:r>
      <w:r>
        <w:rPr>
          <w:rFonts w:ascii="Arial" w:cs="Arial" w:eastAsia="Arial" w:hAnsi="Arial"/>
          <w:sz w:val="20"/>
          <w:szCs w:val="20"/>
          <w:color w:val="auto"/>
        </w:rPr>
        <w:t>adding guidance to assist entities with evaluating whether transactions should be accounted for as acquisitions (or disposals) of assets or businesses. This amendment is effective for fiscal years beginning after December 15, 2017, and interim periods within those fiscal years. Early adoption is permitted. The Company is currently evaluating the impact of ASU No. 2017-01 on its financial position, results of operations and liquidity.</w:t>
      </w:r>
    </w:p>
    <w:p>
      <w:pPr>
        <w:spacing w:after="0" w:line="21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In January 2017, the FASB issued ASU No. 2017-04, “Intangibles and Other (Topic 350): Simplifying the Test for Goodwill Impairment</w:t>
      </w:r>
      <w:r>
        <w:rPr>
          <w:rFonts w:ascii="Arial" w:cs="Arial" w:eastAsia="Arial" w:hAnsi="Arial"/>
          <w:sz w:val="19"/>
          <w:szCs w:val="19"/>
          <w:i w:val="1"/>
          <w:iCs w:val="1"/>
          <w:color w:val="auto"/>
        </w:rPr>
        <w:t>”</w:t>
      </w:r>
      <w:r>
        <w:rPr>
          <w:rFonts w:ascii="Arial" w:cs="Arial" w:eastAsia="Arial" w:hAnsi="Arial"/>
          <w:sz w:val="19"/>
          <w:szCs w:val="19"/>
          <w:color w:val="auto"/>
        </w:rPr>
        <w:t>, which eliminates the requirement to calculate the implied fair value of goodwill but rather requires an entity to record an</w:t>
      </w:r>
    </w:p>
    <w:p>
      <w:pPr>
        <w:sectPr>
          <w:pgSz w:w="11900" w:h="16917" w:orient="portrait"/>
          <w:cols w:equalWidth="0" w:num="1">
            <w:col w:w="11420"/>
          </w:cols>
          <w:pgMar w:left="240" w:top="122" w:right="239" w:bottom="0" w:gutter="0" w:footer="0" w:header="0"/>
        </w:sectPr>
      </w:pPr>
    </w:p>
    <w:bookmarkStart w:id="5" w:name="page6"/>
    <w:bookmarkEnd w:id="5"/>
    <w:p>
      <w:pPr>
        <w:spacing w:after="0" w:line="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impairment charge based on the excess of a reporting unit’s carrying value over its fair value. This amendment is effective for annual or interim goodwill impairment tests in fiscal years beginning after December 15, 2019. Early adoption is permitted. The Company is currently evaluating the impact of ASU No. 2017-04 on its financial position, results of operations and liquidity.</w:t>
      </w:r>
    </w:p>
    <w:p>
      <w:pPr>
        <w:spacing w:after="0" w:line="20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In October 2016, the FASB issued ASU No. 2016-16, “Income Taxes (Topic 740): Intra-Entity Transfers of Assets Other Than Inventory”, in an effort to improve the accounting for the income tax consequences of intra-entity transfers of assets other than inventory. Current GAAP prohibits the recognition of current and deferred income taxes for an intra-entity asset transfer until the asset has been sold to an outside party. FASB ASU No. 2016-16 establishes the requirement that an entity recognize the income tax consequences of an intra-entity transfer of an asset other than inventory when the transfer occurs. ASU No. 2016-16 is effective for financial statements issued for annual periods beginning after December 15, 2017 and interim periods within those annual periods. Earlier application is permitted as of the beginning of an interim or annual reporting period, with any adjustments reflected as of the beginning of the fiscal year of adoption. The Company is currently evaluating the impact of ASU No. 2016-16 on its financial position, results of operations and liquidity.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August 2016, the FASB issued ASU No. 2016-15, “Statement of Cash Flows (Topic 230)”. The new guidance is intended to reduce diversity in practice in how certain transactions are classified in the statement of cash flows. ASU No. 2016-15 is effective for fiscal years, and interim periods within those years, beginning after December 15, 2017. Early adoption is permitted, provided that all of the amendments are adopted in the same period. The guidance requires application using a retrospective transition method. The Company is currently evaluating the impact of ASU No. 2016-15 on its financial position, results of operations and liquidity.</w:t>
      </w:r>
    </w:p>
    <w:p>
      <w:pPr>
        <w:spacing w:after="0" w:line="19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7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is currently evaluating the impact of ASU No. 2016-02 on its financial position, results of operations and liquidity.</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May 2014, the FASB issued ASU No. 2014-09, “Revenue from Contracts with Customers (Topic 606)”, which supersedes previous revenue recognition guidance. ASU No. 2014-09 requires that a company recognize revenue at an amount that reflects the consideration to which the company expects to be entitled in exchange for transferring goods or services to a customer. In applying the new guidance, a company will (i) identify the contract(s) with a customer; (ii) identify the performance obligations in the contract; (iii) determine the transaction price; (iv) allocate the transaction price to the contract’s performance obligations; and (v) recognize revenue when (or as) the entity satisfies a performance obligation. ASU No. 2014-09 was to be effective for reporting periods beginning after December 15, 2016. However, on July 9, 2015, the FASB voted to approve a one-year deferral of the effective date. This new guidance is effective for the Company beginning January 1, 2018 and can be adopted using either a full retrospective or modified approach. The Company is in the very early stages of evaluating the amended revenue recognition guidance in Topic 606. The evaluation has yet to progress to a stage where there is sufficient information for a preliminary position of the impact on the Company’s consolidated financial statements. Therefore, the Company is unable at this time to provide (i) qualitative financial statement disclosures of the potential impact that this standard will have on its financial statements when adopted, (ii) a description of the effects of the accounting policies it expects to apply, (iii) a comparison to its current revenue recognition policies and (iv) a method for adoption.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40" w:hanging="632"/>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40" w:type="dxa"/>
            <w:vAlign w:val="bottom"/>
          </w:tcPr>
          <w:p>
            <w:pPr>
              <w:jc w:val="center"/>
              <w:ind w:left="68"/>
              <w:spacing w:after="0"/>
              <w:rPr>
                <w:sz w:val="20"/>
                <w:szCs w:val="20"/>
                <w:color w:val="auto"/>
              </w:rPr>
            </w:pPr>
            <w:r>
              <w:rPr>
                <w:rFonts w:ascii="Arial" w:cs="Arial" w:eastAsia="Arial" w:hAnsi="Arial"/>
                <w:sz w:val="14"/>
                <w:szCs w:val="14"/>
                <w:color w:val="auto"/>
                <w:w w:val="93"/>
              </w:rPr>
              <w:t>Continuous</w:t>
            </w:r>
          </w:p>
        </w:tc>
        <w:tc>
          <w:tcPr>
            <w:tcW w:w="1260" w:type="dxa"/>
            <w:vAlign w:val="bottom"/>
          </w:tcPr>
          <w:p>
            <w:pPr>
              <w:jc w:val="center"/>
              <w:ind w:left="48"/>
              <w:spacing w:after="0"/>
              <w:rPr>
                <w:sz w:val="20"/>
                <w:szCs w:val="20"/>
                <w:color w:val="auto"/>
              </w:rPr>
            </w:pPr>
            <w:r>
              <w:rPr>
                <w:rFonts w:ascii="Arial" w:cs="Arial" w:eastAsia="Arial" w:hAnsi="Arial"/>
                <w:sz w:val="14"/>
                <w:szCs w:val="14"/>
                <w:color w:val="auto"/>
                <w:w w:val="93"/>
              </w:rPr>
              <w:t>Continuous</w:t>
            </w:r>
          </w:p>
        </w:tc>
      </w:tr>
      <w:tr>
        <w:trPr>
          <w:trHeight w:val="149"/>
        </w:trPr>
        <w:tc>
          <w:tcPr>
            <w:tcW w:w="2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0"/>
              </w:rPr>
              <w:t>Gross</w:t>
            </w:r>
          </w:p>
        </w:tc>
        <w:tc>
          <w:tcPr>
            <w:tcW w:w="14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0"/>
              </w:rPr>
              <w:t>Gross</w:t>
            </w:r>
          </w:p>
        </w:tc>
        <w:tc>
          <w:tcPr>
            <w:tcW w:w="1160" w:type="dxa"/>
            <w:vAlign w:val="bottom"/>
          </w:tcPr>
          <w:p>
            <w:pPr>
              <w:spacing w:after="0"/>
              <w:rPr>
                <w:sz w:val="12"/>
                <w:szCs w:val="12"/>
                <w:color w:val="auto"/>
              </w:rPr>
            </w:pPr>
          </w:p>
        </w:tc>
        <w:tc>
          <w:tcPr>
            <w:tcW w:w="144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2"/>
              </w:rPr>
              <w:t>Unrealized</w:t>
            </w:r>
          </w:p>
        </w:tc>
        <w:tc>
          <w:tcPr>
            <w:tcW w:w="126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2"/>
              </w:rPr>
              <w:t>Unrealized</w:t>
            </w:r>
          </w:p>
        </w:tc>
      </w:tr>
      <w:tr>
        <w:trPr>
          <w:trHeight w:val="149"/>
        </w:trPr>
        <w:tc>
          <w:tcPr>
            <w:tcW w:w="2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5"/>
              </w:rPr>
              <w:t>Unrealized</w:t>
            </w:r>
          </w:p>
        </w:tc>
        <w:tc>
          <w:tcPr>
            <w:tcW w:w="14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2"/>
              </w:rPr>
              <w:t>Unrealized</w:t>
            </w:r>
          </w:p>
        </w:tc>
        <w:tc>
          <w:tcPr>
            <w:tcW w:w="1160" w:type="dxa"/>
            <w:vAlign w:val="bottom"/>
          </w:tcPr>
          <w:p>
            <w:pPr>
              <w:spacing w:after="0"/>
              <w:rPr>
                <w:sz w:val="12"/>
                <w:szCs w:val="12"/>
                <w:color w:val="auto"/>
              </w:rPr>
            </w:pPr>
          </w:p>
        </w:tc>
        <w:tc>
          <w:tcPr>
            <w:tcW w:w="144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3"/>
              </w:rPr>
              <w:t>Loss Position</w:t>
            </w:r>
          </w:p>
        </w:tc>
        <w:tc>
          <w:tcPr>
            <w:tcW w:w="126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3"/>
              </w:rPr>
              <w:t>Loss Position</w:t>
            </w:r>
          </w:p>
        </w:tc>
      </w:tr>
      <w:tr>
        <w:trPr>
          <w:trHeight w:val="149"/>
        </w:trPr>
        <w:tc>
          <w:tcPr>
            <w:tcW w:w="23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rPr>
              <w:t>Holding</w:t>
            </w:r>
          </w:p>
        </w:tc>
        <w:tc>
          <w:tcPr>
            <w:tcW w:w="14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6"/>
              </w:rPr>
              <w:t>Holding</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9"/>
              </w:rPr>
              <w:t>Fair</w:t>
            </w:r>
          </w:p>
        </w:tc>
        <w:tc>
          <w:tcPr>
            <w:tcW w:w="144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0"/>
              </w:rPr>
              <w:t>less than 12</w:t>
            </w:r>
          </w:p>
        </w:tc>
        <w:tc>
          <w:tcPr>
            <w:tcW w:w="126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0"/>
              </w:rPr>
              <w:t>greater than 12</w:t>
            </w:r>
          </w:p>
        </w:tc>
      </w:tr>
      <w:tr>
        <w:trPr>
          <w:trHeight w:val="174"/>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March 31, 2017</w:t>
            </w:r>
          </w:p>
        </w:tc>
        <w:tc>
          <w:tcPr>
            <w:tcW w:w="246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Amortized Cost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Gains</w:t>
            </w:r>
          </w:p>
        </w:tc>
        <w:tc>
          <w:tcPr>
            <w:tcW w:w="14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w w:val="85"/>
              </w:rPr>
              <w:t>Losses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Value</w:t>
            </w:r>
          </w:p>
        </w:tc>
        <w:tc>
          <w:tcPr>
            <w:tcW w:w="14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5"/>
              </w:rPr>
              <w:t>Months</w:t>
            </w:r>
          </w:p>
        </w:tc>
        <w:tc>
          <w:tcPr>
            <w:tcW w:w="12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5"/>
              </w:rPr>
              <w:t>Months</w:t>
            </w:r>
          </w:p>
        </w:tc>
      </w:tr>
      <w:tr>
        <w:trPr>
          <w:trHeight w:val="130"/>
        </w:trPr>
        <w:tc>
          <w:tcPr>
            <w:tcW w:w="2300" w:type="dxa"/>
            <w:vAlign w:val="bottom"/>
          </w:tcPr>
          <w:p>
            <w:pPr>
              <w:spacing w:after="0" w:line="130" w:lineRule="exact"/>
              <w:rPr>
                <w:sz w:val="20"/>
                <w:szCs w:val="20"/>
                <w:color w:val="auto"/>
              </w:rPr>
            </w:pPr>
            <w:r>
              <w:rPr>
                <w:rFonts w:ascii="Arial" w:cs="Arial" w:eastAsia="Arial" w:hAnsi="Arial"/>
                <w:sz w:val="14"/>
                <w:szCs w:val="14"/>
                <w:b w:val="1"/>
                <w:bCs w:val="1"/>
                <w:color w:val="auto"/>
              </w:rPr>
              <w:t>Available-for-sale</w:t>
            </w:r>
          </w:p>
        </w:tc>
        <w:tc>
          <w:tcPr>
            <w:tcW w:w="2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82"/>
        </w:trPr>
        <w:tc>
          <w:tcPr>
            <w:tcW w:w="2300" w:type="dxa"/>
            <w:vAlign w:val="bottom"/>
          </w:tcPr>
          <w:p>
            <w:pPr>
              <w:spacing w:after="0"/>
              <w:rPr>
                <w:sz w:val="20"/>
                <w:szCs w:val="20"/>
                <w:color w:val="auto"/>
              </w:rPr>
            </w:pPr>
            <w:r>
              <w:rPr>
                <w:rFonts w:ascii="Arial" w:cs="Arial" w:eastAsia="Arial" w:hAnsi="Arial"/>
                <w:sz w:val="14"/>
                <w:szCs w:val="14"/>
                <w:color w:val="auto"/>
              </w:rPr>
              <w:t>Short-term:</w:t>
            </w:r>
          </w:p>
        </w:tc>
        <w:tc>
          <w:tcPr>
            <w:tcW w:w="2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sectPr>
          <w:pgSz w:w="11900" w:h="16926" w:orient="portrait"/>
          <w:cols w:equalWidth="0" w:num="1">
            <w:col w:w="11420"/>
          </w:cols>
          <w:pgMar w:left="240" w:top="121"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ind w:left="180"/>
              <w:spacing w:after="0"/>
              <w:rPr>
                <w:sz w:val="20"/>
                <w:szCs w:val="20"/>
                <w:color w:val="auto"/>
              </w:rPr>
            </w:pPr>
            <w:r>
              <w:rPr>
                <w:rFonts w:ascii="Arial" w:cs="Arial" w:eastAsia="Arial" w:hAnsi="Arial"/>
                <w:sz w:val="14"/>
                <w:szCs w:val="14"/>
                <w:color w:val="auto"/>
              </w:rPr>
              <w:t>Commercial paper</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50,623</w:t>
            </w:r>
          </w:p>
        </w:tc>
        <w:tc>
          <w:tcPr>
            <w:tcW w:w="220" w:type="dxa"/>
            <w:vAlign w:val="bottom"/>
          </w:tcPr>
          <w:p>
            <w:pPr>
              <w:spacing w:after="0"/>
              <w:rPr>
                <w:sz w:val="14"/>
                <w:szCs w:val="14"/>
                <w:color w:val="auto"/>
              </w:rPr>
            </w:pPr>
          </w:p>
        </w:tc>
        <w:tc>
          <w:tcPr>
            <w:tcW w:w="96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50,623</w:t>
            </w:r>
          </w:p>
        </w:tc>
        <w:tc>
          <w:tcPr>
            <w:tcW w:w="2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8"/>
              <w:spacing w:after="0"/>
              <w:rPr>
                <w:sz w:val="20"/>
                <w:szCs w:val="20"/>
                <w:color w:val="auto"/>
              </w:rPr>
            </w:pPr>
            <w:r>
              <w:rPr>
                <w:rFonts w:ascii="Arial" w:cs="Arial" w:eastAsia="Arial" w:hAnsi="Arial"/>
                <w:sz w:val="14"/>
                <w:szCs w:val="14"/>
                <w:color w:val="auto"/>
                <w:w w:val="84"/>
              </w:rPr>
              <w:t>-</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Certificates of deposit</w:t>
            </w:r>
          </w:p>
        </w:tc>
        <w:tc>
          <w:tcPr>
            <w:tcW w:w="16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3,164</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3,164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jc w:val="right"/>
              <w:ind w:right="8"/>
              <w:spacing w:after="0" w:line="149" w:lineRule="exact"/>
              <w:rPr>
                <w:sz w:val="20"/>
                <w:szCs w:val="20"/>
                <w:color w:val="auto"/>
              </w:rPr>
            </w:pPr>
            <w:r>
              <w:rPr>
                <w:rFonts w:ascii="Arial" w:cs="Arial" w:eastAsia="Arial" w:hAnsi="Arial"/>
                <w:sz w:val="14"/>
                <w:szCs w:val="14"/>
                <w:color w:val="auto"/>
                <w:w w:val="84"/>
              </w:rPr>
              <w:t>-</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Municipal securities</w:t>
            </w:r>
          </w:p>
        </w:tc>
        <w:tc>
          <w:tcPr>
            <w:tcW w:w="16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119,833</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119,779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jc w:val="right"/>
              <w:ind w:right="8"/>
              <w:spacing w:after="0" w:line="149" w:lineRule="exact"/>
              <w:rPr>
                <w:sz w:val="20"/>
                <w:szCs w:val="20"/>
                <w:color w:val="auto"/>
              </w:rPr>
            </w:pPr>
            <w:r>
              <w:rPr>
                <w:rFonts w:ascii="Arial" w:cs="Arial" w:eastAsia="Arial" w:hAnsi="Arial"/>
                <w:sz w:val="14"/>
                <w:szCs w:val="14"/>
                <w:color w:val="auto"/>
                <w:w w:val="84"/>
              </w:rPr>
              <w:t>-</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U.S. government agency securities</w:t>
            </w:r>
          </w:p>
        </w:tc>
        <w:tc>
          <w:tcPr>
            <w:tcW w:w="16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10,076</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10,070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jc w:val="right"/>
              <w:ind w:right="8"/>
              <w:spacing w:after="0" w:line="149" w:lineRule="exact"/>
              <w:rPr>
                <w:sz w:val="20"/>
                <w:szCs w:val="20"/>
                <w:color w:val="auto"/>
              </w:rPr>
            </w:pPr>
            <w:r>
              <w:rPr>
                <w:rFonts w:ascii="Arial" w:cs="Arial" w:eastAsia="Arial" w:hAnsi="Arial"/>
                <w:sz w:val="14"/>
                <w:szCs w:val="14"/>
                <w:color w:val="auto"/>
                <w:w w:val="84"/>
              </w:rPr>
              <w:t>-</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Variable rate demand notes</w:t>
            </w:r>
          </w:p>
        </w:tc>
        <w:tc>
          <w:tcPr>
            <w:tcW w:w="16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25,730</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25,730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jc w:val="right"/>
              <w:ind w:right="8"/>
              <w:spacing w:after="0" w:line="149" w:lineRule="exact"/>
              <w:rPr>
                <w:sz w:val="20"/>
                <w:szCs w:val="20"/>
                <w:color w:val="auto"/>
              </w:rPr>
            </w:pPr>
            <w:r>
              <w:rPr>
                <w:rFonts w:ascii="Arial" w:cs="Arial" w:eastAsia="Arial" w:hAnsi="Arial"/>
                <w:sz w:val="14"/>
                <w:szCs w:val="14"/>
                <w:color w:val="auto"/>
                <w:w w:val="84"/>
              </w:rPr>
              <w:t>-</w:t>
            </w: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Long-term:</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1"/>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Municipal securities</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478</w:t>
            </w:r>
          </w:p>
        </w:tc>
        <w:tc>
          <w:tcPr>
            <w:tcW w:w="2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477</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w w:val="84"/>
              </w:rPr>
              <w:t>-</w:t>
            </w:r>
          </w:p>
        </w:tc>
      </w:tr>
      <w:tr>
        <w:trPr>
          <w:trHeight w:val="149"/>
        </w:trPr>
        <w:tc>
          <w:tcPr>
            <w:tcW w:w="3340" w:type="dxa"/>
            <w:vAlign w:val="bottom"/>
          </w:tcPr>
          <w:p>
            <w:pPr>
              <w:ind w:left="540"/>
              <w:spacing w:after="0" w:line="149" w:lineRule="exact"/>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209,904</w:t>
            </w:r>
          </w:p>
        </w:tc>
        <w:tc>
          <w:tcPr>
            <w:tcW w:w="220" w:type="dxa"/>
            <w:vAlign w:val="bottom"/>
          </w:tcPr>
          <w:p>
            <w:pPr>
              <w:spacing w:after="0"/>
              <w:rPr>
                <w:sz w:val="12"/>
                <w:szCs w:val="12"/>
                <w:color w:val="auto"/>
              </w:rPr>
            </w:pPr>
          </w:p>
        </w:tc>
        <w:tc>
          <w:tcPr>
            <w:tcW w:w="960" w:type="dxa"/>
            <w:vAlign w:val="bottom"/>
            <w:tcBorders>
              <w:bottom w:val="single" w:sz="8" w:color="auto"/>
            </w:tcBorders>
          </w:tcPr>
          <w:p>
            <w:pPr>
              <w:jc w:val="right"/>
              <w:ind w:right="728"/>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w:t>
            </w:r>
          </w:p>
        </w:tc>
        <w:tc>
          <w:tcPr>
            <w:tcW w:w="240" w:type="dxa"/>
            <w:vAlign w:val="bottom"/>
          </w:tcPr>
          <w:p>
            <w:pPr>
              <w:spacing w:after="0"/>
              <w:rPr>
                <w:sz w:val="12"/>
                <w:szCs w:val="12"/>
                <w:color w:val="auto"/>
              </w:rPr>
            </w:pPr>
          </w:p>
        </w:tc>
        <w:tc>
          <w:tcPr>
            <w:tcW w:w="28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209,843</w:t>
            </w:r>
          </w:p>
        </w:tc>
        <w:tc>
          <w:tcPr>
            <w:tcW w:w="20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w:t>
            </w: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w w:val="84"/>
              </w:rPr>
              <w:t>-</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326"/>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Continuous</w:t>
            </w:r>
          </w:p>
        </w:tc>
        <w:tc>
          <w:tcPr>
            <w:tcW w:w="1000" w:type="dxa"/>
            <w:vAlign w:val="bottom"/>
          </w:tcPr>
          <w:p>
            <w:pPr>
              <w:jc w:val="center"/>
              <w:ind w:left="68"/>
              <w:spacing w:after="0"/>
              <w:rPr>
                <w:sz w:val="20"/>
                <w:szCs w:val="20"/>
                <w:color w:val="auto"/>
              </w:rPr>
            </w:pPr>
            <w:r>
              <w:rPr>
                <w:rFonts w:ascii="Arial" w:cs="Arial" w:eastAsia="Arial" w:hAnsi="Arial"/>
                <w:sz w:val="14"/>
                <w:szCs w:val="14"/>
                <w:color w:val="auto"/>
                <w:w w:val="93"/>
              </w:rPr>
              <w:t>Continuous</w:t>
            </w:r>
          </w:p>
        </w:tc>
        <w:tc>
          <w:tcPr>
            <w:tcW w:w="140" w:type="dxa"/>
            <w:vAlign w:val="bottom"/>
          </w:tcPr>
          <w:p>
            <w:pPr>
              <w:spacing w:after="0"/>
              <w:rPr>
                <w:sz w:val="24"/>
                <w:szCs w:val="24"/>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0"/>
              </w:rPr>
              <w:t>Gross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0"/>
              </w:rPr>
              <w:t>Gross</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Unrealized</w:t>
            </w:r>
          </w:p>
        </w:tc>
        <w:tc>
          <w:tcPr>
            <w:tcW w:w="100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2"/>
              </w:rPr>
              <w:t>Unrealized</w:t>
            </w:r>
          </w:p>
        </w:tc>
        <w:tc>
          <w:tcPr>
            <w:tcW w:w="14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5"/>
              </w:rPr>
              <w:t>Unrealized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2"/>
              </w:rPr>
              <w:t>Unrealized</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3"/>
              </w:rPr>
              <w:t>Loss Position</w:t>
            </w:r>
          </w:p>
        </w:tc>
        <w:tc>
          <w:tcPr>
            <w:tcW w:w="100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3"/>
              </w:rPr>
              <w:t>Loss Position</w:t>
            </w:r>
          </w:p>
        </w:tc>
        <w:tc>
          <w:tcPr>
            <w:tcW w:w="14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left="128"/>
              <w:spacing w:after="0" w:line="149" w:lineRule="exact"/>
              <w:rPr>
                <w:sz w:val="20"/>
                <w:szCs w:val="20"/>
                <w:color w:val="auto"/>
              </w:rPr>
            </w:pPr>
            <w:r>
              <w:rPr>
                <w:rFonts w:ascii="Arial" w:cs="Arial" w:eastAsia="Arial" w:hAnsi="Arial"/>
                <w:sz w:val="14"/>
                <w:szCs w:val="14"/>
                <w:color w:val="auto"/>
              </w:rPr>
              <w:t>Holding</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6"/>
              </w:rPr>
              <w:t>Holding</w:t>
            </w:r>
          </w:p>
        </w:tc>
        <w:tc>
          <w:tcPr>
            <w:tcW w:w="28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9"/>
              </w:rPr>
              <w:t>Fair</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less than 12</w:t>
            </w:r>
          </w:p>
        </w:tc>
        <w:tc>
          <w:tcPr>
            <w:tcW w:w="100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0"/>
              </w:rPr>
              <w:t>greater than 12</w:t>
            </w:r>
          </w:p>
        </w:tc>
        <w:tc>
          <w:tcPr>
            <w:tcW w:w="140" w:type="dxa"/>
            <w:vAlign w:val="bottom"/>
          </w:tcPr>
          <w:p>
            <w:pPr>
              <w:spacing w:after="0"/>
              <w:rPr>
                <w:sz w:val="12"/>
                <w:szCs w:val="12"/>
                <w:color w:val="auto"/>
              </w:rPr>
            </w:pPr>
          </w:p>
        </w:tc>
      </w:tr>
      <w:tr>
        <w:trPr>
          <w:trHeight w:val="174"/>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 31, 2016</w:t>
            </w: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Amortized Cost</w:t>
            </w:r>
          </w:p>
        </w:tc>
        <w:tc>
          <w:tcPr>
            <w:tcW w:w="96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w w:val="92"/>
              </w:rPr>
              <w:t>Gains</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color w:val="auto"/>
                <w:w w:val="85"/>
              </w:rPr>
              <w:t>Losses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color w:val="auto"/>
                <w:w w:val="89"/>
              </w:rPr>
              <w:t>Value</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color w:val="auto"/>
                <w:w w:val="95"/>
              </w:rPr>
              <w:t>Months</w:t>
            </w:r>
          </w:p>
        </w:tc>
        <w:tc>
          <w:tcPr>
            <w:tcW w:w="10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5"/>
              </w:rPr>
              <w:t>Months</w:t>
            </w:r>
          </w:p>
        </w:tc>
        <w:tc>
          <w:tcPr>
            <w:tcW w:w="140" w:type="dxa"/>
            <w:vAlign w:val="bottom"/>
            <w:tcBorders>
              <w:bottom w:val="single" w:sz="8" w:color="auto"/>
            </w:tcBorders>
          </w:tcPr>
          <w:p>
            <w:pPr>
              <w:spacing w:after="0"/>
              <w:rPr>
                <w:sz w:val="15"/>
                <w:szCs w:val="15"/>
                <w:color w:val="auto"/>
              </w:rPr>
            </w:pPr>
          </w:p>
        </w:tc>
      </w:tr>
      <w:tr>
        <w:trPr>
          <w:trHeight w:val="130"/>
        </w:trPr>
        <w:tc>
          <w:tcPr>
            <w:tcW w:w="3340" w:type="dxa"/>
            <w:vAlign w:val="bottom"/>
          </w:tcPr>
          <w:p>
            <w:pPr>
              <w:spacing w:after="0" w:line="130" w:lineRule="exact"/>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Short-term:</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Commercial paper</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40,382</w:t>
            </w:r>
          </w:p>
        </w:tc>
        <w:tc>
          <w:tcPr>
            <w:tcW w:w="220" w:type="dxa"/>
            <w:vAlign w:val="bottom"/>
          </w:tcPr>
          <w:p>
            <w:pPr>
              <w:spacing w:after="0"/>
              <w:rPr>
                <w:sz w:val="12"/>
                <w:szCs w:val="12"/>
                <w:color w:val="auto"/>
              </w:rPr>
            </w:pPr>
          </w:p>
        </w:tc>
        <w:tc>
          <w:tcPr>
            <w:tcW w:w="960" w:type="dxa"/>
            <w:vAlign w:val="bottom"/>
          </w:tcPr>
          <w:p>
            <w:pPr>
              <w:jc w:val="right"/>
              <w:ind w:right="72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40,382</w:t>
            </w:r>
          </w:p>
        </w:tc>
        <w:tc>
          <w:tcPr>
            <w:tcW w:w="20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ind w:right="8"/>
              <w:spacing w:after="0" w:line="149" w:lineRule="exact"/>
              <w:rPr>
                <w:sz w:val="20"/>
                <w:szCs w:val="20"/>
                <w:color w:val="auto"/>
              </w:rPr>
            </w:pPr>
            <w:r>
              <w:rPr>
                <w:rFonts w:ascii="Arial" w:cs="Arial" w:eastAsia="Arial" w:hAnsi="Arial"/>
                <w:sz w:val="14"/>
                <w:szCs w:val="14"/>
                <w:color w:val="auto"/>
                <w:w w:val="84"/>
              </w:rPr>
              <w:t>-</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Municipal securities</w:t>
            </w:r>
          </w:p>
        </w:tc>
        <w:tc>
          <w:tcPr>
            <w:tcW w:w="16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140,379</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140,198</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jc w:val="right"/>
              <w:ind w:right="8"/>
              <w:spacing w:after="0" w:line="149" w:lineRule="exact"/>
              <w:rPr>
                <w:sz w:val="20"/>
                <w:szCs w:val="20"/>
                <w:color w:val="auto"/>
              </w:rPr>
            </w:pPr>
            <w:r>
              <w:rPr>
                <w:rFonts w:ascii="Arial" w:cs="Arial" w:eastAsia="Arial" w:hAnsi="Arial"/>
                <w:sz w:val="14"/>
                <w:szCs w:val="14"/>
                <w:color w:val="auto"/>
                <w:w w:val="84"/>
              </w:rPr>
              <w:t>-</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U.S. government agency securities</w:t>
            </w:r>
          </w:p>
        </w:tc>
        <w:tc>
          <w:tcPr>
            <w:tcW w:w="16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26,057</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26,051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jc w:val="right"/>
              <w:ind w:right="8"/>
              <w:spacing w:after="0" w:line="149" w:lineRule="exact"/>
              <w:rPr>
                <w:sz w:val="20"/>
                <w:szCs w:val="20"/>
                <w:color w:val="auto"/>
              </w:rPr>
            </w:pPr>
            <w:r>
              <w:rPr>
                <w:rFonts w:ascii="Arial" w:cs="Arial" w:eastAsia="Arial" w:hAnsi="Arial"/>
                <w:sz w:val="14"/>
                <w:szCs w:val="14"/>
                <w:color w:val="auto"/>
                <w:w w:val="84"/>
              </w:rPr>
              <w:t>-</w:t>
            </w: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Variable rate demand notes</w:t>
            </w:r>
          </w:p>
        </w:tc>
        <w:tc>
          <w:tcPr>
            <w:tcW w:w="160" w:type="dxa"/>
            <w:vAlign w:val="bottom"/>
          </w:tcPr>
          <w:p>
            <w:pPr>
              <w:spacing w:after="0"/>
              <w:rPr>
                <w:sz w:val="12"/>
                <w:szCs w:val="12"/>
                <w:color w:val="auto"/>
              </w:rPr>
            </w:pP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13,923</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13,923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jc w:val="right"/>
              <w:ind w:right="8"/>
              <w:spacing w:after="0" w:line="149" w:lineRule="exact"/>
              <w:rPr>
                <w:sz w:val="20"/>
                <w:szCs w:val="20"/>
                <w:color w:val="auto"/>
              </w:rPr>
            </w:pPr>
            <w:r>
              <w:rPr>
                <w:rFonts w:ascii="Arial" w:cs="Arial" w:eastAsia="Arial" w:hAnsi="Arial"/>
                <w:sz w:val="14"/>
                <w:szCs w:val="14"/>
                <w:color w:val="auto"/>
                <w:w w:val="84"/>
              </w:rPr>
              <w:t>-</w:t>
            </w: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Long-term:</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1"/>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Municipal securities</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2,403</w:t>
            </w:r>
          </w:p>
        </w:tc>
        <w:tc>
          <w:tcPr>
            <w:tcW w:w="2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2,394</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w w:val="84"/>
              </w:rPr>
              <w:t>-</w:t>
            </w:r>
          </w:p>
        </w:tc>
      </w:tr>
      <w:tr>
        <w:trPr>
          <w:trHeight w:val="149"/>
        </w:trPr>
        <w:tc>
          <w:tcPr>
            <w:tcW w:w="3340" w:type="dxa"/>
            <w:vAlign w:val="bottom"/>
          </w:tcPr>
          <w:p>
            <w:pPr>
              <w:ind w:left="540"/>
              <w:spacing w:after="0" w:line="149" w:lineRule="exact"/>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223,144</w:t>
            </w:r>
          </w:p>
        </w:tc>
        <w:tc>
          <w:tcPr>
            <w:tcW w:w="220" w:type="dxa"/>
            <w:vAlign w:val="bottom"/>
          </w:tcPr>
          <w:p>
            <w:pPr>
              <w:spacing w:after="0"/>
              <w:rPr>
                <w:sz w:val="12"/>
                <w:szCs w:val="12"/>
                <w:color w:val="auto"/>
              </w:rPr>
            </w:pPr>
          </w:p>
        </w:tc>
        <w:tc>
          <w:tcPr>
            <w:tcW w:w="960" w:type="dxa"/>
            <w:vAlign w:val="bottom"/>
            <w:tcBorders>
              <w:bottom w:val="single" w:sz="8" w:color="auto"/>
            </w:tcBorders>
          </w:tcPr>
          <w:p>
            <w:pPr>
              <w:jc w:val="right"/>
              <w:ind w:right="728"/>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196</w:t>
            </w:r>
          </w:p>
        </w:tc>
        <w:tc>
          <w:tcPr>
            <w:tcW w:w="240" w:type="dxa"/>
            <w:vAlign w:val="bottom"/>
          </w:tcPr>
          <w:p>
            <w:pPr>
              <w:spacing w:after="0"/>
              <w:rPr>
                <w:sz w:val="12"/>
                <w:szCs w:val="12"/>
                <w:color w:val="auto"/>
              </w:rPr>
            </w:pPr>
          </w:p>
        </w:tc>
        <w:tc>
          <w:tcPr>
            <w:tcW w:w="28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222,948</w:t>
            </w:r>
          </w:p>
        </w:tc>
        <w:tc>
          <w:tcPr>
            <w:tcW w:w="20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196</w:t>
            </w: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right"/>
              <w:ind w:right="788"/>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w w:val="84"/>
              </w:rPr>
              <w:t>-</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three-months ended March 31, 2017 and 2016, realized gains or losses recognized on the sale of investments were not significant.</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Company’s investments at March 31, 2017 and December 31, 2016 in commercial paper, certificates of deposit, municipal securities, U.S. government agency securities and/or variable rate demand notes (“VRDNs”) carried investment grade credit ratings.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 day settlement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825"/>
              <w:spacing w:after="0"/>
              <w:rPr>
                <w:sz w:val="20"/>
                <w:szCs w:val="20"/>
                <w:color w:val="auto"/>
              </w:rPr>
            </w:pPr>
            <w:r>
              <w:rPr>
                <w:rFonts w:ascii="Arial" w:cs="Arial" w:eastAsia="Arial" w:hAnsi="Arial"/>
                <w:sz w:val="19"/>
                <w:szCs w:val="19"/>
                <w:color w:val="auto"/>
              </w:rPr>
              <w:t>March 31, 2017</w:t>
            </w:r>
          </w:p>
        </w:tc>
        <w:tc>
          <w:tcPr>
            <w:tcW w:w="2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705"/>
              <w:spacing w:after="0"/>
              <w:rPr>
                <w:sz w:val="20"/>
                <w:szCs w:val="20"/>
                <w:color w:val="auto"/>
              </w:rPr>
            </w:pPr>
            <w:r>
              <w:rPr>
                <w:rFonts w:ascii="Arial" w:cs="Arial" w:eastAsia="Arial" w:hAnsi="Arial"/>
                <w:sz w:val="19"/>
                <w:szCs w:val="19"/>
                <w:color w:val="auto"/>
              </w:rPr>
              <w:t>December 31, 2016</w:t>
            </w:r>
          </w:p>
        </w:tc>
        <w:tc>
          <w:tcPr>
            <w:tcW w:w="0" w:type="dxa"/>
            <w:vAlign w:val="bottom"/>
          </w:tcPr>
          <w:p>
            <w:pPr>
              <w:spacing w:after="0"/>
              <w:rPr>
                <w:sz w:val="1"/>
                <w:szCs w:val="1"/>
                <w:color w:val="auto"/>
              </w:rPr>
            </w:pPr>
          </w:p>
        </w:tc>
      </w:tr>
      <w:tr>
        <w:trPr>
          <w:trHeight w:val="426"/>
        </w:trPr>
        <w:tc>
          <w:tcPr>
            <w:tcW w:w="4300" w:type="dxa"/>
            <w:vAlign w:val="bottom"/>
            <w:vMerge w:val="restart"/>
          </w:tcPr>
          <w:p>
            <w:pPr>
              <w:spacing w:after="0"/>
              <w:rPr>
                <w:sz w:val="20"/>
                <w:szCs w:val="20"/>
                <w:color w:val="auto"/>
              </w:rPr>
            </w:pPr>
            <w:r>
              <w:rPr>
                <w:rFonts w:ascii="Arial" w:cs="Arial" w:eastAsia="Arial" w:hAnsi="Arial"/>
                <w:sz w:val="19"/>
                <w:szCs w:val="19"/>
                <w:color w:val="auto"/>
              </w:rPr>
              <w:t>Less than 1 year:</w:t>
            </w:r>
          </w:p>
        </w:tc>
        <w:tc>
          <w:tcPr>
            <w:tcW w:w="1660" w:type="dxa"/>
            <w:vAlign w:val="bottom"/>
            <w:gridSpan w:val="3"/>
          </w:tcPr>
          <w:p>
            <w:pPr>
              <w:ind w:left="120"/>
              <w:spacing w:after="0"/>
              <w:rPr>
                <w:sz w:val="20"/>
                <w:szCs w:val="20"/>
                <w:color w:val="auto"/>
              </w:rPr>
            </w:pPr>
            <w:r>
              <w:rPr>
                <w:rFonts w:ascii="Arial" w:cs="Arial" w:eastAsia="Arial" w:hAnsi="Arial"/>
                <w:sz w:val="19"/>
                <w:szCs w:val="19"/>
                <w:color w:val="auto"/>
              </w:rPr>
              <w:t>Amortized Cost</w:t>
            </w:r>
          </w:p>
        </w:tc>
        <w:tc>
          <w:tcPr>
            <w:tcW w:w="2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9"/>
                <w:szCs w:val="19"/>
                <w:color w:val="auto"/>
              </w:rPr>
              <w:t>Fair Value</w:t>
            </w:r>
          </w:p>
        </w:tc>
        <w:tc>
          <w:tcPr>
            <w:tcW w:w="1680" w:type="dxa"/>
            <w:vAlign w:val="bottom"/>
            <w:gridSpan w:val="3"/>
          </w:tcPr>
          <w:p>
            <w:pPr>
              <w:ind w:left="140"/>
              <w:spacing w:after="0"/>
              <w:rPr>
                <w:sz w:val="20"/>
                <w:szCs w:val="20"/>
                <w:color w:val="auto"/>
              </w:rPr>
            </w:pPr>
            <w:r>
              <w:rPr>
                <w:rFonts w:ascii="Arial" w:cs="Arial" w:eastAsia="Arial" w:hAnsi="Arial"/>
                <w:sz w:val="19"/>
                <w:szCs w:val="19"/>
                <w:color w:val="auto"/>
              </w:rPr>
              <w:t>Amortized Cost</w:t>
            </w:r>
          </w:p>
        </w:tc>
        <w:tc>
          <w:tcPr>
            <w:tcW w:w="26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Arial" w:cs="Arial" w:eastAsia="Arial" w:hAnsi="Arial"/>
                <w:sz w:val="19"/>
                <w:szCs w:val="19"/>
                <w:color w:val="auto"/>
                <w:w w:val="94"/>
              </w:rPr>
              <w:t>Fair Value</w:t>
            </w:r>
          </w:p>
        </w:tc>
        <w:tc>
          <w:tcPr>
            <w:tcW w:w="0" w:type="dxa"/>
            <w:vAlign w:val="bottom"/>
          </w:tcPr>
          <w:p>
            <w:pPr>
              <w:spacing w:after="0"/>
              <w:rPr>
                <w:sz w:val="1"/>
                <w:szCs w:val="1"/>
                <w:color w:val="auto"/>
              </w:rPr>
            </w:pPr>
          </w:p>
        </w:tc>
      </w:tr>
      <w:tr>
        <w:trPr>
          <w:trHeight w:val="174"/>
        </w:trPr>
        <w:tc>
          <w:tcPr>
            <w:tcW w:w="4300" w:type="dxa"/>
            <w:vAlign w:val="bottom"/>
            <w:vMerge w:val="continue"/>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Commercial paper</w:t>
            </w:r>
          </w:p>
        </w:tc>
        <w:tc>
          <w:tcPr>
            <w:tcW w:w="480" w:type="dxa"/>
            <w:vAlign w:val="bottom"/>
          </w:tcPr>
          <w:p>
            <w:pPr>
              <w:jc w:val="right"/>
              <w:ind w:right="205"/>
              <w:spacing w:after="0" w:line="216" w:lineRule="exact"/>
              <w:rPr>
                <w:sz w:val="20"/>
                <w:szCs w:val="20"/>
                <w:color w:val="auto"/>
              </w:rPr>
            </w:pPr>
            <w:r>
              <w:rPr>
                <w:rFonts w:ascii="Arial" w:cs="Arial" w:eastAsia="Arial" w:hAnsi="Arial"/>
                <w:sz w:val="19"/>
                <w:szCs w:val="19"/>
                <w:color w:val="auto"/>
              </w:rPr>
              <w:t>$</w:t>
            </w: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50,623</w:t>
            </w:r>
          </w:p>
        </w:tc>
        <w:tc>
          <w:tcPr>
            <w:tcW w:w="200" w:type="dxa"/>
            <w:vAlign w:val="bottom"/>
          </w:tcPr>
          <w:p>
            <w:pPr>
              <w:spacing w:after="0"/>
              <w:rPr>
                <w:sz w:val="18"/>
                <w:szCs w:val="18"/>
                <w:color w:val="auto"/>
              </w:rPr>
            </w:pPr>
          </w:p>
        </w:tc>
        <w:tc>
          <w:tcPr>
            <w:tcW w:w="2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50,623</w:t>
            </w:r>
          </w:p>
        </w:tc>
        <w:tc>
          <w:tcPr>
            <w:tcW w:w="200" w:type="dxa"/>
            <w:vAlign w:val="bottom"/>
          </w:tcPr>
          <w:p>
            <w:pPr>
              <w:spacing w:after="0"/>
              <w:rPr>
                <w:sz w:val="18"/>
                <w:szCs w:val="18"/>
                <w:color w:val="auto"/>
              </w:rPr>
            </w:pPr>
          </w:p>
        </w:tc>
        <w:tc>
          <w:tcPr>
            <w:tcW w:w="500" w:type="dxa"/>
            <w:vAlign w:val="bottom"/>
          </w:tcPr>
          <w:p>
            <w:pPr>
              <w:jc w:val="right"/>
              <w:ind w:right="225"/>
              <w:spacing w:after="0" w:line="216" w:lineRule="exact"/>
              <w:rPr>
                <w:sz w:val="20"/>
                <w:szCs w:val="20"/>
                <w:color w:val="auto"/>
              </w:rPr>
            </w:pPr>
            <w:r>
              <w:rPr>
                <w:rFonts w:ascii="Arial" w:cs="Arial" w:eastAsia="Arial" w:hAnsi="Arial"/>
                <w:sz w:val="19"/>
                <w:szCs w:val="19"/>
                <w:color w:val="auto"/>
              </w:rPr>
              <w:t>$</w:t>
            </w: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40,382</w:t>
            </w:r>
          </w:p>
        </w:tc>
        <w:tc>
          <w:tcPr>
            <w:tcW w:w="20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40,382</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Certificates of deposit</w:t>
            </w: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3,164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3,164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119,833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119,779</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140,379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140,198</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U.S. government agency securities</w:t>
            </w: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10,076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10,070</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26,057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26,051</w:t>
            </w:r>
          </w:p>
        </w:tc>
        <w:tc>
          <w:tcPr>
            <w:tcW w:w="0" w:type="dxa"/>
            <w:vAlign w:val="bottom"/>
          </w:tcPr>
          <w:p>
            <w:pPr>
              <w:spacing w:after="0"/>
              <w:rPr>
                <w:sz w:val="1"/>
                <w:szCs w:val="1"/>
                <w:color w:val="auto"/>
              </w:rPr>
            </w:pPr>
          </w:p>
        </w:tc>
      </w:tr>
      <w:tr>
        <w:trPr>
          <w:trHeight w:val="216"/>
        </w:trPr>
        <w:tc>
          <w:tcPr>
            <w:tcW w:w="4300" w:type="dxa"/>
            <w:vAlign w:val="bottom"/>
          </w:tcPr>
          <w:p>
            <w:pPr>
              <w:spacing w:after="0" w:line="216" w:lineRule="exact"/>
              <w:rPr>
                <w:sz w:val="20"/>
                <w:szCs w:val="20"/>
                <w:color w:val="auto"/>
              </w:rPr>
            </w:pPr>
            <w:r>
              <w:rPr>
                <w:rFonts w:ascii="Arial" w:cs="Arial" w:eastAsia="Arial" w:hAnsi="Arial"/>
                <w:sz w:val="19"/>
                <w:szCs w:val="19"/>
                <w:color w:val="auto"/>
              </w:rPr>
              <w:t>Due 1 -10 years: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Municipal securities</w:t>
            </w: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478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477</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2,403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2,394</w:t>
            </w: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3,917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3,917</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3,917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3,917</w:t>
            </w:r>
          </w:p>
        </w:tc>
        <w:tc>
          <w:tcPr>
            <w:tcW w:w="0" w:type="dxa"/>
            <w:vAlign w:val="bottom"/>
          </w:tcPr>
          <w:p>
            <w:pPr>
              <w:spacing w:after="0"/>
              <w:rPr>
                <w:sz w:val="1"/>
                <w:szCs w:val="1"/>
                <w:color w:val="auto"/>
              </w:rPr>
            </w:pPr>
          </w:p>
        </w:tc>
      </w:tr>
      <w:tr>
        <w:trPr>
          <w:trHeight w:val="216"/>
        </w:trPr>
        <w:tc>
          <w:tcPr>
            <w:tcW w:w="4300" w:type="dxa"/>
            <w:vAlign w:val="bottom"/>
          </w:tcPr>
          <w:p>
            <w:pPr>
              <w:spacing w:after="0" w:line="216" w:lineRule="exact"/>
              <w:rPr>
                <w:sz w:val="20"/>
                <w:szCs w:val="20"/>
                <w:color w:val="auto"/>
              </w:rPr>
            </w:pPr>
            <w:r>
              <w:rPr>
                <w:rFonts w:ascii="Arial" w:cs="Arial" w:eastAsia="Arial" w:hAnsi="Arial"/>
                <w:sz w:val="19"/>
                <w:szCs w:val="19"/>
                <w:color w:val="auto"/>
              </w:rPr>
              <w:t>Due 11 - 20 years: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13,808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13,808</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6,003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6,003</w:t>
            </w:r>
          </w:p>
        </w:tc>
        <w:tc>
          <w:tcPr>
            <w:tcW w:w="0" w:type="dxa"/>
            <w:vAlign w:val="bottom"/>
          </w:tcPr>
          <w:p>
            <w:pPr>
              <w:spacing w:after="0"/>
              <w:rPr>
                <w:sz w:val="1"/>
                <w:szCs w:val="1"/>
                <w:color w:val="auto"/>
              </w:rPr>
            </w:pPr>
          </w:p>
        </w:tc>
      </w:tr>
      <w:tr>
        <w:trPr>
          <w:trHeight w:val="216"/>
        </w:trPr>
        <w:tc>
          <w:tcPr>
            <w:tcW w:w="4300" w:type="dxa"/>
            <w:vAlign w:val="bottom"/>
          </w:tcPr>
          <w:p>
            <w:pPr>
              <w:spacing w:after="0" w:line="216" w:lineRule="exact"/>
              <w:rPr>
                <w:sz w:val="20"/>
                <w:szCs w:val="20"/>
                <w:color w:val="auto"/>
              </w:rPr>
            </w:pPr>
            <w:r>
              <w:rPr>
                <w:rFonts w:ascii="Arial" w:cs="Arial" w:eastAsia="Arial" w:hAnsi="Arial"/>
                <w:sz w:val="19"/>
                <w:szCs w:val="19"/>
                <w:color w:val="auto"/>
              </w:rPr>
              <w:t>Due 21 - 30 years: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4,002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4,002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4,003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4,003</w:t>
            </w:r>
          </w:p>
        </w:tc>
        <w:tc>
          <w:tcPr>
            <w:tcW w:w="0" w:type="dxa"/>
            <w:vAlign w:val="bottom"/>
          </w:tcPr>
          <w:p>
            <w:pPr>
              <w:spacing w:after="0"/>
              <w:rPr>
                <w:sz w:val="1"/>
                <w:szCs w:val="1"/>
                <w:color w:val="auto"/>
              </w:rPr>
            </w:pPr>
          </w:p>
        </w:tc>
      </w:tr>
      <w:tr>
        <w:trPr>
          <w:trHeight w:val="216"/>
        </w:trPr>
        <w:tc>
          <w:tcPr>
            <w:tcW w:w="4300" w:type="dxa"/>
            <w:vAlign w:val="bottom"/>
          </w:tcPr>
          <w:p>
            <w:pPr>
              <w:spacing w:after="0" w:line="216" w:lineRule="exact"/>
              <w:rPr>
                <w:sz w:val="20"/>
                <w:szCs w:val="20"/>
                <w:color w:val="auto"/>
              </w:rPr>
            </w:pPr>
            <w:r>
              <w:rPr>
                <w:rFonts w:ascii="Arial" w:cs="Arial" w:eastAsia="Arial" w:hAnsi="Arial"/>
                <w:sz w:val="19"/>
                <w:szCs w:val="19"/>
                <w:color w:val="auto"/>
              </w:rPr>
              <w:t>Due 31 - 40 years: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line="216" w:lineRule="exact"/>
              <w:rPr>
                <w:sz w:val="20"/>
                <w:szCs w:val="20"/>
                <w:color w:val="auto"/>
              </w:rPr>
            </w:pPr>
            <w:r>
              <w:rPr>
                <w:rFonts w:ascii="Arial" w:cs="Arial" w:eastAsia="Arial" w:hAnsi="Arial"/>
                <w:sz w:val="19"/>
                <w:szCs w:val="19"/>
                <w:color w:val="auto"/>
              </w:rPr>
              <w:t>Variable rate demand notes</w:t>
            </w:r>
          </w:p>
        </w:tc>
        <w:tc>
          <w:tcPr>
            <w:tcW w:w="48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4,003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Arial" w:cs="Arial" w:eastAsia="Arial" w:hAnsi="Arial"/>
                <w:sz w:val="19"/>
                <w:szCs w:val="19"/>
                <w:color w:val="auto"/>
              </w:rPr>
              <w:t>4,003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
        </w:trPr>
        <w:tc>
          <w:tcPr>
            <w:tcW w:w="4300" w:type="dxa"/>
            <w:vAlign w:val="bottom"/>
            <w:vMerge w:val="restart"/>
          </w:tcPr>
          <w:p>
            <w:pPr>
              <w:ind w:left="180"/>
              <w:spacing w:after="0"/>
              <w:rPr>
                <w:sz w:val="20"/>
                <w:szCs w:val="20"/>
                <w:color w:val="auto"/>
              </w:rPr>
            </w:pPr>
            <w:r>
              <w:rPr>
                <w:rFonts w:ascii="Arial" w:cs="Arial" w:eastAsia="Arial" w:hAnsi="Arial"/>
                <w:sz w:val="19"/>
                <w:szCs w:val="19"/>
                <w:color w:val="auto"/>
              </w:rPr>
              <w:t>Total</w:t>
            </w: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00" w:type="dxa"/>
            <w:vAlign w:val="bottom"/>
            <w:vMerge w:val="continue"/>
          </w:tcPr>
          <w:p>
            <w:pPr>
              <w:spacing w:after="0"/>
              <w:rPr>
                <w:sz w:val="18"/>
                <w:szCs w:val="18"/>
                <w:color w:val="auto"/>
              </w:rPr>
            </w:pPr>
          </w:p>
        </w:tc>
        <w:tc>
          <w:tcPr>
            <w:tcW w:w="480" w:type="dxa"/>
            <w:vAlign w:val="bottom"/>
            <w:tcBorders>
              <w:bottom w:val="single" w:sz="8" w:color="auto"/>
            </w:tcBorders>
          </w:tcPr>
          <w:p>
            <w:pPr>
              <w:jc w:val="right"/>
              <w:ind w:right="205"/>
              <w:spacing w:after="0" w:line="210" w:lineRule="exact"/>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209,904</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209,843</w:t>
            </w:r>
          </w:p>
        </w:tc>
        <w:tc>
          <w:tcPr>
            <w:tcW w:w="200" w:type="dxa"/>
            <w:vAlign w:val="bottom"/>
          </w:tcPr>
          <w:p>
            <w:pPr>
              <w:spacing w:after="0"/>
              <w:rPr>
                <w:sz w:val="18"/>
                <w:szCs w:val="18"/>
                <w:color w:val="auto"/>
              </w:rPr>
            </w:pPr>
          </w:p>
        </w:tc>
        <w:tc>
          <w:tcPr>
            <w:tcW w:w="500" w:type="dxa"/>
            <w:vAlign w:val="bottom"/>
            <w:tcBorders>
              <w:bottom w:val="single" w:sz="8" w:color="auto"/>
            </w:tcBorders>
          </w:tcPr>
          <w:p>
            <w:pPr>
              <w:jc w:val="right"/>
              <w:ind w:right="225"/>
              <w:spacing w:after="0" w:line="210" w:lineRule="exact"/>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223,144</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19"/>
                <w:szCs w:val="19"/>
                <w:color w:val="auto"/>
              </w:rPr>
              <w:t>222,948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202"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18"/>
          <w:szCs w:val="18"/>
          <w:color w:val="auto"/>
        </w:rPr>
      </w:pPr>
    </w:p>
    <w:p>
      <w:pPr>
        <w:jc w:val="both"/>
        <w:ind w:left="660" w:hanging="328"/>
        <w:spacing w:after="0" w:line="253" w:lineRule="auto"/>
        <w:tabs>
          <w:tab w:leader="none" w:pos="638"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 prices in markets that</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active, or other inputs that are observable or can be corroborated by observable market data for substantially the full term of the related assets or liabilities.</w:t>
      </w:r>
    </w:p>
    <w:p>
      <w:pPr>
        <w:spacing w:after="0" w:line="191" w:lineRule="exact"/>
        <w:rPr>
          <w:rFonts w:ascii="Arial" w:cs="Arial" w:eastAsia="Arial" w:hAnsi="Arial"/>
          <w:sz w:val="18"/>
          <w:szCs w:val="18"/>
          <w:color w:val="auto"/>
        </w:rPr>
      </w:pPr>
    </w:p>
    <w:p>
      <w:pPr>
        <w:ind w:left="660" w:hanging="328"/>
        <w:spacing w:after="0" w:line="267" w:lineRule="auto"/>
        <w:tabs>
          <w:tab w:leader="none" w:pos="719"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 value of the assets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w:t>
      </w:r>
    </w:p>
    <w:p>
      <w:pPr>
        <w:sectPr>
          <w:pgSz w:w="11900" w:h="16838" w:orient="portrait"/>
          <w:cols w:equalWidth="0" w:num="1">
            <w:col w:w="11420"/>
          </w:cols>
          <w:pgMar w:left="240" w:top="108" w:right="239" w:bottom="0" w:gutter="0" w:footer="0" w:header="0"/>
        </w:sectPr>
      </w:pPr>
    </w:p>
    <w:bookmarkStart w:id="7" w:name="page8"/>
    <w:bookmarkEnd w:id="7"/>
    <w:p>
      <w:pPr>
        <w:jc w:val="both"/>
        <w:ind w:firstLine="648"/>
        <w:spacing w:after="0" w:line="260" w:lineRule="auto"/>
        <w:rPr>
          <w:sz w:val="20"/>
          <w:szCs w:val="20"/>
          <w:color w:val="auto"/>
        </w:rPr>
      </w:pPr>
      <w:r>
        <w:rPr>
          <w:rFonts w:ascii="Arial" w:cs="Arial" w:eastAsia="Arial" w:hAnsi="Arial"/>
          <w:sz w:val="20"/>
          <w:szCs w:val="20"/>
          <w:color w:val="auto"/>
        </w:rPr>
        <w:t>ASC 820 requires the use of observable market inputs (quoted market prices) when measuring fair value and requires a Level 1 quoted price to be used to measure fair value whenever possible.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March 31, 2017</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Level 1</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2</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Level 3</w:t>
            </w:r>
          </w:p>
        </w:tc>
        <w:tc>
          <w:tcPr>
            <w:tcW w:w="3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16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288,457</w:t>
            </w: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921"/>
              <w:spacing w:after="0" w:line="207" w:lineRule="exact"/>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288,457</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Money market funds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211,237</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211,237</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37,189</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37,189</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Commercial paper</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54,443</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54,443</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25,730</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25,730</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Municipal securities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159,054</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159,054</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10,070</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10,070</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850</w:t>
            </w:r>
          </w:p>
        </w:tc>
        <w:tc>
          <w:tcPr>
            <w:tcW w:w="1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850</w:t>
            </w: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499,694</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287,336</w:t>
            </w:r>
          </w:p>
        </w:tc>
        <w:tc>
          <w:tcPr>
            <w:tcW w:w="120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787,030</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499,694</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76,643</w:t>
            </w:r>
          </w:p>
        </w:tc>
        <w:tc>
          <w:tcPr>
            <w:tcW w:w="120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576,337</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Short-term investments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209,366</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209,366</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924</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924</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Investments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477</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477</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Accrued liabilities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w:t>
            </w:r>
          </w:p>
        </w:tc>
        <w:tc>
          <w:tcPr>
            <w:tcW w:w="1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499,694</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287,336</w:t>
            </w:r>
          </w:p>
        </w:tc>
        <w:tc>
          <w:tcPr>
            <w:tcW w:w="120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787,030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 2016</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color w:val="auto"/>
              </w:rPr>
              <w:t>Level 1</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Level 2</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Level 3</w:t>
            </w: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06"/>
        </w:trPr>
        <w:tc>
          <w:tcPr>
            <w:tcW w:w="5160" w:type="dxa"/>
            <w:vAlign w:val="bottom"/>
          </w:tcPr>
          <w:p>
            <w:pPr>
              <w:spacing w:after="0" w:line="207" w:lineRule="exact"/>
              <w:rPr>
                <w:sz w:val="20"/>
                <w:szCs w:val="20"/>
                <w:color w:val="auto"/>
              </w:rPr>
            </w:pPr>
            <w:r>
              <w:rPr>
                <w:rFonts w:ascii="Arial" w:cs="Arial" w:eastAsia="Arial" w:hAnsi="Arial"/>
                <w:sz w:val="20"/>
                <w:szCs w:val="20"/>
                <w:color w:val="auto"/>
              </w:rPr>
              <w:t>Cash</w:t>
            </w:r>
          </w:p>
        </w:tc>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2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278,972</w:t>
            </w: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8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921"/>
              <w:spacing w:after="0" w:line="207" w:lineRule="exact"/>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line="207" w:lineRule="exact"/>
              <w:rPr>
                <w:sz w:val="20"/>
                <w:szCs w:val="20"/>
                <w:color w:val="auto"/>
              </w:rPr>
            </w:pPr>
            <w:r>
              <w:rPr>
                <w:rFonts w:ascii="Arial" w:cs="Arial" w:eastAsia="Arial" w:hAnsi="Arial"/>
                <w:sz w:val="20"/>
                <w:szCs w:val="20"/>
                <w:color w:val="auto"/>
              </w:rPr>
              <w:t>278,972</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Money market funds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76,112</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76,112</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Commercial paper</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47,855</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47,855</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Variable rate demand notes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13,923</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13,923</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Municipal securities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157,617</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157,617</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U.S. government agency securities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26,051</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26,051</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Foreign currency derivatives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w:t>
            </w:r>
          </w:p>
        </w:tc>
        <w:tc>
          <w:tcPr>
            <w:tcW w:w="1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(528)</w:t>
            </w: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355,084</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244,918</w:t>
            </w:r>
          </w:p>
        </w:tc>
        <w:tc>
          <w:tcPr>
            <w:tcW w:w="120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600,002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20"/>
                <w:szCs w:val="20"/>
                <w:color w:val="auto"/>
              </w:rPr>
              <w:t>Amounts included in:</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3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355,084</w:t>
            </w:r>
          </w:p>
        </w:tc>
        <w:tc>
          <w:tcPr>
            <w:tcW w:w="3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22,498</w:t>
            </w:r>
          </w:p>
        </w:tc>
        <w:tc>
          <w:tcPr>
            <w:tcW w:w="1200" w:type="dxa"/>
            <w:vAlign w:val="bottom"/>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377,582</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Short-term investments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220,554</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220,554</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236</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236</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20"/>
                <w:szCs w:val="20"/>
                <w:color w:val="auto"/>
              </w:rPr>
              <w:t>Investments</w:t>
            </w:r>
          </w:p>
        </w:tc>
        <w:tc>
          <w:tcPr>
            <w:tcW w:w="30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20"/>
                <w:szCs w:val="20"/>
                <w:color w:val="auto"/>
              </w:rPr>
              <w:t>2,394</w:t>
            </w:r>
          </w:p>
        </w:tc>
        <w:tc>
          <w:tcPr>
            <w:tcW w:w="1200" w:type="dxa"/>
            <w:vAlign w:val="bottom"/>
          </w:tcPr>
          <w:p>
            <w:pPr>
              <w:spacing w:after="0"/>
              <w:rPr>
                <w:sz w:val="19"/>
                <w:szCs w:val="19"/>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20"/>
                <w:szCs w:val="20"/>
                <w:color w:val="auto"/>
              </w:rPr>
              <w:t>2,394</w:t>
            </w:r>
          </w:p>
        </w:tc>
        <w:tc>
          <w:tcPr>
            <w:tcW w:w="0" w:type="dxa"/>
            <w:vAlign w:val="bottom"/>
          </w:tcPr>
          <w:p>
            <w:pPr>
              <w:spacing w:after="0"/>
              <w:rPr>
                <w:sz w:val="1"/>
                <w:szCs w:val="1"/>
                <w:color w:val="auto"/>
              </w:rPr>
            </w:pPr>
          </w:p>
        </w:tc>
      </w:tr>
      <w:tr>
        <w:trPr>
          <w:trHeight w:val="240"/>
        </w:trPr>
        <w:tc>
          <w:tcPr>
            <w:tcW w:w="5160" w:type="dxa"/>
            <w:vAlign w:val="bottom"/>
          </w:tcPr>
          <w:p>
            <w:pPr>
              <w:spacing w:after="0"/>
              <w:rPr>
                <w:sz w:val="20"/>
                <w:szCs w:val="20"/>
                <w:color w:val="auto"/>
              </w:rPr>
            </w:pPr>
            <w:r>
              <w:rPr>
                <w:rFonts w:ascii="Arial" w:cs="Arial" w:eastAsia="Arial" w:hAnsi="Arial"/>
                <w:sz w:val="20"/>
                <w:szCs w:val="20"/>
                <w:color w:val="auto"/>
              </w:rPr>
              <w:t>Accrued liabilities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(764)</w:t>
            </w:r>
          </w:p>
        </w:tc>
        <w:tc>
          <w:tcPr>
            <w:tcW w:w="1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(764)</w:t>
            </w:r>
          </w:p>
        </w:tc>
        <w:tc>
          <w:tcPr>
            <w:tcW w:w="0" w:type="dxa"/>
            <w:vAlign w:val="bottom"/>
          </w:tcPr>
          <w:p>
            <w:pPr>
              <w:spacing w:after="0"/>
              <w:rPr>
                <w:sz w:val="1"/>
                <w:szCs w:val="1"/>
                <w:color w:val="auto"/>
              </w:rPr>
            </w:pPr>
          </w:p>
        </w:tc>
      </w:tr>
      <w:tr>
        <w:trPr>
          <w:trHeight w:val="230"/>
        </w:trPr>
        <w:tc>
          <w:tcPr>
            <w:tcW w:w="5160" w:type="dxa"/>
            <w:vAlign w:val="bottom"/>
          </w:tcPr>
          <w:p>
            <w:pPr>
              <w:ind w:left="200"/>
              <w:spacing w:after="0" w:line="220"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355,084</w:t>
            </w: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244,918</w:t>
            </w:r>
          </w:p>
        </w:tc>
        <w:tc>
          <w:tcPr>
            <w:tcW w:w="1200" w:type="dxa"/>
            <w:vAlign w:val="bottom"/>
            <w:tcBorders>
              <w:bottom w:val="single" w:sz="8" w:color="auto"/>
            </w:tcBorders>
          </w:tcPr>
          <w:p>
            <w:pPr>
              <w:jc w:val="right"/>
              <w:ind w:right="92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600,002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All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municipal securities, commercial paper, certificates of deposit, VRDNs and U.S. government agency securities,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three-months ended March 31, 2017 or the year ended December 31, 2016, and there were no changes in the Company’s valuation techniques.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2" w:right="239" w:bottom="0" w:gutter="0" w:footer="0" w:header="0"/>
        </w:sectPr>
      </w:pPr>
    </w:p>
    <w:bookmarkStart w:id="8" w:name="page9"/>
    <w:bookmarkEnd w:id="8"/>
    <w:p>
      <w:pPr>
        <w:spacing w:after="0" w:line="63" w:lineRule="exact"/>
        <w:rPr>
          <w:sz w:val="20"/>
          <w:szCs w:val="20"/>
          <w:color w:val="auto"/>
        </w:rPr>
      </w:pPr>
    </w:p>
    <w:p>
      <w:pPr>
        <w:ind w:left="640" w:hanging="632"/>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29"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The Company is exposed to foreign currency exchange rate risks related primarily to its foreign business operations. During the three-months ended March 31, 2017 and the year ended December 31, 2016,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March 31, 2017 have terms of one month or less. The Company does not enter into forward currency exchange contracts for speculation or trading purposes.</w:t>
      </w:r>
    </w:p>
    <w:p>
      <w:pPr>
        <w:spacing w:after="0" w:line="210"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8"/>
          <w:szCs w:val="18"/>
          <w:color w:val="auto"/>
        </w:rPr>
        <w:t>The Company has not designated its foreign currency exchange contracts as hedge transactions under ASC 815. Therefore, gains and losses on the Company’s foreign currency exchange contracts are recognized in interest and other (expense) income, net, in the condensed consolidated statements of income, and are largely offset by the changes in the fair value of the underlying economically hedged item.</w:t>
      </w:r>
    </w:p>
    <w:p>
      <w:pPr>
        <w:spacing w:after="0" w:line="165"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The notional amount and fair value of all outstanding foreign currency derivative instruments in the condensed consolidated balance sheets consist of the following at:</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March 31, 2017</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40" w:type="dxa"/>
            <w:vAlign w:val="bottom"/>
            <w:tcBorders>
              <w:top w:val="single" w:sz="8" w:color="auto"/>
            </w:tcBorders>
            <w:gridSpan w:val="2"/>
          </w:tcPr>
          <w:p>
            <w:pPr>
              <w:ind w:left="1160"/>
              <w:spacing w:after="0" w:line="207" w:lineRule="exact"/>
              <w:rPr>
                <w:sz w:val="20"/>
                <w:szCs w:val="20"/>
                <w:color w:val="auto"/>
              </w:rPr>
            </w:pPr>
            <w:r>
              <w:rPr>
                <w:rFonts w:ascii="Arial" w:cs="Arial" w:eastAsia="Arial" w:hAnsi="Arial"/>
                <w:sz w:val="20"/>
                <w:szCs w:val="20"/>
                <w:color w:val="auto"/>
              </w:rPr>
              <w:t>Derivatives not designated as</w:t>
            </w: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940" w:type="dxa"/>
            <w:vAlign w:val="bottom"/>
            <w:gridSpan w:val="2"/>
          </w:tcPr>
          <w:p>
            <w:pPr>
              <w:ind w:left="1320"/>
              <w:spacing w:after="0"/>
              <w:rPr>
                <w:sz w:val="20"/>
                <w:szCs w:val="20"/>
                <w:color w:val="auto"/>
              </w:rPr>
            </w:pPr>
            <w:r>
              <w:rPr>
                <w:rFonts w:ascii="Arial" w:cs="Arial" w:eastAsia="Arial" w:hAnsi="Arial"/>
                <w:sz w:val="20"/>
                <w:szCs w:val="20"/>
                <w:color w:val="auto"/>
              </w:rPr>
              <w:t>hedging instruments under</w:t>
            </w:r>
          </w:p>
        </w:tc>
        <w:tc>
          <w:tcPr>
            <w:tcW w:w="320" w:type="dxa"/>
            <w:vAlign w:val="bottom"/>
          </w:tcPr>
          <w:p>
            <w:pPr>
              <w:spacing w:after="0"/>
              <w:rPr>
                <w:sz w:val="19"/>
                <w:szCs w:val="19"/>
                <w:color w:val="auto"/>
              </w:rPr>
            </w:pPr>
          </w:p>
        </w:tc>
        <w:tc>
          <w:tcPr>
            <w:tcW w:w="1560" w:type="dxa"/>
            <w:vAlign w:val="bottom"/>
            <w:gridSpan w:val="2"/>
          </w:tcPr>
          <w:p>
            <w:pPr>
              <w:ind w:left="140"/>
              <w:spacing w:after="0"/>
              <w:rPr>
                <w:sz w:val="20"/>
                <w:szCs w:val="20"/>
                <w:color w:val="auto"/>
              </w:rPr>
            </w:pPr>
            <w:r>
              <w:rPr>
                <w:rFonts w:ascii="Arial" w:cs="Arial" w:eastAsia="Arial" w:hAnsi="Arial"/>
                <w:sz w:val="20"/>
                <w:szCs w:val="20"/>
                <w:color w:val="auto"/>
              </w:rPr>
              <w:t>Notional</w:t>
            </w:r>
          </w:p>
        </w:tc>
        <w:tc>
          <w:tcPr>
            <w:tcW w:w="380" w:type="dxa"/>
            <w:vAlign w:val="bottom"/>
          </w:tcPr>
          <w:p>
            <w:pPr>
              <w:spacing w:after="0"/>
              <w:rPr>
                <w:sz w:val="19"/>
                <w:szCs w:val="19"/>
                <w:color w:val="auto"/>
              </w:rPr>
            </w:pPr>
          </w:p>
        </w:tc>
        <w:tc>
          <w:tcPr>
            <w:tcW w:w="1500" w:type="dxa"/>
            <w:vAlign w:val="bottom"/>
            <w:gridSpan w:val="2"/>
          </w:tcPr>
          <w:p>
            <w:pPr>
              <w:ind w:left="260"/>
              <w:spacing w:after="0"/>
              <w:rPr>
                <w:sz w:val="20"/>
                <w:szCs w:val="20"/>
                <w:color w:val="auto"/>
              </w:rPr>
            </w:pPr>
            <w:r>
              <w:rPr>
                <w:rFonts w:ascii="Arial" w:cs="Arial" w:eastAsia="Arial" w:hAnsi="Arial"/>
                <w:sz w:val="20"/>
                <w:szCs w:val="20"/>
                <w:color w:val="auto"/>
              </w:rPr>
              <w:t>Fair</w:t>
            </w:r>
          </w:p>
        </w:tc>
        <w:tc>
          <w:tcPr>
            <w:tcW w:w="2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6"/>
        </w:trPr>
        <w:tc>
          <w:tcPr>
            <w:tcW w:w="4640" w:type="dxa"/>
            <w:vAlign w:val="bottom"/>
            <w:tcBorders>
              <w:bottom w:val="single" w:sz="8" w:color="auto"/>
            </w:tcBorders>
          </w:tcPr>
          <w:p>
            <w:pPr>
              <w:ind w:left="1620"/>
              <w:spacing w:after="0"/>
              <w:rPr>
                <w:sz w:val="20"/>
                <w:szCs w:val="20"/>
                <w:color w:val="auto"/>
              </w:rPr>
            </w:pPr>
            <w:r>
              <w:rPr>
                <w:rFonts w:ascii="Arial" w:cs="Arial" w:eastAsia="Arial" w:hAnsi="Arial"/>
                <w:sz w:val="20"/>
                <w:szCs w:val="20"/>
                <w:color w:val="auto"/>
              </w:rPr>
              <w:t>FASB ASC 815-20</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color w:val="auto"/>
              </w:rPr>
              <w:t>Amount</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Value</w:t>
            </w:r>
          </w:p>
        </w:tc>
        <w:tc>
          <w:tcPr>
            <w:tcW w:w="300" w:type="dxa"/>
            <w:vAlign w:val="bottom"/>
          </w:tcPr>
          <w:p>
            <w:pPr>
              <w:spacing w:after="0"/>
              <w:rPr>
                <w:sz w:val="21"/>
                <w:szCs w:val="21"/>
                <w:color w:val="auto"/>
              </w:rPr>
            </w:pPr>
          </w:p>
        </w:tc>
        <w:tc>
          <w:tcPr>
            <w:tcW w:w="2720" w:type="dxa"/>
            <w:vAlign w:val="bottom"/>
            <w:tcBorders>
              <w:bottom w:val="single" w:sz="8" w:color="auto"/>
            </w:tcBorders>
          </w:tcPr>
          <w:p>
            <w:pPr>
              <w:ind w:left="420"/>
              <w:spacing w:after="0"/>
              <w:rPr>
                <w:sz w:val="20"/>
                <w:szCs w:val="20"/>
                <w:color w:val="auto"/>
              </w:rPr>
            </w:pPr>
            <w:r>
              <w:rPr>
                <w:rFonts w:ascii="Arial" w:cs="Arial" w:eastAsia="Arial" w:hAnsi="Arial"/>
                <w:sz w:val="20"/>
                <w:szCs w:val="20"/>
                <w:color w:val="auto"/>
              </w:rPr>
              <w:t>Balance Sheet Location</w:t>
            </w:r>
          </w:p>
        </w:tc>
        <w:tc>
          <w:tcPr>
            <w:tcW w:w="40" w:type="dxa"/>
            <w:vAlign w:val="bottom"/>
          </w:tcPr>
          <w:p>
            <w:pPr>
              <w:spacing w:after="0"/>
              <w:rPr>
                <w:sz w:val="21"/>
                <w:szCs w:val="21"/>
                <w:color w:val="auto"/>
              </w:rPr>
            </w:pPr>
          </w:p>
        </w:tc>
      </w:tr>
      <w:tr>
        <w:trPr>
          <w:trHeight w:val="314"/>
        </w:trPr>
        <w:tc>
          <w:tcPr>
            <w:tcW w:w="4940" w:type="dxa"/>
            <w:vAlign w:val="bottom"/>
            <w:gridSpan w:val="2"/>
          </w:tcPr>
          <w:p>
            <w:pPr>
              <w:spacing w:after="0"/>
              <w:rPr>
                <w:sz w:val="20"/>
                <w:szCs w:val="20"/>
                <w:color w:val="auto"/>
              </w:rPr>
            </w:pPr>
            <w:r>
              <w:rPr>
                <w:rFonts w:ascii="Arial" w:cs="Arial" w:eastAsia="Arial" w:hAnsi="Arial"/>
                <w:sz w:val="20"/>
                <w:szCs w:val="20"/>
                <w:color w:val="auto"/>
              </w:rPr>
              <w:t>Assets: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49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EUR</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35,972</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291</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AUD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18,255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76</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CAD/pay USD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22,748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63</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ZAR</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21,483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479</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MXN</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21,556</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NZD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1,477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19"/>
                <w:szCs w:val="19"/>
                <w:color w:val="auto"/>
              </w:rPr>
            </w:pPr>
          </w:p>
        </w:tc>
      </w:tr>
      <w:tr>
        <w:trPr>
          <w:trHeight w:val="25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BRL</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3,692</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w:t>
            </w:r>
          </w:p>
        </w:tc>
        <w:tc>
          <w:tcPr>
            <w:tcW w:w="30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40" w:type="dxa"/>
            <w:vAlign w:val="bottom"/>
          </w:tcPr>
          <w:p>
            <w:pPr>
              <w:spacing w:after="0"/>
              <w:rPr>
                <w:sz w:val="21"/>
                <w:szCs w:val="21"/>
                <w:color w:val="auto"/>
              </w:rPr>
            </w:pPr>
          </w:p>
        </w:tc>
      </w:tr>
      <w:tr>
        <w:trPr>
          <w:trHeight w:val="898"/>
        </w:trPr>
        <w:tc>
          <w:tcPr>
            <w:tcW w:w="4940" w:type="dxa"/>
            <w:vAlign w:val="bottom"/>
            <w:gridSpan w:val="2"/>
          </w:tcPr>
          <w:p>
            <w:pPr>
              <w:spacing w:after="0"/>
              <w:rPr>
                <w:sz w:val="20"/>
                <w:szCs w:val="20"/>
                <w:color w:val="auto"/>
              </w:rPr>
            </w:pPr>
            <w:r>
              <w:rPr>
                <w:rFonts w:ascii="Arial" w:cs="Arial" w:eastAsia="Arial" w:hAnsi="Arial"/>
                <w:sz w:val="20"/>
                <w:szCs w:val="20"/>
                <w:color w:val="auto"/>
              </w:rPr>
              <w:t>Liabilities: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49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GBP</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374</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SGD/pay USD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3,869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TRY</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6,383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(38)</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3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CLP</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4,779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(22)</w:t>
            </w:r>
          </w:p>
        </w:tc>
        <w:tc>
          <w:tcPr>
            <w:tcW w:w="30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19"/>
                <w:szCs w:val="19"/>
                <w:color w:val="auto"/>
              </w:rPr>
            </w:pPr>
          </w:p>
        </w:tc>
      </w:tr>
      <w:tr>
        <w:trPr>
          <w:trHeight w:val="250"/>
        </w:trPr>
        <w:tc>
          <w:tcPr>
            <w:tcW w:w="4940" w:type="dxa"/>
            <w:vAlign w:val="bottom"/>
            <w:gridSpan w:val="2"/>
          </w:tcPr>
          <w:p>
            <w:pPr>
              <w:ind w:left="860"/>
              <w:spacing w:after="0"/>
              <w:rPr>
                <w:sz w:val="20"/>
                <w:szCs w:val="20"/>
                <w:color w:val="auto"/>
              </w:rPr>
            </w:pPr>
            <w:r>
              <w:rPr>
                <w:rFonts w:ascii="Arial" w:cs="Arial" w:eastAsia="Arial" w:hAnsi="Arial"/>
                <w:sz w:val="20"/>
                <w:szCs w:val="20"/>
                <w:color w:val="auto"/>
              </w:rPr>
              <w:t>Receive USD/pay COP</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2,233</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w:t>
            </w:r>
          </w:p>
        </w:tc>
        <w:tc>
          <w:tcPr>
            <w:tcW w:w="30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c>
          <w:tcPr>
            <w:tcW w:w="40" w:type="dxa"/>
            <w:vAlign w:val="bottom"/>
          </w:tcPr>
          <w:p>
            <w:pPr>
              <w:spacing w:after="0"/>
              <w:rPr>
                <w:sz w:val="21"/>
                <w:szCs w:val="21"/>
                <w:color w:val="auto"/>
              </w:rPr>
            </w:pPr>
          </w:p>
        </w:tc>
      </w:tr>
      <w:tr>
        <w:trPr>
          <w:trHeight w:val="428"/>
        </w:trPr>
        <w:tc>
          <w:tcPr>
            <w:tcW w:w="4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right"/>
              <w:ind w:right="642"/>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6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p>
      <w:pPr>
        <w:jc w:val="center"/>
        <w:ind w:left="500"/>
        <w:spacing w:after="0"/>
        <w:rPr>
          <w:sz w:val="20"/>
          <w:szCs w:val="20"/>
          <w:color w:val="auto"/>
        </w:rPr>
      </w:pPr>
      <w:r>
        <w:rPr>
          <w:rFonts w:ascii="Arial" w:cs="Arial" w:eastAsia="Arial" w:hAnsi="Arial"/>
          <w:sz w:val="20"/>
          <w:szCs w:val="20"/>
          <w:color w:val="auto"/>
        </w:rPr>
        <w:t>December 31, 2016</w:t>
      </w:r>
    </w:p>
    <w:p>
      <w:pPr>
        <w:spacing w:after="0" w:line="16"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4140" w:type="dxa"/>
            <w:vAlign w:val="bottom"/>
            <w:tcBorders>
              <w:top w:val="single" w:sz="8" w:color="auto"/>
            </w:tcBorders>
            <w:gridSpan w:val="2"/>
          </w:tcPr>
          <w:p>
            <w:pPr>
              <w:jc w:val="center"/>
              <w:ind w:right="300"/>
              <w:spacing w:after="0" w:line="207" w:lineRule="exact"/>
              <w:rPr>
                <w:sz w:val="20"/>
                <w:szCs w:val="20"/>
                <w:color w:val="auto"/>
              </w:rPr>
            </w:pPr>
            <w:r>
              <w:rPr>
                <w:rFonts w:ascii="Arial" w:cs="Arial" w:eastAsia="Arial" w:hAnsi="Arial"/>
                <w:sz w:val="20"/>
                <w:szCs w:val="20"/>
                <w:color w:val="auto"/>
                <w:w w:val="88"/>
              </w:rPr>
              <w:t>Derivatives not designated as</w:t>
            </w: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tcPr>
          <w:p>
            <w:pPr>
              <w:spacing w:after="0"/>
              <w:rPr>
                <w:sz w:val="17"/>
                <w:szCs w:val="17"/>
                <w:color w:val="auto"/>
              </w:rPr>
            </w:pPr>
          </w:p>
        </w:tc>
      </w:tr>
      <w:tr>
        <w:trPr>
          <w:trHeight w:val="230"/>
        </w:trPr>
        <w:tc>
          <w:tcPr>
            <w:tcW w:w="4140" w:type="dxa"/>
            <w:vAlign w:val="bottom"/>
            <w:gridSpan w:val="2"/>
          </w:tcPr>
          <w:p>
            <w:pPr>
              <w:jc w:val="center"/>
              <w:ind w:right="240"/>
              <w:spacing w:after="0"/>
              <w:rPr>
                <w:sz w:val="20"/>
                <w:szCs w:val="20"/>
                <w:color w:val="auto"/>
              </w:rPr>
            </w:pPr>
            <w:r>
              <w:rPr>
                <w:rFonts w:ascii="Arial" w:cs="Arial" w:eastAsia="Arial" w:hAnsi="Arial"/>
                <w:sz w:val="20"/>
                <w:szCs w:val="20"/>
                <w:color w:val="auto"/>
                <w:w w:val="88"/>
              </w:rPr>
              <w:t>hedging instruments under</w:t>
            </w:r>
          </w:p>
        </w:tc>
        <w:tc>
          <w:tcPr>
            <w:tcW w:w="320" w:type="dxa"/>
            <w:vAlign w:val="bottom"/>
          </w:tcPr>
          <w:p>
            <w:pPr>
              <w:spacing w:after="0"/>
              <w:rPr>
                <w:sz w:val="19"/>
                <w:szCs w:val="19"/>
                <w:color w:val="auto"/>
              </w:rPr>
            </w:pPr>
          </w:p>
        </w:tc>
        <w:tc>
          <w:tcPr>
            <w:tcW w:w="1560" w:type="dxa"/>
            <w:vAlign w:val="bottom"/>
            <w:gridSpan w:val="2"/>
          </w:tcPr>
          <w:p>
            <w:pPr>
              <w:ind w:left="140"/>
              <w:spacing w:after="0"/>
              <w:rPr>
                <w:sz w:val="20"/>
                <w:szCs w:val="20"/>
                <w:color w:val="auto"/>
              </w:rPr>
            </w:pPr>
            <w:r>
              <w:rPr>
                <w:rFonts w:ascii="Arial" w:cs="Arial" w:eastAsia="Arial" w:hAnsi="Arial"/>
                <w:sz w:val="20"/>
                <w:szCs w:val="20"/>
                <w:color w:val="auto"/>
              </w:rPr>
              <w:t>Notional</w:t>
            </w:r>
          </w:p>
        </w:tc>
        <w:tc>
          <w:tcPr>
            <w:tcW w:w="380" w:type="dxa"/>
            <w:vAlign w:val="bottom"/>
          </w:tcPr>
          <w:p>
            <w:pPr>
              <w:spacing w:after="0"/>
              <w:rPr>
                <w:sz w:val="19"/>
                <w:szCs w:val="19"/>
                <w:color w:val="auto"/>
              </w:rPr>
            </w:pPr>
          </w:p>
        </w:tc>
        <w:tc>
          <w:tcPr>
            <w:tcW w:w="1480" w:type="dxa"/>
            <w:vAlign w:val="bottom"/>
            <w:gridSpan w:val="2"/>
          </w:tcPr>
          <w:p>
            <w:pPr>
              <w:ind w:left="260"/>
              <w:spacing w:after="0"/>
              <w:rPr>
                <w:sz w:val="20"/>
                <w:szCs w:val="20"/>
                <w:color w:val="auto"/>
              </w:rPr>
            </w:pPr>
            <w:r>
              <w:rPr>
                <w:rFonts w:ascii="Arial" w:cs="Arial" w:eastAsia="Arial" w:hAnsi="Arial"/>
                <w:sz w:val="20"/>
                <w:szCs w:val="20"/>
                <w:color w:val="auto"/>
              </w:rPr>
              <w:t>Fair</w:t>
            </w:r>
          </w:p>
        </w:tc>
        <w:tc>
          <w:tcPr>
            <w:tcW w:w="2720" w:type="dxa"/>
            <w:vAlign w:val="bottom"/>
          </w:tcPr>
          <w:p>
            <w:pPr>
              <w:spacing w:after="0"/>
              <w:rPr>
                <w:sz w:val="19"/>
                <w:szCs w:val="19"/>
                <w:color w:val="auto"/>
              </w:rPr>
            </w:pPr>
          </w:p>
        </w:tc>
      </w:tr>
      <w:tr>
        <w:trPr>
          <w:trHeight w:val="246"/>
        </w:trPr>
        <w:tc>
          <w:tcPr>
            <w:tcW w:w="38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FASB ASC 815-20</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Amount</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Value</w:t>
            </w:r>
          </w:p>
        </w:tc>
        <w:tc>
          <w:tcPr>
            <w:tcW w:w="280" w:type="dxa"/>
            <w:vAlign w:val="bottom"/>
          </w:tcPr>
          <w:p>
            <w:pPr>
              <w:spacing w:after="0"/>
              <w:rPr>
                <w:sz w:val="21"/>
                <w:szCs w:val="21"/>
                <w:color w:val="auto"/>
              </w:rPr>
            </w:pPr>
          </w:p>
        </w:tc>
        <w:tc>
          <w:tcPr>
            <w:tcW w:w="2720" w:type="dxa"/>
            <w:vAlign w:val="bottom"/>
            <w:tcBorders>
              <w:bottom w:val="single" w:sz="8" w:color="auto"/>
            </w:tcBorders>
          </w:tcPr>
          <w:p>
            <w:pPr>
              <w:ind w:left="420"/>
              <w:spacing w:after="0"/>
              <w:rPr>
                <w:sz w:val="20"/>
                <w:szCs w:val="20"/>
                <w:color w:val="auto"/>
              </w:rPr>
            </w:pPr>
            <w:r>
              <w:rPr>
                <w:rFonts w:ascii="Arial" w:cs="Arial" w:eastAsia="Arial" w:hAnsi="Arial"/>
                <w:sz w:val="20"/>
                <w:szCs w:val="20"/>
                <w:color w:val="auto"/>
              </w:rPr>
              <w:t>Balance Sheet Location</w:t>
            </w:r>
          </w:p>
        </w:tc>
      </w:tr>
      <w:tr>
        <w:trPr>
          <w:trHeight w:val="314"/>
        </w:trPr>
        <w:tc>
          <w:tcPr>
            <w:tcW w:w="4140" w:type="dxa"/>
            <w:vAlign w:val="bottom"/>
            <w:gridSpan w:val="2"/>
          </w:tcPr>
          <w:p>
            <w:pPr>
              <w:spacing w:after="0"/>
              <w:rPr>
                <w:sz w:val="20"/>
                <w:szCs w:val="20"/>
                <w:color w:val="auto"/>
              </w:rPr>
            </w:pPr>
            <w:r>
              <w:rPr>
                <w:rFonts w:ascii="Arial" w:cs="Arial" w:eastAsia="Arial" w:hAnsi="Arial"/>
                <w:sz w:val="20"/>
                <w:szCs w:val="20"/>
                <w:color w:val="auto"/>
              </w:rPr>
              <w:t>Assets: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0"/>
        </w:trPr>
        <w:tc>
          <w:tcPr>
            <w:tcW w:w="41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CAD/pay USD</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22,314</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173</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SGD/pay USD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7,915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24</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NOK/pay USD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2,138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28</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CLP</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4,094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25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COP</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2,330</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w:t>
            </w:r>
          </w:p>
        </w:tc>
        <w:tc>
          <w:tcPr>
            <w:tcW w:w="28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Accounts receivable, net</w:t>
            </w:r>
          </w:p>
        </w:tc>
      </w:tr>
      <w:tr>
        <w:trPr>
          <w:trHeight w:val="641"/>
        </w:trPr>
        <w:tc>
          <w:tcPr>
            <w:tcW w:w="4140" w:type="dxa"/>
            <w:vAlign w:val="bottom"/>
            <w:gridSpan w:val="2"/>
          </w:tcPr>
          <w:p>
            <w:pPr>
              <w:spacing w:after="0"/>
              <w:rPr>
                <w:sz w:val="20"/>
                <w:szCs w:val="20"/>
                <w:color w:val="auto"/>
              </w:rPr>
            </w:pPr>
            <w:r>
              <w:rPr>
                <w:rFonts w:ascii="Arial" w:cs="Arial" w:eastAsia="Arial" w:hAnsi="Arial"/>
                <w:sz w:val="20"/>
                <w:szCs w:val="20"/>
                <w:color w:val="auto"/>
              </w:rPr>
              <w:t>Liabilities: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0"/>
        </w:trPr>
        <w:tc>
          <w:tcPr>
            <w:tcW w:w="4140" w:type="dxa"/>
            <w:vAlign w:val="bottom"/>
            <w:gridSpan w:val="2"/>
          </w:tcPr>
          <w:p>
            <w:pPr>
              <w:ind w:left="360"/>
              <w:spacing w:after="0"/>
              <w:rPr>
                <w:sz w:val="20"/>
                <w:szCs w:val="20"/>
                <w:color w:val="auto"/>
              </w:rPr>
            </w:pPr>
            <w:r>
              <w:rPr>
                <w:rFonts w:ascii="Arial" w:cs="Arial" w:eastAsia="Arial" w:hAnsi="Arial"/>
                <w:sz w:val="20"/>
                <w:szCs w:val="20"/>
                <w:color w:val="auto"/>
              </w:rPr>
              <w:t>Foreign currency exchange contracts: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GBP</w:t>
            </w:r>
          </w:p>
        </w:tc>
        <w:tc>
          <w:tcPr>
            <w:tcW w:w="3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7,718</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(57)</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EUR</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29,621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(325)</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AUD</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15,135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(74)</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ZAR</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20,405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(296)</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3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MXN</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25,864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w:t>
            </w:r>
          </w:p>
        </w:tc>
        <w:tc>
          <w:tcPr>
            <w:tcW w:w="28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r>
        <w:trPr>
          <w:trHeight w:val="250"/>
        </w:trPr>
        <w:tc>
          <w:tcPr>
            <w:tcW w:w="4140" w:type="dxa"/>
            <w:vAlign w:val="bottom"/>
            <w:gridSpan w:val="2"/>
          </w:tcPr>
          <w:p>
            <w:pPr>
              <w:ind w:left="840"/>
              <w:spacing w:after="0"/>
              <w:rPr>
                <w:sz w:val="20"/>
                <w:szCs w:val="20"/>
                <w:color w:val="auto"/>
              </w:rPr>
            </w:pPr>
            <w:r>
              <w:rPr>
                <w:rFonts w:ascii="Arial" w:cs="Arial" w:eastAsia="Arial" w:hAnsi="Arial"/>
                <w:sz w:val="20"/>
                <w:szCs w:val="20"/>
                <w:color w:val="auto"/>
              </w:rPr>
              <w:t>Receive USD/pay BRL</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3,138</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w:t>
            </w:r>
          </w:p>
        </w:tc>
        <w:tc>
          <w:tcPr>
            <w:tcW w:w="280" w:type="dxa"/>
            <w:vAlign w:val="bottom"/>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20"/>
                <w:szCs w:val="20"/>
                <w:color w:val="auto"/>
              </w:rPr>
              <w:t>Accrued liabilities</w:t>
            </w:r>
          </w:p>
        </w:tc>
      </w:tr>
    </w:tbl>
    <w:p>
      <w:pPr>
        <w:sectPr>
          <w:pgSz w:w="11900" w:h="16901" w:orient="portrait"/>
          <w:cols w:equalWidth="0" w:num="1">
            <w:col w:w="11460"/>
          </w:cols>
          <w:pgMar w:left="240" w:top="352" w:right="199" w:bottom="0" w:gutter="0" w:footer="0" w:header="0"/>
        </w:sectPr>
      </w:pPr>
    </w:p>
    <w:bookmarkStart w:id="9" w:name="page10"/>
    <w:bookmarkEnd w:id="9"/>
    <w:p>
      <w:pPr>
        <w:spacing w:after="0" w:line="45" w:lineRule="exact"/>
        <w:rPr>
          <w:sz w:val="20"/>
          <w:szCs w:val="20"/>
          <w:color w:val="auto"/>
        </w:rPr>
      </w:pPr>
    </w:p>
    <w:p>
      <w:pPr>
        <w:ind w:left="1500"/>
        <w:spacing w:after="0"/>
        <w:tabs>
          <w:tab w:leader="none" w:pos="5860" w:val="left"/>
          <w:tab w:leader="none" w:pos="7980" w:val="left"/>
          <w:tab w:leader="none" w:pos="8520" w:val="left"/>
        </w:tabs>
        <w:rPr>
          <w:sz w:val="20"/>
          <w:szCs w:val="20"/>
          <w:color w:val="auto"/>
        </w:rPr>
      </w:pPr>
      <w:r>
        <w:rPr>
          <w:rFonts w:ascii="Arial" w:cs="Arial" w:eastAsia="Arial" w:hAnsi="Arial"/>
          <w:sz w:val="20"/>
          <w:szCs w:val="20"/>
          <w:color w:val="auto"/>
        </w:rPr>
        <w:t>Receive USD/pay NZD</w:t>
      </w:r>
      <w:r>
        <w:rPr>
          <w:sz w:val="20"/>
          <w:szCs w:val="20"/>
          <w:color w:val="auto"/>
        </w:rPr>
        <w:tab/>
      </w:r>
      <w:r>
        <w:rPr>
          <w:rFonts w:ascii="Arial" w:cs="Arial" w:eastAsia="Arial" w:hAnsi="Arial"/>
          <w:sz w:val="20"/>
          <w:szCs w:val="20"/>
          <w:color w:val="auto"/>
        </w:rPr>
        <w:t>2,076</w:t>
      </w:r>
      <w:r>
        <w:rPr>
          <w:sz w:val="20"/>
          <w:szCs w:val="20"/>
          <w:color w:val="auto"/>
        </w:rPr>
        <w:tab/>
      </w:r>
      <w:r>
        <w:rPr>
          <w:rFonts w:ascii="Arial" w:cs="Arial" w:eastAsia="Arial" w:hAnsi="Arial"/>
          <w:sz w:val="20"/>
          <w:szCs w:val="20"/>
          <w:color w:val="auto"/>
        </w:rPr>
        <w:t>(5)</w:t>
      </w:r>
      <w:r>
        <w:rPr>
          <w:sz w:val="20"/>
          <w:szCs w:val="20"/>
          <w:color w:val="auto"/>
        </w:rPr>
        <w:tab/>
      </w:r>
      <w:r>
        <w:rPr>
          <w:rFonts w:ascii="Arial" w:cs="Arial" w:eastAsia="Arial" w:hAnsi="Arial"/>
          <w:sz w:val="18"/>
          <w:szCs w:val="18"/>
          <w:color w:val="auto"/>
        </w:rPr>
        <w:t>Accrued liabilities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gains (losses) on derivative instruments in the condensed consolidated statements of income were as follows:</w:t>
      </w:r>
    </w:p>
    <w:p>
      <w:pPr>
        <w:spacing w:after="0" w:line="229" w:lineRule="exact"/>
        <w:rPr>
          <w:sz w:val="20"/>
          <w:szCs w:val="20"/>
          <w:color w:val="auto"/>
        </w:rPr>
      </w:pPr>
    </w:p>
    <w:p>
      <w:pPr>
        <w:jc w:val="center"/>
        <w:ind w:left="8420"/>
        <w:spacing w:after="0"/>
        <w:rPr>
          <w:sz w:val="20"/>
          <w:szCs w:val="20"/>
          <w:color w:val="auto"/>
        </w:rPr>
      </w:pPr>
      <w:r>
        <w:rPr>
          <w:rFonts w:ascii="Arial" w:cs="Arial" w:eastAsia="Arial" w:hAnsi="Arial"/>
          <w:sz w:val="20"/>
          <w:szCs w:val="20"/>
          <w:color w:val="auto"/>
        </w:rPr>
        <w:t>Amount of gain (loss)</w:t>
      </w:r>
    </w:p>
    <w:p>
      <w:pPr>
        <w:spacing w:after="0" w:line="15" w:lineRule="exact"/>
        <w:rPr>
          <w:sz w:val="20"/>
          <w:szCs w:val="20"/>
          <w:color w:val="auto"/>
        </w:rPr>
      </w:pPr>
    </w:p>
    <w:p>
      <w:pPr>
        <w:jc w:val="center"/>
        <w:ind w:left="8420"/>
        <w:spacing w:after="0"/>
        <w:rPr>
          <w:sz w:val="20"/>
          <w:szCs w:val="20"/>
          <w:color w:val="auto"/>
        </w:rPr>
      </w:pPr>
      <w:r>
        <w:rPr>
          <w:rFonts w:ascii="Arial" w:cs="Arial" w:eastAsia="Arial" w:hAnsi="Arial"/>
          <w:sz w:val="20"/>
          <w:szCs w:val="20"/>
          <w:color w:val="auto"/>
        </w:rPr>
        <w:t>recognized in income on</w:t>
      </w:r>
    </w:p>
    <w:p>
      <w:pPr>
        <w:jc w:val="center"/>
        <w:ind w:left="8420"/>
        <w:spacing w:after="0"/>
        <w:rPr>
          <w:sz w:val="20"/>
          <w:szCs w:val="20"/>
          <w:color w:val="auto"/>
        </w:rPr>
      </w:pPr>
      <w:r>
        <w:rPr>
          <w:rFonts w:ascii="Arial" w:cs="Arial" w:eastAsia="Arial" w:hAnsi="Arial"/>
          <w:sz w:val="20"/>
          <w:szCs w:val="20"/>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0</wp:posOffset>
            </wp:positionV>
            <wp:extent cx="1903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ind w:left="9100"/>
        <w:spacing w:after="0"/>
        <w:rPr>
          <w:sz w:val="20"/>
          <w:szCs w:val="20"/>
          <w:color w:val="auto"/>
        </w:rPr>
      </w:pPr>
      <w:r>
        <w:rPr>
          <w:rFonts w:ascii="Arial" w:cs="Arial" w:eastAsia="Arial" w:hAnsi="Arial"/>
          <w:sz w:val="20"/>
          <w:szCs w:val="20"/>
          <w:color w:val="auto"/>
        </w:rPr>
        <w:t>Three-months ended</w:t>
      </w:r>
    </w:p>
    <w:tbl>
      <w:tblPr>
        <w:tblLayout w:type="fixed"/>
        <w:tblInd w:w="0" w:type="dxa"/>
        <w:tblCellMar>
          <w:top w:w="0" w:type="dxa"/>
          <w:left w:w="0" w:type="dxa"/>
          <w:bottom w:w="0" w:type="dxa"/>
          <w:right w:w="0" w:type="dxa"/>
        </w:tblCellMar>
      </w:tblPr>
      <w:tr>
        <w:trPr>
          <w:trHeight w:val="202"/>
        </w:trPr>
        <w:tc>
          <w:tcPr>
            <w:tcW w:w="4360" w:type="dxa"/>
            <w:vAlign w:val="bottom"/>
            <w:gridSpan w:val="2"/>
          </w:tcPr>
          <w:p>
            <w:pPr>
              <w:ind w:left="880"/>
              <w:spacing w:after="0" w:line="202" w:lineRule="exact"/>
              <w:rPr>
                <w:sz w:val="20"/>
                <w:szCs w:val="20"/>
                <w:color w:val="auto"/>
              </w:rPr>
            </w:pPr>
            <w:r>
              <w:rPr>
                <w:rFonts w:ascii="Arial" w:cs="Arial" w:eastAsia="Arial" w:hAnsi="Arial"/>
                <w:sz w:val="20"/>
                <w:szCs w:val="20"/>
                <w:color w:val="auto"/>
              </w:rPr>
              <w:t>Derivatives not designated as</w:t>
            </w:r>
          </w:p>
        </w:tc>
        <w:tc>
          <w:tcPr>
            <w:tcW w:w="4060" w:type="dxa"/>
            <w:vAlign w:val="bottom"/>
            <w:gridSpan w:val="2"/>
          </w:tcPr>
          <w:p>
            <w:pPr>
              <w:jc w:val="center"/>
              <w:ind w:right="300"/>
              <w:spacing w:after="0" w:line="202" w:lineRule="exact"/>
              <w:rPr>
                <w:sz w:val="20"/>
                <w:szCs w:val="20"/>
                <w:color w:val="auto"/>
              </w:rPr>
            </w:pPr>
            <w:r>
              <w:rPr>
                <w:rFonts w:ascii="Arial" w:cs="Arial" w:eastAsia="Arial" w:hAnsi="Arial"/>
                <w:sz w:val="20"/>
                <w:szCs w:val="20"/>
                <w:color w:val="auto"/>
                <w:w w:val="91"/>
              </w:rPr>
              <w:t>Location of gain (loss)</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30"/>
        </w:trPr>
        <w:tc>
          <w:tcPr>
            <w:tcW w:w="4360" w:type="dxa"/>
            <w:vAlign w:val="bottom"/>
            <w:gridSpan w:val="2"/>
          </w:tcPr>
          <w:p>
            <w:pPr>
              <w:jc w:val="center"/>
              <w:ind w:right="60"/>
              <w:spacing w:after="0"/>
              <w:rPr>
                <w:sz w:val="20"/>
                <w:szCs w:val="20"/>
                <w:color w:val="auto"/>
              </w:rPr>
            </w:pPr>
            <w:r>
              <w:rPr>
                <w:rFonts w:ascii="Arial" w:cs="Arial" w:eastAsia="Arial" w:hAnsi="Arial"/>
                <w:sz w:val="20"/>
                <w:szCs w:val="20"/>
                <w:color w:val="auto"/>
                <w:w w:val="88"/>
              </w:rPr>
              <w:t>hedging instruments under</w:t>
            </w:r>
          </w:p>
        </w:tc>
        <w:tc>
          <w:tcPr>
            <w:tcW w:w="4060" w:type="dxa"/>
            <w:vAlign w:val="bottom"/>
            <w:gridSpan w:val="2"/>
          </w:tcPr>
          <w:p>
            <w:pPr>
              <w:jc w:val="center"/>
              <w:ind w:right="300"/>
              <w:spacing w:after="0"/>
              <w:rPr>
                <w:sz w:val="20"/>
                <w:szCs w:val="20"/>
                <w:color w:val="auto"/>
              </w:rPr>
            </w:pPr>
            <w:r>
              <w:rPr>
                <w:rFonts w:ascii="Arial" w:cs="Arial" w:eastAsia="Arial" w:hAnsi="Arial"/>
                <w:sz w:val="20"/>
                <w:szCs w:val="20"/>
                <w:color w:val="auto"/>
                <w:w w:val="90"/>
              </w:rPr>
              <w:t>recognized in income on</w:t>
            </w:r>
          </w:p>
        </w:tc>
        <w:tc>
          <w:tcPr>
            <w:tcW w:w="240" w:type="dxa"/>
            <w:vAlign w:val="bottom"/>
          </w:tcPr>
          <w:p>
            <w:pPr>
              <w:spacing w:after="0"/>
              <w:rPr>
                <w:sz w:val="19"/>
                <w:szCs w:val="19"/>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20"/>
                <w:szCs w:val="20"/>
                <w:color w:val="auto"/>
                <w:w w:val="92"/>
              </w:rPr>
              <w:t>March 31,</w:t>
            </w:r>
          </w:p>
        </w:tc>
        <w:tc>
          <w:tcPr>
            <w:tcW w:w="240" w:type="dxa"/>
            <w:vAlign w:val="bottom"/>
          </w:tcPr>
          <w:p>
            <w:pPr>
              <w:spacing w:after="0"/>
              <w:rPr>
                <w:sz w:val="19"/>
                <w:szCs w:val="19"/>
                <w:color w:val="auto"/>
              </w:rPr>
            </w:pPr>
          </w:p>
        </w:tc>
        <w:tc>
          <w:tcPr>
            <w:tcW w:w="1120" w:type="dxa"/>
            <w:vAlign w:val="bottom"/>
          </w:tcPr>
          <w:p>
            <w:pPr>
              <w:jc w:val="center"/>
              <w:ind w:right="121"/>
              <w:spacing w:after="0"/>
              <w:rPr>
                <w:sz w:val="20"/>
                <w:szCs w:val="20"/>
                <w:color w:val="auto"/>
              </w:rPr>
            </w:pPr>
            <w:r>
              <w:rPr>
                <w:rFonts w:ascii="Arial" w:cs="Arial" w:eastAsia="Arial" w:hAnsi="Arial"/>
                <w:sz w:val="20"/>
                <w:szCs w:val="20"/>
                <w:color w:val="auto"/>
                <w:w w:val="92"/>
              </w:rPr>
              <w:t>March 31,</w:t>
            </w:r>
          </w:p>
        </w:tc>
      </w:tr>
      <w:tr>
        <w:trPr>
          <w:trHeight w:val="246"/>
        </w:trPr>
        <w:tc>
          <w:tcPr>
            <w:tcW w:w="4060" w:type="dxa"/>
            <w:vAlign w:val="bottom"/>
            <w:tcBorders>
              <w:bottom w:val="single" w:sz="8" w:color="auto"/>
            </w:tcBorders>
          </w:tcPr>
          <w:p>
            <w:pPr>
              <w:jc w:val="center"/>
              <w:ind w:left="141"/>
              <w:spacing w:after="0"/>
              <w:rPr>
                <w:sz w:val="20"/>
                <w:szCs w:val="20"/>
                <w:color w:val="auto"/>
              </w:rPr>
            </w:pPr>
            <w:r>
              <w:rPr>
                <w:rFonts w:ascii="Arial" w:cs="Arial" w:eastAsia="Arial" w:hAnsi="Arial"/>
                <w:sz w:val="20"/>
                <w:szCs w:val="20"/>
                <w:color w:val="auto"/>
                <w:w w:val="92"/>
              </w:rPr>
              <w:t>FASB ASC 815-20</w:t>
            </w:r>
          </w:p>
        </w:tc>
        <w:tc>
          <w:tcPr>
            <w:tcW w:w="300" w:type="dxa"/>
            <w:vAlign w:val="bottom"/>
          </w:tcPr>
          <w:p>
            <w:pPr>
              <w:spacing w:after="0"/>
              <w:rPr>
                <w:sz w:val="21"/>
                <w:szCs w:val="21"/>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derivatives</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2017</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2016</w:t>
            </w:r>
          </w:p>
        </w:tc>
      </w:tr>
      <w:tr>
        <w:trPr>
          <w:trHeight w:val="331"/>
        </w:trPr>
        <w:tc>
          <w:tcPr>
            <w:tcW w:w="4360" w:type="dxa"/>
            <w:vAlign w:val="bottom"/>
            <w:gridSpan w:val="2"/>
          </w:tcPr>
          <w:p>
            <w:pPr>
              <w:spacing w:after="0"/>
              <w:rPr>
                <w:sz w:val="20"/>
                <w:szCs w:val="20"/>
                <w:color w:val="auto"/>
              </w:rPr>
            </w:pPr>
            <w:r>
              <w:rPr>
                <w:rFonts w:ascii="Arial" w:cs="Arial" w:eastAsia="Arial" w:hAnsi="Arial"/>
                <w:sz w:val="20"/>
                <w:szCs w:val="20"/>
                <w:color w:val="auto"/>
              </w:rPr>
              <w:t>Foreign currency exchange contracts</w:t>
            </w:r>
          </w:p>
        </w:tc>
        <w:tc>
          <w:tcPr>
            <w:tcW w:w="406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Interest and other income, net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(5,028)</w:t>
            </w:r>
          </w:p>
        </w:tc>
        <w:tc>
          <w:tcPr>
            <w:tcW w:w="280" w:type="dxa"/>
            <w:vAlign w:val="bottom"/>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317</w:t>
            </w:r>
          </w:p>
        </w:tc>
      </w:tr>
      <w:tr>
        <w:trPr>
          <w:trHeight w:val="20"/>
        </w:trPr>
        <w:tc>
          <w:tcPr>
            <w:tcW w:w="4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640" w:hanging="632"/>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20"/>
                <w:szCs w:val="20"/>
                <w:color w:val="auto"/>
              </w:rPr>
              <w:t>March 31,</w:t>
            </w:r>
          </w:p>
        </w:tc>
        <w:tc>
          <w:tcPr>
            <w:tcW w:w="1480" w:type="dxa"/>
            <w:vAlign w:val="bottom"/>
            <w:gridSpan w:val="2"/>
          </w:tcPr>
          <w:p>
            <w:pPr>
              <w:jc w:val="right"/>
              <w:ind w:right="81"/>
              <w:spacing w:after="0"/>
              <w:rPr>
                <w:sz w:val="20"/>
                <w:szCs w:val="20"/>
                <w:color w:val="auto"/>
              </w:rPr>
            </w:pPr>
            <w:r>
              <w:rPr>
                <w:rFonts w:ascii="Arial" w:cs="Arial" w:eastAsia="Arial" w:hAnsi="Arial"/>
                <w:sz w:val="20"/>
                <w:szCs w:val="20"/>
                <w:color w:val="auto"/>
              </w:rPr>
              <w:t>December 31,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40" w:type="dxa"/>
            <w:vAlign w:val="bottom"/>
            <w:vMerge w:val="restart"/>
          </w:tcPr>
          <w:p>
            <w:pPr>
              <w:ind w:left="660"/>
              <w:spacing w:after="0"/>
              <w:rPr>
                <w:sz w:val="20"/>
                <w:szCs w:val="20"/>
                <w:color w:val="auto"/>
              </w:rPr>
            </w:pPr>
            <w:r>
              <w:rPr>
                <w:rFonts w:ascii="Arial" w:cs="Arial" w:eastAsia="Arial" w:hAnsi="Arial"/>
                <w:sz w:val="20"/>
                <w:szCs w:val="20"/>
                <w:color w:val="auto"/>
              </w:rPr>
              <w:t>Raw materials</w:t>
            </w:r>
          </w:p>
        </w:tc>
        <w:tc>
          <w:tcPr>
            <w:tcW w:w="4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2017</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2016</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740" w:type="dxa"/>
            <w:vAlign w:val="bottom"/>
            <w:vMerge w:val="continue"/>
          </w:tcPr>
          <w:p>
            <w:pPr>
              <w:spacing w:after="0"/>
              <w:rPr>
                <w:sz w:val="17"/>
                <w:szCs w:val="17"/>
                <w:color w:val="auto"/>
              </w:rPr>
            </w:pPr>
          </w:p>
        </w:tc>
        <w:tc>
          <w:tcPr>
            <w:tcW w:w="4180" w:type="dxa"/>
            <w:vAlign w:val="bottom"/>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1"/>
              <w:spacing w:after="0" w:line="207" w:lineRule="exact"/>
              <w:rPr>
                <w:sz w:val="20"/>
                <w:szCs w:val="20"/>
                <w:color w:val="auto"/>
              </w:rPr>
            </w:pPr>
            <w:r>
              <w:rPr>
                <w:rFonts w:ascii="Arial" w:cs="Arial" w:eastAsia="Arial" w:hAnsi="Arial"/>
                <w:sz w:val="20"/>
                <w:szCs w:val="20"/>
                <w:color w:val="auto"/>
              </w:rPr>
              <w:t>70,032</w:t>
            </w:r>
          </w:p>
        </w:tc>
        <w:tc>
          <w:tcPr>
            <w:tcW w:w="280" w:type="dxa"/>
            <w:vAlign w:val="bottom"/>
          </w:tcPr>
          <w:p>
            <w:pPr>
              <w:spacing w:after="0"/>
              <w:rPr>
                <w:sz w:val="17"/>
                <w:szCs w:val="17"/>
                <w:color w:val="auto"/>
              </w:rPr>
            </w:pP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58,658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740" w:type="dxa"/>
            <w:vAlign w:val="bottom"/>
          </w:tcPr>
          <w:p>
            <w:pPr>
              <w:ind w:left="660"/>
              <w:spacing w:after="0"/>
              <w:rPr>
                <w:sz w:val="20"/>
                <w:szCs w:val="20"/>
                <w:color w:val="auto"/>
              </w:rPr>
            </w:pPr>
            <w:r>
              <w:rPr>
                <w:rFonts w:ascii="Arial" w:cs="Arial" w:eastAsia="Arial" w:hAnsi="Arial"/>
                <w:sz w:val="20"/>
                <w:szCs w:val="20"/>
                <w:color w:val="auto"/>
              </w:rPr>
              <w:t>Finished goods</w:t>
            </w:r>
          </w:p>
        </w:tc>
        <w:tc>
          <w:tcPr>
            <w:tcW w:w="4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101,258</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103,313</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171,290</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161,971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80" w:type="dxa"/>
            <w:vAlign w:val="bottom"/>
            <w:vMerge w:val="restart"/>
          </w:tcPr>
          <w:p>
            <w:pPr>
              <w:jc w:val="right"/>
              <w:ind w:right="2030"/>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740" w:type="dxa"/>
            <w:vAlign w:val="bottom"/>
            <w:tcBorders>
              <w:bottom w:val="single" w:sz="8" w:color="808080"/>
            </w:tcBorders>
          </w:tcPr>
          <w:p>
            <w:pPr>
              <w:spacing w:after="0"/>
              <w:rPr>
                <w:sz w:val="11"/>
                <w:szCs w:val="11"/>
                <w:color w:val="auto"/>
              </w:rPr>
            </w:pPr>
          </w:p>
        </w:tc>
        <w:tc>
          <w:tcPr>
            <w:tcW w:w="4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ind w:left="640" w:hanging="632"/>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ind w:left="60"/>
              <w:spacing w:after="0"/>
              <w:rPr>
                <w:sz w:val="20"/>
                <w:szCs w:val="20"/>
                <w:color w:val="auto"/>
              </w:rPr>
            </w:pPr>
            <w:r>
              <w:rPr>
                <w:rFonts w:ascii="Arial" w:cs="Arial" w:eastAsia="Arial" w:hAnsi="Arial"/>
                <w:sz w:val="20"/>
                <w:szCs w:val="20"/>
                <w:color w:val="auto"/>
              </w:rPr>
              <w:t>March 31,</w:t>
            </w:r>
          </w:p>
        </w:tc>
        <w:tc>
          <w:tcPr>
            <w:tcW w:w="1480" w:type="dxa"/>
            <w:vAlign w:val="bottom"/>
            <w:gridSpan w:val="2"/>
          </w:tcPr>
          <w:p>
            <w:pPr>
              <w:jc w:val="right"/>
              <w:ind w:right="81"/>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46"/>
        </w:trPr>
        <w:tc>
          <w:tcPr>
            <w:tcW w:w="7260" w:type="dxa"/>
            <w:vAlign w:val="bottom"/>
            <w:vMerge w:val="restart"/>
          </w:tcPr>
          <w:p>
            <w:pPr>
              <w:spacing w:after="0"/>
              <w:rPr>
                <w:sz w:val="20"/>
                <w:szCs w:val="20"/>
                <w:color w:val="auto"/>
              </w:rPr>
            </w:pPr>
            <w:r>
              <w:rPr>
                <w:rFonts w:ascii="Arial" w:cs="Arial" w:eastAsia="Arial" w:hAnsi="Arial"/>
                <w:sz w:val="20"/>
                <w:szCs w:val="20"/>
                <w:color w:val="auto"/>
              </w:rPr>
              <w:t>Land</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2017</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06"/>
        </w:trPr>
        <w:tc>
          <w:tcPr>
            <w:tcW w:w="7260" w:type="dxa"/>
            <w:vAlign w:val="bottom"/>
            <w:vMerge w:val="continue"/>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ind w:right="1"/>
              <w:spacing w:after="0" w:line="207" w:lineRule="exact"/>
              <w:rPr>
                <w:sz w:val="20"/>
                <w:szCs w:val="20"/>
                <w:color w:val="auto"/>
              </w:rPr>
            </w:pPr>
            <w:r>
              <w:rPr>
                <w:rFonts w:ascii="Arial" w:cs="Arial" w:eastAsia="Arial" w:hAnsi="Arial"/>
                <w:sz w:val="20"/>
                <w:szCs w:val="20"/>
                <w:color w:val="auto"/>
              </w:rPr>
              <w:t>47,373</w:t>
            </w:r>
          </w:p>
        </w:tc>
        <w:tc>
          <w:tcPr>
            <w:tcW w:w="280" w:type="dxa"/>
            <w:vAlign w:val="bottom"/>
          </w:tcPr>
          <w:p>
            <w:pPr>
              <w:spacing w:after="0"/>
              <w:rPr>
                <w:sz w:val="17"/>
                <w:szCs w:val="17"/>
                <w:color w:val="auto"/>
              </w:rPr>
            </w:pP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46,596</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20"/>
                <w:szCs w:val="20"/>
                <w:color w:val="auto"/>
              </w:rPr>
              <w:t>Leasehold improvements</w:t>
            </w:r>
          </w:p>
        </w:tc>
        <w:tc>
          <w:tcPr>
            <w:tcW w:w="26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3,115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2,687</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20"/>
                <w:szCs w:val="20"/>
                <w:color w:val="auto"/>
              </w:rPr>
              <w:t>Furniture and fixtures</w:t>
            </w:r>
          </w:p>
        </w:tc>
        <w:tc>
          <w:tcPr>
            <w:tcW w:w="26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3,710</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3,635</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20"/>
                <w:szCs w:val="20"/>
                <w:color w:val="auto"/>
              </w:rPr>
              <w:t>Office and computer equipment</w:t>
            </w:r>
          </w:p>
        </w:tc>
        <w:tc>
          <w:tcPr>
            <w:tcW w:w="26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11,917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11,701</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20"/>
                <w:szCs w:val="20"/>
                <w:color w:val="auto"/>
              </w:rPr>
              <w:t>Computer software</w:t>
            </w:r>
          </w:p>
        </w:tc>
        <w:tc>
          <w:tcPr>
            <w:tcW w:w="26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2,917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3,274</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20"/>
                <w:szCs w:val="20"/>
                <w:color w:val="auto"/>
              </w:rPr>
              <w:t>Equipment</w:t>
            </w:r>
          </w:p>
        </w:tc>
        <w:tc>
          <w:tcPr>
            <w:tcW w:w="26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120,459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114,230</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20"/>
                <w:szCs w:val="20"/>
                <w:color w:val="auto"/>
              </w:rPr>
              <w:t>Buildings</w:t>
            </w:r>
          </w:p>
        </w:tc>
        <w:tc>
          <w:tcPr>
            <w:tcW w:w="26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20"/>
                <w:szCs w:val="20"/>
                <w:color w:val="auto"/>
              </w:rPr>
              <w:t>81,837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69,547</w:t>
            </w:r>
          </w:p>
        </w:tc>
        <w:tc>
          <w:tcPr>
            <w:tcW w:w="0" w:type="dxa"/>
            <w:vAlign w:val="bottom"/>
          </w:tcPr>
          <w:p>
            <w:pPr>
              <w:spacing w:after="0"/>
              <w:rPr>
                <w:sz w:val="1"/>
                <w:szCs w:val="1"/>
                <w:color w:val="auto"/>
              </w:rPr>
            </w:pPr>
          </w:p>
        </w:tc>
      </w:tr>
      <w:tr>
        <w:trPr>
          <w:trHeight w:val="246"/>
        </w:trPr>
        <w:tc>
          <w:tcPr>
            <w:tcW w:w="7260" w:type="dxa"/>
            <w:vAlign w:val="bottom"/>
          </w:tcPr>
          <w:p>
            <w:pPr>
              <w:spacing w:after="0"/>
              <w:rPr>
                <w:sz w:val="20"/>
                <w:szCs w:val="20"/>
                <w:color w:val="auto"/>
              </w:rPr>
            </w:pPr>
            <w:r>
              <w:rPr>
                <w:rFonts w:ascii="Arial" w:cs="Arial" w:eastAsia="Arial" w:hAnsi="Arial"/>
                <w:sz w:val="20"/>
                <w:szCs w:val="20"/>
                <w:color w:val="auto"/>
              </w:rPr>
              <w:t>Vehicles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34,733</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31,582</w:t>
            </w:r>
          </w:p>
        </w:tc>
        <w:tc>
          <w:tcPr>
            <w:tcW w:w="0" w:type="dxa"/>
            <w:vAlign w:val="bottom"/>
          </w:tcPr>
          <w:p>
            <w:pPr>
              <w:spacing w:after="0"/>
              <w:rPr>
                <w:sz w:val="1"/>
                <w:szCs w:val="1"/>
                <w:color w:val="auto"/>
              </w:rPr>
            </w:pPr>
          </w:p>
        </w:tc>
      </w:tr>
      <w:tr>
        <w:trPr>
          <w:trHeight w:val="206"/>
        </w:trPr>
        <w:tc>
          <w:tcPr>
            <w:tcW w:w="7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1"/>
              <w:spacing w:after="0" w:line="207" w:lineRule="exact"/>
              <w:rPr>
                <w:sz w:val="20"/>
                <w:szCs w:val="20"/>
                <w:color w:val="auto"/>
              </w:rPr>
            </w:pPr>
            <w:r>
              <w:rPr>
                <w:rFonts w:ascii="Arial" w:cs="Arial" w:eastAsia="Arial" w:hAnsi="Arial"/>
                <w:sz w:val="20"/>
                <w:szCs w:val="20"/>
                <w:color w:val="auto"/>
              </w:rPr>
              <w:t>306,061</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283,252</w:t>
            </w:r>
          </w:p>
        </w:tc>
        <w:tc>
          <w:tcPr>
            <w:tcW w:w="0" w:type="dxa"/>
            <w:vAlign w:val="bottom"/>
          </w:tcPr>
          <w:p>
            <w:pPr>
              <w:spacing w:after="0"/>
              <w:rPr>
                <w:sz w:val="1"/>
                <w:szCs w:val="1"/>
                <w:color w:val="auto"/>
              </w:rPr>
            </w:pPr>
          </w:p>
        </w:tc>
      </w:tr>
      <w:tr>
        <w:trPr>
          <w:trHeight w:val="246"/>
        </w:trPr>
        <w:tc>
          <w:tcPr>
            <w:tcW w:w="7260" w:type="dxa"/>
            <w:vAlign w:val="bottom"/>
          </w:tcPr>
          <w:p>
            <w:pPr>
              <w:spacing w:after="0"/>
              <w:rPr>
                <w:sz w:val="20"/>
                <w:szCs w:val="20"/>
                <w:color w:val="auto"/>
              </w:rPr>
            </w:pPr>
            <w:r>
              <w:rPr>
                <w:rFonts w:ascii="Arial" w:cs="Arial" w:eastAsia="Arial" w:hAnsi="Arial"/>
                <w:sz w:val="20"/>
                <w:szCs w:val="20"/>
                <w:color w:val="auto"/>
              </w:rPr>
              <w:t>Less: accumulated depreciation and amortization</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(116,430)</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(109,909)</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189,631</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173,343</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Total depreciation and amortization expense recorded was $8.2 million and $7.2 million for the three-months ended March 31, 2017 and 2016, respectively.</w:t>
      </w:r>
    </w:p>
    <w:p>
      <w:pPr>
        <w:sectPr>
          <w:pgSz w:w="11900" w:h="16884" w:orient="portrait"/>
          <w:cols w:equalWidth="0" w:num="1">
            <w:col w:w="11460"/>
          </w:cols>
          <w:pgMar w:left="240" w:top="121" w:right="199" w:bottom="0" w:gutter="0" w:footer="0" w:header="0"/>
        </w:sectPr>
      </w:pPr>
    </w:p>
    <w:p>
      <w:pPr>
        <w:spacing w:after="0" w:line="190" w:lineRule="exact"/>
        <w:rPr>
          <w:sz w:val="20"/>
          <w:szCs w:val="20"/>
          <w:color w:val="auto"/>
        </w:rPr>
      </w:pPr>
    </w:p>
    <w:p>
      <w:pPr>
        <w:ind w:left="640" w:hanging="632"/>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GOODWILL AND OTHER INTANGIBLE ASSETS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8"/>
          <w:szCs w:val="18"/>
          <w:color w:val="auto"/>
        </w:rPr>
        <w:t>The following is a roll-forward of goodwill for the three-months ended March 31, 2017 by reportable segment:</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20"/>
                <w:szCs w:val="20"/>
                <w:color w:val="auto"/>
                <w:w w:val="91"/>
              </w:rPr>
              <w:t>Monster</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20"/>
                <w:szCs w:val="20"/>
                <w:color w:val="auto"/>
                <w:w w:val="92"/>
              </w:rPr>
              <w:t>Energy®</w:t>
            </w:r>
          </w:p>
        </w:tc>
        <w:tc>
          <w:tcPr>
            <w:tcW w:w="300" w:type="dxa"/>
            <w:vAlign w:val="bottom"/>
          </w:tcPr>
          <w:p>
            <w:pPr>
              <w:spacing w:after="0"/>
              <w:rPr>
                <w:sz w:val="19"/>
                <w:szCs w:val="19"/>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20"/>
                <w:szCs w:val="20"/>
                <w:color w:val="auto"/>
                <w:w w:val="91"/>
              </w:rPr>
              <w:t>Strategic</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680" w:type="dxa"/>
            <w:vAlign w:val="bottom"/>
            <w:vMerge w:val="restart"/>
          </w:tcPr>
          <w:p>
            <w:pPr>
              <w:spacing w:after="0"/>
              <w:rPr>
                <w:sz w:val="20"/>
                <w:szCs w:val="20"/>
                <w:color w:val="auto"/>
              </w:rPr>
            </w:pPr>
            <w:r>
              <w:rPr>
                <w:rFonts w:ascii="Arial" w:cs="Arial" w:eastAsia="Arial" w:hAnsi="Arial"/>
                <w:sz w:val="20"/>
                <w:szCs w:val="20"/>
                <w:color w:val="auto"/>
              </w:rPr>
              <w:t>Balance at December 31, 2016</w:t>
            </w:r>
          </w:p>
        </w:tc>
        <w:tc>
          <w:tcPr>
            <w:tcW w:w="280" w:type="dxa"/>
            <w:vAlign w:val="bottom"/>
          </w:tcPr>
          <w:p>
            <w:pPr>
              <w:spacing w:after="0"/>
              <w:rPr>
                <w:sz w:val="21"/>
                <w:szCs w:val="21"/>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20"/>
                <w:szCs w:val="20"/>
                <w:color w:val="auto"/>
                <w:w w:val="95"/>
              </w:rPr>
              <w:t>Drinks</w:t>
            </w:r>
          </w:p>
        </w:tc>
        <w:tc>
          <w:tcPr>
            <w:tcW w:w="300" w:type="dxa"/>
            <w:vAlign w:val="bottom"/>
          </w:tcPr>
          <w:p>
            <w:pPr>
              <w:spacing w:after="0"/>
              <w:rPr>
                <w:sz w:val="21"/>
                <w:szCs w:val="21"/>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20"/>
                <w:szCs w:val="20"/>
                <w:color w:val="auto"/>
                <w:w w:val="88"/>
              </w:rPr>
              <w:t>Brands</w:t>
            </w:r>
          </w:p>
        </w:tc>
        <w:tc>
          <w:tcPr>
            <w:tcW w:w="360" w:type="dxa"/>
            <w:vAlign w:val="bottom"/>
          </w:tcPr>
          <w:p>
            <w:pPr>
              <w:spacing w:after="0"/>
              <w:rPr>
                <w:sz w:val="21"/>
                <w:szCs w:val="21"/>
                <w:color w:val="auto"/>
              </w:rPr>
            </w:pPr>
          </w:p>
        </w:tc>
        <w:tc>
          <w:tcPr>
            <w:tcW w:w="1120" w:type="dxa"/>
            <w:vAlign w:val="bottom"/>
          </w:tcPr>
          <w:p>
            <w:pPr>
              <w:jc w:val="right"/>
              <w:ind w:right="421"/>
              <w:spacing w:after="0"/>
              <w:rPr>
                <w:sz w:val="20"/>
                <w:szCs w:val="20"/>
                <w:color w:val="auto"/>
              </w:rPr>
            </w:pPr>
            <w:r>
              <w:rPr>
                <w:rFonts w:ascii="Arial" w:cs="Arial" w:eastAsia="Arial" w:hAnsi="Arial"/>
                <w:sz w:val="20"/>
                <w:szCs w:val="20"/>
                <w:color w:val="auto"/>
              </w:rPr>
              <w:t>Other</w:t>
            </w:r>
          </w:p>
        </w:tc>
        <w:tc>
          <w:tcPr>
            <w:tcW w:w="0" w:type="dxa"/>
            <w:vAlign w:val="bottom"/>
          </w:tcPr>
          <w:p>
            <w:pPr>
              <w:spacing w:after="0"/>
              <w:rPr>
                <w:sz w:val="1"/>
                <w:szCs w:val="1"/>
                <w:color w:val="auto"/>
              </w:rPr>
            </w:pPr>
          </w:p>
        </w:tc>
      </w:tr>
      <w:tr>
        <w:trPr>
          <w:trHeight w:val="206"/>
        </w:trPr>
        <w:tc>
          <w:tcPr>
            <w:tcW w:w="368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693,644</w:t>
            </w:r>
          </w:p>
        </w:tc>
        <w:tc>
          <w:tcPr>
            <w:tcW w:w="280" w:type="dxa"/>
            <w:vAlign w:val="bottom"/>
          </w:tcPr>
          <w:p>
            <w:pPr>
              <w:spacing w:after="0"/>
              <w:rPr>
                <w:sz w:val="17"/>
                <w:szCs w:val="17"/>
                <w:color w:val="auto"/>
              </w:rPr>
            </w:pPr>
          </w:p>
        </w:tc>
        <w:tc>
          <w:tcPr>
            <w:tcW w:w="30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w:t>
            </w:r>
          </w:p>
        </w:tc>
        <w:tc>
          <w:tcPr>
            <w:tcW w:w="1180" w:type="dxa"/>
            <w:vAlign w:val="bottom"/>
            <w:tcBorders>
              <w:top w:val="single" w:sz="8" w:color="auto"/>
            </w:tcBorders>
          </w:tcPr>
          <w:p>
            <w:pPr>
              <w:jc w:val="right"/>
              <w:ind w:right="1"/>
              <w:spacing w:after="0" w:line="207" w:lineRule="exact"/>
              <w:rPr>
                <w:sz w:val="20"/>
                <w:szCs w:val="20"/>
                <w:color w:val="auto"/>
              </w:rPr>
            </w:pPr>
            <w:r>
              <w:rPr>
                <w:rFonts w:ascii="Arial" w:cs="Arial" w:eastAsia="Arial" w:hAnsi="Arial"/>
                <w:sz w:val="20"/>
                <w:szCs w:val="20"/>
                <w:color w:val="auto"/>
              </w:rPr>
              <w:t>637,999</w:t>
            </w:r>
          </w:p>
        </w:tc>
        <w:tc>
          <w:tcPr>
            <w:tcW w:w="280" w:type="dxa"/>
            <w:vAlign w:val="bottom"/>
          </w:tcPr>
          <w:p>
            <w:pPr>
              <w:spacing w:after="0"/>
              <w:rPr>
                <w:sz w:val="17"/>
                <w:szCs w:val="17"/>
                <w:color w:val="auto"/>
              </w:rPr>
            </w:pPr>
          </w:p>
        </w:tc>
        <w:tc>
          <w:tcPr>
            <w:tcW w:w="360" w:type="dxa"/>
            <w:vAlign w:val="bottom"/>
            <w:tcBorders>
              <w:top w:val="single" w:sz="8" w:color="auto"/>
            </w:tcBorders>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0"/>
        </w:trPr>
        <w:tc>
          <w:tcPr>
            <w:tcW w:w="3680" w:type="dxa"/>
            <w:vAlign w:val="bottom"/>
          </w:tcPr>
          <w:p>
            <w:pPr>
              <w:spacing w:after="0"/>
              <w:rPr>
                <w:sz w:val="20"/>
                <w:szCs w:val="20"/>
                <w:color w:val="auto"/>
              </w:rPr>
            </w:pPr>
            <w:r>
              <w:rPr>
                <w:rFonts w:ascii="Arial" w:cs="Arial" w:eastAsia="Arial" w:hAnsi="Arial"/>
                <w:sz w:val="20"/>
                <w:szCs w:val="20"/>
                <w:color w:val="auto"/>
              </w:rPr>
              <w:t>Acquisitions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3680" w:type="dxa"/>
            <w:vAlign w:val="bottom"/>
          </w:tcPr>
          <w:p>
            <w:pPr>
              <w:spacing w:after="0" w:line="220" w:lineRule="exact"/>
              <w:rPr>
                <w:sz w:val="20"/>
                <w:szCs w:val="20"/>
                <w:color w:val="auto"/>
              </w:rPr>
            </w:pPr>
            <w:r>
              <w:rPr>
                <w:rFonts w:ascii="Arial" w:cs="Arial" w:eastAsia="Arial" w:hAnsi="Arial"/>
                <w:sz w:val="20"/>
                <w:szCs w:val="20"/>
                <w:color w:val="auto"/>
              </w:rPr>
              <w:t>Balance at March 31, 2017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693,644</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637,999</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20"/>
                <w:szCs w:val="20"/>
                <w:color w:val="auto"/>
                <w:w w:val="95"/>
              </w:rPr>
              <w:t>Intangible assets consist of the following at:</w:t>
            </w: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3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84"/>
        <w:spacing w:after="0"/>
        <w:rPr>
          <w:sz w:val="20"/>
          <w:szCs w:val="20"/>
          <w:color w:val="auto"/>
        </w:rPr>
      </w:pPr>
      <w:r>
        <w:rPr>
          <w:rFonts w:ascii="Arial" w:cs="Arial" w:eastAsia="Arial" w:hAnsi="Arial"/>
          <w:sz w:val="20"/>
          <w:szCs w:val="20"/>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10160</wp:posOffset>
            </wp:positionV>
            <wp:extent cx="9861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564" w:hanging="564"/>
        <w:spacing w:after="0"/>
        <w:tabs>
          <w:tab w:leader="none" w:pos="564" w:val="left"/>
        </w:tabs>
        <w:numPr>
          <w:ilvl w:val="0"/>
          <w:numId w:val="10"/>
        </w:numPr>
        <w:rPr>
          <w:rFonts w:ascii="Arial" w:cs="Arial" w:eastAsia="Arial" w:hAnsi="Arial"/>
          <w:sz w:val="16"/>
          <w:szCs w:val="16"/>
          <w:color w:val="auto"/>
        </w:rPr>
      </w:pPr>
      <w:r>
        <w:rPr>
          <w:rFonts w:ascii="Arial" w:cs="Arial" w:eastAsia="Arial" w:hAnsi="Arial"/>
          <w:sz w:val="16"/>
          <w:szCs w:val="16"/>
          <w:color w:val="auto"/>
        </w:rPr>
        <w:t>1,331,643</w:t>
      </w:r>
    </w:p>
    <w:p>
      <w:pPr>
        <w:spacing w:after="0" w:line="54" w:lineRule="exact"/>
        <w:rPr>
          <w:rFonts w:ascii="Arial" w:cs="Arial" w:eastAsia="Arial" w:hAnsi="Arial"/>
          <w:sz w:val="16"/>
          <w:szCs w:val="16"/>
          <w:color w:val="auto"/>
        </w:rPr>
      </w:pPr>
    </w:p>
    <w:p>
      <w:pPr>
        <w:ind w:left="1284"/>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14605</wp:posOffset>
            </wp:positionV>
            <wp:extent cx="10547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7" w:lineRule="exact"/>
        <w:rPr>
          <w:sz w:val="20"/>
          <w:szCs w:val="20"/>
          <w:color w:val="auto"/>
        </w:rPr>
      </w:pPr>
    </w:p>
    <w:p>
      <w:pPr>
        <w:ind w:left="564" w:hanging="564"/>
        <w:spacing w:after="0"/>
        <w:tabs>
          <w:tab w:leader="none" w:pos="5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1,331,643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34925</wp:posOffset>
            </wp:positionV>
            <wp:extent cx="10547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54735" cy="8890"/>
                    </a:xfrm>
                    <a:prstGeom prst="rect">
                      <a:avLst/>
                    </a:prstGeom>
                    <a:noFill/>
                  </pic:spPr>
                </pic:pic>
              </a:graphicData>
            </a:graphic>
          </wp:anchor>
        </w:drawing>
        <w:drawing>
          <wp:anchor simplePos="0" relativeHeight="251657728" behindDoc="1" locked="0" layoutInCell="0" allowOverlap="1">
            <wp:simplePos x="0" y="0"/>
            <wp:positionH relativeFrom="column">
              <wp:posOffset>-62230</wp:posOffset>
            </wp:positionH>
            <wp:positionV relativeFrom="paragraph">
              <wp:posOffset>52070</wp:posOffset>
            </wp:positionV>
            <wp:extent cx="10547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758" w:lineRule="exact"/>
        <w:rPr>
          <w:sz w:val="20"/>
          <w:szCs w:val="20"/>
          <w:color w:val="auto"/>
        </w:rPr>
      </w:pPr>
    </w:p>
    <w:p>
      <w:pPr>
        <w:sectPr>
          <w:pgSz w:w="11900" w:h="16884" w:orient="portrait"/>
          <w:cols w:equalWidth="0" w:num="2">
            <w:col w:w="9440" w:space="256"/>
            <w:col w:w="1764"/>
          </w:cols>
          <w:pgMar w:left="240" w:top="121" w:right="199" w:bottom="0" w:gutter="0" w:footer="0" w:header="0"/>
          <w:type w:val="continuous"/>
        </w:sectPr>
      </w:pPr>
    </w:p>
    <w:p>
      <w:pPr>
        <w:spacing w:after="0" w:line="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2"/>
          </w:tcPr>
          <w:p>
            <w:pPr>
              <w:jc w:val="center"/>
              <w:ind w:right="680"/>
              <w:spacing w:after="0"/>
              <w:rPr>
                <w:sz w:val="20"/>
                <w:szCs w:val="20"/>
                <w:color w:val="auto"/>
              </w:rPr>
            </w:pPr>
            <w:r>
              <w:rPr>
                <w:rFonts w:ascii="Arial" w:cs="Arial" w:eastAsia="Arial" w:hAnsi="Arial"/>
                <w:sz w:val="20"/>
                <w:szCs w:val="20"/>
                <w:color w:val="auto"/>
                <w:w w:val="92"/>
              </w:rPr>
              <w:t>March 31,</w:t>
            </w:r>
          </w:p>
        </w:tc>
        <w:tc>
          <w:tcPr>
            <w:tcW w:w="1460" w:type="dxa"/>
            <w:vAlign w:val="bottom"/>
            <w:gridSpan w:val="2"/>
          </w:tcPr>
          <w:p>
            <w:pPr>
              <w:jc w:val="center"/>
              <w:spacing w:after="0"/>
              <w:rPr>
                <w:sz w:val="20"/>
                <w:szCs w:val="20"/>
                <w:color w:val="auto"/>
              </w:rPr>
            </w:pPr>
            <w:r>
              <w:rPr>
                <w:rFonts w:ascii="Arial" w:cs="Arial" w:eastAsia="Arial" w:hAnsi="Arial"/>
                <w:sz w:val="20"/>
                <w:szCs w:val="20"/>
                <w:color w:val="auto"/>
                <w:w w:val="89"/>
              </w:rPr>
              <w:t>December 31,</w:t>
            </w:r>
          </w:p>
        </w:tc>
        <w:tc>
          <w:tcPr>
            <w:tcW w:w="0" w:type="dxa"/>
            <w:vAlign w:val="bottom"/>
          </w:tcPr>
          <w:p>
            <w:pPr>
              <w:spacing w:after="0"/>
              <w:rPr>
                <w:sz w:val="1"/>
                <w:szCs w:val="1"/>
                <w:color w:val="auto"/>
              </w:rPr>
            </w:pPr>
          </w:p>
        </w:tc>
      </w:tr>
      <w:tr>
        <w:trPr>
          <w:trHeight w:val="246"/>
        </w:trPr>
        <w:tc>
          <w:tcPr>
            <w:tcW w:w="6860" w:type="dxa"/>
            <w:vAlign w:val="bottom"/>
            <w:vMerge w:val="restart"/>
          </w:tcPr>
          <w:p>
            <w:pPr>
              <w:spacing w:after="0"/>
              <w:rPr>
                <w:sz w:val="20"/>
                <w:szCs w:val="20"/>
                <w:color w:val="auto"/>
              </w:rPr>
            </w:pPr>
            <w:r>
              <w:rPr>
                <w:rFonts w:ascii="Arial" w:cs="Arial" w:eastAsia="Arial" w:hAnsi="Arial"/>
                <w:sz w:val="20"/>
                <w:szCs w:val="20"/>
                <w:color w:val="auto"/>
              </w:rPr>
              <w:t>Amortizing intangibles</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61"/>
              <w:spacing w:after="0"/>
              <w:rPr>
                <w:sz w:val="20"/>
                <w:szCs w:val="20"/>
                <w:color w:val="auto"/>
              </w:rPr>
            </w:pPr>
            <w:r>
              <w:rPr>
                <w:rFonts w:ascii="Arial" w:cs="Arial" w:eastAsia="Arial" w:hAnsi="Arial"/>
                <w:sz w:val="20"/>
                <w:szCs w:val="20"/>
                <w:color w:val="auto"/>
              </w:rPr>
              <w:t>2017</w:t>
            </w:r>
          </w:p>
        </w:tc>
        <w:tc>
          <w:tcPr>
            <w:tcW w:w="4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06"/>
        </w:trPr>
        <w:tc>
          <w:tcPr>
            <w:tcW w:w="6860" w:type="dxa"/>
            <w:vAlign w:val="bottom"/>
            <w:vMerge w:val="continue"/>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240" w:type="dxa"/>
            <w:vAlign w:val="bottom"/>
          </w:tcPr>
          <w:p>
            <w:pPr>
              <w:jc w:val="right"/>
              <w:ind w:right="1"/>
              <w:spacing w:after="0" w:line="207" w:lineRule="exact"/>
              <w:rPr>
                <w:sz w:val="20"/>
                <w:szCs w:val="20"/>
                <w:color w:val="auto"/>
              </w:rPr>
            </w:pPr>
            <w:r>
              <w:rPr>
                <w:rFonts w:ascii="Arial" w:cs="Arial" w:eastAsia="Arial" w:hAnsi="Arial"/>
                <w:sz w:val="20"/>
                <w:szCs w:val="20"/>
                <w:color w:val="auto"/>
              </w:rPr>
              <w:t>71,330</w:t>
            </w:r>
          </w:p>
        </w:tc>
        <w:tc>
          <w:tcPr>
            <w:tcW w:w="420" w:type="dxa"/>
            <w:vAlign w:val="bottom"/>
          </w:tcPr>
          <w:p>
            <w:pPr>
              <w:spacing w:after="0"/>
              <w:rPr>
                <w:sz w:val="17"/>
                <w:szCs w:val="17"/>
                <w:color w:val="auto"/>
              </w:rPr>
            </w:pPr>
          </w:p>
        </w:tc>
        <w:tc>
          <w:tcPr>
            <w:tcW w:w="360" w:type="dxa"/>
            <w:vAlign w:val="bottom"/>
          </w:tcPr>
          <w:p>
            <w:pPr>
              <w:jc w:val="right"/>
              <w:ind w:right="61"/>
              <w:spacing w:after="0" w:line="207" w:lineRule="exact"/>
              <w:rPr>
                <w:sz w:val="20"/>
                <w:szCs w:val="20"/>
                <w:color w:val="auto"/>
              </w:rPr>
            </w:pPr>
            <w:r>
              <w:rPr>
                <w:rFonts w:ascii="Arial" w:cs="Arial" w:eastAsia="Arial" w:hAnsi="Arial"/>
                <w:sz w:val="20"/>
                <w:szCs w:val="20"/>
                <w:color w:val="auto"/>
              </w:rPr>
              <w:t>$</w:t>
            </w:r>
          </w:p>
        </w:tc>
        <w:tc>
          <w:tcPr>
            <w:tcW w:w="1100" w:type="dxa"/>
            <w:vAlign w:val="bottom"/>
          </w:tcPr>
          <w:p>
            <w:pPr>
              <w:jc w:val="right"/>
              <w:ind w:right="1"/>
              <w:spacing w:after="0" w:line="207" w:lineRule="exact"/>
              <w:rPr>
                <w:sz w:val="20"/>
                <w:szCs w:val="20"/>
                <w:color w:val="auto"/>
              </w:rPr>
            </w:pPr>
            <w:r>
              <w:rPr>
                <w:rFonts w:ascii="Arial" w:cs="Arial" w:eastAsia="Arial" w:hAnsi="Arial"/>
                <w:sz w:val="20"/>
                <w:szCs w:val="20"/>
                <w:color w:val="auto"/>
              </w:rPr>
              <w:t>71,290</w:t>
            </w:r>
          </w:p>
        </w:tc>
        <w:tc>
          <w:tcPr>
            <w:tcW w:w="0" w:type="dxa"/>
            <w:vAlign w:val="bottom"/>
          </w:tcPr>
          <w:p>
            <w:pPr>
              <w:spacing w:after="0"/>
              <w:rPr>
                <w:sz w:val="1"/>
                <w:szCs w:val="1"/>
                <w:color w:val="auto"/>
              </w:rPr>
            </w:pPr>
          </w:p>
        </w:tc>
      </w:tr>
      <w:tr>
        <w:trPr>
          <w:trHeight w:val="246"/>
        </w:trPr>
        <w:tc>
          <w:tcPr>
            <w:tcW w:w="6860" w:type="dxa"/>
            <w:vAlign w:val="bottom"/>
          </w:tcPr>
          <w:p>
            <w:pPr>
              <w:spacing w:after="0"/>
              <w:rPr>
                <w:sz w:val="20"/>
                <w:szCs w:val="20"/>
                <w:color w:val="auto"/>
              </w:rPr>
            </w:pPr>
            <w:r>
              <w:rPr>
                <w:rFonts w:ascii="Arial" w:cs="Arial" w:eastAsia="Arial" w:hAnsi="Arial"/>
                <w:sz w:val="20"/>
                <w:szCs w:val="20"/>
                <w:color w:val="auto"/>
              </w:rPr>
              <w:t>Accumulated amortization</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(17,497)</w:t>
            </w:r>
          </w:p>
        </w:tc>
        <w:tc>
          <w:tcPr>
            <w:tcW w:w="4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(14,535)</w:t>
            </w:r>
          </w:p>
        </w:tc>
        <w:tc>
          <w:tcPr>
            <w:tcW w:w="0" w:type="dxa"/>
            <w:vAlign w:val="bottom"/>
          </w:tcPr>
          <w:p>
            <w:pPr>
              <w:spacing w:after="0"/>
              <w:rPr>
                <w:sz w:val="1"/>
                <w:szCs w:val="1"/>
                <w:color w:val="auto"/>
              </w:rPr>
            </w:pPr>
          </w:p>
        </w:tc>
      </w:tr>
    </w:tbl>
    <w:p>
      <w:pPr>
        <w:sectPr>
          <w:pgSz w:w="11900" w:h="16884" w:orient="portrait"/>
          <w:cols w:equalWidth="0" w:num="1">
            <w:col w:w="11460"/>
          </w:cols>
          <w:pgMar w:left="240" w:top="121" w:right="199" w:bottom="0" w:gutter="0" w:footer="0" w:header="0"/>
          <w:type w:val="continuous"/>
        </w:sectPr>
      </w:pPr>
    </w:p>
    <w:bookmarkStart w:id="10" w:name="page11"/>
    <w:bookmarkEnd w:id="10"/>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1"/>
        </w:trPr>
        <w:tc>
          <w:tcPr>
            <w:tcW w:w="6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53,833</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56,755</w:t>
            </w:r>
          </w:p>
        </w:tc>
      </w:tr>
      <w:tr>
        <w:trPr>
          <w:trHeight w:val="246"/>
        </w:trPr>
        <w:tc>
          <w:tcPr>
            <w:tcW w:w="7260" w:type="dxa"/>
            <w:vAlign w:val="bottom"/>
            <w:gridSpan w:val="2"/>
          </w:tcPr>
          <w:p>
            <w:pPr>
              <w:jc w:val="right"/>
              <w:ind w:right="4981"/>
              <w:spacing w:after="0"/>
              <w:rPr>
                <w:sz w:val="20"/>
                <w:szCs w:val="20"/>
                <w:color w:val="auto"/>
              </w:rPr>
            </w:pPr>
            <w:r>
              <w:rPr>
                <w:rFonts w:ascii="Arial" w:cs="Arial" w:eastAsia="Arial" w:hAnsi="Arial"/>
                <w:sz w:val="20"/>
                <w:szCs w:val="20"/>
                <w:color w:val="auto"/>
                <w:w w:val="91"/>
              </w:rPr>
              <w:t>Non-amortizing intangibles</w:t>
            </w:r>
          </w:p>
        </w:tc>
        <w:tc>
          <w:tcPr>
            <w:tcW w:w="1100" w:type="dxa"/>
            <w:vAlign w:val="bottom"/>
          </w:tcPr>
          <w:p>
            <w:pPr>
              <w:jc w:val="right"/>
              <w:ind w:right="1"/>
              <w:spacing w:after="0"/>
              <w:rPr>
                <w:sz w:val="20"/>
                <w:szCs w:val="20"/>
                <w:color w:val="auto"/>
              </w:rPr>
            </w:pPr>
            <w:r>
              <w:rPr>
                <w:rFonts w:ascii="Arial" w:cs="Arial" w:eastAsia="Arial" w:hAnsi="Arial"/>
                <w:sz w:val="20"/>
                <w:szCs w:val="20"/>
                <w:color w:val="auto"/>
              </w:rPr>
              <w:t>979,053</w:t>
            </w: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975,880</w:t>
            </w:r>
          </w:p>
        </w:tc>
      </w:tr>
      <w:tr>
        <w:trPr>
          <w:trHeight w:val="223"/>
        </w:trPr>
        <w:tc>
          <w:tcPr>
            <w:tcW w:w="68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1,032,886</w:t>
            </w:r>
          </w:p>
        </w:tc>
        <w:tc>
          <w:tcPr>
            <w:tcW w:w="4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top w:val="single" w:sz="8" w:color="auto"/>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1,032,635</w:t>
            </w:r>
          </w:p>
        </w:tc>
      </w:tr>
      <w:tr>
        <w:trPr>
          <w:trHeight w:val="20"/>
        </w:trPr>
        <w:tc>
          <w:tcPr>
            <w:tcW w:w="6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$3.0 million and $1.8 million for the three-months ended March 31, 2017 and 2016,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accordance with ASC No. 420 “Exit or Disposal Cost Obligations”, the Company expenses distributor termination costs in the period in which the written notification of termination occurs. The Company incurred termination costs of $19.9 million and $3.4 million for the three-months ended March 31, 2017 and 2016, respectively.</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In the normal course of business, amounts received pursuant to new and/or amended distribution agreements entered into with certain 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$10.0 million and $8.2 million for the three-months ended March 31, 2017 and 2016, respectively.</w:t>
      </w:r>
    </w:p>
    <w:p>
      <w:pPr>
        <w:spacing w:after="0" w:line="190"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had purchase commitments aggregating approximately $39.8 million at March 31, 2017, which represented commitments made by the Company and its subsidiaries to various suppliers of raw materials for the production of its products. These obligations vary in terms, but are generally satisfied within one year.</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Company had contractual obligations aggregating approximately $153.4 million at March 31, 2017, which related primarily to sponsorships and other marketing activities.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had operating lease commitments aggregating approximately $18.9 million at March 31, 2017, which related primarily to warehouse and office space.</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September 2016, the Company completed its acquisition of approximately 49 acres of land, located in Rialto, CA, for a purchase price of approximately $39.1 million. The Company has begun construction of an approximately 1,000,000 square-foot building, which it hopes to have LEED certified, to replace its current leased warehouse and distribution facilities located in Corona, CA. The Company has entered into an approximately $37.6 million guaranteed maximum price construction contract for the construction of the building of which $22.3 million remained outstanding as of March 31, 2017.</w:t>
      </w:r>
    </w:p>
    <w:p>
      <w:pPr>
        <w:spacing w:after="0" w:line="20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December 2016, the Company entered into a credit facility with HSBC Bank (China) Company Limited, Shanghai Branch consisting of a working capital line of credit under which the Company may borrow up to $4.0 million of non-collateralized debt. In February 2017, the working capital line limit was increased from $4.0 million to $9.0 million. Interest on borrowings under the line of credit is based on the People’s Bank of China benchmark lending rates multiplied by 1.05. As of March 31, 2017, the Company had $5.7 million outstanding on this line of credit including interest, which is included in accounts payable in the condensed consolidated balance sheet.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Legal Proceedings</w:t>
      </w:r>
    </w:p>
    <w:p>
      <w:pPr>
        <w:spacing w:after="0" w:line="229" w:lineRule="exact"/>
        <w:rPr>
          <w:sz w:val="20"/>
          <w:szCs w:val="20"/>
          <w:color w:val="auto"/>
        </w:rPr>
      </w:pPr>
    </w:p>
    <w:p>
      <w:pPr>
        <w:jc w:val="both"/>
        <w:ind w:firstLine="689"/>
        <w:spacing w:after="0" w:line="244" w:lineRule="auto"/>
        <w:rPr>
          <w:sz w:val="20"/>
          <w:szCs w:val="20"/>
          <w:color w:val="auto"/>
        </w:rPr>
      </w:pPr>
      <w:r>
        <w:rPr>
          <w:rFonts w:ascii="Arial" w:cs="Arial" w:eastAsia="Arial" w:hAnsi="Arial"/>
          <w:sz w:val="20"/>
          <w:szCs w:val="20"/>
          <w:i w:val="1"/>
          <w:iCs w:val="1"/>
          <w:color w:val="auto"/>
        </w:rPr>
        <w:t xml:space="preserve">Litigation – </w:t>
      </w:r>
      <w:r>
        <w:rPr>
          <w:rFonts w:ascii="Arial" w:cs="Arial" w:eastAsia="Arial" w:hAnsi="Arial"/>
          <w:sz w:val="20"/>
          <w:szCs w:val="20"/>
          <w:color w:val="auto"/>
        </w:rPr>
        <w:t>The Company has been named a defendant in numerous personal injury lawsuits, claiming that the death or other serious</w:t>
      </w:r>
      <w:r>
        <w:rPr>
          <w:rFonts w:ascii="Arial" w:cs="Arial" w:eastAsia="Arial" w:hAnsi="Arial"/>
          <w:sz w:val="20"/>
          <w:szCs w:val="20"/>
          <w:i w:val="1"/>
          <w:iCs w:val="1"/>
          <w:color w:val="auto"/>
        </w:rPr>
        <w:t xml:space="preserve"> </w:t>
      </w:r>
      <w:r>
        <w:rPr>
          <w:rFonts w:ascii="Arial" w:cs="Arial" w:eastAsia="Arial" w:hAnsi="Arial"/>
          <w:sz w:val="20"/>
          <w:szCs w:val="20"/>
          <w:color w:val="auto"/>
        </w:rPr>
        <w:t>injury of the plaintiffs was caused by consumption of Monster Energy® brand energy drinks. The plaintiffs in these lawsuits allege strict product liability, negligence, fraudulent concealment, breach of implied warranties and wrongful death. The Company believes that each complaint is without merit and plans a vigorous defense. The Company also believes that any damages, if awarded, would not have a material adverse effect on the Company’s financial position or results of operations.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54" w:gutter="0" w:footer="0" w:header="0"/>
        </w:sectPr>
      </w:pPr>
    </w:p>
    <w:bookmarkStart w:id="11" w:name="page12"/>
    <w:bookmarkEnd w:id="11"/>
    <w:p>
      <w:pPr>
        <w:jc w:val="both"/>
        <w:ind w:right="40" w:firstLine="648"/>
        <w:spacing w:after="0" w:line="292" w:lineRule="auto"/>
        <w:rPr>
          <w:sz w:val="20"/>
          <w:szCs w:val="20"/>
          <w:color w:val="auto"/>
        </w:rPr>
      </w:pPr>
      <w:r>
        <w:rPr>
          <w:rFonts w:ascii="Arial" w:cs="Arial" w:eastAsia="Arial" w:hAnsi="Arial"/>
          <w:sz w:val="18"/>
          <w:szCs w:val="18"/>
          <w:i w:val="1"/>
          <w:iCs w:val="1"/>
          <w:color w:val="auto"/>
        </w:rPr>
        <w:t xml:space="preserve">State Attorney General Inquiry </w:t>
      </w:r>
      <w:r>
        <w:rPr>
          <w:rFonts w:ascii="Arial" w:cs="Arial" w:eastAsia="Arial" w:hAnsi="Arial"/>
          <w:sz w:val="18"/>
          <w:szCs w:val="18"/>
          <w:color w:val="auto"/>
        </w:rPr>
        <w:t>– In July 2012, the Company received a subpoena from the Attorney General for the State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its investigation concerning the Company’s advertising, marketing, promotion, ingredients, usage and sale of its Monster Energy® brand energy drinks. Production of documents pursuant to that subpoena was completed in approximately May 2014.</w:t>
      </w:r>
    </w:p>
    <w:p>
      <w:pPr>
        <w:spacing w:after="0" w:line="164" w:lineRule="exact"/>
        <w:rPr>
          <w:sz w:val="20"/>
          <w:szCs w:val="20"/>
          <w:color w:val="auto"/>
        </w:rPr>
      </w:pPr>
    </w:p>
    <w:p>
      <w:pPr>
        <w:jc w:val="both"/>
        <w:ind w:right="40" w:firstLine="648"/>
        <w:spacing w:after="0" w:line="274" w:lineRule="auto"/>
        <w:rPr>
          <w:sz w:val="20"/>
          <w:szCs w:val="20"/>
          <w:color w:val="auto"/>
        </w:rPr>
      </w:pPr>
      <w:r>
        <w:rPr>
          <w:rFonts w:ascii="Arial" w:cs="Arial" w:eastAsia="Arial" w:hAnsi="Arial"/>
          <w:sz w:val="18"/>
          <w:szCs w:val="18"/>
          <w:color w:val="auto"/>
        </w:rPr>
        <w:t>On August 6, 2014, the Attorney General for the State of New York issued a second subpoena seeking additional documents and the deposition of a Company employee. On September 8, 2014, the Company moved to quash the second subpoena in the Supreme Court, New York County. The motion was fully briefed and was argued on March 17, 2015. On January 13, 2017, the Court issued an opinion in which it agreed with certain Company arguments regarding the scope of the subpoena and the Attorney General’s investigation, but denied the motion to quash and granted the Attorney General’s cross-motion to compel compliance.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83"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Furthermore, from time to time in the normal course of business, the Company is named in other litigation, including consumer class actions, intellectual property litigation and claims from prior distributors. Although it is not possible to predict the ultimate outcome of such litigation, based on the facts known to the Company, management believes that such litigation in the aggregate will likely not have a material adverse effect on the Company’s financial position or results of operations.</w:t>
      </w:r>
    </w:p>
    <w:p>
      <w:pPr>
        <w:spacing w:after="0" w:line="205"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8"/>
          <w:szCs w:val="18"/>
          <w:color w:val="auto"/>
        </w:rPr>
        <w:t>The Company evaluates, on a quarterly basis, developments in legal proceedings and other matters that could cause an increase or decrease in the amount of the liability that is accrued, if any, or in the amount of any related insurance reimbursements recorded. As of March 31, 2017, the Company’s consolidated balance sheet includes accrued loss contingencies of approximately $1.5 million.</w:t>
      </w:r>
    </w:p>
    <w:p>
      <w:pPr>
        <w:spacing w:after="0" w:line="165"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accumulated other comprehensive loss by component, after tax, for the three-months ended March 31, 2017 are as follows: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jc w:val="center"/>
              <w:ind w:right="540"/>
              <w:spacing w:after="0"/>
              <w:rPr>
                <w:sz w:val="20"/>
                <w:szCs w:val="20"/>
                <w:color w:val="auto"/>
              </w:rPr>
            </w:pPr>
            <w:r>
              <w:rPr>
                <w:rFonts w:ascii="Arial" w:cs="Arial" w:eastAsia="Arial" w:hAnsi="Arial"/>
                <w:sz w:val="20"/>
                <w:szCs w:val="20"/>
                <w:color w:val="auto"/>
                <w:w w:val="89"/>
              </w:rPr>
              <w:t>Unrealized</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center"/>
              <w:ind w:right="620"/>
              <w:spacing w:after="0"/>
              <w:rPr>
                <w:sz w:val="20"/>
                <w:szCs w:val="20"/>
                <w:color w:val="auto"/>
              </w:rPr>
            </w:pPr>
            <w:r>
              <w:rPr>
                <w:rFonts w:ascii="Arial" w:cs="Arial" w:eastAsia="Arial" w:hAnsi="Arial"/>
                <w:sz w:val="20"/>
                <w:szCs w:val="20"/>
                <w:color w:val="auto"/>
                <w:w w:val="91"/>
              </w:rPr>
              <w:t>Currency</w:t>
            </w:r>
          </w:p>
        </w:tc>
        <w:tc>
          <w:tcPr>
            <w:tcW w:w="220" w:type="dxa"/>
            <w:vAlign w:val="bottom"/>
          </w:tcPr>
          <w:p>
            <w:pPr>
              <w:spacing w:after="0"/>
              <w:rPr>
                <w:sz w:val="19"/>
                <w:szCs w:val="19"/>
                <w:color w:val="auto"/>
              </w:rPr>
            </w:pPr>
          </w:p>
        </w:tc>
        <w:tc>
          <w:tcPr>
            <w:tcW w:w="1960" w:type="dxa"/>
            <w:vAlign w:val="bottom"/>
            <w:gridSpan w:val="2"/>
          </w:tcPr>
          <w:p>
            <w:pPr>
              <w:jc w:val="center"/>
              <w:ind w:right="540"/>
              <w:spacing w:after="0"/>
              <w:rPr>
                <w:sz w:val="20"/>
                <w:szCs w:val="20"/>
                <w:color w:val="auto"/>
              </w:rPr>
            </w:pPr>
            <w:r>
              <w:rPr>
                <w:rFonts w:ascii="Arial" w:cs="Arial" w:eastAsia="Arial" w:hAnsi="Arial"/>
                <w:sz w:val="20"/>
                <w:szCs w:val="20"/>
                <w:color w:val="auto"/>
                <w:w w:val="87"/>
              </w:rPr>
              <w:t>(Gains) Losses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center"/>
              <w:ind w:right="620"/>
              <w:spacing w:after="0"/>
              <w:rPr>
                <w:sz w:val="20"/>
                <w:szCs w:val="20"/>
                <w:color w:val="auto"/>
              </w:rPr>
            </w:pPr>
            <w:r>
              <w:rPr>
                <w:rFonts w:ascii="Arial" w:cs="Arial" w:eastAsia="Arial" w:hAnsi="Arial"/>
                <w:sz w:val="20"/>
                <w:szCs w:val="20"/>
                <w:color w:val="auto"/>
                <w:w w:val="90"/>
              </w:rPr>
              <w:t>Translation</w:t>
            </w:r>
          </w:p>
        </w:tc>
        <w:tc>
          <w:tcPr>
            <w:tcW w:w="220" w:type="dxa"/>
            <w:vAlign w:val="bottom"/>
          </w:tcPr>
          <w:p>
            <w:pPr>
              <w:spacing w:after="0"/>
              <w:rPr>
                <w:sz w:val="19"/>
                <w:szCs w:val="19"/>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20"/>
                <w:szCs w:val="20"/>
                <w:color w:val="auto"/>
                <w:w w:val="93"/>
              </w:rPr>
              <w:t>on Available-for-</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6"/>
        </w:trPr>
        <w:tc>
          <w:tcPr>
            <w:tcW w:w="5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181"/>
              <w:spacing w:after="0"/>
              <w:rPr>
                <w:sz w:val="20"/>
                <w:szCs w:val="20"/>
                <w:color w:val="auto"/>
              </w:rPr>
            </w:pPr>
            <w:r>
              <w:rPr>
                <w:rFonts w:ascii="Arial" w:cs="Arial" w:eastAsia="Arial" w:hAnsi="Arial"/>
                <w:sz w:val="20"/>
                <w:szCs w:val="20"/>
                <w:color w:val="auto"/>
                <w:w w:val="85"/>
              </w:rPr>
              <w:t>Losses</w:t>
            </w: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color w:val="auto"/>
                <w:w w:val="88"/>
              </w:rPr>
              <w:t>Sale Securities</w:t>
            </w:r>
          </w:p>
        </w:tc>
        <w:tc>
          <w:tcPr>
            <w:tcW w:w="3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Total</w:t>
            </w:r>
          </w:p>
        </w:tc>
        <w:tc>
          <w:tcPr>
            <w:tcW w:w="40" w:type="dxa"/>
            <w:vAlign w:val="bottom"/>
          </w:tcPr>
          <w:p>
            <w:pPr>
              <w:spacing w:after="0"/>
              <w:rPr>
                <w:sz w:val="21"/>
                <w:szCs w:val="21"/>
                <w:color w:val="auto"/>
              </w:rPr>
            </w:pPr>
          </w:p>
        </w:tc>
      </w:tr>
      <w:tr>
        <w:trPr>
          <w:trHeight w:val="301"/>
        </w:trPr>
        <w:tc>
          <w:tcPr>
            <w:tcW w:w="5340" w:type="dxa"/>
            <w:vAlign w:val="bottom"/>
          </w:tcPr>
          <w:p>
            <w:pPr>
              <w:spacing w:after="0"/>
              <w:rPr>
                <w:sz w:val="20"/>
                <w:szCs w:val="20"/>
                <w:color w:val="auto"/>
              </w:rPr>
            </w:pPr>
            <w:r>
              <w:rPr>
                <w:rFonts w:ascii="Arial" w:cs="Arial" w:eastAsia="Arial" w:hAnsi="Arial"/>
                <w:sz w:val="20"/>
                <w:szCs w:val="20"/>
                <w:color w:val="auto"/>
              </w:rPr>
              <w:t>Balance at December 31, 2016</w:t>
            </w: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40" w:type="dxa"/>
            <w:vAlign w:val="bottom"/>
          </w:tcPr>
          <w:p>
            <w:pPr>
              <w:ind w:left="720"/>
              <w:spacing w:after="0"/>
              <w:rPr>
                <w:sz w:val="20"/>
                <w:szCs w:val="20"/>
                <w:color w:val="auto"/>
              </w:rPr>
            </w:pPr>
            <w:r>
              <w:rPr>
                <w:rFonts w:ascii="Arial" w:cs="Arial" w:eastAsia="Arial" w:hAnsi="Arial"/>
                <w:sz w:val="20"/>
                <w:szCs w:val="20"/>
                <w:color w:val="auto"/>
                <w:w w:val="98"/>
              </w:rPr>
              <w:t>23,056</w:t>
            </w:r>
          </w:p>
        </w:tc>
        <w:tc>
          <w:tcPr>
            <w:tcW w:w="3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193</w:t>
            </w:r>
          </w:p>
        </w:tc>
        <w:tc>
          <w:tcPr>
            <w:tcW w:w="320" w:type="dxa"/>
            <w:vAlign w:val="bottom"/>
          </w:tcPr>
          <w:p>
            <w:pPr>
              <w:spacing w:after="0"/>
              <w:rPr>
                <w:sz w:val="24"/>
                <w:szCs w:val="24"/>
                <w:color w:val="auto"/>
              </w:rPr>
            </w:pPr>
          </w:p>
        </w:tc>
        <w:tc>
          <w:tcPr>
            <w:tcW w:w="4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Pr>
          <w:p>
            <w:pPr>
              <w:ind w:left="580"/>
              <w:spacing w:after="0"/>
              <w:rPr>
                <w:sz w:val="20"/>
                <w:szCs w:val="20"/>
                <w:color w:val="auto"/>
              </w:rPr>
            </w:pPr>
            <w:r>
              <w:rPr>
                <w:rFonts w:ascii="Arial" w:cs="Arial" w:eastAsia="Arial" w:hAnsi="Arial"/>
                <w:sz w:val="20"/>
                <w:szCs w:val="20"/>
                <w:color w:val="auto"/>
                <w:w w:val="98"/>
              </w:rPr>
              <w:t>23,249</w:t>
            </w:r>
          </w:p>
        </w:tc>
        <w:tc>
          <w:tcPr>
            <w:tcW w:w="40" w:type="dxa"/>
            <w:vAlign w:val="bottom"/>
          </w:tcPr>
          <w:p>
            <w:pPr>
              <w:spacing w:after="0"/>
              <w:rPr>
                <w:sz w:val="24"/>
                <w:szCs w:val="24"/>
                <w:color w:val="auto"/>
              </w:rPr>
            </w:pPr>
          </w:p>
        </w:tc>
      </w:tr>
      <w:tr>
        <w:trPr>
          <w:trHeight w:val="230"/>
        </w:trPr>
        <w:tc>
          <w:tcPr>
            <w:tcW w:w="5340" w:type="dxa"/>
            <w:vAlign w:val="bottom"/>
          </w:tcPr>
          <w:p>
            <w:pPr>
              <w:ind w:left="180"/>
              <w:spacing w:after="0"/>
              <w:rPr>
                <w:sz w:val="20"/>
                <w:szCs w:val="20"/>
                <w:color w:val="auto"/>
              </w:rPr>
            </w:pPr>
            <w:r>
              <w:rPr>
                <w:rFonts w:ascii="Arial" w:cs="Arial" w:eastAsia="Arial" w:hAnsi="Arial"/>
                <w:sz w:val="20"/>
                <w:szCs w:val="20"/>
                <w:color w:val="auto"/>
              </w:rPr>
              <w:t>Other comprehensive (gain) before reclassifications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ind w:left="740"/>
              <w:spacing w:after="0"/>
              <w:rPr>
                <w:sz w:val="20"/>
                <w:szCs w:val="20"/>
                <w:color w:val="auto"/>
              </w:rPr>
            </w:pPr>
            <w:r>
              <w:rPr>
                <w:rFonts w:ascii="Arial" w:cs="Arial" w:eastAsia="Arial" w:hAnsi="Arial"/>
                <w:sz w:val="20"/>
                <w:szCs w:val="20"/>
                <w:color w:val="auto"/>
                <w:w w:val="91"/>
              </w:rPr>
              <w:t>(1,201)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(131)</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ind w:left="600"/>
              <w:spacing w:after="0"/>
              <w:rPr>
                <w:sz w:val="20"/>
                <w:szCs w:val="20"/>
                <w:color w:val="auto"/>
              </w:rPr>
            </w:pPr>
            <w:r>
              <w:rPr>
                <w:rFonts w:ascii="Arial" w:cs="Arial" w:eastAsia="Arial" w:hAnsi="Arial"/>
                <w:sz w:val="20"/>
                <w:szCs w:val="20"/>
                <w:color w:val="auto"/>
                <w:w w:val="91"/>
              </w:rPr>
              <w:t>(1,332)</w:t>
            </w:r>
          </w:p>
        </w:tc>
        <w:tc>
          <w:tcPr>
            <w:tcW w:w="40" w:type="dxa"/>
            <w:vAlign w:val="bottom"/>
          </w:tcPr>
          <w:p>
            <w:pPr>
              <w:spacing w:after="0"/>
              <w:rPr>
                <w:sz w:val="19"/>
                <w:szCs w:val="19"/>
                <w:color w:val="auto"/>
              </w:rPr>
            </w:pPr>
          </w:p>
        </w:tc>
      </w:tr>
      <w:tr>
        <w:trPr>
          <w:trHeight w:val="230"/>
        </w:trPr>
        <w:tc>
          <w:tcPr>
            <w:tcW w:w="5340" w:type="dxa"/>
            <w:vAlign w:val="bottom"/>
          </w:tcPr>
          <w:p>
            <w:pPr>
              <w:ind w:left="180"/>
              <w:spacing w:after="0"/>
              <w:rPr>
                <w:sz w:val="20"/>
                <w:szCs w:val="20"/>
                <w:color w:val="auto"/>
              </w:rPr>
            </w:pPr>
            <w:r>
              <w:rPr>
                <w:rFonts w:ascii="Arial" w:cs="Arial" w:eastAsia="Arial" w:hAnsi="Arial"/>
                <w:sz w:val="20"/>
                <w:szCs w:val="20"/>
                <w:color w:val="auto"/>
                <w:w w:val="94"/>
              </w:rPr>
              <w:t>Amounts reclassified from accumulated other comprehensive</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340" w:type="dxa"/>
            <w:vAlign w:val="bottom"/>
          </w:tcPr>
          <w:p>
            <w:pPr>
              <w:ind w:left="360"/>
              <w:spacing w:after="0"/>
              <w:rPr>
                <w:sz w:val="20"/>
                <w:szCs w:val="20"/>
                <w:color w:val="auto"/>
              </w:rPr>
            </w:pPr>
            <w:r>
              <w:rPr>
                <w:rFonts w:ascii="Arial" w:cs="Arial" w:eastAsia="Arial" w:hAnsi="Arial"/>
                <w:sz w:val="20"/>
                <w:szCs w:val="20"/>
                <w:color w:val="auto"/>
              </w:rPr>
              <w:t>loss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ind w:left="11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ind w:left="104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r>
      <w:tr>
        <w:trPr>
          <w:trHeight w:val="240"/>
        </w:trPr>
        <w:tc>
          <w:tcPr>
            <w:tcW w:w="5340" w:type="dxa"/>
            <w:vAlign w:val="bottom"/>
          </w:tcPr>
          <w:p>
            <w:pPr>
              <w:ind w:left="180"/>
              <w:spacing w:after="0"/>
              <w:rPr>
                <w:sz w:val="20"/>
                <w:szCs w:val="20"/>
                <w:color w:val="auto"/>
              </w:rPr>
            </w:pPr>
            <w:r>
              <w:rPr>
                <w:rFonts w:ascii="Arial" w:cs="Arial" w:eastAsia="Arial" w:hAnsi="Arial"/>
                <w:sz w:val="20"/>
                <w:szCs w:val="20"/>
                <w:color w:val="auto"/>
              </w:rPr>
              <w:t>Net current-period other comprehensive (gain)</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740"/>
              <w:spacing w:after="0"/>
              <w:rPr>
                <w:sz w:val="20"/>
                <w:szCs w:val="20"/>
                <w:color w:val="auto"/>
              </w:rPr>
            </w:pPr>
            <w:r>
              <w:rPr>
                <w:rFonts w:ascii="Arial" w:cs="Arial" w:eastAsia="Arial" w:hAnsi="Arial"/>
                <w:sz w:val="20"/>
                <w:szCs w:val="20"/>
                <w:color w:val="auto"/>
                <w:w w:val="91"/>
              </w:rPr>
              <w:t>(1,201)</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(131)</w:t>
            </w:r>
          </w:p>
        </w:tc>
        <w:tc>
          <w:tcPr>
            <w:tcW w:w="3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600"/>
              <w:spacing w:after="0"/>
              <w:rPr>
                <w:sz w:val="20"/>
                <w:szCs w:val="20"/>
                <w:color w:val="auto"/>
              </w:rPr>
            </w:pPr>
            <w:r>
              <w:rPr>
                <w:rFonts w:ascii="Arial" w:cs="Arial" w:eastAsia="Arial" w:hAnsi="Arial"/>
                <w:sz w:val="20"/>
                <w:szCs w:val="20"/>
                <w:color w:val="auto"/>
                <w:w w:val="91"/>
              </w:rPr>
              <w:t>(1,332)</w:t>
            </w:r>
          </w:p>
        </w:tc>
        <w:tc>
          <w:tcPr>
            <w:tcW w:w="40" w:type="dxa"/>
            <w:vAlign w:val="bottom"/>
          </w:tcPr>
          <w:p>
            <w:pPr>
              <w:spacing w:after="0"/>
              <w:rPr>
                <w:sz w:val="20"/>
                <w:szCs w:val="20"/>
                <w:color w:val="auto"/>
              </w:rPr>
            </w:pPr>
          </w:p>
        </w:tc>
      </w:tr>
      <w:tr>
        <w:trPr>
          <w:trHeight w:val="230"/>
        </w:trPr>
        <w:tc>
          <w:tcPr>
            <w:tcW w:w="5340" w:type="dxa"/>
            <w:vAlign w:val="bottom"/>
          </w:tcPr>
          <w:p>
            <w:pPr>
              <w:spacing w:after="0" w:line="220" w:lineRule="exact"/>
              <w:rPr>
                <w:sz w:val="20"/>
                <w:szCs w:val="20"/>
                <w:color w:val="auto"/>
              </w:rPr>
            </w:pPr>
            <w:r>
              <w:rPr>
                <w:rFonts w:ascii="Arial" w:cs="Arial" w:eastAsia="Arial" w:hAnsi="Arial"/>
                <w:sz w:val="20"/>
                <w:szCs w:val="20"/>
                <w:color w:val="auto"/>
              </w:rPr>
              <w:t>Balance at March 31, 2017</w:t>
            </w:r>
          </w:p>
        </w:tc>
        <w:tc>
          <w:tcPr>
            <w:tcW w:w="34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20"/>
                <w:szCs w:val="20"/>
                <w:color w:val="auto"/>
                <w:w w:val="98"/>
              </w:rPr>
              <w:t>21,855</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w:t>
            </w:r>
          </w:p>
        </w:tc>
        <w:tc>
          <w:tcPr>
            <w:tcW w:w="320" w:type="dxa"/>
            <w:vAlign w:val="bottom"/>
          </w:tcPr>
          <w:p>
            <w:pPr>
              <w:spacing w:after="0"/>
              <w:rPr>
                <w:sz w:val="19"/>
                <w:szCs w:val="19"/>
                <w:color w:val="auto"/>
              </w:rPr>
            </w:pPr>
          </w:p>
        </w:tc>
        <w:tc>
          <w:tcPr>
            <w:tcW w:w="4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ind w:left="580"/>
              <w:spacing w:after="0"/>
              <w:rPr>
                <w:sz w:val="20"/>
                <w:szCs w:val="20"/>
                <w:color w:val="auto"/>
              </w:rPr>
            </w:pPr>
            <w:r>
              <w:rPr>
                <w:rFonts w:ascii="Arial" w:cs="Arial" w:eastAsia="Arial" w:hAnsi="Arial"/>
                <w:sz w:val="20"/>
                <w:szCs w:val="20"/>
                <w:color w:val="auto"/>
                <w:w w:val="98"/>
              </w:rPr>
              <w:t>21,917</w:t>
            </w:r>
          </w:p>
        </w:tc>
        <w:tc>
          <w:tcPr>
            <w:tcW w:w="4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5340" w:type="dxa"/>
            <w:vAlign w:val="bottom"/>
          </w:tcPr>
          <w:p>
            <w:pPr>
              <w:spacing w:after="0"/>
              <w:rPr>
                <w:sz w:val="24"/>
                <w:szCs w:val="24"/>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17</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TREASURY STOCK</w:t>
      </w:r>
    </w:p>
    <w:p>
      <w:pPr>
        <w:spacing w:after="0" w:line="229"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On February 28, 2017, the Company’s Board of Directors authorized a new share repurchase program for the purchase of up to $500.0 million of our outstanding common stock (the “February 2017 Repurchase Plan”). As of May 5, 2017, no shares have been repurchased pursuant to the February 2017 Repurchase Plan.</w:t>
      </w:r>
    </w:p>
    <w:p>
      <w:pPr>
        <w:spacing w:after="0" w:line="200"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9"/>
          <w:szCs w:val="19"/>
          <w:color w:val="auto"/>
        </w:rPr>
        <w:t>During the three-months ended March 31, 2017, 1,397 shares of common stock were purchased from employees in lieu of cash payments for options exercised or withholding taxes due for a total amount of $0.1 million. While such purchases are considered common stock repurchases, they are not counted as purchases against the Company’s authorized share repurchase programs. Such shares are included in common stock in treasury in the accompanying condensed consolidated balance sheet at March 31, 2017.</w:t>
      </w:r>
    </w:p>
    <w:p>
      <w:pPr>
        <w:spacing w:after="0" w:line="190"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29" w:lineRule="exact"/>
        <w:rPr>
          <w:sz w:val="20"/>
          <w:szCs w:val="20"/>
          <w:color w:val="auto"/>
        </w:rPr>
      </w:pPr>
    </w:p>
    <w:p>
      <w:pPr>
        <w:jc w:val="both"/>
        <w:ind w:right="60" w:firstLine="648"/>
        <w:spacing w:after="0" w:line="250" w:lineRule="auto"/>
        <w:rPr>
          <w:sz w:val="20"/>
          <w:szCs w:val="20"/>
          <w:color w:val="auto"/>
        </w:rPr>
      </w:pPr>
      <w:r>
        <w:rPr>
          <w:rFonts w:ascii="Arial" w:cs="Arial" w:eastAsia="Arial" w:hAnsi="Arial"/>
          <w:sz w:val="20"/>
          <w:szCs w:val="20"/>
          <w:color w:val="auto"/>
        </w:rPr>
        <w:t>The Company has two stock-based compensation plans under which shares were available for grant at March 31, 2017: the Monster Beverage Corporation 2011 Omnibus Incentive Plan (the “2011 Omnibus Incentive Plan”) and the 2009 Monster Beverage Corporation Stock Incentive Plan for Non-Employee Directors.</w:t>
      </w:r>
    </w:p>
    <w:p>
      <w:pPr>
        <w:spacing w:after="0" w:line="200" w:lineRule="exact"/>
        <w:rPr>
          <w:sz w:val="20"/>
          <w:szCs w:val="20"/>
          <w:color w:val="auto"/>
        </w:rPr>
      </w:pPr>
    </w:p>
    <w:p>
      <w:pPr>
        <w:jc w:val="both"/>
        <w:ind w:right="60" w:firstLine="648"/>
        <w:spacing w:after="0" w:line="316" w:lineRule="auto"/>
        <w:rPr>
          <w:sz w:val="20"/>
          <w:szCs w:val="20"/>
          <w:color w:val="auto"/>
        </w:rPr>
      </w:pPr>
      <w:r>
        <w:rPr>
          <w:rFonts w:ascii="Arial" w:cs="Arial" w:eastAsia="Arial" w:hAnsi="Arial"/>
          <w:sz w:val="18"/>
          <w:szCs w:val="18"/>
          <w:color w:val="auto"/>
        </w:rPr>
        <w:t>The Company recorded $13.1 million and $10.1 million of compensation expense relating to outstanding options, restricted stock awards, stock appreciation rights and restricted stock units during the three-months ended March 31, 2017 and 2016, respectively.</w:t>
      </w:r>
    </w:p>
    <w:p>
      <w:pPr>
        <w:spacing w:after="0" w:line="144"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 excess tax benefit for tax deductions from non-qualified stock option exercises, disqualifying dispositions of incentive stock options, vesting of restricted stock units and restricted stock awards for the three-months ended March 31, 2017 and 2016 was $9.4 million and $1.6 million, respectively.</w:t>
      </w:r>
    </w:p>
    <w:p>
      <w:pPr>
        <w:sectPr>
          <w:pgSz w:w="11900" w:h="16838" w:orient="portrait"/>
          <w:cols w:equalWidth="0" w:num="1">
            <w:col w:w="11460"/>
          </w:cols>
          <w:pgMar w:left="240" w:top="121" w:right="199" w:bottom="63" w:gutter="0" w:footer="0" w:header="0"/>
        </w:sectPr>
      </w:pPr>
    </w:p>
    <w:bookmarkStart w:id="12" w:name="page13"/>
    <w:bookmarkEnd w:id="12"/>
    <w:p>
      <w:pPr>
        <w:jc w:val="both"/>
        <w:ind w:firstLine="648"/>
        <w:spacing w:after="0" w:line="247" w:lineRule="auto"/>
        <w:rPr>
          <w:sz w:val="20"/>
          <w:szCs w:val="20"/>
          <w:color w:val="auto"/>
        </w:rPr>
      </w:pPr>
      <w:r>
        <w:rPr>
          <w:rFonts w:ascii="Arial" w:cs="Arial" w:eastAsia="Arial" w:hAnsi="Arial"/>
          <w:sz w:val="20"/>
          <w:szCs w:val="20"/>
          <w:color w:val="auto"/>
        </w:rPr>
        <w:t>In 2016, the Company adopted the Monster Beverage Deferred Compensation Plan (the “Deferred Compensation Plan”) (a sub plan to the 2011 Omnibus Incentive Plan). Deferrals under the Deferred Compensation Plan are unfunded and unsecured. As of March 31, 2017, deferrals under the Deferred Compensation Plan are solely comprised of cash compensation and equity compensation coming due after March, 2018 and are not material in the aggregate.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2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Under the Company’s stock-based compensation plans, all stock options granted as of March 31, 2017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29"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460" w:type="dxa"/>
            <w:vAlign w:val="bottom"/>
          </w:tcPr>
          <w:p>
            <w:pPr>
              <w:spacing w:after="0"/>
              <w:rPr>
                <w:sz w:val="21"/>
                <w:szCs w:val="21"/>
                <w:color w:val="auto"/>
              </w:rPr>
            </w:pPr>
          </w:p>
        </w:tc>
        <w:tc>
          <w:tcPr>
            <w:tcW w:w="3300" w:type="dxa"/>
            <w:vAlign w:val="bottom"/>
            <w:tcBorders>
              <w:bottom w:val="single" w:sz="8" w:color="auto"/>
            </w:tcBorders>
            <w:gridSpan w:val="3"/>
          </w:tcPr>
          <w:p>
            <w:pPr>
              <w:jc w:val="right"/>
              <w:ind w:right="281"/>
              <w:spacing w:after="0"/>
              <w:rPr>
                <w:sz w:val="20"/>
                <w:szCs w:val="20"/>
                <w:color w:val="auto"/>
              </w:rPr>
            </w:pPr>
            <w:r>
              <w:rPr>
                <w:rFonts w:ascii="Arial" w:cs="Arial" w:eastAsia="Arial" w:hAnsi="Arial"/>
                <w:sz w:val="20"/>
                <w:szCs w:val="20"/>
                <w:color w:val="auto"/>
              </w:rPr>
              <w:t>Three-Months Ended March 31,</w:t>
            </w:r>
          </w:p>
        </w:tc>
        <w:tc>
          <w:tcPr>
            <w:tcW w:w="0" w:type="dxa"/>
            <w:vAlign w:val="bottom"/>
          </w:tcPr>
          <w:p>
            <w:pPr>
              <w:spacing w:after="0"/>
              <w:rPr>
                <w:sz w:val="1"/>
                <w:szCs w:val="1"/>
                <w:color w:val="auto"/>
              </w:rPr>
            </w:pPr>
          </w:p>
        </w:tc>
      </w:tr>
      <w:tr>
        <w:trPr>
          <w:trHeight w:val="223"/>
        </w:trPr>
        <w:tc>
          <w:tcPr>
            <w:tcW w:w="4460" w:type="dxa"/>
            <w:vAlign w:val="bottom"/>
            <w:vMerge w:val="restart"/>
          </w:tcPr>
          <w:p>
            <w:pPr>
              <w:spacing w:after="0"/>
              <w:rPr>
                <w:sz w:val="20"/>
                <w:szCs w:val="20"/>
                <w:color w:val="auto"/>
              </w:rPr>
            </w:pPr>
            <w:r>
              <w:rPr>
                <w:rFonts w:ascii="Arial" w:cs="Arial" w:eastAsia="Arial" w:hAnsi="Arial"/>
                <w:sz w:val="20"/>
                <w:szCs w:val="20"/>
                <w:color w:val="auto"/>
              </w:rPr>
              <w:t>Dividend yield</w:t>
            </w:r>
          </w:p>
        </w:tc>
        <w:tc>
          <w:tcPr>
            <w:tcW w:w="148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2017</w:t>
            </w:r>
          </w:p>
        </w:tc>
        <w:tc>
          <w:tcPr>
            <w:tcW w:w="300" w:type="dxa"/>
            <w:vAlign w:val="bottom"/>
          </w:tcPr>
          <w:p>
            <w:pPr>
              <w:spacing w:after="0"/>
              <w:rPr>
                <w:sz w:val="19"/>
                <w:szCs w:val="19"/>
                <w:color w:val="auto"/>
              </w:rPr>
            </w:pPr>
          </w:p>
        </w:tc>
        <w:tc>
          <w:tcPr>
            <w:tcW w:w="152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06"/>
        </w:trPr>
        <w:tc>
          <w:tcPr>
            <w:tcW w:w="4460" w:type="dxa"/>
            <w:vAlign w:val="bottom"/>
            <w:vMerge w:val="continue"/>
          </w:tcPr>
          <w:p>
            <w:pPr>
              <w:spacing w:after="0"/>
              <w:rPr>
                <w:sz w:val="17"/>
                <w:szCs w:val="17"/>
                <w:color w:val="auto"/>
              </w:rPr>
            </w:pPr>
          </w:p>
        </w:tc>
        <w:tc>
          <w:tcPr>
            <w:tcW w:w="1480" w:type="dxa"/>
            <w:vAlign w:val="bottom"/>
          </w:tcPr>
          <w:p>
            <w:pPr>
              <w:jc w:val="right"/>
              <w:ind w:right="141"/>
              <w:spacing w:after="0" w:line="207" w:lineRule="exact"/>
              <w:rPr>
                <w:sz w:val="20"/>
                <w:szCs w:val="20"/>
                <w:color w:val="auto"/>
              </w:rPr>
            </w:pPr>
            <w:r>
              <w:rPr>
                <w:rFonts w:ascii="Arial" w:cs="Arial" w:eastAsia="Arial" w:hAnsi="Arial"/>
                <w:sz w:val="20"/>
                <w:szCs w:val="20"/>
                <w:color w:val="auto"/>
              </w:rPr>
              <w:t>0.0%</w:t>
            </w:r>
          </w:p>
        </w:tc>
        <w:tc>
          <w:tcPr>
            <w:tcW w:w="300" w:type="dxa"/>
            <w:vAlign w:val="bottom"/>
          </w:tcPr>
          <w:p>
            <w:pPr>
              <w:spacing w:after="0"/>
              <w:rPr>
                <w:sz w:val="17"/>
                <w:szCs w:val="17"/>
                <w:color w:val="auto"/>
              </w:rPr>
            </w:pPr>
          </w:p>
        </w:tc>
        <w:tc>
          <w:tcPr>
            <w:tcW w:w="1520" w:type="dxa"/>
            <w:vAlign w:val="bottom"/>
          </w:tcPr>
          <w:p>
            <w:pPr>
              <w:jc w:val="right"/>
              <w:ind w:right="161"/>
              <w:spacing w:after="0" w:line="207" w:lineRule="exact"/>
              <w:rPr>
                <w:sz w:val="20"/>
                <w:szCs w:val="20"/>
                <w:color w:val="auto"/>
              </w:rPr>
            </w:pPr>
            <w:r>
              <w:rPr>
                <w:rFonts w:ascii="Arial" w:cs="Arial" w:eastAsia="Arial" w:hAnsi="Arial"/>
                <w:sz w:val="20"/>
                <w:szCs w:val="20"/>
                <w:color w:val="auto"/>
              </w:rPr>
              <w:t>0.0%</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20"/>
                <w:szCs w:val="20"/>
                <w:color w:val="auto"/>
              </w:rPr>
              <w:t>Expected volatility</w:t>
            </w:r>
          </w:p>
        </w:tc>
        <w:tc>
          <w:tcPr>
            <w:tcW w:w="1480" w:type="dxa"/>
            <w:vAlign w:val="bottom"/>
          </w:tcPr>
          <w:p>
            <w:pPr>
              <w:jc w:val="right"/>
              <w:ind w:right="141"/>
              <w:spacing w:after="0"/>
              <w:rPr>
                <w:sz w:val="20"/>
                <w:szCs w:val="20"/>
                <w:color w:val="auto"/>
              </w:rPr>
            </w:pPr>
            <w:r>
              <w:rPr>
                <w:rFonts w:ascii="Arial" w:cs="Arial" w:eastAsia="Arial" w:hAnsi="Arial"/>
                <w:sz w:val="20"/>
                <w:szCs w:val="20"/>
                <w:color w:val="auto"/>
              </w:rPr>
              <w:t>36.6%</w:t>
            </w:r>
          </w:p>
        </w:tc>
        <w:tc>
          <w:tcPr>
            <w:tcW w:w="300" w:type="dxa"/>
            <w:vAlign w:val="bottom"/>
          </w:tcPr>
          <w:p>
            <w:pPr>
              <w:spacing w:after="0"/>
              <w:rPr>
                <w:sz w:val="19"/>
                <w:szCs w:val="19"/>
                <w:color w:val="auto"/>
              </w:rPr>
            </w:pPr>
          </w:p>
        </w:tc>
        <w:tc>
          <w:tcPr>
            <w:tcW w:w="1520" w:type="dxa"/>
            <w:vAlign w:val="bottom"/>
          </w:tcPr>
          <w:p>
            <w:pPr>
              <w:jc w:val="right"/>
              <w:ind w:right="161"/>
              <w:spacing w:after="0"/>
              <w:rPr>
                <w:sz w:val="20"/>
                <w:szCs w:val="20"/>
                <w:color w:val="auto"/>
              </w:rPr>
            </w:pPr>
            <w:r>
              <w:rPr>
                <w:rFonts w:ascii="Arial" w:cs="Arial" w:eastAsia="Arial" w:hAnsi="Arial"/>
                <w:sz w:val="20"/>
                <w:szCs w:val="20"/>
                <w:color w:val="auto"/>
              </w:rPr>
              <w:t>36.2%</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20"/>
                <w:szCs w:val="20"/>
                <w:color w:val="auto"/>
              </w:rPr>
              <w:t>Risk-free interest rate</w:t>
            </w:r>
          </w:p>
        </w:tc>
        <w:tc>
          <w:tcPr>
            <w:tcW w:w="1480" w:type="dxa"/>
            <w:vAlign w:val="bottom"/>
          </w:tcPr>
          <w:p>
            <w:pPr>
              <w:jc w:val="right"/>
              <w:ind w:right="141"/>
              <w:spacing w:after="0"/>
              <w:rPr>
                <w:sz w:val="20"/>
                <w:szCs w:val="20"/>
                <w:color w:val="auto"/>
              </w:rPr>
            </w:pPr>
            <w:r>
              <w:rPr>
                <w:rFonts w:ascii="Arial" w:cs="Arial" w:eastAsia="Arial" w:hAnsi="Arial"/>
                <w:sz w:val="20"/>
                <w:szCs w:val="20"/>
                <w:color w:val="auto"/>
              </w:rPr>
              <w:t>2.1%</w:t>
            </w:r>
          </w:p>
        </w:tc>
        <w:tc>
          <w:tcPr>
            <w:tcW w:w="300" w:type="dxa"/>
            <w:vAlign w:val="bottom"/>
          </w:tcPr>
          <w:p>
            <w:pPr>
              <w:spacing w:after="0"/>
              <w:rPr>
                <w:sz w:val="19"/>
                <w:szCs w:val="19"/>
                <w:color w:val="auto"/>
              </w:rPr>
            </w:pPr>
          </w:p>
        </w:tc>
        <w:tc>
          <w:tcPr>
            <w:tcW w:w="1520" w:type="dxa"/>
            <w:vAlign w:val="bottom"/>
          </w:tcPr>
          <w:p>
            <w:pPr>
              <w:jc w:val="right"/>
              <w:ind w:right="161"/>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0"/>
                <w:szCs w:val="20"/>
                <w:color w:val="auto"/>
              </w:rPr>
            </w:pPr>
            <w:r>
              <w:rPr>
                <w:rFonts w:ascii="Arial" w:cs="Arial" w:eastAsia="Arial" w:hAnsi="Arial"/>
                <w:sz w:val="20"/>
                <w:szCs w:val="20"/>
                <w:color w:val="auto"/>
              </w:rPr>
              <w:t>Expected term</w:t>
            </w:r>
          </w:p>
        </w:tc>
        <w:tc>
          <w:tcPr>
            <w:tcW w:w="1780" w:type="dxa"/>
            <w:vAlign w:val="bottom"/>
            <w:gridSpan w:val="2"/>
          </w:tcPr>
          <w:p>
            <w:pPr>
              <w:ind w:left="520"/>
              <w:spacing w:after="0"/>
              <w:rPr>
                <w:sz w:val="20"/>
                <w:szCs w:val="20"/>
                <w:color w:val="auto"/>
              </w:rPr>
            </w:pPr>
            <w:r>
              <w:rPr>
                <w:rFonts w:ascii="Arial" w:cs="Arial" w:eastAsia="Arial" w:hAnsi="Arial"/>
                <w:sz w:val="20"/>
                <w:szCs w:val="20"/>
                <w:color w:val="auto"/>
              </w:rPr>
              <w:t>6.1 years</w:t>
            </w:r>
          </w:p>
        </w:tc>
        <w:tc>
          <w:tcPr>
            <w:tcW w:w="1520" w:type="dxa"/>
            <w:vAlign w:val="bottom"/>
          </w:tcPr>
          <w:p>
            <w:pPr>
              <w:jc w:val="right"/>
              <w:ind w:right="161"/>
              <w:spacing w:after="0"/>
              <w:rPr>
                <w:sz w:val="20"/>
                <w:szCs w:val="20"/>
                <w:color w:val="auto"/>
              </w:rPr>
            </w:pPr>
            <w:r>
              <w:rPr>
                <w:rFonts w:ascii="Arial" w:cs="Arial" w:eastAsia="Arial" w:hAnsi="Arial"/>
                <w:sz w:val="20"/>
                <w:szCs w:val="20"/>
                <w:color w:val="auto"/>
              </w:rPr>
              <w:t>5.7 years</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The Company uses historical volatility as it provides a reasonable estimate of the expected volatility.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is based on the most recent volatility of the stock price over a period of time equivalent to the expected term of the option.</w:t>
      </w:r>
    </w:p>
    <w:p>
      <w:pPr>
        <w:spacing w:after="0" w:line="14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 the time of grant</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expected term of the option.</w:t>
      </w:r>
    </w:p>
    <w:p>
      <w:pPr>
        <w:spacing w:after="0" w:line="19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 The Company’s expected term represents the weighted-average period that the Company’s stock options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20"/>
                <w:szCs w:val="20"/>
                <w:color w:val="auto"/>
                <w:w w:val="89"/>
              </w:rPr>
              <w:t>Weighted-</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gridSpan w:val="2"/>
          </w:tcPr>
          <w:p>
            <w:pPr>
              <w:jc w:val="center"/>
              <w:ind w:right="580"/>
              <w:spacing w:after="0"/>
              <w:rPr>
                <w:sz w:val="20"/>
                <w:szCs w:val="20"/>
                <w:color w:val="auto"/>
              </w:rPr>
            </w:pPr>
            <w:r>
              <w:rPr>
                <w:rFonts w:ascii="Arial" w:cs="Arial" w:eastAsia="Arial" w:hAnsi="Arial"/>
                <w:sz w:val="20"/>
                <w:szCs w:val="20"/>
                <w:color w:val="auto"/>
                <w:w w:val="89"/>
              </w:rPr>
              <w:t>Weighted-</w:t>
            </w:r>
          </w:p>
        </w:tc>
        <w:tc>
          <w:tcPr>
            <w:tcW w:w="1980" w:type="dxa"/>
            <w:vAlign w:val="bottom"/>
            <w:gridSpan w:val="2"/>
          </w:tcPr>
          <w:p>
            <w:pPr>
              <w:jc w:val="center"/>
              <w:ind w:right="240"/>
              <w:spacing w:after="0"/>
              <w:rPr>
                <w:sz w:val="20"/>
                <w:szCs w:val="20"/>
                <w:color w:val="auto"/>
              </w:rPr>
            </w:pPr>
            <w:r>
              <w:rPr>
                <w:rFonts w:ascii="Arial" w:cs="Arial" w:eastAsia="Arial" w:hAnsi="Arial"/>
                <w:sz w:val="20"/>
                <w:szCs w:val="20"/>
                <w:color w:val="auto"/>
                <w:w w:val="88"/>
              </w:rPr>
              <w:t>Average</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20"/>
                <w:szCs w:val="20"/>
                <w:color w:val="auto"/>
                <w:w w:val="85"/>
              </w:rPr>
              <w:t>Average</w:t>
            </w:r>
          </w:p>
        </w:tc>
        <w:tc>
          <w:tcPr>
            <w:tcW w:w="1980" w:type="dxa"/>
            <w:vAlign w:val="bottom"/>
            <w:gridSpan w:val="2"/>
          </w:tcPr>
          <w:p>
            <w:pPr>
              <w:jc w:val="center"/>
              <w:ind w:right="220"/>
              <w:spacing w:after="0"/>
              <w:rPr>
                <w:sz w:val="20"/>
                <w:szCs w:val="20"/>
                <w:color w:val="auto"/>
              </w:rPr>
            </w:pPr>
            <w:r>
              <w:rPr>
                <w:rFonts w:ascii="Arial" w:cs="Arial" w:eastAsia="Arial" w:hAnsi="Arial"/>
                <w:sz w:val="20"/>
                <w:szCs w:val="20"/>
                <w:color w:val="auto"/>
                <w:w w:val="92"/>
              </w:rPr>
              <w:t>Remaining</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20"/>
                <w:szCs w:val="20"/>
                <w:color w:val="auto"/>
                <w:w w:val="88"/>
              </w:rPr>
              <w:t>Exercise</w:t>
            </w:r>
          </w:p>
        </w:tc>
        <w:tc>
          <w:tcPr>
            <w:tcW w:w="198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Contractual</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20"/>
                <w:szCs w:val="20"/>
                <w:color w:val="auto"/>
                <w:w w:val="86"/>
              </w:rPr>
              <w:t>Shares (In</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20"/>
                <w:szCs w:val="20"/>
                <w:color w:val="auto"/>
                <w:w w:val="87"/>
              </w:rPr>
              <w:t>Price Per</w:t>
            </w:r>
          </w:p>
        </w:tc>
        <w:tc>
          <w:tcPr>
            <w:tcW w:w="1980" w:type="dxa"/>
            <w:vAlign w:val="bottom"/>
            <w:gridSpan w:val="2"/>
          </w:tcPr>
          <w:p>
            <w:pPr>
              <w:jc w:val="center"/>
              <w:ind w:right="240"/>
              <w:spacing w:after="0"/>
              <w:rPr>
                <w:sz w:val="20"/>
                <w:szCs w:val="20"/>
                <w:color w:val="auto"/>
              </w:rPr>
            </w:pPr>
            <w:r>
              <w:rPr>
                <w:rFonts w:ascii="Arial" w:cs="Arial" w:eastAsia="Arial" w:hAnsi="Arial"/>
                <w:sz w:val="20"/>
                <w:szCs w:val="20"/>
                <w:color w:val="auto"/>
                <w:w w:val="92"/>
              </w:rPr>
              <w:t>Term (In</w:t>
            </w:r>
          </w:p>
        </w:tc>
        <w:tc>
          <w:tcPr>
            <w:tcW w:w="260" w:type="dxa"/>
            <w:vAlign w:val="bottom"/>
          </w:tcPr>
          <w:p>
            <w:pPr>
              <w:spacing w:after="0"/>
              <w:rPr>
                <w:sz w:val="19"/>
                <w:szCs w:val="19"/>
                <w:color w:val="auto"/>
              </w:rPr>
            </w:pPr>
          </w:p>
        </w:tc>
        <w:tc>
          <w:tcPr>
            <w:tcW w:w="1480" w:type="dxa"/>
            <w:vAlign w:val="bottom"/>
          </w:tcPr>
          <w:p>
            <w:pPr>
              <w:jc w:val="right"/>
              <w:ind w:right="361"/>
              <w:spacing w:after="0"/>
              <w:rPr>
                <w:sz w:val="20"/>
                <w:szCs w:val="20"/>
                <w:color w:val="auto"/>
              </w:rPr>
            </w:pPr>
            <w:r>
              <w:rPr>
                <w:rFonts w:ascii="Arial" w:cs="Arial" w:eastAsia="Arial" w:hAnsi="Arial"/>
                <w:sz w:val="20"/>
                <w:szCs w:val="20"/>
                <w:color w:val="auto"/>
              </w:rPr>
              <w:t>Aggregate</w:t>
            </w:r>
          </w:p>
        </w:tc>
      </w:tr>
      <w:tr>
        <w:trPr>
          <w:trHeight w:val="246"/>
        </w:trPr>
        <w:tc>
          <w:tcPr>
            <w:tcW w:w="20" w:type="dxa"/>
            <w:vAlign w:val="bottom"/>
          </w:tcPr>
          <w:p>
            <w:pPr>
              <w:spacing w:after="0"/>
              <w:rPr>
                <w:sz w:val="21"/>
                <w:szCs w:val="21"/>
                <w:color w:val="auto"/>
              </w:rPr>
            </w:pPr>
          </w:p>
        </w:tc>
        <w:tc>
          <w:tcPr>
            <w:tcW w:w="3800" w:type="dxa"/>
            <w:vAlign w:val="bottom"/>
            <w:gridSpan w:val="2"/>
          </w:tcPr>
          <w:p>
            <w:pPr>
              <w:ind w:left="1480"/>
              <w:spacing w:after="0"/>
              <w:rPr>
                <w:sz w:val="20"/>
                <w:szCs w:val="20"/>
                <w:color w:val="auto"/>
              </w:rPr>
            </w:pPr>
            <w:r>
              <w:rPr>
                <w:rFonts w:ascii="Arial" w:cs="Arial" w:eastAsia="Arial" w:hAnsi="Arial"/>
                <w:sz w:val="20"/>
                <w:szCs w:val="20"/>
                <w:color w:val="auto"/>
              </w:rPr>
              <w:t>Options</w:t>
            </w:r>
          </w:p>
        </w:tc>
        <w:tc>
          <w:tcPr>
            <w:tcW w:w="1720" w:type="dxa"/>
            <w:vAlign w:val="bottom"/>
          </w:tcPr>
          <w:p>
            <w:pPr>
              <w:jc w:val="center"/>
              <w:spacing w:after="0"/>
              <w:rPr>
                <w:sz w:val="20"/>
                <w:szCs w:val="20"/>
                <w:color w:val="auto"/>
              </w:rPr>
            </w:pPr>
            <w:r>
              <w:rPr>
                <w:rFonts w:ascii="Arial" w:cs="Arial" w:eastAsia="Arial" w:hAnsi="Arial"/>
                <w:sz w:val="20"/>
                <w:szCs w:val="20"/>
                <w:color w:val="auto"/>
                <w:w w:val="86"/>
              </w:rPr>
              <w:t>thousands)</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20"/>
                <w:szCs w:val="20"/>
                <w:color w:val="auto"/>
                <w:w w:val="82"/>
              </w:rPr>
              <w:t>Share</w:t>
            </w:r>
          </w:p>
        </w:tc>
        <w:tc>
          <w:tcPr>
            <w:tcW w:w="1980" w:type="dxa"/>
            <w:vAlign w:val="bottom"/>
            <w:gridSpan w:val="2"/>
          </w:tcPr>
          <w:p>
            <w:pPr>
              <w:jc w:val="center"/>
              <w:ind w:right="220"/>
              <w:spacing w:after="0"/>
              <w:rPr>
                <w:sz w:val="20"/>
                <w:szCs w:val="20"/>
                <w:color w:val="auto"/>
              </w:rPr>
            </w:pPr>
            <w:r>
              <w:rPr>
                <w:rFonts w:ascii="Arial" w:cs="Arial" w:eastAsia="Arial" w:hAnsi="Arial"/>
                <w:sz w:val="20"/>
                <w:szCs w:val="20"/>
                <w:color w:val="auto"/>
                <w:w w:val="86"/>
              </w:rPr>
              <w:t>years)</w:t>
            </w:r>
          </w:p>
        </w:tc>
        <w:tc>
          <w:tcPr>
            <w:tcW w:w="260" w:type="dxa"/>
            <w:vAlign w:val="bottom"/>
          </w:tcPr>
          <w:p>
            <w:pPr>
              <w:spacing w:after="0"/>
              <w:rPr>
                <w:sz w:val="21"/>
                <w:szCs w:val="21"/>
                <w:color w:val="auto"/>
              </w:rPr>
            </w:pPr>
          </w:p>
        </w:tc>
        <w:tc>
          <w:tcPr>
            <w:tcW w:w="1480" w:type="dxa"/>
            <w:vAlign w:val="bottom"/>
          </w:tcPr>
          <w:p>
            <w:pPr>
              <w:jc w:val="right"/>
              <w:ind w:right="201"/>
              <w:spacing w:after="0"/>
              <w:rPr>
                <w:sz w:val="20"/>
                <w:szCs w:val="20"/>
                <w:color w:val="auto"/>
              </w:rPr>
            </w:pPr>
            <w:r>
              <w:rPr>
                <w:rFonts w:ascii="Arial" w:cs="Arial" w:eastAsia="Arial" w:hAnsi="Arial"/>
                <w:sz w:val="20"/>
                <w:szCs w:val="20"/>
                <w:color w:val="auto"/>
                <w:w w:val="92"/>
              </w:rPr>
              <w:t>Intrinsic Value</w:t>
            </w:r>
          </w:p>
        </w:tc>
      </w:tr>
      <w:tr>
        <w:trPr>
          <w:trHeight w:val="206"/>
        </w:trPr>
        <w:tc>
          <w:tcPr>
            <w:tcW w:w="20" w:type="dxa"/>
            <w:vAlign w:val="bottom"/>
          </w:tcPr>
          <w:p>
            <w:pPr>
              <w:spacing w:after="0"/>
              <w:rPr>
                <w:sz w:val="17"/>
                <w:szCs w:val="17"/>
                <w:color w:val="auto"/>
              </w:rPr>
            </w:pPr>
          </w:p>
        </w:tc>
        <w:tc>
          <w:tcPr>
            <w:tcW w:w="35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Outstanding at January 1, 2017</w:t>
            </w:r>
          </w:p>
        </w:tc>
        <w:tc>
          <w:tcPr>
            <w:tcW w:w="220" w:type="dxa"/>
            <w:vAlign w:val="bottom"/>
          </w:tcPr>
          <w:p>
            <w:pPr>
              <w:spacing w:after="0"/>
              <w:rPr>
                <w:sz w:val="17"/>
                <w:szCs w:val="17"/>
                <w:color w:val="auto"/>
              </w:rPr>
            </w:pPr>
          </w:p>
        </w:tc>
        <w:tc>
          <w:tcPr>
            <w:tcW w:w="172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22,643</w:t>
            </w:r>
          </w:p>
        </w:tc>
        <w:tc>
          <w:tcPr>
            <w:tcW w:w="220" w:type="dxa"/>
            <w:vAlign w:val="bottom"/>
          </w:tcPr>
          <w:p>
            <w:pPr>
              <w:spacing w:after="0"/>
              <w:rPr>
                <w:sz w:val="17"/>
                <w:szCs w:val="17"/>
                <w:color w:val="auto"/>
              </w:rPr>
            </w:pPr>
          </w:p>
        </w:tc>
        <w:tc>
          <w:tcPr>
            <w:tcW w:w="3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1380" w:type="dxa"/>
            <w:vAlign w:val="bottom"/>
            <w:tcBorders>
              <w:top w:val="single" w:sz="8" w:color="auto"/>
            </w:tcBorders>
          </w:tcPr>
          <w:p>
            <w:pPr>
              <w:jc w:val="right"/>
              <w:ind w:right="41"/>
              <w:spacing w:after="0" w:line="207" w:lineRule="exact"/>
              <w:rPr>
                <w:sz w:val="20"/>
                <w:szCs w:val="20"/>
                <w:color w:val="auto"/>
              </w:rPr>
            </w:pPr>
            <w:r>
              <w:rPr>
                <w:rFonts w:ascii="Arial" w:cs="Arial" w:eastAsia="Arial" w:hAnsi="Arial"/>
                <w:sz w:val="20"/>
                <w:szCs w:val="20"/>
                <w:color w:val="auto"/>
              </w:rPr>
              <w:t>23.55</w:t>
            </w:r>
          </w:p>
        </w:tc>
        <w:tc>
          <w:tcPr>
            <w:tcW w:w="220" w:type="dxa"/>
            <w:vAlign w:val="bottom"/>
          </w:tcPr>
          <w:p>
            <w:pPr>
              <w:spacing w:after="0"/>
              <w:rPr>
                <w:sz w:val="17"/>
                <w:szCs w:val="17"/>
                <w:color w:val="auto"/>
              </w:rPr>
            </w:pPr>
          </w:p>
        </w:tc>
        <w:tc>
          <w:tcPr>
            <w:tcW w:w="174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5.8</w:t>
            </w:r>
          </w:p>
        </w:tc>
        <w:tc>
          <w:tcPr>
            <w:tcW w:w="240" w:type="dxa"/>
            <w:vAlign w:val="bottom"/>
          </w:tcPr>
          <w:p>
            <w:pPr>
              <w:spacing w:after="0"/>
              <w:rPr>
                <w:sz w:val="17"/>
                <w:szCs w:val="17"/>
                <w:color w:val="auto"/>
              </w:rPr>
            </w:pPr>
          </w:p>
        </w:tc>
        <w:tc>
          <w:tcPr>
            <w:tcW w:w="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w:t>
            </w:r>
          </w:p>
        </w:tc>
        <w:tc>
          <w:tcPr>
            <w:tcW w:w="1480" w:type="dxa"/>
            <w:vAlign w:val="bottom"/>
            <w:tcBorders>
              <w:top w:val="single" w:sz="8" w:color="auto"/>
            </w:tcBorders>
          </w:tcPr>
          <w:p>
            <w:pPr>
              <w:jc w:val="right"/>
              <w:ind w:right="21"/>
              <w:spacing w:after="0" w:line="207" w:lineRule="exact"/>
              <w:rPr>
                <w:sz w:val="20"/>
                <w:szCs w:val="20"/>
                <w:color w:val="auto"/>
              </w:rPr>
            </w:pPr>
            <w:r>
              <w:rPr>
                <w:rFonts w:ascii="Arial" w:cs="Arial" w:eastAsia="Arial" w:hAnsi="Arial"/>
                <w:sz w:val="20"/>
                <w:szCs w:val="20"/>
                <w:color w:val="auto"/>
              </w:rPr>
              <w:t>474,739</w:t>
            </w:r>
          </w:p>
        </w:tc>
      </w:tr>
      <w:tr>
        <w:trPr>
          <w:trHeight w:val="230"/>
        </w:trPr>
        <w:tc>
          <w:tcPr>
            <w:tcW w:w="20" w:type="dxa"/>
            <w:vAlign w:val="bottom"/>
          </w:tcPr>
          <w:p>
            <w:pPr>
              <w:spacing w:after="0"/>
              <w:rPr>
                <w:sz w:val="19"/>
                <w:szCs w:val="19"/>
                <w:color w:val="auto"/>
              </w:rPr>
            </w:pPr>
          </w:p>
        </w:tc>
        <w:tc>
          <w:tcPr>
            <w:tcW w:w="3800" w:type="dxa"/>
            <w:vAlign w:val="bottom"/>
            <w:gridSpan w:val="2"/>
          </w:tcPr>
          <w:p>
            <w:pPr>
              <w:ind w:left="380"/>
              <w:spacing w:after="0"/>
              <w:rPr>
                <w:sz w:val="20"/>
                <w:szCs w:val="20"/>
                <w:color w:val="auto"/>
              </w:rPr>
            </w:pPr>
            <w:r>
              <w:rPr>
                <w:rFonts w:ascii="Arial" w:cs="Arial" w:eastAsia="Arial" w:hAnsi="Arial"/>
                <w:sz w:val="20"/>
                <w:szCs w:val="20"/>
                <w:color w:val="auto"/>
              </w:rPr>
              <w:t>Granted 01/01/17 - 03/31/17</w:t>
            </w:r>
          </w:p>
        </w:tc>
        <w:tc>
          <w:tcPr>
            <w:tcW w:w="1720" w:type="dxa"/>
            <w:vAlign w:val="bottom"/>
          </w:tcPr>
          <w:p>
            <w:pPr>
              <w:jc w:val="right"/>
              <w:ind w:right="41"/>
              <w:spacing w:after="0"/>
              <w:rPr>
                <w:sz w:val="20"/>
                <w:szCs w:val="20"/>
                <w:color w:val="auto"/>
              </w:rPr>
            </w:pPr>
            <w:r>
              <w:rPr>
                <w:rFonts w:ascii="Arial" w:cs="Arial" w:eastAsia="Arial" w:hAnsi="Arial"/>
                <w:sz w:val="20"/>
                <w:szCs w:val="20"/>
                <w:color w:val="auto"/>
              </w:rPr>
              <w:t>1,319</w:t>
            </w:r>
          </w:p>
        </w:tc>
        <w:tc>
          <w:tcPr>
            <w:tcW w:w="56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45.94</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380"/>
              <w:spacing w:after="0"/>
              <w:rPr>
                <w:sz w:val="20"/>
                <w:szCs w:val="20"/>
                <w:color w:val="auto"/>
              </w:rPr>
            </w:pPr>
            <w:r>
              <w:rPr>
                <w:rFonts w:ascii="Arial" w:cs="Arial" w:eastAsia="Arial" w:hAnsi="Arial"/>
                <w:sz w:val="20"/>
                <w:szCs w:val="20"/>
                <w:color w:val="auto"/>
              </w:rPr>
              <w:t>Exercised</w:t>
            </w:r>
          </w:p>
        </w:tc>
        <w:tc>
          <w:tcPr>
            <w:tcW w:w="1720" w:type="dxa"/>
            <w:vAlign w:val="bottom"/>
          </w:tcPr>
          <w:p>
            <w:pPr>
              <w:jc w:val="right"/>
              <w:spacing w:after="0"/>
              <w:rPr>
                <w:sz w:val="20"/>
                <w:szCs w:val="20"/>
                <w:color w:val="auto"/>
              </w:rPr>
            </w:pPr>
            <w:r>
              <w:rPr>
                <w:rFonts w:ascii="Arial" w:cs="Arial" w:eastAsia="Arial" w:hAnsi="Arial"/>
                <w:sz w:val="20"/>
                <w:szCs w:val="20"/>
                <w:color w:val="auto"/>
              </w:rPr>
              <w:t>(993)</w:t>
            </w:r>
          </w:p>
        </w:tc>
        <w:tc>
          <w:tcPr>
            <w:tcW w:w="56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13.72</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0"/>
        </w:trPr>
        <w:tc>
          <w:tcPr>
            <w:tcW w:w="20" w:type="dxa"/>
            <w:vAlign w:val="bottom"/>
          </w:tcPr>
          <w:p>
            <w:pPr>
              <w:spacing w:after="0"/>
              <w:rPr>
                <w:sz w:val="20"/>
                <w:szCs w:val="20"/>
                <w:color w:val="auto"/>
              </w:rPr>
            </w:pPr>
          </w:p>
        </w:tc>
        <w:tc>
          <w:tcPr>
            <w:tcW w:w="3800" w:type="dxa"/>
            <w:vAlign w:val="bottom"/>
            <w:gridSpan w:val="2"/>
          </w:tcPr>
          <w:p>
            <w:pPr>
              <w:ind w:left="380"/>
              <w:spacing w:after="0"/>
              <w:rPr>
                <w:sz w:val="20"/>
                <w:szCs w:val="20"/>
                <w:color w:val="auto"/>
              </w:rPr>
            </w:pPr>
            <w:r>
              <w:rPr>
                <w:rFonts w:ascii="Arial" w:cs="Arial" w:eastAsia="Arial" w:hAnsi="Arial"/>
                <w:sz w:val="20"/>
                <w:szCs w:val="20"/>
                <w:color w:val="auto"/>
              </w:rPr>
              <w:t>Cancelled or 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(107)</w:t>
            </w:r>
          </w:p>
        </w:tc>
        <w:tc>
          <w:tcPr>
            <w:tcW w:w="56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40.16</w:t>
            </w: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13"/>
        </w:trPr>
        <w:tc>
          <w:tcPr>
            <w:tcW w:w="3820" w:type="dxa"/>
            <w:vAlign w:val="bottom"/>
            <w:gridSpan w:val="3"/>
          </w:tcPr>
          <w:p>
            <w:pPr>
              <w:spacing w:after="0" w:line="213" w:lineRule="exact"/>
              <w:rPr>
                <w:sz w:val="20"/>
                <w:szCs w:val="20"/>
                <w:color w:val="auto"/>
              </w:rPr>
            </w:pPr>
            <w:r>
              <w:rPr>
                <w:rFonts w:ascii="Arial" w:cs="Arial" w:eastAsia="Arial" w:hAnsi="Arial"/>
                <w:sz w:val="20"/>
                <w:szCs w:val="20"/>
                <w:color w:val="auto"/>
              </w:rPr>
              <w:t>Outstanding at March 31, 2017</w:t>
            </w:r>
          </w:p>
        </w:tc>
        <w:tc>
          <w:tcPr>
            <w:tcW w:w="1720" w:type="dxa"/>
            <w:vAlign w:val="bottom"/>
          </w:tcPr>
          <w:p>
            <w:pPr>
              <w:jc w:val="right"/>
              <w:ind w:right="41"/>
              <w:spacing w:after="0" w:line="213" w:lineRule="exact"/>
              <w:rPr>
                <w:sz w:val="20"/>
                <w:szCs w:val="20"/>
                <w:color w:val="auto"/>
              </w:rPr>
            </w:pPr>
            <w:r>
              <w:rPr>
                <w:rFonts w:ascii="Arial" w:cs="Arial" w:eastAsia="Arial" w:hAnsi="Arial"/>
                <w:sz w:val="20"/>
                <w:szCs w:val="20"/>
                <w:color w:val="auto"/>
              </w:rPr>
              <w:t>22,862</w:t>
            </w:r>
          </w:p>
        </w:tc>
        <w:tc>
          <w:tcPr>
            <w:tcW w:w="560" w:type="dxa"/>
            <w:vAlign w:val="bottom"/>
            <w:gridSpan w:val="2"/>
          </w:tcPr>
          <w:p>
            <w:pPr>
              <w:jc w:val="right"/>
              <w:ind w:right="21"/>
              <w:spacing w:after="0" w:line="213" w:lineRule="exact"/>
              <w:rPr>
                <w:sz w:val="20"/>
                <w:szCs w:val="20"/>
                <w:color w:val="auto"/>
              </w:rPr>
            </w:pPr>
            <w:r>
              <w:rPr>
                <w:rFonts w:ascii="Arial" w:cs="Arial" w:eastAsia="Arial" w:hAnsi="Arial"/>
                <w:sz w:val="20"/>
                <w:szCs w:val="20"/>
                <w:color w:val="auto"/>
              </w:rPr>
              <w:t>$</w:t>
            </w:r>
          </w:p>
        </w:tc>
        <w:tc>
          <w:tcPr>
            <w:tcW w:w="1380" w:type="dxa"/>
            <w:vAlign w:val="bottom"/>
          </w:tcPr>
          <w:p>
            <w:pPr>
              <w:jc w:val="right"/>
              <w:ind w:right="41"/>
              <w:spacing w:after="0" w:line="213" w:lineRule="exact"/>
              <w:rPr>
                <w:sz w:val="20"/>
                <w:szCs w:val="20"/>
                <w:color w:val="auto"/>
              </w:rPr>
            </w:pPr>
            <w:r>
              <w:rPr>
                <w:rFonts w:ascii="Arial" w:cs="Arial" w:eastAsia="Arial" w:hAnsi="Arial"/>
                <w:sz w:val="20"/>
                <w:szCs w:val="20"/>
                <w:color w:val="auto"/>
              </w:rPr>
              <w:t>25.19</w:t>
            </w:r>
          </w:p>
        </w:tc>
        <w:tc>
          <w:tcPr>
            <w:tcW w:w="220" w:type="dxa"/>
            <w:vAlign w:val="bottom"/>
          </w:tcPr>
          <w:p>
            <w:pPr>
              <w:spacing w:after="0"/>
              <w:rPr>
                <w:sz w:val="18"/>
                <w:szCs w:val="18"/>
                <w:color w:val="auto"/>
              </w:rPr>
            </w:pPr>
          </w:p>
        </w:tc>
        <w:tc>
          <w:tcPr>
            <w:tcW w:w="1740" w:type="dxa"/>
            <w:vAlign w:val="bottom"/>
          </w:tcPr>
          <w:p>
            <w:pPr>
              <w:jc w:val="right"/>
              <w:ind w:right="21"/>
              <w:spacing w:after="0" w:line="213" w:lineRule="exact"/>
              <w:rPr>
                <w:sz w:val="20"/>
                <w:szCs w:val="20"/>
                <w:color w:val="auto"/>
              </w:rPr>
            </w:pPr>
            <w:r>
              <w:rPr>
                <w:rFonts w:ascii="Arial" w:cs="Arial" w:eastAsia="Arial" w:hAnsi="Arial"/>
                <w:sz w:val="20"/>
                <w:szCs w:val="20"/>
                <w:color w:val="auto"/>
              </w:rPr>
              <w:t>5.9</w:t>
            </w:r>
          </w:p>
        </w:tc>
        <w:tc>
          <w:tcPr>
            <w:tcW w:w="240" w:type="dxa"/>
            <w:vAlign w:val="bottom"/>
          </w:tcPr>
          <w:p>
            <w:pPr>
              <w:spacing w:after="0"/>
              <w:rPr>
                <w:sz w:val="18"/>
                <w:szCs w:val="18"/>
                <w:color w:val="auto"/>
              </w:rPr>
            </w:pPr>
          </w:p>
        </w:tc>
        <w:tc>
          <w:tcPr>
            <w:tcW w:w="260" w:type="dxa"/>
            <w:vAlign w:val="bottom"/>
          </w:tcPr>
          <w:p>
            <w:pPr>
              <w:jc w:val="right"/>
              <w:spacing w:after="0" w:line="213" w:lineRule="exact"/>
              <w:rPr>
                <w:sz w:val="20"/>
                <w:szCs w:val="20"/>
                <w:color w:val="auto"/>
              </w:rPr>
            </w:pPr>
            <w:r>
              <w:rPr>
                <w:rFonts w:ascii="Arial" w:cs="Arial" w:eastAsia="Arial" w:hAnsi="Arial"/>
                <w:sz w:val="20"/>
                <w:szCs w:val="20"/>
                <w:color w:val="auto"/>
              </w:rPr>
              <w:t>$</w:t>
            </w:r>
          </w:p>
        </w:tc>
        <w:tc>
          <w:tcPr>
            <w:tcW w:w="1480" w:type="dxa"/>
            <w:vAlign w:val="bottom"/>
          </w:tcPr>
          <w:p>
            <w:pPr>
              <w:jc w:val="right"/>
              <w:ind w:right="21"/>
              <w:spacing w:after="0" w:line="213" w:lineRule="exact"/>
              <w:rPr>
                <w:sz w:val="20"/>
                <w:szCs w:val="20"/>
                <w:color w:val="auto"/>
              </w:rPr>
            </w:pPr>
            <w:r>
              <w:rPr>
                <w:rFonts w:ascii="Arial" w:cs="Arial" w:eastAsia="Arial" w:hAnsi="Arial"/>
                <w:sz w:val="20"/>
                <w:szCs w:val="20"/>
                <w:color w:val="auto"/>
              </w:rPr>
              <w:t>480,827</w:t>
            </w:r>
          </w:p>
        </w:tc>
      </w:tr>
      <w:tr>
        <w:trPr>
          <w:trHeight w:val="230"/>
        </w:trPr>
        <w:tc>
          <w:tcPr>
            <w:tcW w:w="3820" w:type="dxa"/>
            <w:vAlign w:val="bottom"/>
            <w:gridSpan w:val="3"/>
          </w:tcPr>
          <w:p>
            <w:pPr>
              <w:spacing w:after="0"/>
              <w:rPr>
                <w:sz w:val="20"/>
                <w:szCs w:val="20"/>
                <w:color w:val="auto"/>
              </w:rPr>
            </w:pPr>
            <w:r>
              <w:rPr>
                <w:rFonts w:ascii="Arial" w:cs="Arial" w:eastAsia="Arial" w:hAnsi="Arial"/>
                <w:sz w:val="20"/>
                <w:szCs w:val="20"/>
                <w:color w:val="auto"/>
                <w:w w:val="98"/>
              </w:rPr>
              <w:t>Vested and expected to vest in the future at</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ind w:left="380"/>
              <w:spacing w:after="0"/>
              <w:rPr>
                <w:sz w:val="20"/>
                <w:szCs w:val="20"/>
                <w:color w:val="auto"/>
              </w:rPr>
            </w:pPr>
            <w:r>
              <w:rPr>
                <w:rFonts w:ascii="Arial" w:cs="Arial" w:eastAsia="Arial" w:hAnsi="Arial"/>
                <w:sz w:val="20"/>
                <w:szCs w:val="20"/>
                <w:color w:val="auto"/>
              </w:rPr>
              <w:t>March 31, 2017</w:t>
            </w:r>
          </w:p>
        </w:tc>
        <w:tc>
          <w:tcPr>
            <w:tcW w:w="1720" w:type="dxa"/>
            <w:vAlign w:val="bottom"/>
          </w:tcPr>
          <w:p>
            <w:pPr>
              <w:jc w:val="right"/>
              <w:ind w:right="41"/>
              <w:spacing w:after="0"/>
              <w:rPr>
                <w:sz w:val="20"/>
                <w:szCs w:val="20"/>
                <w:color w:val="auto"/>
              </w:rPr>
            </w:pPr>
            <w:r>
              <w:rPr>
                <w:rFonts w:ascii="Arial" w:cs="Arial" w:eastAsia="Arial" w:hAnsi="Arial"/>
                <w:sz w:val="20"/>
                <w:szCs w:val="20"/>
                <w:color w:val="auto"/>
              </w:rPr>
              <w:t>21,438</w:t>
            </w:r>
          </w:p>
        </w:tc>
        <w:tc>
          <w:tcPr>
            <w:tcW w:w="56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24.04</w:t>
            </w:r>
          </w:p>
        </w:tc>
        <w:tc>
          <w:tcPr>
            <w:tcW w:w="220" w:type="dxa"/>
            <w:vAlign w:val="bottom"/>
          </w:tcPr>
          <w:p>
            <w:pPr>
              <w:spacing w:after="0"/>
              <w:rPr>
                <w:sz w:val="19"/>
                <w:szCs w:val="19"/>
                <w:color w:val="auto"/>
              </w:rPr>
            </w:pPr>
          </w:p>
        </w:tc>
        <w:tc>
          <w:tcPr>
            <w:tcW w:w="1740" w:type="dxa"/>
            <w:vAlign w:val="bottom"/>
          </w:tcPr>
          <w:p>
            <w:pPr>
              <w:jc w:val="right"/>
              <w:ind w:right="21"/>
              <w:spacing w:after="0"/>
              <w:rPr>
                <w:sz w:val="20"/>
                <w:szCs w:val="20"/>
                <w:color w:val="auto"/>
              </w:rPr>
            </w:pPr>
            <w:r>
              <w:rPr>
                <w:rFonts w:ascii="Arial" w:cs="Arial" w:eastAsia="Arial" w:hAnsi="Arial"/>
                <w:sz w:val="20"/>
                <w:szCs w:val="20"/>
                <w:color w:val="auto"/>
              </w:rPr>
              <w:t>5.7</w:t>
            </w: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21"/>
              <w:spacing w:after="0"/>
              <w:rPr>
                <w:sz w:val="20"/>
                <w:szCs w:val="20"/>
                <w:color w:val="auto"/>
              </w:rPr>
            </w:pPr>
            <w:r>
              <w:rPr>
                <w:rFonts w:ascii="Arial" w:cs="Arial" w:eastAsia="Arial" w:hAnsi="Arial"/>
                <w:sz w:val="20"/>
                <w:szCs w:val="20"/>
                <w:color w:val="auto"/>
              </w:rPr>
              <w:t>475,332</w:t>
            </w:r>
          </w:p>
        </w:tc>
      </w:tr>
      <w:tr>
        <w:trPr>
          <w:trHeight w:val="250"/>
        </w:trPr>
        <w:tc>
          <w:tcPr>
            <w:tcW w:w="3820" w:type="dxa"/>
            <w:vAlign w:val="bottom"/>
            <w:gridSpan w:val="3"/>
          </w:tcPr>
          <w:p>
            <w:pPr>
              <w:spacing w:after="0"/>
              <w:rPr>
                <w:sz w:val="20"/>
                <w:szCs w:val="20"/>
                <w:color w:val="auto"/>
              </w:rPr>
            </w:pPr>
            <w:r>
              <w:rPr>
                <w:rFonts w:ascii="Arial" w:cs="Arial" w:eastAsia="Arial" w:hAnsi="Arial"/>
                <w:sz w:val="20"/>
                <w:szCs w:val="20"/>
                <w:color w:val="auto"/>
              </w:rPr>
              <w:t>Exercisable at March 31, 2017</w:t>
            </w:r>
          </w:p>
        </w:tc>
        <w:tc>
          <w:tcPr>
            <w:tcW w:w="1720" w:type="dxa"/>
            <w:vAlign w:val="bottom"/>
          </w:tcPr>
          <w:p>
            <w:pPr>
              <w:jc w:val="right"/>
              <w:ind w:right="41"/>
              <w:spacing w:after="0"/>
              <w:rPr>
                <w:sz w:val="20"/>
                <w:szCs w:val="20"/>
                <w:color w:val="auto"/>
              </w:rPr>
            </w:pPr>
            <w:r>
              <w:rPr>
                <w:rFonts w:ascii="Arial" w:cs="Arial" w:eastAsia="Arial" w:hAnsi="Arial"/>
                <w:sz w:val="20"/>
                <w:szCs w:val="20"/>
                <w:color w:val="auto"/>
              </w:rPr>
              <w:t>13,205</w:t>
            </w:r>
          </w:p>
        </w:tc>
        <w:tc>
          <w:tcPr>
            <w:tcW w:w="56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41"/>
              <w:spacing w:after="0"/>
              <w:rPr>
                <w:sz w:val="20"/>
                <w:szCs w:val="20"/>
                <w:color w:val="auto"/>
              </w:rPr>
            </w:pPr>
            <w:r>
              <w:rPr>
                <w:rFonts w:ascii="Arial" w:cs="Arial" w:eastAsia="Arial" w:hAnsi="Arial"/>
                <w:sz w:val="20"/>
                <w:szCs w:val="20"/>
                <w:color w:val="auto"/>
              </w:rPr>
              <w:t>14.13</w:t>
            </w:r>
          </w:p>
        </w:tc>
        <w:tc>
          <w:tcPr>
            <w:tcW w:w="220" w:type="dxa"/>
            <w:vAlign w:val="bottom"/>
          </w:tcPr>
          <w:p>
            <w:pPr>
              <w:spacing w:after="0"/>
              <w:rPr>
                <w:sz w:val="21"/>
                <w:szCs w:val="21"/>
                <w:color w:val="auto"/>
              </w:rPr>
            </w:pPr>
          </w:p>
        </w:tc>
        <w:tc>
          <w:tcPr>
            <w:tcW w:w="1740" w:type="dxa"/>
            <w:vAlign w:val="bottom"/>
          </w:tcPr>
          <w:p>
            <w:pPr>
              <w:jc w:val="right"/>
              <w:ind w:right="21"/>
              <w:spacing w:after="0"/>
              <w:rPr>
                <w:sz w:val="20"/>
                <w:szCs w:val="20"/>
                <w:color w:val="auto"/>
              </w:rPr>
            </w:pPr>
            <w:r>
              <w:rPr>
                <w:rFonts w:ascii="Arial" w:cs="Arial" w:eastAsia="Arial" w:hAnsi="Arial"/>
                <w:sz w:val="20"/>
                <w:szCs w:val="20"/>
                <w:color w:val="auto"/>
              </w:rPr>
              <w:t>3.9</w:t>
            </w:r>
          </w:p>
        </w:tc>
        <w:tc>
          <w:tcPr>
            <w:tcW w:w="24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21"/>
              <w:spacing w:after="0"/>
              <w:rPr>
                <w:sz w:val="20"/>
                <w:szCs w:val="20"/>
                <w:color w:val="auto"/>
              </w:rPr>
            </w:pPr>
            <w:r>
              <w:rPr>
                <w:rFonts w:ascii="Arial" w:cs="Arial" w:eastAsia="Arial" w:hAnsi="Arial"/>
                <w:sz w:val="20"/>
                <w:szCs w:val="20"/>
                <w:color w:val="auto"/>
              </w:rPr>
              <w:t>423,110</w:t>
            </w:r>
          </w:p>
        </w:tc>
      </w:tr>
    </w:tbl>
    <w:p>
      <w:pPr>
        <w:spacing w:after="0" w:line="200" w:lineRule="exact"/>
        <w:rPr>
          <w:sz w:val="20"/>
          <w:szCs w:val="20"/>
          <w:color w:val="auto"/>
        </w:rPr>
      </w:pPr>
    </w:p>
    <w:p>
      <w:pPr>
        <w:spacing w:after="0" w:line="2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weighted-average grant-date fair value of options granted during the three-months ended March 31, 2017 and 2016 was $18.00 per share and $15.88 per share, respectively. The total intrinsic value of options exercised during the three-months ended March 31, 2017 and 2016 was $32.4 million and $10.5 million, respectively.</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Cash received from option exercises under all plans for the three-months ended March 31, 2017 and 2016 was approximately $13.6 million and $4.0 million, respectively.</w:t>
      </w:r>
    </w:p>
    <w:p>
      <w:pPr>
        <w:spacing w:after="0" w:line="19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At March 31, 2017, there was $111.4 million of total unrecognized compensation expense related to non-vested options granted to employees under the Company’s share-based payment plans. That cost is expected to be recognized over a weighted-average period of 3.2</w:t>
      </w:r>
    </w:p>
    <w:p>
      <w:pPr>
        <w:sectPr>
          <w:pgSz w:w="11900" w:h="16838" w:orient="portrait"/>
          <w:cols w:equalWidth="0" w:num="1">
            <w:col w:w="11420"/>
          </w:cols>
          <w:pgMar w:left="240" w:top="122" w:right="239" w:bottom="0" w:gutter="0" w:footer="0" w:header="0"/>
        </w:sectPr>
      </w:pPr>
    </w:p>
    <w:bookmarkStart w:id="13" w:name="page14"/>
    <w:bookmarkEnd w:id="13"/>
    <w:p>
      <w:pPr>
        <w:spacing w:after="0"/>
        <w:rPr>
          <w:sz w:val="20"/>
          <w:szCs w:val="20"/>
          <w:color w:val="auto"/>
        </w:rPr>
      </w:pPr>
      <w:r>
        <w:rPr>
          <w:rFonts w:ascii="Arial" w:cs="Arial" w:eastAsia="Arial" w:hAnsi="Arial"/>
          <w:sz w:val="20"/>
          <w:szCs w:val="20"/>
          <w:color w:val="auto"/>
        </w:rPr>
        <w:t>years.</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Awards and Restricted Stock Units</w:t>
      </w:r>
    </w:p>
    <w:p>
      <w:pPr>
        <w:spacing w:after="0" w:line="229"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Stock-based compensation cost for restricted stock awards and restricted stock units is measured based on the closing fair market value of the Company’s common stock at the date of grant. In the event that the Company has the option and intent to settle a restricted stock unit in cash, the award is classified as a liability and revalued at each balance sheet date.</w:t>
      </w:r>
    </w:p>
    <w:p>
      <w:pPr>
        <w:spacing w:after="0" w:line="200"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The following table summarizes the Company’s activities with respect to non-vested restricted stock awards and non-vested restricted stock units as follows:</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61"/>
              <w:spacing w:after="0"/>
              <w:rPr>
                <w:sz w:val="20"/>
                <w:szCs w:val="20"/>
                <w:color w:val="auto"/>
              </w:rPr>
            </w:pPr>
            <w:r>
              <w:rPr>
                <w:rFonts w:ascii="Arial" w:cs="Arial" w:eastAsia="Arial" w:hAnsi="Arial"/>
                <w:sz w:val="20"/>
                <w:szCs w:val="20"/>
                <w:color w:val="auto"/>
                <w:w w:val="89"/>
              </w:rPr>
              <w:t>Weighted</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20"/>
                <w:szCs w:val="20"/>
                <w:color w:val="auto"/>
                <w:w w:val="94"/>
              </w:rPr>
              <w:t>Number of</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81"/>
              <w:spacing w:after="0"/>
              <w:rPr>
                <w:sz w:val="20"/>
                <w:szCs w:val="20"/>
                <w:color w:val="auto"/>
              </w:rPr>
            </w:pPr>
            <w:r>
              <w:rPr>
                <w:rFonts w:ascii="Arial" w:cs="Arial" w:eastAsia="Arial" w:hAnsi="Arial"/>
                <w:sz w:val="20"/>
                <w:szCs w:val="20"/>
                <w:color w:val="auto"/>
                <w:w w:val="88"/>
              </w:rPr>
              <w:t>Average</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20"/>
                <w:szCs w:val="20"/>
                <w:color w:val="auto"/>
                <w:w w:val="87"/>
              </w:rPr>
              <w:t>Shares (in</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right="161"/>
              <w:spacing w:after="0"/>
              <w:rPr>
                <w:sz w:val="20"/>
                <w:szCs w:val="20"/>
                <w:color w:val="auto"/>
              </w:rPr>
            </w:pPr>
            <w:r>
              <w:rPr>
                <w:rFonts w:ascii="Arial" w:cs="Arial" w:eastAsia="Arial" w:hAnsi="Arial"/>
                <w:sz w:val="20"/>
                <w:szCs w:val="20"/>
                <w:color w:val="auto"/>
                <w:w w:val="88"/>
              </w:rPr>
              <w:t>Grant-Date</w:t>
            </w:r>
          </w:p>
        </w:tc>
        <w:tc>
          <w:tcPr>
            <w:tcW w:w="0" w:type="dxa"/>
            <w:vAlign w:val="bottom"/>
          </w:tcPr>
          <w:p>
            <w:pPr>
              <w:spacing w:after="0"/>
              <w:rPr>
                <w:sz w:val="1"/>
                <w:szCs w:val="1"/>
                <w:color w:val="auto"/>
              </w:rPr>
            </w:pPr>
          </w:p>
        </w:tc>
      </w:tr>
      <w:tr>
        <w:trPr>
          <w:trHeight w:val="246"/>
        </w:trPr>
        <w:tc>
          <w:tcPr>
            <w:tcW w:w="4260" w:type="dxa"/>
            <w:vAlign w:val="bottom"/>
            <w:vMerge w:val="restart"/>
          </w:tcPr>
          <w:p>
            <w:pPr>
              <w:spacing w:after="0"/>
              <w:rPr>
                <w:sz w:val="20"/>
                <w:szCs w:val="20"/>
                <w:color w:val="auto"/>
              </w:rPr>
            </w:pPr>
            <w:r>
              <w:rPr>
                <w:rFonts w:ascii="Arial" w:cs="Arial" w:eastAsia="Arial" w:hAnsi="Arial"/>
                <w:sz w:val="20"/>
                <w:szCs w:val="20"/>
                <w:color w:val="auto"/>
              </w:rPr>
              <w:t>Non-vested at January 1, 2017</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4"/>
              </w:rPr>
              <w:t>thousands)</w:t>
            </w:r>
          </w:p>
        </w:tc>
        <w:tc>
          <w:tcPr>
            <w:tcW w:w="3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81"/>
              <w:spacing w:after="0"/>
              <w:rPr>
                <w:sz w:val="20"/>
                <w:szCs w:val="20"/>
                <w:color w:val="auto"/>
              </w:rPr>
            </w:pPr>
            <w:r>
              <w:rPr>
                <w:rFonts w:ascii="Arial" w:cs="Arial" w:eastAsia="Arial" w:hAnsi="Arial"/>
                <w:sz w:val="20"/>
                <w:szCs w:val="20"/>
                <w:color w:val="auto"/>
                <w:w w:val="89"/>
              </w:rPr>
              <w:t>Fair Value</w:t>
            </w:r>
          </w:p>
        </w:tc>
        <w:tc>
          <w:tcPr>
            <w:tcW w:w="0" w:type="dxa"/>
            <w:vAlign w:val="bottom"/>
          </w:tcPr>
          <w:p>
            <w:pPr>
              <w:spacing w:after="0"/>
              <w:rPr>
                <w:sz w:val="1"/>
                <w:szCs w:val="1"/>
                <w:color w:val="auto"/>
              </w:rPr>
            </w:pPr>
          </w:p>
        </w:tc>
      </w:tr>
      <w:tr>
        <w:trPr>
          <w:trHeight w:val="206"/>
        </w:trPr>
        <w:tc>
          <w:tcPr>
            <w:tcW w:w="4260" w:type="dxa"/>
            <w:vAlign w:val="bottom"/>
            <w:vMerge w:val="continue"/>
          </w:tcPr>
          <w:p>
            <w:pPr>
              <w:spacing w:after="0"/>
              <w:rPr>
                <w:sz w:val="17"/>
                <w:szCs w:val="17"/>
                <w:color w:val="auto"/>
              </w:rPr>
            </w:pPr>
          </w:p>
        </w:tc>
        <w:tc>
          <w:tcPr>
            <w:tcW w:w="14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556</w:t>
            </w:r>
          </w:p>
        </w:tc>
        <w:tc>
          <w:tcPr>
            <w:tcW w:w="300" w:type="dxa"/>
            <w:vAlign w:val="bottom"/>
          </w:tcPr>
          <w:p>
            <w:pPr>
              <w:spacing w:after="0"/>
              <w:rPr>
                <w:sz w:val="17"/>
                <w:szCs w:val="17"/>
                <w:color w:val="auto"/>
              </w:rPr>
            </w:pP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line="207" w:lineRule="exact"/>
              <w:rPr>
                <w:sz w:val="20"/>
                <w:szCs w:val="20"/>
                <w:color w:val="auto"/>
              </w:rPr>
            </w:pPr>
            <w:r>
              <w:rPr>
                <w:rFonts w:ascii="Arial" w:cs="Arial" w:eastAsia="Arial" w:hAnsi="Arial"/>
                <w:sz w:val="20"/>
                <w:szCs w:val="20"/>
                <w:color w:val="auto"/>
              </w:rPr>
              <w:t>39.95</w:t>
            </w:r>
          </w:p>
        </w:tc>
        <w:tc>
          <w:tcPr>
            <w:tcW w:w="0" w:type="dxa"/>
            <w:vAlign w:val="bottom"/>
          </w:tcPr>
          <w:p>
            <w:pPr>
              <w:spacing w:after="0"/>
              <w:rPr>
                <w:sz w:val="1"/>
                <w:szCs w:val="1"/>
                <w:color w:val="auto"/>
              </w:rPr>
            </w:pPr>
          </w:p>
        </w:tc>
      </w:tr>
      <w:tr>
        <w:trPr>
          <w:trHeight w:val="230"/>
        </w:trPr>
        <w:tc>
          <w:tcPr>
            <w:tcW w:w="4260" w:type="dxa"/>
            <w:vAlign w:val="bottom"/>
          </w:tcPr>
          <w:p>
            <w:pPr>
              <w:ind w:left="380"/>
              <w:spacing w:after="0"/>
              <w:rPr>
                <w:sz w:val="20"/>
                <w:szCs w:val="20"/>
                <w:color w:val="auto"/>
              </w:rPr>
            </w:pPr>
            <w:r>
              <w:rPr>
                <w:rFonts w:ascii="Arial" w:cs="Arial" w:eastAsia="Arial" w:hAnsi="Arial"/>
                <w:sz w:val="20"/>
                <w:szCs w:val="20"/>
                <w:color w:val="auto"/>
              </w:rPr>
              <w:t>Granted 01/01/17- 03/31/17</w:t>
            </w:r>
          </w:p>
        </w:tc>
        <w:tc>
          <w:tcPr>
            <w:tcW w:w="1440" w:type="dxa"/>
            <w:vAlign w:val="bottom"/>
          </w:tcPr>
          <w:p>
            <w:pPr>
              <w:jc w:val="right"/>
              <w:ind w:right="21"/>
              <w:spacing w:after="0"/>
              <w:rPr>
                <w:sz w:val="20"/>
                <w:szCs w:val="20"/>
                <w:color w:val="auto"/>
              </w:rPr>
            </w:pPr>
            <w:r>
              <w:rPr>
                <w:rFonts w:ascii="Arial" w:cs="Arial" w:eastAsia="Arial" w:hAnsi="Arial"/>
                <w:sz w:val="20"/>
                <w:szCs w:val="20"/>
                <w:color w:val="auto"/>
              </w:rPr>
              <w:t>252</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46.27</w:t>
            </w:r>
          </w:p>
        </w:tc>
        <w:tc>
          <w:tcPr>
            <w:tcW w:w="0" w:type="dxa"/>
            <w:vAlign w:val="bottom"/>
          </w:tcPr>
          <w:p>
            <w:pPr>
              <w:spacing w:after="0"/>
              <w:rPr>
                <w:sz w:val="1"/>
                <w:szCs w:val="1"/>
                <w:color w:val="auto"/>
              </w:rPr>
            </w:pPr>
          </w:p>
        </w:tc>
      </w:tr>
      <w:tr>
        <w:trPr>
          <w:trHeight w:val="230"/>
        </w:trPr>
        <w:tc>
          <w:tcPr>
            <w:tcW w:w="4260" w:type="dxa"/>
            <w:vAlign w:val="bottom"/>
          </w:tcPr>
          <w:p>
            <w:pPr>
              <w:ind w:left="380"/>
              <w:spacing w:after="0"/>
              <w:rPr>
                <w:sz w:val="20"/>
                <w:szCs w:val="20"/>
                <w:color w:val="auto"/>
              </w:rPr>
            </w:pPr>
            <w:r>
              <w:rPr>
                <w:rFonts w:ascii="Arial" w:cs="Arial" w:eastAsia="Arial" w:hAnsi="Arial"/>
                <w:sz w:val="20"/>
                <w:szCs w:val="20"/>
                <w:color w:val="auto"/>
              </w:rPr>
              <w:t>Vested</w:t>
            </w:r>
          </w:p>
        </w:tc>
        <w:tc>
          <w:tcPr>
            <w:tcW w:w="1440" w:type="dxa"/>
            <w:vAlign w:val="bottom"/>
          </w:tcPr>
          <w:p>
            <w:pPr>
              <w:jc w:val="right"/>
              <w:spacing w:after="0"/>
              <w:rPr>
                <w:sz w:val="20"/>
                <w:szCs w:val="20"/>
                <w:color w:val="auto"/>
              </w:rPr>
            </w:pPr>
            <w:r>
              <w:rPr>
                <w:rFonts w:ascii="Arial" w:cs="Arial" w:eastAsia="Arial" w:hAnsi="Arial"/>
                <w:sz w:val="20"/>
                <w:szCs w:val="20"/>
                <w:color w:val="auto"/>
              </w:rPr>
              <w:t>(212)</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39.77</w:t>
            </w:r>
          </w:p>
        </w:tc>
        <w:tc>
          <w:tcPr>
            <w:tcW w:w="0" w:type="dxa"/>
            <w:vAlign w:val="bottom"/>
          </w:tcPr>
          <w:p>
            <w:pPr>
              <w:spacing w:after="0"/>
              <w:rPr>
                <w:sz w:val="1"/>
                <w:szCs w:val="1"/>
                <w:color w:val="auto"/>
              </w:rPr>
            </w:pPr>
          </w:p>
        </w:tc>
      </w:tr>
      <w:tr>
        <w:trPr>
          <w:trHeight w:val="240"/>
        </w:trPr>
        <w:tc>
          <w:tcPr>
            <w:tcW w:w="4260" w:type="dxa"/>
            <w:vAlign w:val="bottom"/>
          </w:tcPr>
          <w:p>
            <w:pPr>
              <w:ind w:left="380"/>
              <w:spacing w:after="0"/>
              <w:rPr>
                <w:sz w:val="20"/>
                <w:szCs w:val="20"/>
                <w:color w:val="auto"/>
              </w:rPr>
            </w:pPr>
            <w:r>
              <w:rPr>
                <w:rFonts w:ascii="Arial" w:cs="Arial" w:eastAsia="Arial" w:hAnsi="Arial"/>
                <w:sz w:val="20"/>
                <w:szCs w:val="20"/>
                <w:color w:val="auto"/>
              </w:rPr>
              <w:t>Forfeited/cancelled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w:t>
            </w:r>
          </w:p>
        </w:tc>
        <w:tc>
          <w:tcPr>
            <w:tcW w:w="5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20.69</w:t>
            </w:r>
          </w:p>
        </w:tc>
        <w:tc>
          <w:tcPr>
            <w:tcW w:w="0" w:type="dxa"/>
            <w:vAlign w:val="bottom"/>
          </w:tcPr>
          <w:p>
            <w:pPr>
              <w:spacing w:after="0"/>
              <w:rPr>
                <w:sz w:val="1"/>
                <w:szCs w:val="1"/>
                <w:color w:val="auto"/>
              </w:rPr>
            </w:pPr>
          </w:p>
        </w:tc>
      </w:tr>
      <w:tr>
        <w:trPr>
          <w:trHeight w:val="230"/>
        </w:trPr>
        <w:tc>
          <w:tcPr>
            <w:tcW w:w="4260" w:type="dxa"/>
            <w:vAlign w:val="bottom"/>
          </w:tcPr>
          <w:p>
            <w:pPr>
              <w:spacing w:after="0" w:line="220" w:lineRule="exact"/>
              <w:rPr>
                <w:sz w:val="20"/>
                <w:szCs w:val="20"/>
                <w:color w:val="auto"/>
              </w:rPr>
            </w:pPr>
            <w:r>
              <w:rPr>
                <w:rFonts w:ascii="Arial" w:cs="Arial" w:eastAsia="Arial" w:hAnsi="Arial"/>
                <w:sz w:val="20"/>
                <w:szCs w:val="20"/>
                <w:color w:val="auto"/>
              </w:rPr>
              <w:t>Non-vested at March 31, 2017</w:t>
            </w:r>
          </w:p>
        </w:tc>
        <w:tc>
          <w:tcPr>
            <w:tcW w:w="14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594</w:t>
            </w:r>
          </w:p>
        </w:tc>
        <w:tc>
          <w:tcPr>
            <w:tcW w:w="560" w:type="dxa"/>
            <w:vAlign w:val="bottom"/>
            <w:gridSpan w:val="2"/>
          </w:tcPr>
          <w:p>
            <w:pPr>
              <w:jc w:val="right"/>
              <w:spacing w:after="0" w:line="220" w:lineRule="exact"/>
              <w:rPr>
                <w:sz w:val="20"/>
                <w:szCs w:val="20"/>
                <w:color w:val="auto"/>
              </w:rPr>
            </w:pPr>
            <w:r>
              <w:rPr>
                <w:rFonts w:ascii="Arial" w:cs="Arial" w:eastAsia="Arial" w:hAnsi="Arial"/>
                <w:sz w:val="20"/>
                <w:szCs w:val="20"/>
                <w:color w:val="auto"/>
              </w:rPr>
              <w:t>$</w:t>
            </w:r>
          </w:p>
        </w:tc>
        <w:tc>
          <w:tcPr>
            <w:tcW w:w="1260" w:type="dxa"/>
            <w:vAlign w:val="bottom"/>
          </w:tcPr>
          <w:p>
            <w:pPr>
              <w:jc w:val="right"/>
              <w:ind w:right="41"/>
              <w:spacing w:after="0" w:line="220" w:lineRule="exact"/>
              <w:rPr>
                <w:sz w:val="20"/>
                <w:szCs w:val="20"/>
                <w:color w:val="auto"/>
              </w:rPr>
            </w:pPr>
            <w:r>
              <w:rPr>
                <w:rFonts w:ascii="Arial" w:cs="Arial" w:eastAsia="Arial" w:hAnsi="Arial"/>
                <w:sz w:val="20"/>
                <w:szCs w:val="20"/>
                <w:color w:val="auto"/>
              </w:rPr>
              <w:t>42.76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The weighted-average grant-date fair value of restricted stock units and restricted stock awards granted during the three-months ended March 31, 2017 and 2016 was $46.27 per share and $43.99 per share, respectively. As of March 31, 2017, 0.5 million of restricted stock units and restricted stock awards are expected to vest over their respective terms.</w:t>
      </w:r>
    </w:p>
    <w:p>
      <w:pPr>
        <w:spacing w:after="0" w:line="200"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At March 31, 2017, total unrecognized compensation expense relating to non-vested restricted stock awards and non-vested restricted stock units was $22.4 million, which is expected to be recognized over a weighted-average period of 2.0 years.</w:t>
      </w:r>
    </w:p>
    <w:p>
      <w:pPr>
        <w:spacing w:after="0" w:line="190"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29"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three-months ended March 31,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jc w:val="right"/>
              <w:ind w:right="361"/>
              <w:spacing w:after="0"/>
              <w:rPr>
                <w:sz w:val="20"/>
                <w:szCs w:val="20"/>
                <w:color w:val="auto"/>
              </w:rPr>
            </w:pPr>
            <w:r>
              <w:rPr>
                <w:rFonts w:ascii="Arial" w:cs="Arial" w:eastAsia="Arial" w:hAnsi="Arial"/>
                <w:sz w:val="20"/>
                <w:szCs w:val="20"/>
                <w:color w:val="auto"/>
                <w:w w:val="93"/>
              </w:rPr>
              <w:t>Gross Unrecognized Tax</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300" w:type="dxa"/>
            <w:vAlign w:val="bottom"/>
            <w:vMerge w:val="restart"/>
          </w:tcPr>
          <w:p>
            <w:pPr>
              <w:ind w:left="780"/>
              <w:spacing w:after="0"/>
              <w:rPr>
                <w:sz w:val="20"/>
                <w:szCs w:val="20"/>
                <w:color w:val="auto"/>
              </w:rPr>
            </w:pPr>
            <w:r>
              <w:rPr>
                <w:rFonts w:ascii="Arial" w:cs="Arial" w:eastAsia="Arial" w:hAnsi="Arial"/>
                <w:sz w:val="20"/>
                <w:szCs w:val="20"/>
                <w:color w:val="auto"/>
              </w:rPr>
              <w:t>Balance at December 31, 2016</w:t>
            </w:r>
          </w:p>
        </w:tc>
        <w:tc>
          <w:tcPr>
            <w:tcW w:w="6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jc w:val="right"/>
              <w:ind w:right="1021"/>
              <w:spacing w:after="0"/>
              <w:rPr>
                <w:sz w:val="20"/>
                <w:szCs w:val="20"/>
                <w:color w:val="auto"/>
              </w:rPr>
            </w:pPr>
            <w:r>
              <w:rPr>
                <w:rFonts w:ascii="Arial" w:cs="Arial" w:eastAsia="Arial" w:hAnsi="Arial"/>
                <w:sz w:val="20"/>
                <w:szCs w:val="20"/>
                <w:color w:val="auto"/>
              </w:rPr>
              <w:t>Benefits</w:t>
            </w: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30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2540" w:type="dxa"/>
            <w:vAlign w:val="bottom"/>
          </w:tcPr>
          <w:p>
            <w:pPr>
              <w:jc w:val="right"/>
              <w:ind w:right="41"/>
              <w:spacing w:after="0" w:line="207" w:lineRule="exact"/>
              <w:rPr>
                <w:sz w:val="20"/>
                <w:szCs w:val="20"/>
                <w:color w:val="auto"/>
              </w:rPr>
            </w:pPr>
            <w:r>
              <w:rPr>
                <w:rFonts w:ascii="Arial" w:cs="Arial" w:eastAsia="Arial" w:hAnsi="Arial"/>
                <w:sz w:val="20"/>
                <w:szCs w:val="20"/>
                <w:color w:val="auto"/>
              </w:rPr>
              <w:t>9</w:t>
            </w: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780"/>
              <w:spacing w:after="0"/>
              <w:rPr>
                <w:sz w:val="20"/>
                <w:szCs w:val="20"/>
                <w:color w:val="auto"/>
              </w:rPr>
            </w:pPr>
            <w:r>
              <w:rPr>
                <w:rFonts w:ascii="Arial" w:cs="Arial" w:eastAsia="Arial" w:hAnsi="Arial"/>
                <w:sz w:val="20"/>
                <w:szCs w:val="20"/>
                <w:color w:val="auto"/>
                <w:w w:val="97"/>
              </w:rPr>
              <w:t>Additions for tax positions related to the current year</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780"/>
              <w:spacing w:after="0"/>
              <w:rPr>
                <w:sz w:val="20"/>
                <w:szCs w:val="20"/>
                <w:color w:val="auto"/>
              </w:rPr>
            </w:pPr>
            <w:r>
              <w:rPr>
                <w:rFonts w:ascii="Arial" w:cs="Arial" w:eastAsia="Arial" w:hAnsi="Arial"/>
                <w:sz w:val="20"/>
                <w:szCs w:val="20"/>
                <w:color w:val="auto"/>
              </w:rPr>
              <w:t>Additions for tax positions related to the prior year</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tcPr>
          <w:p>
            <w:pPr>
              <w:jc w:val="right"/>
              <w:ind w:right="41"/>
              <w:spacing w:after="0"/>
              <w:rPr>
                <w:sz w:val="20"/>
                <w:szCs w:val="20"/>
                <w:color w:val="auto"/>
              </w:rPr>
            </w:pPr>
            <w:r>
              <w:rPr>
                <w:rFonts w:ascii="Arial" w:cs="Arial" w:eastAsia="Arial" w:hAnsi="Arial"/>
                <w:sz w:val="20"/>
                <w:szCs w:val="20"/>
                <w:color w:val="auto"/>
              </w:rPr>
              <w:t>6,540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300" w:type="dxa"/>
            <w:vAlign w:val="bottom"/>
          </w:tcPr>
          <w:p>
            <w:pPr>
              <w:ind w:left="780"/>
              <w:spacing w:after="0"/>
              <w:rPr>
                <w:sz w:val="20"/>
                <w:szCs w:val="20"/>
                <w:color w:val="auto"/>
              </w:rPr>
            </w:pPr>
            <w:r>
              <w:rPr>
                <w:rFonts w:ascii="Arial" w:cs="Arial" w:eastAsia="Arial" w:hAnsi="Arial"/>
                <w:sz w:val="20"/>
                <w:szCs w:val="20"/>
                <w:color w:val="auto"/>
                <w:w w:val="96"/>
              </w:rPr>
              <w:t>Decreases related to settlement with taxing authority</w:t>
            </w:r>
          </w:p>
        </w:tc>
        <w:tc>
          <w:tcPr>
            <w:tcW w:w="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780"/>
              <w:spacing w:after="0" w:line="220" w:lineRule="exact"/>
              <w:rPr>
                <w:sz w:val="20"/>
                <w:szCs w:val="20"/>
                <w:color w:val="auto"/>
              </w:rPr>
            </w:pPr>
            <w:r>
              <w:rPr>
                <w:rFonts w:ascii="Arial" w:cs="Arial" w:eastAsia="Arial" w:hAnsi="Arial"/>
                <w:sz w:val="20"/>
                <w:szCs w:val="20"/>
                <w:color w:val="auto"/>
              </w:rPr>
              <w:t>Balance at March 31, 2017</w:t>
            </w:r>
          </w:p>
        </w:tc>
        <w:tc>
          <w:tcPr>
            <w:tcW w:w="600" w:type="dxa"/>
            <w:vAlign w:val="bottom"/>
          </w:tcPr>
          <w:p>
            <w:pPr>
              <w:spacing w:after="0"/>
              <w:rPr>
                <w:sz w:val="19"/>
                <w:szCs w:val="19"/>
                <w:color w:val="auto"/>
              </w:rPr>
            </w:pPr>
          </w:p>
        </w:tc>
        <w:tc>
          <w:tcPr>
            <w:tcW w:w="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5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6,540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3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20"/>
          <w:szCs w:val="20"/>
          <w:color w:val="auto"/>
        </w:rPr>
        <w:t>The Company recognizes accrued interest and penalties related to unrecognized tax benefits in the provision for income taxes in the Company’s condensed consolidated financial statements. As of March 31, 2017, the Company had approximately $1.1 million in accrued interest and penalties related to unrecognized tax benefits. If the Company were to prevail on all uncertain tax positions, the resultant impact on the Company’s effective tax rate would not be significant. It is expected that the change in the amount of unrecognized tax benefits within the next 12 months will not be significant.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w:t>
      </w:r>
    </w:p>
    <w:p>
      <w:pPr>
        <w:spacing w:after="0" w:line="229" w:lineRule="exact"/>
        <w:rPr>
          <w:sz w:val="20"/>
          <w:szCs w:val="20"/>
          <w:color w:val="auto"/>
        </w:rPr>
      </w:pPr>
    </w:p>
    <w:p>
      <w:pPr>
        <w:jc w:val="both"/>
        <w:ind w:right="40" w:firstLine="648"/>
        <w:spacing w:after="0" w:line="316" w:lineRule="auto"/>
        <w:rPr>
          <w:sz w:val="20"/>
          <w:szCs w:val="20"/>
          <w:color w:val="auto"/>
        </w:rPr>
      </w:pPr>
      <w:r>
        <w:rPr>
          <w:rFonts w:ascii="Arial" w:cs="Arial" w:eastAsia="Arial" w:hAnsi="Arial"/>
          <w:sz w:val="18"/>
          <w:szCs w:val="18"/>
          <w:color w:val="auto"/>
        </w:rPr>
        <w:t>On August 7, 2015, the Internal Revenue Service (the “IRS”) began its examination of the Company’s U.S. federal income tax returns for the years ended December 31, 2012 and 2013. On October 18, 2016, the IRS began its examination of the Company’s U.S. federal income</w:t>
      </w:r>
    </w:p>
    <w:p>
      <w:pPr>
        <w:sectPr>
          <w:pgSz w:w="11900" w:h="16838" w:orient="portrait"/>
          <w:cols w:equalWidth="0" w:num="1">
            <w:col w:w="11460"/>
          </w:cols>
          <w:pgMar w:left="240" w:top="122" w:right="199" w:bottom="0" w:gutter="0" w:footer="0" w:header="0"/>
        </w:sectPr>
      </w:pPr>
    </w:p>
    <w:bookmarkStart w:id="14" w:name="page15"/>
    <w:bookmarkEnd w:id="14"/>
    <w:p>
      <w:pPr>
        <w:jc w:val="both"/>
        <w:spacing w:after="0" w:line="262" w:lineRule="auto"/>
        <w:rPr>
          <w:sz w:val="20"/>
          <w:szCs w:val="20"/>
          <w:color w:val="auto"/>
        </w:rPr>
      </w:pPr>
      <w:r>
        <w:rPr>
          <w:rFonts w:ascii="Arial" w:cs="Arial" w:eastAsia="Arial" w:hAnsi="Arial"/>
          <w:sz w:val="20"/>
          <w:szCs w:val="20"/>
          <w:color w:val="auto"/>
        </w:rPr>
        <w:t>tax return for the year ended December 31, 2014. On March 27, 2017, the IRS began its examination of the Company’s U.S. federal income tax return for the year ended December 31, 2015.</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is in various stages of examination with certain states and certain foreign jurisdictions. The 2012 through 2016 U.S. federal income tax returns are subject to examination by the IRS. State income tax returns are subject to examination for the 2012 through 2016 tax years.</w:t>
      </w:r>
    </w:p>
    <w:p>
      <w:pPr>
        <w:spacing w:after="0" w:line="200"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weighted-average shares used in the basic and diluted earnings per common share computations is presented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below:</w:t>
      </w:r>
    </w:p>
    <w:p>
      <w:pPr>
        <w:spacing w:after="0" w:line="21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3300" w:type="dxa"/>
            <w:vAlign w:val="bottom"/>
            <w:gridSpan w:val="4"/>
          </w:tcPr>
          <w:p>
            <w:pPr>
              <w:jc w:val="center"/>
              <w:spacing w:after="0"/>
              <w:rPr>
                <w:sz w:val="20"/>
                <w:szCs w:val="20"/>
                <w:color w:val="auto"/>
              </w:rPr>
            </w:pPr>
            <w:r>
              <w:rPr>
                <w:rFonts w:ascii="Arial" w:cs="Arial" w:eastAsia="Arial" w:hAnsi="Arial"/>
                <w:sz w:val="20"/>
                <w:szCs w:val="20"/>
                <w:color w:val="auto"/>
                <w:w w:val="90"/>
              </w:rPr>
              <w:t>Three-Months Ended</w:t>
            </w:r>
          </w:p>
        </w:tc>
        <w:tc>
          <w:tcPr>
            <w:tcW w:w="0" w:type="dxa"/>
            <w:vAlign w:val="bottom"/>
          </w:tcPr>
          <w:p>
            <w:pPr>
              <w:spacing w:after="0"/>
              <w:rPr>
                <w:sz w:val="1"/>
                <w:szCs w:val="1"/>
                <w:color w:val="auto"/>
              </w:rPr>
            </w:pPr>
          </w:p>
        </w:tc>
      </w:tr>
      <w:tr>
        <w:trPr>
          <w:trHeight w:val="246"/>
        </w:trPr>
        <w:tc>
          <w:tcPr>
            <w:tcW w:w="4460" w:type="dxa"/>
            <w:vAlign w:val="bottom"/>
          </w:tcPr>
          <w:p>
            <w:pPr>
              <w:spacing w:after="0"/>
              <w:rPr>
                <w:sz w:val="21"/>
                <w:szCs w:val="21"/>
                <w:color w:val="auto"/>
              </w:rPr>
            </w:pPr>
          </w:p>
        </w:tc>
        <w:tc>
          <w:tcPr>
            <w:tcW w:w="2200" w:type="dxa"/>
            <w:vAlign w:val="bottom"/>
            <w:tcBorders>
              <w:bottom w:val="single" w:sz="8" w:color="auto"/>
            </w:tcBorders>
            <w:gridSpan w:val="3"/>
          </w:tcPr>
          <w:p>
            <w:pPr>
              <w:jc w:val="center"/>
              <w:ind w:left="1001"/>
              <w:spacing w:after="0"/>
              <w:rPr>
                <w:sz w:val="20"/>
                <w:szCs w:val="20"/>
                <w:color w:val="auto"/>
              </w:rPr>
            </w:pPr>
            <w:r>
              <w:rPr>
                <w:rFonts w:ascii="Arial" w:cs="Arial" w:eastAsia="Arial" w:hAnsi="Arial"/>
                <w:sz w:val="20"/>
                <w:szCs w:val="20"/>
                <w:color w:val="auto"/>
                <w:w w:val="92"/>
              </w:rPr>
              <w:t>March 31,</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60" w:type="dxa"/>
            <w:vAlign w:val="bottom"/>
            <w:vMerge w:val="restart"/>
          </w:tcPr>
          <w:p>
            <w:pPr>
              <w:spacing w:after="0"/>
              <w:rPr>
                <w:sz w:val="20"/>
                <w:szCs w:val="20"/>
                <w:color w:val="auto"/>
              </w:rPr>
            </w:pPr>
            <w:r>
              <w:rPr>
                <w:rFonts w:ascii="Arial" w:cs="Arial" w:eastAsia="Arial" w:hAnsi="Arial"/>
                <w:sz w:val="20"/>
                <w:szCs w:val="20"/>
                <w:color w:val="auto"/>
              </w:rPr>
              <w:t>Weighted-average shares outstanding:</w:t>
            </w:r>
          </w:p>
        </w:tc>
        <w:tc>
          <w:tcPr>
            <w:tcW w:w="148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193"/>
        </w:trPr>
        <w:tc>
          <w:tcPr>
            <w:tcW w:w="446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20"/>
                <w:szCs w:val="20"/>
                <w:color w:val="auto"/>
              </w:rPr>
              <w:t>Basic</w:t>
            </w:r>
          </w:p>
        </w:tc>
        <w:tc>
          <w:tcPr>
            <w:tcW w:w="1480" w:type="dxa"/>
            <w:vAlign w:val="bottom"/>
          </w:tcPr>
          <w:p>
            <w:pPr>
              <w:jc w:val="right"/>
              <w:ind w:right="41"/>
              <w:spacing w:after="0"/>
              <w:rPr>
                <w:sz w:val="20"/>
                <w:szCs w:val="20"/>
                <w:color w:val="auto"/>
              </w:rPr>
            </w:pPr>
            <w:r>
              <w:rPr>
                <w:rFonts w:ascii="Arial" w:cs="Arial" w:eastAsia="Arial" w:hAnsi="Arial"/>
                <w:sz w:val="20"/>
                <w:szCs w:val="20"/>
                <w:color w:val="auto"/>
              </w:rPr>
              <w:t>571,578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20"/>
                <w:szCs w:val="20"/>
                <w:color w:val="auto"/>
              </w:rPr>
              <w:t>608,838</w:t>
            </w:r>
          </w:p>
        </w:tc>
        <w:tc>
          <w:tcPr>
            <w:tcW w:w="0" w:type="dxa"/>
            <w:vAlign w:val="bottom"/>
          </w:tcPr>
          <w:p>
            <w:pPr>
              <w:spacing w:after="0"/>
              <w:rPr>
                <w:sz w:val="1"/>
                <w:szCs w:val="1"/>
                <w:color w:val="auto"/>
              </w:rPr>
            </w:pPr>
          </w:p>
        </w:tc>
      </w:tr>
      <w:tr>
        <w:trPr>
          <w:trHeight w:val="240"/>
        </w:trPr>
        <w:tc>
          <w:tcPr>
            <w:tcW w:w="4460" w:type="dxa"/>
            <w:vAlign w:val="bottom"/>
          </w:tcPr>
          <w:p>
            <w:pPr>
              <w:ind w:left="140"/>
              <w:spacing w:after="0"/>
              <w:rPr>
                <w:sz w:val="20"/>
                <w:szCs w:val="20"/>
                <w:color w:val="auto"/>
              </w:rPr>
            </w:pPr>
            <w:r>
              <w:rPr>
                <w:rFonts w:ascii="Arial" w:cs="Arial" w:eastAsia="Arial" w:hAnsi="Arial"/>
                <w:sz w:val="20"/>
                <w:szCs w:val="20"/>
                <w:color w:val="auto"/>
              </w:rPr>
              <w:t>Dilutive</w:t>
            </w: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10,454</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11,886</w:t>
            </w: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line="220" w:lineRule="exact"/>
              <w:rPr>
                <w:sz w:val="20"/>
                <w:szCs w:val="20"/>
                <w:color w:val="auto"/>
              </w:rPr>
            </w:pPr>
            <w:r>
              <w:rPr>
                <w:rFonts w:ascii="Arial" w:cs="Arial" w:eastAsia="Arial" w:hAnsi="Arial"/>
                <w:sz w:val="20"/>
                <w:szCs w:val="20"/>
                <w:color w:val="auto"/>
              </w:rPr>
              <w:t>Diluted</w:t>
            </w: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582,032</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620,724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the three-months ended March 31, 2017 and 2016, options and awards outstanding totaling 8.0 million shares and 4.2 million shares, respectively, were excluded from the calculations as their effect would have been antidilutive.</w:t>
      </w:r>
    </w:p>
    <w:p>
      <w:pPr>
        <w:spacing w:after="0" w:line="190"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three operating and reportable segments, (i) Monster Energy® Drinks segment (“Monster Energy® Drinks”), which is comprised of the Company’s Monster Energy® drinks as well as Mutant® Super Soda drinks, (ii) Strategic Brands segment (“Strategic Brands”), which is comprised of the various energy drink brands acquired from The Coca-Cola Company (“TCCC”) in 2015 and (iii) Other segment (“Other”), which is comprised of certain products sold by American Fruits &amp; Flavors LLC, a wholly-owned subsidiary of the Company, to independent third-party customers.</w:t>
      </w:r>
    </w:p>
    <w:p>
      <w:pPr>
        <w:spacing w:after="0" w:line="20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Company’s Monster Energy® Drinks segment generates net operating revenues by selling ready-to-drink packaged drinks primarily to bottlers and full service beverage distributors. In some cases, the Company sells directly to retail grocery and specialty chains, wholesalers, club stores, mass merchandisers, convenience chains, food service customers and the military.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4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jc w:val="both"/>
        <w:ind w:firstLine="697"/>
        <w:spacing w:after="0" w:line="276"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full service distributors or retailers, including, retail grocery and specialty chains, wholesalers, club stores, mass merchandisers, convenience chains, food service customers, drug stores and the military. To a lesser extent, the Company’s Strategic Brands segment generates net operating revenues by selling ready-to-drink packaged energy drinks to bottlers and full service beverage distributors.</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Generally, the Monster Energy® Drinks segment generates higher per case net operating revenues, but lower per case gross profit margins than the Strategic Brands segment.</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Corporate and unallocated amounts that do not relate to a reportable segment have been allocated to “Corporate &amp; Unallocated.” No asset information, other than goodwill and other intangible assets, has been provided for in the Company’s reportable segments as management does not measure or allocate such assets on a segment basis.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net revenues derived from the Company’s reportable segments and other financial information related thereto for the three-months ended March 31, 2017 and 2016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60" w:type="dxa"/>
            <w:vAlign w:val="bottom"/>
            <w:gridSpan w:val="4"/>
          </w:tcPr>
          <w:p>
            <w:pPr>
              <w:jc w:val="right"/>
              <w:ind w:right="621"/>
              <w:spacing w:after="0"/>
              <w:rPr>
                <w:sz w:val="20"/>
                <w:szCs w:val="20"/>
                <w:color w:val="auto"/>
              </w:rPr>
            </w:pPr>
            <w:r>
              <w:rPr>
                <w:rFonts w:ascii="Arial" w:cs="Arial" w:eastAsia="Arial" w:hAnsi="Arial"/>
                <w:sz w:val="20"/>
                <w:szCs w:val="20"/>
                <w:color w:val="auto"/>
              </w:rPr>
              <w:t>Three-Months Ended</w:t>
            </w:r>
          </w:p>
        </w:tc>
        <w:tc>
          <w:tcPr>
            <w:tcW w:w="0" w:type="dxa"/>
            <w:vAlign w:val="bottom"/>
          </w:tcPr>
          <w:p>
            <w:pPr>
              <w:spacing w:after="0"/>
              <w:rPr>
                <w:sz w:val="1"/>
                <w:szCs w:val="1"/>
                <w:color w:val="auto"/>
              </w:rPr>
            </w:pPr>
          </w:p>
        </w:tc>
      </w:tr>
      <w:tr>
        <w:trPr>
          <w:trHeight w:val="246"/>
        </w:trPr>
        <w:tc>
          <w:tcPr>
            <w:tcW w:w="52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color w:val="auto"/>
              </w:rPr>
              <w:t>March 31,</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vMerge w:val="restart"/>
          </w:tcPr>
          <w:p>
            <w:pPr>
              <w:spacing w:after="0"/>
              <w:rPr>
                <w:sz w:val="20"/>
                <w:szCs w:val="20"/>
                <w:color w:val="auto"/>
              </w:rPr>
            </w:pPr>
            <w:r>
              <w:rPr>
                <w:rFonts w:ascii="Arial" w:cs="Arial" w:eastAsia="Arial" w:hAnsi="Arial"/>
                <w:sz w:val="20"/>
                <w:szCs w:val="20"/>
                <w:color w:val="auto"/>
              </w:rPr>
              <w:t>Net sales:</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01"/>
              <w:spacing w:after="0" w:line="223" w:lineRule="exact"/>
              <w:rPr>
                <w:sz w:val="20"/>
                <w:szCs w:val="20"/>
                <w:color w:val="auto"/>
              </w:rPr>
            </w:pPr>
            <w:r>
              <w:rPr>
                <w:rFonts w:ascii="Arial" w:cs="Arial" w:eastAsia="Arial" w:hAnsi="Arial"/>
                <w:sz w:val="20"/>
                <w:szCs w:val="20"/>
                <w:color w:val="auto"/>
              </w:rPr>
              <w:t>2017</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193"/>
        </w:trPr>
        <w:tc>
          <w:tcPr>
            <w:tcW w:w="52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w:t>
            </w:r>
          </w:p>
        </w:tc>
        <w:tc>
          <w:tcPr>
            <w:tcW w:w="3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41"/>
              <w:spacing w:after="0"/>
              <w:rPr>
                <w:sz w:val="20"/>
                <w:szCs w:val="20"/>
                <w:color w:val="auto"/>
              </w:rPr>
            </w:pPr>
            <w:r>
              <w:rPr>
                <w:rFonts w:ascii="Arial" w:cs="Arial" w:eastAsia="Arial" w:hAnsi="Arial"/>
                <w:sz w:val="20"/>
                <w:szCs w:val="20"/>
                <w:color w:val="auto"/>
              </w:rPr>
              <w:t>668,571</w:t>
            </w:r>
          </w:p>
        </w:tc>
        <w:tc>
          <w:tcPr>
            <w:tcW w:w="260" w:type="dxa"/>
            <w:vAlign w:val="bottom"/>
          </w:tcPr>
          <w:p>
            <w:pPr>
              <w:spacing w:after="0"/>
              <w:rPr>
                <w:sz w:val="19"/>
                <w:szCs w:val="19"/>
                <w:color w:val="auto"/>
              </w:rPr>
            </w:pP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621,734</w:t>
            </w: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20"/>
                <w:szCs w:val="20"/>
                <w:color w:val="auto"/>
              </w:rPr>
              <w:t>Strategic Brands</w:t>
            </w:r>
          </w:p>
        </w:tc>
        <w:tc>
          <w:tcPr>
            <w:tcW w:w="36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20"/>
                <w:szCs w:val="20"/>
                <w:color w:val="auto"/>
              </w:rPr>
              <w:t>68,036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58,452</w:t>
            </w: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20"/>
                <w:szCs w:val="20"/>
                <w:color w:val="auto"/>
              </w:rPr>
              <w:t>Other</w:t>
            </w:r>
          </w:p>
        </w:tc>
        <w:tc>
          <w:tcPr>
            <w:tcW w:w="36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20"/>
                <w:szCs w:val="20"/>
                <w:color w:val="auto"/>
              </w:rPr>
              <w:t>5,539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5200" w:type="dxa"/>
            <w:vAlign w:val="bottom"/>
          </w:tcPr>
          <w:p>
            <w:pPr>
              <w:ind w:left="260"/>
              <w:spacing w:after="0"/>
              <w:rPr>
                <w:sz w:val="20"/>
                <w:szCs w:val="20"/>
                <w:color w:val="auto"/>
              </w:rPr>
            </w:pPr>
            <w:r>
              <w:rPr>
                <w:rFonts w:ascii="Arial" w:cs="Arial" w:eastAsia="Arial" w:hAnsi="Arial"/>
                <w:sz w:val="20"/>
                <w:szCs w:val="20"/>
                <w:color w:val="auto"/>
              </w:rPr>
              <w:t>Corporate and unallocated</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36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41"/>
              <w:spacing w:after="0" w:line="223" w:lineRule="exact"/>
              <w:rPr>
                <w:sz w:val="20"/>
                <w:szCs w:val="20"/>
                <w:color w:val="auto"/>
              </w:rPr>
            </w:pPr>
            <w:r>
              <w:rPr>
                <w:rFonts w:ascii="Arial" w:cs="Arial" w:eastAsia="Arial" w:hAnsi="Arial"/>
                <w:sz w:val="20"/>
                <w:szCs w:val="20"/>
                <w:color w:val="auto"/>
              </w:rPr>
              <w:t>742,146</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680,186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2"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gridSpan w:val="4"/>
          </w:tcPr>
          <w:p>
            <w:pPr>
              <w:jc w:val="right"/>
              <w:ind w:right="621"/>
              <w:spacing w:after="0"/>
              <w:rPr>
                <w:sz w:val="20"/>
                <w:szCs w:val="20"/>
                <w:color w:val="auto"/>
              </w:rPr>
            </w:pPr>
            <w:r>
              <w:rPr>
                <w:rFonts w:ascii="Arial" w:cs="Arial" w:eastAsia="Arial" w:hAnsi="Arial"/>
                <w:sz w:val="20"/>
                <w:szCs w:val="20"/>
                <w:color w:val="auto"/>
              </w:rPr>
              <w:t>Three-Months Ended</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20"/>
                <w:szCs w:val="20"/>
                <w:color w:val="auto"/>
              </w:rPr>
              <w:t>March 31,</w:t>
            </w:r>
          </w:p>
        </w:tc>
        <w:tc>
          <w:tcPr>
            <w:tcW w:w="1040" w:type="dxa"/>
            <w:vAlign w:val="bottom"/>
            <w:tcBorders>
              <w:bottom w:val="single" w:sz="8" w:color="auto"/>
            </w:tcBorders>
          </w:tcPr>
          <w:p>
            <w:pPr>
              <w:spacing w:after="0"/>
              <w:rPr>
                <w:sz w:val="21"/>
                <w:szCs w:val="21"/>
                <w:color w:val="auto"/>
              </w:rPr>
            </w:pP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vMerge w:val="restart"/>
          </w:tcPr>
          <w:p>
            <w:pPr>
              <w:spacing w:after="0"/>
              <w:rPr>
                <w:sz w:val="20"/>
                <w:szCs w:val="20"/>
                <w:color w:val="auto"/>
              </w:rPr>
            </w:pPr>
            <w:r>
              <w:rPr>
                <w:rFonts w:ascii="Arial" w:cs="Arial" w:eastAsia="Arial" w:hAnsi="Arial"/>
                <w:sz w:val="20"/>
                <w:szCs w:val="20"/>
                <w:color w:val="auto"/>
              </w:rPr>
              <w:t>Operating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2"/>
              <w:spacing w:after="0" w:line="223" w:lineRule="exact"/>
              <w:rPr>
                <w:sz w:val="20"/>
                <w:szCs w:val="20"/>
                <w:color w:val="auto"/>
              </w:rPr>
            </w:pPr>
            <w:r>
              <w:rPr>
                <w:rFonts w:ascii="Arial" w:cs="Arial" w:eastAsia="Arial" w:hAnsi="Arial"/>
                <w:sz w:val="20"/>
                <w:szCs w:val="20"/>
                <w:color w:val="auto"/>
              </w:rPr>
              <w:t>2017</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21"/>
              <w:spacing w:after="0" w:line="223" w:lineRule="exact"/>
              <w:rPr>
                <w:sz w:val="20"/>
                <w:szCs w:val="20"/>
                <w:color w:val="auto"/>
              </w:rPr>
            </w:pPr>
            <w:r>
              <w:rPr>
                <w:rFonts w:ascii="Arial" w:cs="Arial" w:eastAsia="Arial" w:hAnsi="Arial"/>
                <w:sz w:val="20"/>
                <w:szCs w:val="20"/>
                <w:color w:val="auto"/>
              </w:rPr>
              <w:t>2016</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2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 (2)</w:t>
            </w:r>
          </w:p>
        </w:tc>
        <w:tc>
          <w:tcPr>
            <w:tcW w:w="3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42"/>
              <w:spacing w:after="0"/>
              <w:rPr>
                <w:sz w:val="20"/>
                <w:szCs w:val="20"/>
                <w:color w:val="auto"/>
              </w:rPr>
            </w:pPr>
            <w:r>
              <w:rPr>
                <w:rFonts w:ascii="Arial" w:cs="Arial" w:eastAsia="Arial" w:hAnsi="Arial"/>
                <w:sz w:val="20"/>
                <w:szCs w:val="20"/>
                <w:color w:val="auto"/>
              </w:rPr>
              <w:t>279,431</w:t>
            </w:r>
          </w:p>
        </w:tc>
        <w:tc>
          <w:tcPr>
            <w:tcW w:w="260" w:type="dxa"/>
            <w:vAlign w:val="bottom"/>
          </w:tcPr>
          <w:p>
            <w:pPr>
              <w:spacing w:after="0"/>
              <w:rPr>
                <w:sz w:val="19"/>
                <w:szCs w:val="19"/>
                <w:color w:val="auto"/>
              </w:rPr>
            </w:pPr>
          </w:p>
        </w:tc>
        <w:tc>
          <w:tcPr>
            <w:tcW w:w="42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267,044</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20"/>
                <w:szCs w:val="20"/>
                <w:color w:val="auto"/>
              </w:rPr>
              <w:t>Strategic Brands</w:t>
            </w:r>
          </w:p>
        </w:tc>
        <w:tc>
          <w:tcPr>
            <w:tcW w:w="32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20"/>
                <w:szCs w:val="20"/>
                <w:color w:val="auto"/>
              </w:rPr>
              <w:t>42,106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39,075</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20"/>
                <w:szCs w:val="20"/>
                <w:color w:val="auto"/>
              </w:rPr>
              <w:t>Other</w:t>
            </w:r>
          </w:p>
        </w:tc>
        <w:tc>
          <w:tcPr>
            <w:tcW w:w="32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20"/>
                <w:szCs w:val="20"/>
                <w:color w:val="auto"/>
              </w:rPr>
              <w:t>1,416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200" w:type="dxa"/>
            <w:vAlign w:val="bottom"/>
          </w:tcPr>
          <w:p>
            <w:pPr>
              <w:ind w:left="260"/>
              <w:spacing w:after="0"/>
              <w:rPr>
                <w:sz w:val="20"/>
                <w:szCs w:val="20"/>
                <w:color w:val="auto"/>
              </w:rPr>
            </w:pPr>
            <w:r>
              <w:rPr>
                <w:rFonts w:ascii="Arial" w:cs="Arial" w:eastAsia="Arial" w:hAnsi="Arial"/>
                <w:sz w:val="20"/>
                <w:szCs w:val="20"/>
                <w:color w:val="auto"/>
              </w:rPr>
              <w:t>Corporate and unallocated</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(58,691)</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(51,406)</w:t>
            </w: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32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42"/>
              <w:spacing w:after="0" w:line="223" w:lineRule="exact"/>
              <w:rPr>
                <w:sz w:val="20"/>
                <w:szCs w:val="20"/>
                <w:color w:val="auto"/>
              </w:rPr>
            </w:pPr>
            <w:r>
              <w:rPr>
                <w:rFonts w:ascii="Arial" w:cs="Arial" w:eastAsia="Arial" w:hAnsi="Arial"/>
                <w:sz w:val="20"/>
                <w:szCs w:val="20"/>
                <w:color w:val="auto"/>
              </w:rPr>
              <w:t>264,262</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254,713</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702"/>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20" w:type="dxa"/>
            <w:vAlign w:val="bottom"/>
            <w:gridSpan w:val="4"/>
          </w:tcPr>
          <w:p>
            <w:pPr>
              <w:jc w:val="right"/>
              <w:ind w:right="661"/>
              <w:spacing w:after="0"/>
              <w:rPr>
                <w:sz w:val="20"/>
                <w:szCs w:val="20"/>
                <w:color w:val="auto"/>
              </w:rPr>
            </w:pPr>
            <w:r>
              <w:rPr>
                <w:rFonts w:ascii="Arial" w:cs="Arial" w:eastAsia="Arial" w:hAnsi="Arial"/>
                <w:sz w:val="20"/>
                <w:szCs w:val="20"/>
                <w:color w:val="auto"/>
              </w:rPr>
              <w:t>Three-Months Ended</w:t>
            </w:r>
          </w:p>
        </w:tc>
        <w:tc>
          <w:tcPr>
            <w:tcW w:w="0" w:type="dxa"/>
            <w:vAlign w:val="bottom"/>
          </w:tcPr>
          <w:p>
            <w:pPr>
              <w:spacing w:after="0"/>
              <w:rPr>
                <w:sz w:val="1"/>
                <w:szCs w:val="1"/>
                <w:color w:val="auto"/>
              </w:rPr>
            </w:pPr>
          </w:p>
        </w:tc>
      </w:tr>
      <w:tr>
        <w:trPr>
          <w:trHeight w:val="246"/>
        </w:trPr>
        <w:tc>
          <w:tcPr>
            <w:tcW w:w="5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color w:val="auto"/>
              </w:rPr>
              <w:t>March 31,</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20" w:type="dxa"/>
            <w:vAlign w:val="bottom"/>
            <w:vMerge w:val="restart"/>
          </w:tcPr>
          <w:p>
            <w:pPr>
              <w:spacing w:after="0"/>
              <w:rPr>
                <w:sz w:val="20"/>
                <w:szCs w:val="20"/>
                <w:color w:val="auto"/>
              </w:rPr>
            </w:pPr>
            <w:r>
              <w:rPr>
                <w:rFonts w:ascii="Arial" w:cs="Arial" w:eastAsia="Arial" w:hAnsi="Arial"/>
                <w:sz w:val="20"/>
                <w:szCs w:val="20"/>
                <w:color w:val="auto"/>
              </w:rPr>
              <w:t>Income before tax:</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193"/>
        </w:trPr>
        <w:tc>
          <w:tcPr>
            <w:tcW w:w="51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20"/>
                <w:szCs w:val="20"/>
                <w:color w:val="auto"/>
              </w:rPr>
              <w:t>Monster Energy® Drinks</w:t>
            </w:r>
            <w:r>
              <w:rPr>
                <w:rFonts w:ascii="Arial" w:cs="Arial" w:eastAsia="Arial" w:hAnsi="Arial"/>
                <w:sz w:val="12"/>
                <w:szCs w:val="12"/>
                <w:color w:val="auto"/>
              </w:rPr>
              <w:t>(1) (2)</w:t>
            </w:r>
          </w:p>
        </w:tc>
        <w:tc>
          <w:tcPr>
            <w:tcW w:w="3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279,335</w:t>
            </w:r>
          </w:p>
        </w:tc>
        <w:tc>
          <w:tcPr>
            <w:tcW w:w="280" w:type="dxa"/>
            <w:vAlign w:val="bottom"/>
          </w:tcPr>
          <w:p>
            <w:pPr>
              <w:spacing w:after="0"/>
              <w:rPr>
                <w:sz w:val="19"/>
                <w:szCs w:val="19"/>
                <w:color w:val="auto"/>
              </w:rPr>
            </w:pP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267,094</w:t>
            </w: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20"/>
                <w:szCs w:val="20"/>
                <w:color w:val="auto"/>
              </w:rPr>
              <w:t>Strategic Brands</w:t>
            </w:r>
          </w:p>
        </w:tc>
        <w:tc>
          <w:tcPr>
            <w:tcW w:w="38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42,094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39,060</w:t>
            </w:r>
          </w:p>
        </w:tc>
        <w:tc>
          <w:tcPr>
            <w:tcW w:w="0" w:type="dxa"/>
            <w:vAlign w:val="bottom"/>
          </w:tcPr>
          <w:p>
            <w:pPr>
              <w:spacing w:after="0"/>
              <w:rPr>
                <w:sz w:val="1"/>
                <w:szCs w:val="1"/>
                <w:color w:val="auto"/>
              </w:rPr>
            </w:pPr>
          </w:p>
        </w:tc>
      </w:tr>
      <w:tr>
        <w:trPr>
          <w:trHeight w:val="230"/>
        </w:trPr>
        <w:tc>
          <w:tcPr>
            <w:tcW w:w="5120" w:type="dxa"/>
            <w:vAlign w:val="bottom"/>
          </w:tcPr>
          <w:p>
            <w:pPr>
              <w:ind w:left="260"/>
              <w:spacing w:after="0"/>
              <w:rPr>
                <w:sz w:val="20"/>
                <w:szCs w:val="20"/>
                <w:color w:val="auto"/>
              </w:rPr>
            </w:pPr>
            <w:r>
              <w:rPr>
                <w:rFonts w:ascii="Arial" w:cs="Arial" w:eastAsia="Arial" w:hAnsi="Arial"/>
                <w:sz w:val="20"/>
                <w:szCs w:val="20"/>
                <w:color w:val="auto"/>
              </w:rPr>
              <w:t>Other</w:t>
            </w:r>
          </w:p>
        </w:tc>
        <w:tc>
          <w:tcPr>
            <w:tcW w:w="38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20"/>
                <w:szCs w:val="20"/>
                <w:color w:val="auto"/>
              </w:rPr>
              <w:t>1,416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5120" w:type="dxa"/>
            <w:vAlign w:val="bottom"/>
          </w:tcPr>
          <w:p>
            <w:pPr>
              <w:ind w:left="260"/>
              <w:spacing w:after="0"/>
              <w:rPr>
                <w:sz w:val="20"/>
                <w:szCs w:val="20"/>
                <w:color w:val="auto"/>
              </w:rPr>
            </w:pPr>
            <w:r>
              <w:rPr>
                <w:rFonts w:ascii="Arial" w:cs="Arial" w:eastAsia="Arial" w:hAnsi="Arial"/>
                <w:sz w:val="20"/>
                <w:szCs w:val="20"/>
                <w:color w:val="auto"/>
              </w:rPr>
              <w:t>Corporate and unallocated</w:t>
            </w: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(57,925)</w:t>
            </w:r>
          </w:p>
        </w:tc>
        <w:tc>
          <w:tcPr>
            <w:tcW w:w="2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(50,833)</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38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264,920</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255,321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$10.0 million and $8.2 million for the three-months ended March 31, 2017 and 2016, respectively, related to the recognition of deferred revenue.</w:t>
      </w:r>
    </w:p>
    <w:p>
      <w:pPr>
        <w:spacing w:after="0" w:line="136" w:lineRule="exact"/>
        <w:rPr>
          <w:rFonts w:ascii="Arial" w:cs="Arial" w:eastAsia="Arial" w:hAnsi="Arial"/>
          <w:sz w:val="14"/>
          <w:szCs w:val="14"/>
          <w:i w:val="1"/>
          <w:iCs w:val="1"/>
          <w:color w:val="auto"/>
        </w:rPr>
      </w:pPr>
    </w:p>
    <w:p>
      <w:pPr>
        <w:ind w:left="640" w:hanging="308"/>
        <w:spacing w:after="0"/>
        <w:tabs>
          <w:tab w:leader="none" w:pos="6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$19.9 million and $3.4 million for the three-months ended March 31, 2017 and 2016, respectively, related to distributor termination costs.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6"/>
          </w:tcPr>
          <w:p>
            <w:pPr>
              <w:jc w:val="right"/>
              <w:ind w:right="662"/>
              <w:spacing w:after="0"/>
              <w:rPr>
                <w:sz w:val="20"/>
                <w:szCs w:val="20"/>
                <w:color w:val="auto"/>
              </w:rPr>
            </w:pPr>
            <w:r>
              <w:rPr>
                <w:rFonts w:ascii="Arial" w:cs="Arial" w:eastAsia="Arial" w:hAnsi="Arial"/>
                <w:sz w:val="20"/>
                <w:szCs w:val="20"/>
                <w:color w:val="auto"/>
              </w:rPr>
              <w:t>Three-Months Ended</w:t>
            </w:r>
          </w:p>
        </w:tc>
        <w:tc>
          <w:tcPr>
            <w:tcW w:w="0" w:type="dxa"/>
            <w:vAlign w:val="bottom"/>
          </w:tcPr>
          <w:p>
            <w:pPr>
              <w:spacing w:after="0"/>
              <w:rPr>
                <w:sz w:val="1"/>
                <w:szCs w:val="1"/>
                <w:color w:val="auto"/>
              </w:rPr>
            </w:pPr>
          </w:p>
        </w:tc>
      </w:tr>
      <w:tr>
        <w:trPr>
          <w:trHeight w:val="246"/>
        </w:trPr>
        <w:tc>
          <w:tcPr>
            <w:tcW w:w="5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5"/>
          </w:tcPr>
          <w:p>
            <w:pPr>
              <w:jc w:val="right"/>
              <w:ind w:right="41"/>
              <w:spacing w:after="0"/>
              <w:rPr>
                <w:sz w:val="20"/>
                <w:szCs w:val="20"/>
                <w:color w:val="auto"/>
              </w:rPr>
            </w:pPr>
            <w:r>
              <w:rPr>
                <w:rFonts w:ascii="Arial" w:cs="Arial" w:eastAsia="Arial" w:hAnsi="Arial"/>
                <w:sz w:val="20"/>
                <w:szCs w:val="20"/>
                <w:color w:val="auto"/>
              </w:rPr>
              <w:t>March 31,</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00" w:type="dxa"/>
            <w:vAlign w:val="bottom"/>
            <w:gridSpan w:val="2"/>
            <w:vMerge w:val="restart"/>
          </w:tcPr>
          <w:p>
            <w:pPr>
              <w:spacing w:after="0"/>
              <w:rPr>
                <w:sz w:val="20"/>
                <w:szCs w:val="20"/>
                <w:color w:val="auto"/>
              </w:rPr>
            </w:pPr>
            <w:r>
              <w:rPr>
                <w:rFonts w:ascii="Arial" w:cs="Arial" w:eastAsia="Arial" w:hAnsi="Arial"/>
                <w:sz w:val="20"/>
                <w:szCs w:val="20"/>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42"/>
              <w:spacing w:after="0" w:line="223" w:lineRule="exact"/>
              <w:rPr>
                <w:sz w:val="20"/>
                <w:szCs w:val="20"/>
                <w:color w:val="auto"/>
              </w:rPr>
            </w:pPr>
            <w:r>
              <w:rPr>
                <w:rFonts w:ascii="Arial" w:cs="Arial" w:eastAsia="Arial" w:hAnsi="Arial"/>
                <w:sz w:val="20"/>
                <w:szCs w:val="20"/>
                <w:color w:val="auto"/>
              </w:rPr>
              <w:t>2017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2"/>
              <w:spacing w:after="0" w:line="223"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193"/>
        </w:trPr>
        <w:tc>
          <w:tcPr>
            <w:tcW w:w="5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260"/>
              <w:spacing w:after="0"/>
              <w:rPr>
                <w:sz w:val="20"/>
                <w:szCs w:val="20"/>
                <w:color w:val="auto"/>
              </w:rPr>
            </w:pPr>
            <w:r>
              <w:rPr>
                <w:rFonts w:ascii="Arial" w:cs="Arial" w:eastAsia="Arial" w:hAnsi="Arial"/>
                <w:sz w:val="20"/>
                <w:szCs w:val="20"/>
                <w:color w:val="auto"/>
              </w:rPr>
              <w:t>Monster Energy® Drinks</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2"/>
              <w:spacing w:after="0"/>
              <w:rPr>
                <w:sz w:val="20"/>
                <w:szCs w:val="20"/>
                <w:color w:val="auto"/>
              </w:rPr>
            </w:pPr>
            <w:r>
              <w:rPr>
                <w:rFonts w:ascii="Arial" w:cs="Arial" w:eastAsia="Arial" w:hAnsi="Arial"/>
                <w:sz w:val="20"/>
                <w:szCs w:val="20"/>
                <w:color w:val="auto"/>
              </w:rPr>
              <w:t>6,541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2"/>
              <w:spacing w:after="0"/>
              <w:rPr>
                <w:sz w:val="20"/>
                <w:szCs w:val="20"/>
                <w:color w:val="auto"/>
              </w:rPr>
            </w:pPr>
            <w:r>
              <w:rPr>
                <w:rFonts w:ascii="Arial" w:cs="Arial" w:eastAsia="Arial" w:hAnsi="Arial"/>
                <w:sz w:val="20"/>
                <w:szCs w:val="20"/>
                <w:color w:val="auto"/>
              </w:rPr>
              <w:t>5,779</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60"/>
              <w:spacing w:after="0"/>
              <w:rPr>
                <w:sz w:val="20"/>
                <w:szCs w:val="20"/>
                <w:color w:val="auto"/>
              </w:rPr>
            </w:pPr>
            <w:r>
              <w:rPr>
                <w:rFonts w:ascii="Arial" w:cs="Arial" w:eastAsia="Arial" w:hAnsi="Arial"/>
                <w:sz w:val="20"/>
                <w:szCs w:val="20"/>
                <w:color w:val="auto"/>
              </w:rPr>
              <w:t>Strategic Brands</w:t>
            </w:r>
          </w:p>
        </w:tc>
        <w:tc>
          <w:tcPr>
            <w:tcW w:w="28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20"/>
                <w:szCs w:val="20"/>
                <w:color w:val="auto"/>
              </w:rPr>
              <w:t>1,796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Arial" w:cs="Arial" w:eastAsia="Arial" w:hAnsi="Arial"/>
                <w:sz w:val="20"/>
                <w:szCs w:val="20"/>
                <w:color w:val="auto"/>
              </w:rPr>
              <w:t>1,770</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60"/>
              <w:spacing w:after="0"/>
              <w:rPr>
                <w:sz w:val="20"/>
                <w:szCs w:val="20"/>
                <w:color w:val="auto"/>
              </w:rPr>
            </w:pPr>
            <w:r>
              <w:rPr>
                <w:rFonts w:ascii="Arial" w:cs="Arial" w:eastAsia="Arial" w:hAnsi="Arial"/>
                <w:sz w:val="20"/>
                <w:szCs w:val="20"/>
                <w:color w:val="auto"/>
              </w:rPr>
              <w:t>Other</w:t>
            </w:r>
          </w:p>
        </w:tc>
        <w:tc>
          <w:tcPr>
            <w:tcW w:w="28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20"/>
                <w:szCs w:val="20"/>
                <w:color w:val="auto"/>
              </w:rPr>
              <w:t>1,153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5100" w:type="dxa"/>
            <w:vAlign w:val="bottom"/>
            <w:gridSpan w:val="2"/>
          </w:tcPr>
          <w:p>
            <w:pPr>
              <w:ind w:left="260"/>
              <w:spacing w:after="0"/>
              <w:rPr>
                <w:sz w:val="20"/>
                <w:szCs w:val="20"/>
                <w:color w:val="auto"/>
              </w:rPr>
            </w:pPr>
            <w:r>
              <w:rPr>
                <w:rFonts w:ascii="Arial" w:cs="Arial" w:eastAsia="Arial" w:hAnsi="Arial"/>
                <w:sz w:val="20"/>
                <w:szCs w:val="20"/>
                <w:color w:val="auto"/>
              </w:rPr>
              <w:t>Corporate and unallocated</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1,693</w:t>
            </w:r>
          </w:p>
        </w:tc>
        <w:tc>
          <w:tcPr>
            <w:tcW w:w="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1,475</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22"/>
              <w:spacing w:after="0" w:line="223" w:lineRule="exact"/>
              <w:rPr>
                <w:sz w:val="20"/>
                <w:szCs w:val="20"/>
                <w:color w:val="auto"/>
              </w:rPr>
            </w:pPr>
            <w:r>
              <w:rPr>
                <w:rFonts w:ascii="Arial" w:cs="Arial" w:eastAsia="Arial" w:hAnsi="Arial"/>
                <w:sz w:val="20"/>
                <w:szCs w:val="20"/>
                <w:color w:val="auto"/>
              </w:rPr>
              <w:t>11,183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ind w:right="22"/>
              <w:spacing w:after="0" w:line="223" w:lineRule="exact"/>
              <w:rPr>
                <w:sz w:val="20"/>
                <w:szCs w:val="20"/>
                <w:color w:val="auto"/>
              </w:rPr>
            </w:pPr>
            <w:r>
              <w:rPr>
                <w:rFonts w:ascii="Arial" w:cs="Arial" w:eastAsia="Arial" w:hAnsi="Arial"/>
                <w:sz w:val="20"/>
                <w:szCs w:val="20"/>
                <w:color w:val="auto"/>
              </w:rPr>
              <w:t>9,024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4"/>
          </w:tcPr>
          <w:p>
            <w:pPr>
              <w:ind w:left="40"/>
              <w:spacing w:after="0"/>
              <w:rPr>
                <w:sz w:val="20"/>
                <w:szCs w:val="20"/>
                <w:color w:val="auto"/>
              </w:rPr>
            </w:pPr>
            <w:r>
              <w:rPr>
                <w:rFonts w:ascii="Arial" w:cs="Arial" w:eastAsia="Arial" w:hAnsi="Arial"/>
                <w:sz w:val="20"/>
                <w:szCs w:val="20"/>
                <w:color w:val="auto"/>
              </w:rPr>
              <w:t>March 31,</w:t>
            </w:r>
          </w:p>
        </w:tc>
        <w:tc>
          <w:tcPr>
            <w:tcW w:w="1460" w:type="dxa"/>
            <w:vAlign w:val="bottom"/>
            <w:gridSpan w:val="2"/>
          </w:tcPr>
          <w:p>
            <w:pPr>
              <w:jc w:val="right"/>
              <w:ind w:right="82"/>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46"/>
        </w:trPr>
        <w:tc>
          <w:tcPr>
            <w:tcW w:w="5080" w:type="dxa"/>
            <w:vAlign w:val="bottom"/>
            <w:vMerge w:val="restart"/>
          </w:tcPr>
          <w:p>
            <w:pPr>
              <w:spacing w:after="0"/>
              <w:rPr>
                <w:sz w:val="20"/>
                <w:szCs w:val="20"/>
                <w:color w:val="auto"/>
              </w:rPr>
            </w:pPr>
            <w:r>
              <w:rPr>
                <w:rFonts w:ascii="Arial" w:cs="Arial" w:eastAsia="Arial" w:hAnsi="Arial"/>
                <w:sz w:val="20"/>
                <w:szCs w:val="20"/>
                <w:color w:val="auto"/>
              </w:rPr>
              <w:t>Goodwill and other intangible assets:</w:t>
            </w: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color w:val="auto"/>
              </w:rPr>
              <w:t>2017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193"/>
        </w:trPr>
        <w:tc>
          <w:tcPr>
            <w:tcW w:w="50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260"/>
              <w:spacing w:after="0"/>
              <w:rPr>
                <w:sz w:val="20"/>
                <w:szCs w:val="20"/>
                <w:color w:val="auto"/>
              </w:rPr>
            </w:pPr>
            <w:r>
              <w:rPr>
                <w:rFonts w:ascii="Arial" w:cs="Arial" w:eastAsia="Arial" w:hAnsi="Arial"/>
                <w:sz w:val="20"/>
                <w:szCs w:val="20"/>
                <w:color w:val="auto"/>
              </w:rPr>
              <w:t>Monster Energy® Drinks</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42"/>
              <w:spacing w:after="0"/>
              <w:rPr>
                <w:sz w:val="20"/>
                <w:szCs w:val="20"/>
                <w:color w:val="auto"/>
              </w:rPr>
            </w:pPr>
            <w:r>
              <w:rPr>
                <w:rFonts w:ascii="Arial" w:cs="Arial" w:eastAsia="Arial" w:hAnsi="Arial"/>
                <w:sz w:val="20"/>
                <w:szCs w:val="20"/>
                <w:color w:val="auto"/>
              </w:rPr>
              <w:t>1,337,398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060" w:type="dxa"/>
            <w:vAlign w:val="bottom"/>
          </w:tcPr>
          <w:p>
            <w:pPr>
              <w:jc w:val="right"/>
              <w:ind w:right="22"/>
              <w:spacing w:after="0"/>
              <w:rPr>
                <w:sz w:val="20"/>
                <w:szCs w:val="20"/>
                <w:color w:val="auto"/>
              </w:rPr>
            </w:pPr>
            <w:r>
              <w:rPr>
                <w:rFonts w:ascii="Arial" w:cs="Arial" w:eastAsia="Arial" w:hAnsi="Arial"/>
                <w:sz w:val="20"/>
                <w:szCs w:val="20"/>
                <w:color w:val="auto"/>
              </w:rPr>
              <w:t>1,334,494</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60"/>
              <w:spacing w:after="0"/>
              <w:rPr>
                <w:sz w:val="20"/>
                <w:szCs w:val="20"/>
                <w:color w:val="auto"/>
              </w:rPr>
            </w:pPr>
            <w:r>
              <w:rPr>
                <w:rFonts w:ascii="Arial" w:cs="Arial" w:eastAsia="Arial" w:hAnsi="Arial"/>
                <w:sz w:val="20"/>
                <w:szCs w:val="20"/>
                <w:color w:val="auto"/>
              </w:rPr>
              <w:t>Strategic Brands</w:t>
            </w:r>
          </w:p>
        </w:tc>
        <w:tc>
          <w:tcPr>
            <w:tcW w:w="28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20"/>
                <w:szCs w:val="20"/>
                <w:color w:val="auto"/>
              </w:rPr>
              <w:t>1,000,175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Arial" w:cs="Arial" w:eastAsia="Arial" w:hAnsi="Arial"/>
                <w:sz w:val="20"/>
                <w:szCs w:val="20"/>
                <w:color w:val="auto"/>
              </w:rPr>
              <w:t>1,001,749</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60"/>
              <w:spacing w:after="0"/>
              <w:rPr>
                <w:sz w:val="20"/>
                <w:szCs w:val="20"/>
                <w:color w:val="auto"/>
              </w:rPr>
            </w:pPr>
            <w:r>
              <w:rPr>
                <w:rFonts w:ascii="Arial" w:cs="Arial" w:eastAsia="Arial" w:hAnsi="Arial"/>
                <w:sz w:val="20"/>
                <w:szCs w:val="20"/>
                <w:color w:val="auto"/>
              </w:rPr>
              <w:t>Other</w:t>
            </w:r>
          </w:p>
        </w:tc>
        <w:tc>
          <w:tcPr>
            <w:tcW w:w="28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20"/>
                <w:szCs w:val="20"/>
                <w:color w:val="auto"/>
              </w:rPr>
              <w:t>26,956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Arial" w:cs="Arial" w:eastAsia="Arial" w:hAnsi="Arial"/>
                <w:sz w:val="20"/>
                <w:szCs w:val="20"/>
                <w:color w:val="auto"/>
              </w:rPr>
              <w:t>28,035</w:t>
            </w:r>
          </w:p>
        </w:tc>
        <w:tc>
          <w:tcPr>
            <w:tcW w:w="0" w:type="dxa"/>
            <w:vAlign w:val="bottom"/>
          </w:tcPr>
          <w:p>
            <w:pPr>
              <w:spacing w:after="0"/>
              <w:rPr>
                <w:sz w:val="1"/>
                <w:szCs w:val="1"/>
                <w:color w:val="auto"/>
              </w:rPr>
            </w:pPr>
          </w:p>
        </w:tc>
      </w:tr>
      <w:tr>
        <w:trPr>
          <w:trHeight w:val="246"/>
        </w:trPr>
        <w:tc>
          <w:tcPr>
            <w:tcW w:w="5100" w:type="dxa"/>
            <w:vAlign w:val="bottom"/>
            <w:gridSpan w:val="2"/>
          </w:tcPr>
          <w:p>
            <w:pPr>
              <w:ind w:left="260"/>
              <w:spacing w:after="0"/>
              <w:rPr>
                <w:sz w:val="20"/>
                <w:szCs w:val="20"/>
                <w:color w:val="auto"/>
              </w:rPr>
            </w:pPr>
            <w:r>
              <w:rPr>
                <w:rFonts w:ascii="Arial" w:cs="Arial" w:eastAsia="Arial" w:hAnsi="Arial"/>
                <w:sz w:val="20"/>
                <w:szCs w:val="20"/>
                <w:color w:val="auto"/>
              </w:rPr>
              <w:t>Corporate and unallocated</w:t>
            </w:r>
          </w:p>
        </w:tc>
        <w:tc>
          <w:tcPr>
            <w:tcW w:w="280" w:type="dxa"/>
            <w:vAlign w:val="bottom"/>
          </w:tcPr>
          <w:p>
            <w:pPr>
              <w:spacing w:after="0"/>
              <w:rPr>
                <w:sz w:val="21"/>
                <w:szCs w:val="21"/>
                <w:color w:val="auto"/>
              </w:rPr>
            </w:pPr>
          </w:p>
        </w:tc>
        <w:tc>
          <w:tcPr>
            <w:tcW w:w="120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bottom w:val="single" w:sz="8" w:color="auto"/>
            </w:tcBorders>
          </w:tcPr>
          <w:p>
            <w:pPr>
              <w:jc w:val="right"/>
              <w:ind w:right="42"/>
              <w:spacing w:after="0" w:line="223" w:lineRule="exact"/>
              <w:rPr>
                <w:sz w:val="20"/>
                <w:szCs w:val="20"/>
                <w:color w:val="auto"/>
              </w:rPr>
            </w:pPr>
            <w:r>
              <w:rPr>
                <w:rFonts w:ascii="Arial" w:cs="Arial" w:eastAsia="Arial" w:hAnsi="Arial"/>
                <w:sz w:val="20"/>
                <w:szCs w:val="20"/>
                <w:color w:val="auto"/>
              </w:rPr>
              <w:t>2,364,529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060" w:type="dxa"/>
            <w:vAlign w:val="bottom"/>
            <w:tcBorders>
              <w:top w:val="single" w:sz="8" w:color="auto"/>
              <w:bottom w:val="single" w:sz="8" w:color="auto"/>
            </w:tcBorders>
          </w:tcPr>
          <w:p>
            <w:pPr>
              <w:jc w:val="right"/>
              <w:ind w:right="22"/>
              <w:spacing w:after="0" w:line="223" w:lineRule="exact"/>
              <w:rPr>
                <w:sz w:val="20"/>
                <w:szCs w:val="20"/>
                <w:color w:val="auto"/>
              </w:rPr>
            </w:pPr>
            <w:r>
              <w:rPr>
                <w:rFonts w:ascii="Arial" w:cs="Arial" w:eastAsia="Arial" w:hAnsi="Arial"/>
                <w:sz w:val="20"/>
                <w:szCs w:val="20"/>
                <w:color w:val="auto"/>
              </w:rPr>
              <w:t>2,364,278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9"/>
          <w:szCs w:val="19"/>
          <w:color w:val="auto"/>
        </w:rPr>
        <w:t>Corporate and unallocated expenses for the three-months ended March 31, 2017 include $37.6 million of payroll costs, of which $13.1 million was attributable to stock-based compensation expenses (see Note 13, “Stock-Based Compensation”), as well as $12.3 million attributable to professional service expenses, including accounting and legal costs, and $8.8 million of other operating expenses. Corporate and unallocated expenses for the three-months ended March 31, 2016 include $28.4 million of payroll costs, of which $10.1 million was attributable to stock-based compensation expenses (see Note 13, “Stock-Based Compensation”), as well as $16.0 million attributable to professional service expenses, including accounting and legal costs, and $7.0 million of other operating expenses.</w:t>
      </w:r>
    </w:p>
    <w:p>
      <w:pPr>
        <w:spacing w:after="0" w:line="192"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TCCC, through certain wholly-owned subsidiaries (the “TCCC Subsidiaries”), accounted for approximately 34% and 46% of the Company’s net sales for the three-months ended March 31, 2017 and 2016, respectively.</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2" w:lineRule="exact"/>
        <w:rPr>
          <w:sz w:val="20"/>
          <w:szCs w:val="20"/>
          <w:color w:val="auto"/>
        </w:rPr>
      </w:pPr>
    </w:p>
    <w:p>
      <w:pPr>
        <w:ind w:right="4980"/>
        <w:spacing w:after="0" w:line="269"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60"/>
          </w:cols>
          <w:pgMar w:left="240" w:top="122" w:right="199" w:bottom="33" w:gutter="0" w:footer="0" w:header="0"/>
        </w:sectPr>
      </w:pPr>
    </w:p>
    <w:bookmarkStart w:id="16" w:name="page17"/>
    <w:bookmarkEnd w:id="16"/>
    <w:p>
      <w:pPr>
        <w:ind w:firstLine="648"/>
        <w:spacing w:after="0" w:line="262" w:lineRule="auto"/>
        <w:rPr>
          <w:sz w:val="20"/>
          <w:szCs w:val="20"/>
          <w:color w:val="auto"/>
        </w:rPr>
      </w:pPr>
      <w:r>
        <w:rPr>
          <w:rFonts w:ascii="Arial" w:cs="Arial" w:eastAsia="Arial" w:hAnsi="Arial"/>
          <w:sz w:val="20"/>
          <w:szCs w:val="20"/>
          <w:color w:val="auto"/>
        </w:rPr>
        <w:t>Net sales to customers outside the United States amounted to $190.9 million and $149.1 million for the three-months ended March 31, 2017 and 2016, respectively.</w:t>
      </w:r>
    </w:p>
    <w:p>
      <w:pPr>
        <w:spacing w:after="0" w:line="188"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RELATED PARTY TRANSACTIONS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TCCC controls more than 10% of the voting interests of the Company. TCCC, through the TCCC Subsidiaries and through certain of its affiliated companies (the “TCCC Affiliates”) purchases and distributes certain of the Company’s products both domestically and in certain international territories. The Company also pays TCCC a commission based on certain sales within the TCCC distribution network.</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TCCC commissions, based on sales to the TCCC Affiliates for the three-months ended March 31, 2017 and 2016, were $7.9 million and $1.9 million, respectively.</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TCCC commissions, based on sales to the TCCC Subsidiaries, are accounted for as a reduction to revenue and are reported in net sales to the TCCC Subsidiaries.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to the TCCC Subsidiaries for the three-months ended March 31, 2017 and 2016 were $255.8 million and $310.1 million, respectively.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also purchases concentrates from TCCC which are then sold to both the TCCC Affiliates and the TCCC Subsidiaries.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Concentrate purchases from TCCC were $5.9 million and $6.7 million for the three-months ended March 31, 2017 and 2016, respectively.</w:t>
      </w: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Certain TCCC Subsidiaries also contract manufacture certain of the Company’s Monster Energy® brand energy drinks as well as Mutant® Super Soda drinks. Contract manufacturing expenses were $2.2 million and $1.6 million for the three-months ended March 31, 2017 and 2016, respectively.</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Accounts receivable, accounts payable and accrued promotional allowances related to the TCCC Subsidiaries are as follows at:</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Arial" w:cs="Arial" w:eastAsia="Arial" w:hAnsi="Arial"/>
                <w:sz w:val="20"/>
                <w:szCs w:val="20"/>
                <w:color w:val="auto"/>
              </w:rPr>
              <w:t>March 31,</w:t>
            </w:r>
          </w:p>
        </w:tc>
        <w:tc>
          <w:tcPr>
            <w:tcW w:w="1500" w:type="dxa"/>
            <w:vAlign w:val="bottom"/>
            <w:gridSpan w:val="2"/>
          </w:tcPr>
          <w:p>
            <w:pPr>
              <w:ind w:left="180"/>
              <w:spacing w:after="0"/>
              <w:rPr>
                <w:sz w:val="20"/>
                <w:szCs w:val="20"/>
                <w:color w:val="auto"/>
              </w:rPr>
            </w:pPr>
            <w:r>
              <w:rPr>
                <w:rFonts w:ascii="Arial" w:cs="Arial" w:eastAsia="Arial" w:hAnsi="Arial"/>
                <w:sz w:val="20"/>
                <w:szCs w:val="20"/>
                <w:color w:val="auto"/>
              </w:rPr>
              <w:t>December 31,</w:t>
            </w:r>
          </w:p>
        </w:tc>
      </w:tr>
      <w:tr>
        <w:trPr>
          <w:trHeight w:val="246"/>
        </w:trPr>
        <w:tc>
          <w:tcPr>
            <w:tcW w:w="3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rPr>
              <w:t>2017</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20"/>
                <w:szCs w:val="20"/>
                <w:color w:val="auto"/>
              </w:rPr>
              <w:t>2016</w:t>
            </w:r>
          </w:p>
        </w:tc>
      </w:tr>
      <w:tr>
        <w:trPr>
          <w:trHeight w:val="436"/>
        </w:trPr>
        <w:tc>
          <w:tcPr>
            <w:tcW w:w="3500" w:type="dxa"/>
            <w:vAlign w:val="bottom"/>
          </w:tcPr>
          <w:p>
            <w:pPr>
              <w:spacing w:after="0"/>
              <w:rPr>
                <w:sz w:val="20"/>
                <w:szCs w:val="20"/>
                <w:color w:val="auto"/>
              </w:rPr>
            </w:pPr>
            <w:r>
              <w:rPr>
                <w:rFonts w:ascii="Arial" w:cs="Arial" w:eastAsia="Arial" w:hAnsi="Arial"/>
                <w:sz w:val="20"/>
                <w:szCs w:val="20"/>
                <w:color w:val="auto"/>
              </w:rPr>
              <w:t>Accounts receivable, net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161,440</w:t>
            </w:r>
          </w:p>
        </w:tc>
        <w:tc>
          <w:tcPr>
            <w:tcW w:w="280" w:type="dxa"/>
            <w:vAlign w:val="bottom"/>
          </w:tcPr>
          <w:p>
            <w:pPr>
              <w:spacing w:after="0"/>
              <w:rPr>
                <w:sz w:val="24"/>
                <w:szCs w:val="24"/>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ind w:left="380"/>
              <w:spacing w:after="0"/>
              <w:rPr>
                <w:sz w:val="20"/>
                <w:szCs w:val="20"/>
                <w:color w:val="auto"/>
              </w:rPr>
            </w:pPr>
            <w:r>
              <w:rPr>
                <w:rFonts w:ascii="Arial" w:cs="Arial" w:eastAsia="Arial" w:hAnsi="Arial"/>
                <w:sz w:val="20"/>
                <w:szCs w:val="20"/>
                <w:color w:val="auto"/>
                <w:w w:val="99"/>
              </w:rPr>
              <w:t>151,756</w:t>
            </w:r>
          </w:p>
        </w:tc>
      </w:tr>
      <w:tr>
        <w:trPr>
          <w:trHeight w:val="230"/>
        </w:trPr>
        <w:tc>
          <w:tcPr>
            <w:tcW w:w="3500" w:type="dxa"/>
            <w:vAlign w:val="bottom"/>
          </w:tcPr>
          <w:p>
            <w:pPr>
              <w:spacing w:after="0"/>
              <w:rPr>
                <w:sz w:val="20"/>
                <w:szCs w:val="20"/>
                <w:color w:val="auto"/>
              </w:rPr>
            </w:pPr>
            <w:r>
              <w:rPr>
                <w:rFonts w:ascii="Arial" w:cs="Arial" w:eastAsia="Arial" w:hAnsi="Arial"/>
                <w:sz w:val="20"/>
                <w:szCs w:val="20"/>
                <w:color w:val="auto"/>
              </w:rPr>
              <w:t>TCCC transaction receivable</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62,500</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ind w:left="380"/>
              <w:spacing w:after="0"/>
              <w:rPr>
                <w:sz w:val="20"/>
                <w:szCs w:val="20"/>
                <w:color w:val="auto"/>
              </w:rPr>
            </w:pPr>
            <w:r>
              <w:rPr>
                <w:rFonts w:ascii="Arial" w:cs="Arial" w:eastAsia="Arial" w:hAnsi="Arial"/>
                <w:sz w:val="20"/>
                <w:szCs w:val="20"/>
                <w:color w:val="auto"/>
                <w:w w:val="99"/>
              </w:rPr>
              <w:t>125,000</w:t>
            </w:r>
          </w:p>
        </w:tc>
      </w:tr>
      <w:tr>
        <w:trPr>
          <w:trHeight w:val="230"/>
        </w:trPr>
        <w:tc>
          <w:tcPr>
            <w:tcW w:w="3500" w:type="dxa"/>
            <w:vAlign w:val="bottom"/>
          </w:tcPr>
          <w:p>
            <w:pPr>
              <w:spacing w:after="0"/>
              <w:rPr>
                <w:sz w:val="20"/>
                <w:szCs w:val="20"/>
                <w:color w:val="auto"/>
              </w:rPr>
            </w:pPr>
            <w:r>
              <w:rPr>
                <w:rFonts w:ascii="Arial" w:cs="Arial" w:eastAsia="Arial" w:hAnsi="Arial"/>
                <w:sz w:val="20"/>
                <w:szCs w:val="20"/>
                <w:color w:val="auto"/>
              </w:rPr>
              <w:t>Accounts payable</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(35,869)</w:t>
            </w:r>
          </w:p>
        </w:tc>
        <w:tc>
          <w:tcPr>
            <w:tcW w:w="280" w:type="dxa"/>
            <w:vAlign w:val="bottom"/>
          </w:tcPr>
          <w:p>
            <w:pPr>
              <w:spacing w:after="0"/>
              <w:rPr>
                <w:sz w:val="19"/>
                <w:szCs w:val="19"/>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ind w:left="400"/>
              <w:spacing w:after="0"/>
              <w:rPr>
                <w:sz w:val="20"/>
                <w:szCs w:val="20"/>
                <w:color w:val="auto"/>
              </w:rPr>
            </w:pPr>
            <w:r>
              <w:rPr>
                <w:rFonts w:ascii="Arial" w:cs="Arial" w:eastAsia="Arial" w:hAnsi="Arial"/>
                <w:sz w:val="20"/>
                <w:szCs w:val="20"/>
                <w:color w:val="auto"/>
                <w:w w:val="93"/>
              </w:rPr>
              <w:t>(41,210)</w:t>
            </w:r>
          </w:p>
        </w:tc>
      </w:tr>
      <w:tr>
        <w:trPr>
          <w:trHeight w:val="250"/>
        </w:trPr>
        <w:tc>
          <w:tcPr>
            <w:tcW w:w="3500" w:type="dxa"/>
            <w:vAlign w:val="bottom"/>
          </w:tcPr>
          <w:p>
            <w:pPr>
              <w:spacing w:after="0"/>
              <w:rPr>
                <w:sz w:val="20"/>
                <w:szCs w:val="20"/>
                <w:color w:val="auto"/>
              </w:rPr>
            </w:pPr>
            <w:r>
              <w:rPr>
                <w:rFonts w:ascii="Arial" w:cs="Arial" w:eastAsia="Arial" w:hAnsi="Arial"/>
                <w:sz w:val="20"/>
                <w:szCs w:val="20"/>
                <w:color w:val="auto"/>
              </w:rPr>
              <w:t>Accrued promotional allowances</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(33,296)</w:t>
            </w:r>
          </w:p>
        </w:tc>
        <w:tc>
          <w:tcPr>
            <w:tcW w:w="280" w:type="dxa"/>
            <w:vAlign w:val="bottom"/>
          </w:tcPr>
          <w:p>
            <w:pPr>
              <w:spacing w:after="0"/>
              <w:rPr>
                <w:sz w:val="21"/>
                <w:szCs w:val="21"/>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ind w:left="400"/>
              <w:spacing w:after="0"/>
              <w:rPr>
                <w:sz w:val="20"/>
                <w:szCs w:val="20"/>
                <w:color w:val="auto"/>
              </w:rPr>
            </w:pPr>
            <w:r>
              <w:rPr>
                <w:rFonts w:ascii="Arial" w:cs="Arial" w:eastAsia="Arial" w:hAnsi="Arial"/>
                <w:sz w:val="20"/>
                <w:szCs w:val="20"/>
                <w:color w:val="auto"/>
                <w:w w:val="93"/>
              </w:rPr>
              <w:t>(27,056)</w:t>
            </w:r>
          </w:p>
        </w:tc>
      </w:tr>
    </w:tbl>
    <w:p>
      <w:pPr>
        <w:spacing w:after="0" w:line="20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March 31, 2017 and 2016 were $0.2 million and $0.1 million,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as well as Mutant® Super Sodas.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Acquisitions and Divestitures</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 April 1, 2016, we completed our acquisition of flavor supplier and long-time business partner American Fruits &amp; Flavors (“AFF”), in an asset acquisition that brought our primary flavor supplier in-house, secured the intellectual property of our most important flavors in perpetuity and further enhanced our flavor development and global flavor footprint capabilities (the “AFF Transaction”). Pursuant to the terms of the AFF Transaction, we purchased AFF for $688.5 million in cash.</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We accounted for the AFF Transaction in accordance with Financial Accounting Standards Board (“FASB”) Accounting Standards Codification (“ASC”) 805 “Business Combinations”. Inventory purchased under the AFF Transaction was recorded at fair value. Raw material cost savings from the AFF Transaction were approximately $23.3 million in the three-months ended March 31, 2017.</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Distributor Terminations</w:t>
      </w:r>
    </w:p>
    <w:p>
      <w:pPr>
        <w:spacing w:after="0" w:line="22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accordance with ASC No. 420 “Exit or Disposal Cost Obligations”, we expense distributor termination costs in the period in which the written notification of termination occurs. As a result, we incurred termination costs of $19.9 million and $3.4 million for the three-months ended March 31, 2017 and 2016, respectively, related to the distribution rights transferred to The Coca-Cola Company’s (“TCCC”) distribution network. Such termination costs have been expensed in full and are included in operating expenses for the three-months ended March 31, 2017 and 2016.</w:t>
      </w:r>
    </w:p>
    <w:p>
      <w:pPr>
        <w:sectPr>
          <w:pgSz w:w="11900" w:h="16838" w:orient="portrait"/>
          <w:cols w:equalWidth="0" w:num="1">
            <w:col w:w="11420"/>
          </w:cols>
          <w:pgMar w:left="240" w:top="122" w:right="239" w:bottom="0" w:gutter="0" w:footer="0" w:header="0"/>
        </w:sectPr>
      </w:pPr>
    </w:p>
    <w:bookmarkStart w:id="17" w:name="page18"/>
    <w:bookmarkEnd w:id="17"/>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30"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We develop, market, sell and distribute energy drink beverages, super sodas and/or concentrates for energy drink beverages, primarily under the following brand names: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Monster Energy®</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Nalu®</w:t>
            </w:r>
          </w:p>
        </w:tc>
      </w:t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Monster Rehab®</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NOS®</w:t>
            </w: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20"/>
                <w:szCs w:val="20"/>
                <w:color w:val="auto"/>
              </w:rPr>
              <w:t>·  Monster Energy Extra Strength Nitrous Technology®</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Full Throttle®</w:t>
            </w:r>
          </w:p>
        </w:tc>
      </w:t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Java Monster®</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Burn®</w:t>
            </w:r>
          </w:p>
        </w:tc>
      </w:t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Muscle Monster®</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Mother®</w:t>
            </w:r>
          </w:p>
        </w:tc>
      </w:t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Mega Monster Energy®</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Ultra®</w:t>
            </w:r>
          </w:p>
        </w:tc>
      </w:t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Punch Monster®</w:t>
            </w:r>
          </w:p>
        </w:tc>
        <w:tc>
          <w:tcPr>
            <w:tcW w:w="6320" w:type="dxa"/>
            <w:vAlign w:val="bottom"/>
            <w:gridSpan w:val="2"/>
          </w:tcPr>
          <w:p>
            <w:pPr>
              <w:ind w:left="1620"/>
              <w:spacing w:after="0"/>
              <w:rPr>
                <w:sz w:val="20"/>
                <w:szCs w:val="20"/>
                <w:color w:val="auto"/>
              </w:rPr>
            </w:pPr>
            <w:r>
              <w:rPr>
                <w:rFonts w:ascii="Arial" w:cs="Arial" w:eastAsia="Arial" w:hAnsi="Arial"/>
                <w:sz w:val="20"/>
                <w:szCs w:val="20"/>
                <w:color w:val="auto"/>
              </w:rPr>
              <w:t>·  Play® and Power Play®</w:t>
            </w:r>
          </w:p>
        </w:tc>
      </w:t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Juice Monster®</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Gladiator®</w:t>
            </w:r>
          </w:p>
        </w:tc>
      </w:t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Übermonster®</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Relentless®</w:t>
            </w:r>
          </w:p>
        </w:tc>
      </w:tr>
      <w:tr>
        <w:trPr>
          <w:trHeight w:val="23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BU®</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Samurai®</w:t>
            </w:r>
          </w:p>
        </w:tc>
      </w:tr>
      <w:tr>
        <w:trPr>
          <w:trHeight w:val="250"/>
        </w:trPr>
        <w:tc>
          <w:tcPr>
            <w:tcW w:w="300" w:type="dxa"/>
            <w:vAlign w:val="bottom"/>
          </w:tcPr>
          <w:p>
            <w:pPr>
              <w:ind w:left="140"/>
              <w:spacing w:after="0"/>
              <w:rPr>
                <w:sz w:val="20"/>
                <w:szCs w:val="20"/>
                <w:color w:val="auto"/>
              </w:rPr>
            </w:pPr>
            <w:r>
              <w:rPr>
                <w:rFonts w:ascii="Arial" w:cs="Arial" w:eastAsia="Arial" w:hAnsi="Arial"/>
                <w:sz w:val="20"/>
                <w:szCs w:val="20"/>
                <w:color w:val="auto"/>
              </w:rPr>
              <w:t>·</w:t>
            </w:r>
          </w:p>
        </w:tc>
        <w:tc>
          <w:tcPr>
            <w:tcW w:w="4840" w:type="dxa"/>
            <w:vAlign w:val="bottom"/>
          </w:tcPr>
          <w:p>
            <w:pPr>
              <w:ind w:left="120"/>
              <w:spacing w:after="0"/>
              <w:rPr>
                <w:sz w:val="20"/>
                <w:szCs w:val="20"/>
                <w:color w:val="auto"/>
              </w:rPr>
            </w:pPr>
            <w:r>
              <w:rPr>
                <w:rFonts w:ascii="Arial" w:cs="Arial" w:eastAsia="Arial" w:hAnsi="Arial"/>
                <w:sz w:val="20"/>
                <w:szCs w:val="20"/>
                <w:color w:val="auto"/>
              </w:rPr>
              <w:t>Mutant® Super Soda</w:t>
            </w:r>
          </w:p>
        </w:tc>
        <w:tc>
          <w:tcPr>
            <w:tcW w:w="1780" w:type="dxa"/>
            <w:vAlign w:val="bottom"/>
          </w:tcPr>
          <w:p>
            <w:pPr>
              <w:ind w:left="1620"/>
              <w:spacing w:after="0"/>
              <w:rPr>
                <w:sz w:val="20"/>
                <w:szCs w:val="20"/>
                <w:color w:val="auto"/>
              </w:rPr>
            </w:pPr>
            <w:r>
              <w:rPr>
                <w:rFonts w:ascii="Arial" w:cs="Arial" w:eastAsia="Arial" w:hAnsi="Arial"/>
                <w:sz w:val="20"/>
                <w:szCs w:val="20"/>
                <w:color w:val="auto"/>
              </w:rPr>
              <w:t>·</w:t>
            </w:r>
          </w:p>
        </w:tc>
        <w:tc>
          <w:tcPr>
            <w:tcW w:w="4540" w:type="dxa"/>
            <w:vAlign w:val="bottom"/>
          </w:tcPr>
          <w:p>
            <w:pPr>
              <w:ind w:left="120"/>
              <w:spacing w:after="0"/>
              <w:rPr>
                <w:sz w:val="20"/>
                <w:szCs w:val="20"/>
                <w:color w:val="auto"/>
              </w:rPr>
            </w:pPr>
            <w:r>
              <w:rPr>
                <w:rFonts w:ascii="Arial" w:cs="Arial" w:eastAsia="Arial" w:hAnsi="Arial"/>
                <w:sz w:val="20"/>
                <w:szCs w:val="20"/>
                <w:color w:val="auto"/>
              </w:rPr>
              <w:t>BPM®</w:t>
            </w:r>
          </w:p>
        </w:tc>
      </w:tr>
      <w:tr>
        <w:trPr>
          <w:trHeight w:val="442"/>
        </w:trPr>
        <w:tc>
          <w:tcPr>
            <w:tcW w:w="3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80" w:type="dxa"/>
            <w:vAlign w:val="bottom"/>
          </w:tcPr>
          <w:p>
            <w:pPr>
              <w:ind w:left="480"/>
              <w:spacing w:after="0"/>
              <w:rPr>
                <w:sz w:val="20"/>
                <w:szCs w:val="20"/>
                <w:color w:val="auto"/>
              </w:rPr>
            </w:pPr>
            <w:r>
              <w:rPr>
                <w:rFonts w:ascii="Arial" w:cs="Arial" w:eastAsia="Arial" w:hAnsi="Arial"/>
                <w:sz w:val="18"/>
                <w:szCs w:val="18"/>
                <w:color w:val="auto"/>
              </w:rPr>
              <w:t>25</w:t>
            </w:r>
          </w:p>
        </w:tc>
        <w:tc>
          <w:tcPr>
            <w:tcW w:w="4540" w:type="dxa"/>
            <w:vAlign w:val="bottom"/>
          </w:tcPr>
          <w:p>
            <w:pPr>
              <w:spacing w:after="0"/>
              <w:rPr>
                <w:sz w:val="24"/>
                <w:szCs w:val="24"/>
                <w:color w:val="auto"/>
              </w:rPr>
            </w:pPr>
          </w:p>
        </w:tc>
      </w:tr>
      <w:tr>
        <w:trPr>
          <w:trHeight w:val="132"/>
        </w:trPr>
        <w:tc>
          <w:tcPr>
            <w:tcW w:w="30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1780" w:type="dxa"/>
            <w:vAlign w:val="bottom"/>
            <w:tcBorders>
              <w:bottom w:val="single" w:sz="8" w:color="808080"/>
            </w:tcBorders>
          </w:tcPr>
          <w:p>
            <w:pPr>
              <w:spacing w:after="0"/>
              <w:rPr>
                <w:sz w:val="11"/>
                <w:szCs w:val="11"/>
                <w:color w:val="auto"/>
              </w:rPr>
            </w:pPr>
          </w:p>
        </w:tc>
        <w:tc>
          <w:tcPr>
            <w:tcW w:w="45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Our Monster Energy® brand energy drinks, which represented 89.7% and 91.4% of our net sales for the three-months ended March 31, 2017 and 2016, respectively, primarily include the following:</w:t>
      </w:r>
    </w:p>
    <w:p>
      <w:pPr>
        <w:spacing w:after="0" w:line="183" w:lineRule="exact"/>
        <w:rPr>
          <w:sz w:val="20"/>
          <w:szCs w:val="20"/>
          <w:color w:val="auto"/>
        </w:rPr>
      </w:pPr>
    </w:p>
    <w:tbl>
      <w:tblPr>
        <w:tblLayout w:type="fixed"/>
        <w:tblInd w:w="140" w:type="dxa"/>
        <w:tblCellMar>
          <w:top w:w="0" w:type="dxa"/>
          <w:left w:w="0" w:type="dxa"/>
          <w:bottom w:w="0" w:type="dxa"/>
          <w:right w:w="0" w:type="dxa"/>
        </w:tblCellMar>
      </w:tblPr>
      <w:tr>
        <w:trPr>
          <w:trHeight w:val="218"/>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5520" w:type="dxa"/>
            <w:vAlign w:val="bottom"/>
          </w:tcPr>
          <w:p>
            <w:pPr>
              <w:ind w:left="120"/>
              <w:spacing w:after="0"/>
              <w:rPr>
                <w:sz w:val="20"/>
                <w:szCs w:val="20"/>
                <w:color w:val="auto"/>
              </w:rPr>
            </w:pPr>
            <w:r>
              <w:rPr>
                <w:rFonts w:ascii="Arial" w:cs="Arial" w:eastAsia="Arial" w:hAnsi="Arial"/>
                <w:sz w:val="19"/>
                <w:szCs w:val="19"/>
                <w:color w:val="auto"/>
              </w:rPr>
              <w:t>Monster Energy®</w:t>
            </w:r>
          </w:p>
        </w:tc>
        <w:tc>
          <w:tcPr>
            <w:tcW w:w="5300" w:type="dxa"/>
            <w:vAlign w:val="bottom"/>
            <w:gridSpan w:val="2"/>
          </w:tcPr>
          <w:p>
            <w:pPr>
              <w:ind w:left="940"/>
              <w:spacing w:after="0"/>
              <w:rPr>
                <w:sz w:val="20"/>
                <w:szCs w:val="20"/>
                <w:color w:val="auto"/>
              </w:rPr>
            </w:pPr>
            <w:r>
              <w:rPr>
                <w:rFonts w:ascii="Arial" w:cs="Arial" w:eastAsia="Arial" w:hAnsi="Arial"/>
                <w:sz w:val="19"/>
                <w:szCs w:val="19"/>
                <w:color w:val="auto"/>
              </w:rPr>
              <w:t>·   Java Monster® Kona Blend</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Lo-Carb Monster Energy®</w:t>
            </w:r>
          </w:p>
        </w:tc>
        <w:tc>
          <w:tcPr>
            <w:tcW w:w="5300" w:type="dxa"/>
            <w:vAlign w:val="bottom"/>
            <w:gridSpan w:val="2"/>
          </w:tcPr>
          <w:p>
            <w:pPr>
              <w:ind w:left="940"/>
              <w:spacing w:after="0" w:line="216" w:lineRule="exact"/>
              <w:rPr>
                <w:sz w:val="20"/>
                <w:szCs w:val="20"/>
                <w:color w:val="auto"/>
              </w:rPr>
            </w:pPr>
            <w:r>
              <w:rPr>
                <w:rFonts w:ascii="Arial" w:cs="Arial" w:eastAsia="Arial" w:hAnsi="Arial"/>
                <w:sz w:val="19"/>
                <w:szCs w:val="19"/>
                <w:color w:val="auto"/>
              </w:rPr>
              <w:t>·   Java Monster® Loca Moca®</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Monster Assault®</w:t>
            </w:r>
          </w:p>
        </w:tc>
        <w:tc>
          <w:tcPr>
            <w:tcW w:w="5300" w:type="dxa"/>
            <w:vAlign w:val="bottom"/>
            <w:gridSpan w:val="2"/>
          </w:tcPr>
          <w:p>
            <w:pPr>
              <w:ind w:left="940"/>
              <w:spacing w:after="0" w:line="216" w:lineRule="exact"/>
              <w:rPr>
                <w:sz w:val="20"/>
                <w:szCs w:val="20"/>
                <w:color w:val="auto"/>
              </w:rPr>
            </w:pPr>
            <w:r>
              <w:rPr>
                <w:rFonts w:ascii="Arial" w:cs="Arial" w:eastAsia="Arial" w:hAnsi="Arial"/>
                <w:sz w:val="19"/>
                <w:szCs w:val="19"/>
                <w:color w:val="auto"/>
              </w:rPr>
              <w:t>·   Java Monster® Mean Bean®</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Juice Monster® Khaos®</w:t>
            </w:r>
          </w:p>
        </w:tc>
        <w:tc>
          <w:tcPr>
            <w:tcW w:w="5300" w:type="dxa"/>
            <w:vAlign w:val="bottom"/>
            <w:gridSpan w:val="2"/>
          </w:tcPr>
          <w:p>
            <w:pPr>
              <w:ind w:left="940"/>
              <w:spacing w:after="0" w:line="216" w:lineRule="exact"/>
              <w:rPr>
                <w:sz w:val="20"/>
                <w:szCs w:val="20"/>
                <w:color w:val="auto"/>
              </w:rPr>
            </w:pPr>
            <w:r>
              <w:rPr>
                <w:rFonts w:ascii="Arial" w:cs="Arial" w:eastAsia="Arial" w:hAnsi="Arial"/>
                <w:sz w:val="19"/>
                <w:szCs w:val="19"/>
                <w:color w:val="auto"/>
              </w:rPr>
              <w:t>·   Java Monster® Vanilla Light</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Juice Monster® Ripper®</w:t>
            </w:r>
          </w:p>
        </w:tc>
        <w:tc>
          <w:tcPr>
            <w:tcW w:w="5300" w:type="dxa"/>
            <w:vAlign w:val="bottom"/>
            <w:gridSpan w:val="2"/>
          </w:tcPr>
          <w:p>
            <w:pPr>
              <w:ind w:left="940"/>
              <w:spacing w:after="0" w:line="216" w:lineRule="exact"/>
              <w:rPr>
                <w:sz w:val="20"/>
                <w:szCs w:val="20"/>
                <w:color w:val="auto"/>
              </w:rPr>
            </w:pPr>
            <w:r>
              <w:rPr>
                <w:rFonts w:ascii="Arial" w:cs="Arial" w:eastAsia="Arial" w:hAnsi="Arial"/>
                <w:sz w:val="19"/>
                <w:szCs w:val="19"/>
                <w:color w:val="auto"/>
              </w:rPr>
              <w:t>·   Java Monster® Irish Blend®</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Juice Monster® Pipeline Punch®</w:t>
            </w:r>
          </w:p>
        </w:tc>
        <w:tc>
          <w:tcPr>
            <w:tcW w:w="5300" w:type="dxa"/>
            <w:vAlign w:val="bottom"/>
            <w:gridSpan w:val="2"/>
          </w:tcPr>
          <w:p>
            <w:pPr>
              <w:ind w:left="940"/>
              <w:spacing w:after="0" w:line="216" w:lineRule="exact"/>
              <w:rPr>
                <w:sz w:val="20"/>
                <w:szCs w:val="20"/>
                <w:color w:val="auto"/>
              </w:rPr>
            </w:pPr>
            <w:r>
              <w:rPr>
                <w:rFonts w:ascii="Arial" w:cs="Arial" w:eastAsia="Arial" w:hAnsi="Arial"/>
                <w:sz w:val="19"/>
                <w:szCs w:val="19"/>
                <w:color w:val="auto"/>
              </w:rPr>
              <w:t>·   Java Monster® Salted Caramel</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Monster Energy Absolutely Zero®</w:t>
            </w:r>
          </w:p>
        </w:tc>
        <w:tc>
          <w:tcPr>
            <w:tcW w:w="1100" w:type="dxa"/>
            <w:vAlign w:val="bottom"/>
          </w:tcPr>
          <w:p>
            <w:pPr>
              <w:ind w:left="940"/>
              <w:spacing w:after="0" w:line="216" w:lineRule="exact"/>
              <w:rPr>
                <w:sz w:val="20"/>
                <w:szCs w:val="20"/>
                <w:color w:val="auto"/>
              </w:rPr>
            </w:pPr>
            <w:r>
              <w:rPr>
                <w:rFonts w:ascii="Arial" w:cs="Arial" w:eastAsia="Arial" w:hAnsi="Arial"/>
                <w:sz w:val="19"/>
                <w:szCs w:val="19"/>
                <w:color w:val="auto"/>
              </w:rPr>
              <w:t>·</w:t>
            </w:r>
          </w:p>
        </w:tc>
        <w:tc>
          <w:tcPr>
            <w:tcW w:w="4200" w:type="dxa"/>
            <w:vAlign w:val="bottom"/>
          </w:tcPr>
          <w:p>
            <w:pPr>
              <w:ind w:left="140"/>
              <w:spacing w:after="0" w:line="216" w:lineRule="exact"/>
              <w:rPr>
                <w:sz w:val="20"/>
                <w:szCs w:val="20"/>
                <w:color w:val="auto"/>
              </w:rPr>
            </w:pPr>
            <w:r>
              <w:rPr>
                <w:rFonts w:ascii="Arial" w:cs="Arial" w:eastAsia="Arial" w:hAnsi="Arial"/>
                <w:sz w:val="19"/>
                <w:szCs w:val="19"/>
                <w:color w:val="auto"/>
              </w:rPr>
              <w:t>Mega Monster Energy®</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Monster Energy® Import</w:t>
            </w:r>
          </w:p>
        </w:tc>
        <w:tc>
          <w:tcPr>
            <w:tcW w:w="5300" w:type="dxa"/>
            <w:vAlign w:val="bottom"/>
            <w:gridSpan w:val="2"/>
          </w:tcPr>
          <w:p>
            <w:pPr>
              <w:ind w:left="940"/>
              <w:spacing w:after="0" w:line="216" w:lineRule="exact"/>
              <w:rPr>
                <w:sz w:val="20"/>
                <w:szCs w:val="20"/>
                <w:color w:val="auto"/>
              </w:rPr>
            </w:pPr>
            <w:r>
              <w:rPr>
                <w:rFonts w:ascii="Arial" w:cs="Arial" w:eastAsia="Arial" w:hAnsi="Arial"/>
                <w:sz w:val="19"/>
                <w:szCs w:val="19"/>
                <w:color w:val="auto"/>
                <w:w w:val="93"/>
              </w:rPr>
              <w:t>·   Monster Energy Extra Strength Nitrous Technology®</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Punch Monster® Baller’s Blend® (formerly Dub Edition)</w:t>
            </w:r>
          </w:p>
        </w:tc>
        <w:tc>
          <w:tcPr>
            <w:tcW w:w="1100" w:type="dxa"/>
            <w:vAlign w:val="bottom"/>
          </w:tcPr>
          <w:p>
            <w:pPr>
              <w:spacing w:after="0"/>
              <w:rPr>
                <w:sz w:val="18"/>
                <w:szCs w:val="18"/>
                <w:color w:val="auto"/>
              </w:rPr>
            </w:pPr>
          </w:p>
        </w:tc>
        <w:tc>
          <w:tcPr>
            <w:tcW w:w="4200" w:type="dxa"/>
            <w:vAlign w:val="bottom"/>
          </w:tcPr>
          <w:p>
            <w:pPr>
              <w:ind w:left="160"/>
              <w:spacing w:after="0" w:line="216" w:lineRule="exact"/>
              <w:rPr>
                <w:sz w:val="20"/>
                <w:szCs w:val="20"/>
                <w:color w:val="auto"/>
              </w:rPr>
            </w:pPr>
            <w:r>
              <w:rPr>
                <w:rFonts w:ascii="Arial" w:cs="Arial" w:eastAsia="Arial" w:hAnsi="Arial"/>
                <w:sz w:val="19"/>
                <w:szCs w:val="19"/>
                <w:color w:val="auto"/>
              </w:rPr>
              <w:t>Super Dry™</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Punch Monster® Mad Dog (formerly Dub Edition)</w:t>
            </w:r>
          </w:p>
        </w:tc>
        <w:tc>
          <w:tcPr>
            <w:tcW w:w="5300" w:type="dxa"/>
            <w:vAlign w:val="bottom"/>
            <w:gridSpan w:val="2"/>
          </w:tcPr>
          <w:p>
            <w:pPr>
              <w:ind w:left="940"/>
              <w:spacing w:after="0" w:line="216" w:lineRule="exact"/>
              <w:rPr>
                <w:sz w:val="20"/>
                <w:szCs w:val="20"/>
                <w:color w:val="auto"/>
              </w:rPr>
            </w:pPr>
            <w:r>
              <w:rPr>
                <w:rFonts w:ascii="Arial" w:cs="Arial" w:eastAsia="Arial" w:hAnsi="Arial"/>
                <w:sz w:val="19"/>
                <w:szCs w:val="19"/>
                <w:color w:val="auto"/>
                <w:w w:val="93"/>
              </w:rPr>
              <w:t>·   Monster Energy Extra Strength Nitrous Technology®</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Tea + Lemonade + Energy</w:t>
            </w:r>
          </w:p>
        </w:tc>
        <w:tc>
          <w:tcPr>
            <w:tcW w:w="1100" w:type="dxa"/>
            <w:vAlign w:val="bottom"/>
          </w:tcPr>
          <w:p>
            <w:pPr>
              <w:spacing w:after="0"/>
              <w:rPr>
                <w:sz w:val="18"/>
                <w:szCs w:val="18"/>
                <w:color w:val="auto"/>
              </w:rPr>
            </w:pPr>
          </w:p>
        </w:tc>
        <w:tc>
          <w:tcPr>
            <w:tcW w:w="4200" w:type="dxa"/>
            <w:vAlign w:val="bottom"/>
          </w:tcPr>
          <w:p>
            <w:pPr>
              <w:ind w:left="160"/>
              <w:spacing w:after="0" w:line="216" w:lineRule="exact"/>
              <w:rPr>
                <w:sz w:val="20"/>
                <w:szCs w:val="20"/>
                <w:color w:val="auto"/>
              </w:rPr>
            </w:pPr>
            <w:r>
              <w:rPr>
                <w:rFonts w:ascii="Arial" w:cs="Arial" w:eastAsia="Arial" w:hAnsi="Arial"/>
                <w:sz w:val="19"/>
                <w:szCs w:val="19"/>
                <w:color w:val="auto"/>
              </w:rPr>
              <w:t>Anti-Gravity®</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Raspberry Tea + Energy (formerly Rojo)</w:t>
            </w:r>
          </w:p>
        </w:tc>
        <w:tc>
          <w:tcPr>
            <w:tcW w:w="5300" w:type="dxa"/>
            <w:vAlign w:val="bottom"/>
            <w:gridSpan w:val="2"/>
          </w:tcPr>
          <w:p>
            <w:pPr>
              <w:ind w:left="940"/>
              <w:spacing w:after="0" w:line="216" w:lineRule="exact"/>
              <w:rPr>
                <w:sz w:val="20"/>
                <w:szCs w:val="20"/>
                <w:color w:val="auto"/>
              </w:rPr>
            </w:pPr>
            <w:r>
              <w:rPr>
                <w:rFonts w:ascii="Arial" w:cs="Arial" w:eastAsia="Arial" w:hAnsi="Arial"/>
                <w:sz w:val="19"/>
                <w:szCs w:val="19"/>
                <w:color w:val="auto"/>
              </w:rPr>
              <w:t>·   M3® Monster Energy® Super Concentrate</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Green Tea + Energy</w:t>
            </w:r>
          </w:p>
        </w:tc>
        <w:tc>
          <w:tcPr>
            <w:tcW w:w="5300" w:type="dxa"/>
            <w:vAlign w:val="bottom"/>
            <w:gridSpan w:val="2"/>
          </w:tcPr>
          <w:p>
            <w:pPr>
              <w:ind w:left="940"/>
              <w:spacing w:after="0" w:line="216" w:lineRule="exact"/>
              <w:rPr>
                <w:sz w:val="20"/>
                <w:szCs w:val="20"/>
                <w:color w:val="auto"/>
              </w:rPr>
            </w:pPr>
            <w:r>
              <w:rPr>
                <w:rFonts w:ascii="Arial" w:cs="Arial" w:eastAsia="Arial" w:hAnsi="Arial"/>
                <w:sz w:val="19"/>
                <w:szCs w:val="19"/>
                <w:color w:val="auto"/>
              </w:rPr>
              <w:t>·   Monster Energy Zero Ultra®</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Tea + Orangeade + Energy</w:t>
            </w:r>
          </w:p>
        </w:tc>
        <w:tc>
          <w:tcPr>
            <w:tcW w:w="5300" w:type="dxa"/>
            <w:vAlign w:val="bottom"/>
            <w:gridSpan w:val="2"/>
          </w:tcPr>
          <w:p>
            <w:pPr>
              <w:ind w:left="940"/>
              <w:spacing w:after="0" w:line="216" w:lineRule="exact"/>
              <w:rPr>
                <w:sz w:val="20"/>
                <w:szCs w:val="20"/>
                <w:color w:val="auto"/>
              </w:rPr>
            </w:pPr>
            <w:r>
              <w:rPr>
                <w:rFonts w:ascii="Arial" w:cs="Arial" w:eastAsia="Arial" w:hAnsi="Arial"/>
                <w:sz w:val="19"/>
                <w:szCs w:val="19"/>
                <w:color w:val="auto"/>
              </w:rPr>
              <w:t>·   Monster Energy Ultra Blue®</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Tea + Pink Lemonade + Energy</w:t>
            </w:r>
          </w:p>
        </w:tc>
        <w:tc>
          <w:tcPr>
            <w:tcW w:w="5300" w:type="dxa"/>
            <w:vAlign w:val="bottom"/>
            <w:gridSpan w:val="2"/>
          </w:tcPr>
          <w:p>
            <w:pPr>
              <w:ind w:left="940"/>
              <w:spacing w:after="0" w:line="216" w:lineRule="exact"/>
              <w:rPr>
                <w:sz w:val="20"/>
                <w:szCs w:val="20"/>
                <w:color w:val="auto"/>
              </w:rPr>
            </w:pPr>
            <w:r>
              <w:rPr>
                <w:rFonts w:ascii="Arial" w:cs="Arial" w:eastAsia="Arial" w:hAnsi="Arial"/>
                <w:sz w:val="19"/>
                <w:szCs w:val="19"/>
                <w:color w:val="auto"/>
              </w:rPr>
              <w:t>·   Monster Energy Ultra Red®</w:t>
            </w:r>
          </w:p>
        </w:tc>
      </w:tr>
      <w:tr>
        <w:trPr>
          <w:trHeight w:val="216"/>
        </w:trPr>
        <w:tc>
          <w:tcPr>
            <w:tcW w:w="5680" w:type="dxa"/>
            <w:vAlign w:val="bottom"/>
            <w:gridSpan w:val="2"/>
          </w:tcPr>
          <w:p>
            <w:pPr>
              <w:spacing w:after="0" w:line="216" w:lineRule="exact"/>
              <w:rPr>
                <w:sz w:val="20"/>
                <w:szCs w:val="20"/>
                <w:color w:val="auto"/>
              </w:rPr>
            </w:pPr>
            <w:r>
              <w:rPr>
                <w:rFonts w:ascii="Arial" w:cs="Arial" w:eastAsia="Arial" w:hAnsi="Arial"/>
                <w:sz w:val="19"/>
                <w:szCs w:val="19"/>
                <w:color w:val="auto"/>
              </w:rPr>
              <w:t>·   Monster Rehab® Peach Tea + Energy</w:t>
            </w:r>
          </w:p>
        </w:tc>
        <w:tc>
          <w:tcPr>
            <w:tcW w:w="5300" w:type="dxa"/>
            <w:vAlign w:val="bottom"/>
            <w:gridSpan w:val="2"/>
          </w:tcPr>
          <w:p>
            <w:pPr>
              <w:ind w:left="940"/>
              <w:spacing w:after="0" w:line="216" w:lineRule="exact"/>
              <w:rPr>
                <w:sz w:val="20"/>
                <w:szCs w:val="20"/>
                <w:color w:val="auto"/>
              </w:rPr>
            </w:pPr>
            <w:r>
              <w:rPr>
                <w:rFonts w:ascii="Arial" w:cs="Arial" w:eastAsia="Arial" w:hAnsi="Arial"/>
                <w:sz w:val="19"/>
                <w:szCs w:val="19"/>
                <w:color w:val="auto"/>
              </w:rPr>
              <w:t>·   Monster Energy Ultra Black®</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Muscle Monster® Vanilla</w:t>
            </w:r>
          </w:p>
        </w:tc>
        <w:tc>
          <w:tcPr>
            <w:tcW w:w="5300" w:type="dxa"/>
            <w:vAlign w:val="bottom"/>
            <w:gridSpan w:val="2"/>
          </w:tcPr>
          <w:p>
            <w:pPr>
              <w:ind w:left="940"/>
              <w:spacing w:after="0" w:line="216" w:lineRule="exact"/>
              <w:rPr>
                <w:sz w:val="20"/>
                <w:szCs w:val="20"/>
                <w:color w:val="auto"/>
              </w:rPr>
            </w:pPr>
            <w:r>
              <w:rPr>
                <w:rFonts w:ascii="Arial" w:cs="Arial" w:eastAsia="Arial" w:hAnsi="Arial"/>
                <w:sz w:val="19"/>
                <w:szCs w:val="19"/>
                <w:color w:val="auto"/>
              </w:rPr>
              <w:t>·   Monster Energy Ultra Sunrise®</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Muscle Monster® Chocolate</w:t>
            </w:r>
          </w:p>
        </w:tc>
        <w:tc>
          <w:tcPr>
            <w:tcW w:w="5300" w:type="dxa"/>
            <w:vAlign w:val="bottom"/>
            <w:gridSpan w:val="2"/>
          </w:tcPr>
          <w:p>
            <w:pPr>
              <w:ind w:left="940"/>
              <w:spacing w:after="0" w:line="216" w:lineRule="exact"/>
              <w:rPr>
                <w:sz w:val="20"/>
                <w:szCs w:val="20"/>
                <w:color w:val="auto"/>
              </w:rPr>
            </w:pPr>
            <w:r>
              <w:rPr>
                <w:rFonts w:ascii="Arial" w:cs="Arial" w:eastAsia="Arial" w:hAnsi="Arial"/>
                <w:sz w:val="19"/>
                <w:szCs w:val="19"/>
                <w:color w:val="auto"/>
              </w:rPr>
              <w:t>·   Monster Energy Ultra Citron®</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Muscle Monster® Strawberry</w:t>
            </w:r>
          </w:p>
        </w:tc>
        <w:tc>
          <w:tcPr>
            <w:tcW w:w="5300" w:type="dxa"/>
            <w:vAlign w:val="bottom"/>
            <w:gridSpan w:val="2"/>
          </w:tcPr>
          <w:p>
            <w:pPr>
              <w:ind w:left="940"/>
              <w:spacing w:after="0" w:line="216" w:lineRule="exact"/>
              <w:rPr>
                <w:sz w:val="20"/>
                <w:szCs w:val="20"/>
                <w:color w:val="auto"/>
              </w:rPr>
            </w:pPr>
            <w:r>
              <w:rPr>
                <w:rFonts w:ascii="Arial" w:cs="Arial" w:eastAsia="Arial" w:hAnsi="Arial"/>
                <w:sz w:val="19"/>
                <w:szCs w:val="19"/>
                <w:color w:val="auto"/>
              </w:rPr>
              <w:t>·   Monster Energy Ultra Violet</w:t>
            </w:r>
            <w:r>
              <w:rPr>
                <w:rFonts w:ascii="Arial" w:cs="Arial" w:eastAsia="Arial" w:hAnsi="Arial"/>
                <w:sz w:val="25"/>
                <w:szCs w:val="25"/>
                <w:color w:val="auto"/>
                <w:vertAlign w:val="superscript"/>
              </w:rPr>
              <w:t>TM</w:t>
            </w:r>
          </w:p>
        </w:tc>
      </w:tr>
      <w:tr>
        <w:trPr>
          <w:trHeight w:val="216"/>
        </w:trPr>
        <w:tc>
          <w:tcPr>
            <w:tcW w:w="160" w:type="dxa"/>
            <w:vAlign w:val="bottom"/>
          </w:tcPr>
          <w:p>
            <w:pPr>
              <w:spacing w:after="0" w:line="216" w:lineRule="exact"/>
              <w:rPr>
                <w:sz w:val="20"/>
                <w:szCs w:val="20"/>
                <w:color w:val="auto"/>
              </w:rPr>
            </w:pPr>
            <w:r>
              <w:rPr>
                <w:rFonts w:ascii="Arial" w:cs="Arial" w:eastAsia="Arial" w:hAnsi="Arial"/>
                <w:sz w:val="19"/>
                <w:szCs w:val="19"/>
                <w:color w:val="auto"/>
              </w:rPr>
              <w:t>·</w:t>
            </w:r>
          </w:p>
        </w:tc>
        <w:tc>
          <w:tcPr>
            <w:tcW w:w="5520" w:type="dxa"/>
            <w:vAlign w:val="bottom"/>
          </w:tcPr>
          <w:p>
            <w:pPr>
              <w:ind w:left="120"/>
              <w:spacing w:after="0" w:line="216" w:lineRule="exact"/>
              <w:rPr>
                <w:sz w:val="20"/>
                <w:szCs w:val="20"/>
                <w:color w:val="auto"/>
              </w:rPr>
            </w:pPr>
            <w:r>
              <w:rPr>
                <w:rFonts w:ascii="Arial" w:cs="Arial" w:eastAsia="Arial" w:hAnsi="Arial"/>
                <w:sz w:val="19"/>
                <w:szCs w:val="19"/>
                <w:color w:val="auto"/>
              </w:rPr>
              <w:t>Muscle Monster® Banana</w:t>
            </w:r>
          </w:p>
        </w:tc>
        <w:tc>
          <w:tcPr>
            <w:tcW w:w="5300" w:type="dxa"/>
            <w:vAlign w:val="bottom"/>
            <w:gridSpan w:val="2"/>
          </w:tcPr>
          <w:p>
            <w:pPr>
              <w:ind w:left="940"/>
              <w:spacing w:after="0" w:line="216" w:lineRule="exact"/>
              <w:rPr>
                <w:sz w:val="20"/>
                <w:szCs w:val="20"/>
                <w:color w:val="auto"/>
              </w:rPr>
            </w:pPr>
            <w:r>
              <w:rPr>
                <w:rFonts w:ascii="Arial" w:cs="Arial" w:eastAsia="Arial" w:hAnsi="Arial"/>
                <w:sz w:val="19"/>
                <w:szCs w:val="19"/>
                <w:color w:val="auto"/>
              </w:rPr>
              <w:t>·   Monster Energy® Valentino Rossi</w:t>
            </w:r>
          </w:p>
        </w:tc>
      </w:tr>
      <w:tr>
        <w:trPr>
          <w:trHeight w:val="240"/>
        </w:trPr>
        <w:tc>
          <w:tcPr>
            <w:tcW w:w="160" w:type="dxa"/>
            <w:vAlign w:val="bottom"/>
          </w:tcPr>
          <w:p>
            <w:pPr>
              <w:spacing w:after="0"/>
              <w:rPr>
                <w:sz w:val="20"/>
                <w:szCs w:val="20"/>
                <w:color w:val="auto"/>
              </w:rPr>
            </w:pPr>
            <w:r>
              <w:rPr>
                <w:rFonts w:ascii="Arial" w:cs="Arial" w:eastAsia="Arial" w:hAnsi="Arial"/>
                <w:sz w:val="19"/>
                <w:szCs w:val="19"/>
                <w:color w:val="auto"/>
              </w:rPr>
              <w:t>·</w:t>
            </w:r>
          </w:p>
        </w:tc>
        <w:tc>
          <w:tcPr>
            <w:tcW w:w="5520" w:type="dxa"/>
            <w:vAlign w:val="bottom"/>
          </w:tcPr>
          <w:p>
            <w:pPr>
              <w:ind w:left="120"/>
              <w:spacing w:after="0"/>
              <w:rPr>
                <w:sz w:val="20"/>
                <w:szCs w:val="20"/>
                <w:color w:val="auto"/>
              </w:rPr>
            </w:pPr>
            <w:r>
              <w:rPr>
                <w:rFonts w:ascii="Arial" w:cs="Arial" w:eastAsia="Arial" w:hAnsi="Arial"/>
                <w:sz w:val="19"/>
                <w:szCs w:val="19"/>
                <w:color w:val="auto"/>
              </w:rPr>
              <w:t>Monster Energy® Gronk</w:t>
            </w:r>
          </w:p>
        </w:tc>
        <w:tc>
          <w:tcPr>
            <w:tcW w:w="1100" w:type="dxa"/>
            <w:vAlign w:val="bottom"/>
          </w:tcPr>
          <w:p>
            <w:pPr>
              <w:ind w:left="940"/>
              <w:spacing w:after="0"/>
              <w:rPr>
                <w:sz w:val="20"/>
                <w:szCs w:val="20"/>
                <w:color w:val="auto"/>
              </w:rPr>
            </w:pPr>
            <w:r>
              <w:rPr>
                <w:rFonts w:ascii="Arial" w:cs="Arial" w:eastAsia="Arial" w:hAnsi="Arial"/>
                <w:sz w:val="19"/>
                <w:szCs w:val="19"/>
                <w:color w:val="auto"/>
              </w:rPr>
              <w:t>·</w:t>
            </w:r>
          </w:p>
        </w:tc>
        <w:tc>
          <w:tcPr>
            <w:tcW w:w="4200" w:type="dxa"/>
            <w:vAlign w:val="bottom"/>
          </w:tcPr>
          <w:p>
            <w:pPr>
              <w:ind w:left="140"/>
              <w:spacing w:after="0"/>
              <w:rPr>
                <w:sz w:val="20"/>
                <w:szCs w:val="20"/>
                <w:color w:val="auto"/>
              </w:rPr>
            </w:pPr>
            <w:r>
              <w:rPr>
                <w:rFonts w:ascii="Arial" w:cs="Arial" w:eastAsia="Arial" w:hAnsi="Arial"/>
                <w:sz w:val="19"/>
                <w:szCs w:val="19"/>
                <w:color w:val="auto"/>
              </w:rPr>
              <w:t>Übermonster® Energy Brew™</w:t>
            </w:r>
          </w:p>
        </w:tc>
      </w:tr>
    </w:tbl>
    <w:p>
      <w:pPr>
        <w:spacing w:after="0" w:line="211"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9"/>
          <w:szCs w:val="19"/>
          <w:color w:val="auto"/>
        </w:rPr>
        <w:t>We have three operating and reportable segments, (i) Monster Energy® Drinks segment (“Monster Energy® Drinks”), which is comprised of the Company’s Monster Energy® drinks as well as Mutant® Super Soda drinks, (ii) Strategic Brands segment (“Strategic Brands”), which is comprised of the various energy drink brands acquired from TCCC in 2015 and (iii) Other segment (“Other”), which is comprised of certain products sold by AFF to independent third-party customers (the “AFF Third- Party Products”).</w:t>
      </w:r>
    </w:p>
    <w:p>
      <w:pPr>
        <w:spacing w:after="0" w:line="190"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20"/>
          <w:szCs w:val="20"/>
          <w:color w:val="auto"/>
        </w:rPr>
        <w:t>During the three-months ended March 31, 2017, we continued to expand our existing energy drink portfolio and further develop our distribution markets. During the three-months ended March 31, 2017, we introduced the following products:</w:t>
      </w:r>
    </w:p>
    <w:p>
      <w:pPr>
        <w:spacing w:after="0" w:line="190"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Full Throttle Orange (March 2017)</w:t>
      </w:r>
    </w:p>
    <w:p>
      <w:pPr>
        <w:spacing w:after="0" w:line="229"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or product lines discontinued in the three-months ended March 31, 2017, either individually or in aggregate, did not have a material adverse impact on our financial position, results of operations or liquidity.</w:t>
      </w:r>
    </w:p>
    <w:p>
      <w:pPr>
        <w:spacing w:after="0" w:line="200"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Our net sales of $742.1 million for the three-months ended March 31, 2017 represented record sales for our first fiscal quarter. The vast majority of our net sales are derived from our Monster Energy® brand energy drinks. Net sales of our Monster Energy® brand energy drinks were $665.8 million for the three-months ended March 31, 2017. Net sales of our Strategic Brands were $68.0 million for the three-months ended March 31, 2017.</w:t>
      </w:r>
    </w:p>
    <w:p>
      <w:pPr>
        <w:spacing w:after="0" w:line="20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9"/>
          <w:szCs w:val="19"/>
          <w:color w:val="auto"/>
        </w:rPr>
        <w:t>Our Monster Energy® Drinks segment represented 90.1% and 91.4% of our consolidated net sales for the three-months ended March 31, 2017 and 2016, respectively. Our Strategic Brands segment represented 9.2% and 8.6% of our consolidated net sales for the three-months ended March 31, 2017 and 2016, respectively. Our Other segment represented 0.7% of our consolidated net sales for the three-months ended March 31, 2017. There were no net sales for the Other segment during the three-months ended March 31, 2016.</w:t>
      </w:r>
    </w:p>
    <w:p>
      <w:pPr>
        <w:sectPr>
          <w:pgSz w:w="11900" w:h="16838" w:orient="portrait"/>
          <w:cols w:equalWidth="0" w:num="1">
            <w:col w:w="11460"/>
          </w:cols>
          <w:pgMar w:left="240" w:top="122" w:right="199" w:bottom="0" w:gutter="0" w:footer="0" w:header="0"/>
        </w:sectPr>
      </w:pP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2" w:right="199" w:bottom="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8"/>
          <w:szCs w:val="18"/>
          <w:color w:val="auto"/>
        </w:rPr>
        <w:t>Net changes in foreign currency exchange rates had an unfavorable impact on net sales in the Monster Energy® Drinks segment of approximately $4.7 million for the three-months ended March 31, 2017. Net changes in foreign currency exchange rates had a favorable impact on net sales in the Strategic Brands segment of approximately $1.0 million for the three-months ended March 31, 2017.</w:t>
      </w:r>
    </w:p>
    <w:p>
      <w:pPr>
        <w:spacing w:after="0" w:line="165" w:lineRule="exact"/>
        <w:rPr>
          <w:sz w:val="20"/>
          <w:szCs w:val="20"/>
          <w:color w:val="auto"/>
        </w:rPr>
      </w:pPr>
    </w:p>
    <w:p>
      <w:pPr>
        <w:jc w:val="both"/>
        <w:ind w:right="40" w:firstLine="746"/>
        <w:spacing w:after="0" w:line="273" w:lineRule="auto"/>
        <w:rPr>
          <w:sz w:val="20"/>
          <w:szCs w:val="20"/>
          <w:color w:val="auto"/>
        </w:rPr>
      </w:pPr>
      <w:r>
        <w:rPr>
          <w:rFonts w:ascii="Arial" w:cs="Arial" w:eastAsia="Arial" w:hAnsi="Arial"/>
          <w:sz w:val="18"/>
          <w:szCs w:val="18"/>
          <w:color w:val="auto"/>
        </w:rPr>
        <w:t>Our sales and marketing strategy for all our beverages is to focus our efforts on developing brand awareness through image-enhancing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personality endorsements (including television and other well-known sports personalities), sampling and sponsorship of selected athletes, teams, series, bands, esports, causes and events. In-store posters, outdoor posters, print, radio and television advertising (directly and through our sponsorships and endorsements) and coupons may also be used to promote our brands.</w:t>
      </w:r>
    </w:p>
    <w:p>
      <w:pPr>
        <w:spacing w:after="0" w:line="183" w:lineRule="exact"/>
        <w:rPr>
          <w:sz w:val="20"/>
          <w:szCs w:val="20"/>
          <w:color w:val="auto"/>
        </w:rPr>
      </w:pPr>
    </w:p>
    <w:p>
      <w:pPr>
        <w:jc w:val="both"/>
        <w:ind w:right="40" w:firstLine="648"/>
        <w:spacing w:after="0" w:line="244" w:lineRule="auto"/>
        <w:rPr>
          <w:sz w:val="20"/>
          <w:szCs w:val="20"/>
          <w:color w:val="auto"/>
        </w:rPr>
      </w:pPr>
      <w:r>
        <w:rPr>
          <w:rFonts w:ascii="Arial" w:cs="Arial" w:eastAsia="Arial" w:hAnsi="Arial"/>
          <w:sz w:val="20"/>
          <w:szCs w:val="20"/>
          <w:color w:val="auto"/>
        </w:rPr>
        <w:t>We believe that one of the keys to success in the beverage industry is differentiation, making our brands and products visually appealing and distinctive from other beverages on the shelves of retailers. We review our products and packaging on an ongoing basis and, where practical, endeavor to make them different and unique. The labels and graphics for many of our products are redesigned from time to time to maximize their visibility and identification, wherever they may be placed in stores, which we will continue to reevaluate from time to time.</w:t>
      </w:r>
    </w:p>
    <w:p>
      <w:pPr>
        <w:spacing w:after="0" w:line="208" w:lineRule="exact"/>
        <w:rPr>
          <w:sz w:val="20"/>
          <w:szCs w:val="20"/>
          <w:color w:val="auto"/>
        </w:rPr>
      </w:pPr>
    </w:p>
    <w:p>
      <w:pPr>
        <w:jc w:val="both"/>
        <w:ind w:right="40" w:firstLine="648"/>
        <w:spacing w:after="0" w:line="282" w:lineRule="auto"/>
        <w:rPr>
          <w:sz w:val="20"/>
          <w:szCs w:val="20"/>
          <w:color w:val="auto"/>
        </w:rPr>
      </w:pPr>
      <w:r>
        <w:rPr>
          <w:rFonts w:ascii="Arial" w:cs="Arial" w:eastAsia="Arial" w:hAnsi="Arial"/>
          <w:sz w:val="18"/>
          <w:szCs w:val="18"/>
          <w:color w:val="auto"/>
        </w:rPr>
        <w:t>Our growth strategy includes expanding our international business. Net sales to customers outside the United States amounted to $190.9 million and $149.1 million for the three-months ended March 31, 2017 and 2016, respectively. Such sales were approximately 26% and 22% of net sales for the three-months ended March 31, 2017 and 2016, respectively. Net changes in foreign currency exchange rates had an unfavorable impact on net sales to customers outside the United States of approximately 2% for the three-months ended March 31, 2017.</w:t>
      </w:r>
    </w:p>
    <w:p>
      <w:pPr>
        <w:spacing w:after="0" w:line="175"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Our customers are primarily full service beverage bottlers/distributors, retail grocery and specialty chains, wholesalers, club stores, mass merchandisers, convenience chains, food service customers and the military. Percentages of our gross sales to our various customer types for the three-months ended March 31, 2017 and 2016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540" w:type="dxa"/>
            <w:vAlign w:val="bottom"/>
            <w:gridSpan w:val="4"/>
          </w:tcPr>
          <w:p>
            <w:pPr>
              <w:jc w:val="center"/>
              <w:spacing w:after="0"/>
              <w:rPr>
                <w:sz w:val="20"/>
                <w:szCs w:val="20"/>
                <w:color w:val="auto"/>
              </w:rPr>
            </w:pPr>
            <w:r>
              <w:rPr>
                <w:rFonts w:ascii="Arial" w:cs="Arial" w:eastAsia="Arial" w:hAnsi="Arial"/>
                <w:sz w:val="20"/>
                <w:szCs w:val="20"/>
                <w:color w:val="auto"/>
                <w:w w:val="90"/>
              </w:rPr>
              <w:t>Three-Months Ended</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7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center"/>
              <w:ind w:right="721"/>
              <w:spacing w:after="0"/>
              <w:rPr>
                <w:sz w:val="20"/>
                <w:szCs w:val="20"/>
                <w:color w:val="auto"/>
              </w:rPr>
            </w:pPr>
            <w:r>
              <w:rPr>
                <w:rFonts w:ascii="Arial" w:cs="Arial" w:eastAsia="Arial" w:hAnsi="Arial"/>
                <w:sz w:val="20"/>
                <w:szCs w:val="20"/>
                <w:color w:val="auto"/>
                <w:w w:val="92"/>
              </w:rPr>
              <w:t>March 31,</w:t>
            </w: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20" w:type="dxa"/>
            <w:vAlign w:val="bottom"/>
            <w:vMerge w:val="restart"/>
          </w:tcPr>
          <w:p>
            <w:pPr>
              <w:spacing w:after="0"/>
              <w:rPr>
                <w:sz w:val="20"/>
                <w:szCs w:val="20"/>
                <w:color w:val="auto"/>
              </w:rPr>
            </w:pPr>
            <w:r>
              <w:rPr>
                <w:rFonts w:ascii="Arial" w:cs="Arial" w:eastAsia="Arial" w:hAnsi="Arial"/>
                <w:sz w:val="20"/>
                <w:szCs w:val="20"/>
                <w:color w:val="auto"/>
              </w:rPr>
              <w:t>U.S. full service bottlers/distributors</w:t>
            </w:r>
          </w:p>
        </w:tc>
        <w:tc>
          <w:tcPr>
            <w:tcW w:w="1400" w:type="dxa"/>
            <w:vAlign w:val="bottom"/>
          </w:tcPr>
          <w:p>
            <w:pPr>
              <w:spacing w:after="0"/>
              <w:rPr>
                <w:sz w:val="19"/>
                <w:szCs w:val="19"/>
                <w:color w:val="auto"/>
              </w:rPr>
            </w:pPr>
          </w:p>
        </w:tc>
        <w:tc>
          <w:tcPr>
            <w:tcW w:w="820" w:type="dxa"/>
            <w:vAlign w:val="bottom"/>
          </w:tcPr>
          <w:p>
            <w:pPr>
              <w:jc w:val="center"/>
              <w:ind w:left="241"/>
              <w:spacing w:after="0" w:line="223" w:lineRule="exact"/>
              <w:rPr>
                <w:sz w:val="20"/>
                <w:szCs w:val="20"/>
                <w:color w:val="auto"/>
              </w:rPr>
            </w:pPr>
            <w:r>
              <w:rPr>
                <w:rFonts w:ascii="Arial" w:cs="Arial" w:eastAsia="Arial" w:hAnsi="Arial"/>
                <w:sz w:val="20"/>
                <w:szCs w:val="20"/>
                <w:color w:val="auto"/>
                <w:w w:val="89"/>
              </w:rPr>
              <w:t>2017</w:t>
            </w:r>
          </w:p>
        </w:tc>
        <w:tc>
          <w:tcPr>
            <w:tcW w:w="1720" w:type="dxa"/>
            <w:vAlign w:val="bottom"/>
            <w:gridSpan w:val="3"/>
          </w:tcPr>
          <w:p>
            <w:pPr>
              <w:jc w:val="center"/>
              <w:ind w:left="461"/>
              <w:spacing w:after="0" w:line="223" w:lineRule="exact"/>
              <w:rPr>
                <w:sz w:val="20"/>
                <w:szCs w:val="20"/>
                <w:color w:val="auto"/>
              </w:rPr>
            </w:pPr>
            <w:r>
              <w:rPr>
                <w:rFonts w:ascii="Arial" w:cs="Arial" w:eastAsia="Arial" w:hAnsi="Arial"/>
                <w:sz w:val="20"/>
                <w:szCs w:val="20"/>
                <w:color w:val="auto"/>
                <w:w w:val="89"/>
              </w:rPr>
              <w:t>2016</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2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Borders>
              <w:top w:val="single" w:sz="8" w:color="auto"/>
            </w:tcBorders>
          </w:tcPr>
          <w:p>
            <w:pPr>
              <w:jc w:val="center"/>
              <w:ind w:left="241"/>
              <w:spacing w:after="0" w:line="207" w:lineRule="exact"/>
              <w:rPr>
                <w:sz w:val="20"/>
                <w:szCs w:val="20"/>
                <w:color w:val="auto"/>
              </w:rPr>
            </w:pPr>
            <w:r>
              <w:rPr>
                <w:rFonts w:ascii="Arial" w:cs="Arial" w:eastAsia="Arial" w:hAnsi="Arial"/>
                <w:sz w:val="20"/>
                <w:szCs w:val="20"/>
                <w:color w:val="auto"/>
                <w:w w:val="89"/>
              </w:rPr>
              <w:t>64%</w:t>
            </w: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66%</w:t>
            </w: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20"/>
                <w:szCs w:val="20"/>
                <w:color w:val="auto"/>
              </w:rPr>
              <w:t>Club stores and mass merchandisers</w:t>
            </w:r>
          </w:p>
        </w:tc>
        <w:tc>
          <w:tcPr>
            <w:tcW w:w="2220" w:type="dxa"/>
            <w:vAlign w:val="bottom"/>
            <w:gridSpan w:val="2"/>
          </w:tcPr>
          <w:p>
            <w:pPr>
              <w:jc w:val="center"/>
              <w:ind w:left="1643"/>
              <w:spacing w:after="0"/>
              <w:rPr>
                <w:sz w:val="20"/>
                <w:szCs w:val="20"/>
                <w:color w:val="auto"/>
              </w:rPr>
            </w:pPr>
            <w:r>
              <w:rPr>
                <w:rFonts w:ascii="Arial" w:cs="Arial" w:eastAsia="Arial" w:hAnsi="Arial"/>
                <w:sz w:val="20"/>
                <w:szCs w:val="20"/>
                <w:color w:val="auto"/>
                <w:w w:val="96"/>
              </w:rPr>
              <w:t>7%</w:t>
            </w:r>
          </w:p>
        </w:tc>
        <w:tc>
          <w:tcPr>
            <w:tcW w:w="1720" w:type="dxa"/>
            <w:vAlign w:val="bottom"/>
            <w:gridSpan w:val="3"/>
          </w:tcPr>
          <w:p>
            <w:pPr>
              <w:jc w:val="center"/>
              <w:ind w:left="441"/>
              <w:spacing w:after="0"/>
              <w:rPr>
                <w:sz w:val="20"/>
                <w:szCs w:val="20"/>
                <w:color w:val="auto"/>
              </w:rPr>
            </w:pPr>
            <w:r>
              <w:rPr>
                <w:rFonts w:ascii="Arial" w:cs="Arial" w:eastAsia="Arial" w:hAnsi="Arial"/>
                <w:sz w:val="20"/>
                <w:szCs w:val="20"/>
                <w:color w:val="auto"/>
                <w:w w:val="89"/>
              </w:rPr>
              <w:t>9%</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20"/>
                <w:szCs w:val="20"/>
                <w:color w:val="auto"/>
              </w:rPr>
              <w:t>International full service bottlers/distributors</w:t>
            </w:r>
          </w:p>
        </w:tc>
        <w:tc>
          <w:tcPr>
            <w:tcW w:w="2220" w:type="dxa"/>
            <w:vAlign w:val="bottom"/>
            <w:gridSpan w:val="2"/>
          </w:tcPr>
          <w:p>
            <w:pPr>
              <w:jc w:val="center"/>
              <w:ind w:left="1643"/>
              <w:spacing w:after="0"/>
              <w:rPr>
                <w:sz w:val="20"/>
                <w:szCs w:val="20"/>
                <w:color w:val="auto"/>
              </w:rPr>
            </w:pPr>
            <w:r>
              <w:rPr>
                <w:rFonts w:ascii="Arial" w:cs="Arial" w:eastAsia="Arial" w:hAnsi="Arial"/>
                <w:sz w:val="20"/>
                <w:szCs w:val="20"/>
                <w:color w:val="auto"/>
                <w:w w:val="89"/>
              </w:rPr>
              <w:t>27%</w:t>
            </w:r>
          </w:p>
        </w:tc>
        <w:tc>
          <w:tcPr>
            <w:tcW w:w="1720" w:type="dxa"/>
            <w:vAlign w:val="bottom"/>
            <w:gridSpan w:val="3"/>
          </w:tcPr>
          <w:p>
            <w:pPr>
              <w:jc w:val="center"/>
              <w:ind w:left="461"/>
              <w:spacing w:after="0"/>
              <w:rPr>
                <w:sz w:val="20"/>
                <w:szCs w:val="20"/>
                <w:color w:val="auto"/>
              </w:rPr>
            </w:pPr>
            <w:r>
              <w:rPr>
                <w:rFonts w:ascii="Arial" w:cs="Arial" w:eastAsia="Arial" w:hAnsi="Arial"/>
                <w:sz w:val="20"/>
                <w:szCs w:val="20"/>
                <w:color w:val="auto"/>
                <w:w w:val="89"/>
              </w:rPr>
              <w:t>24%</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2220" w:type="dxa"/>
            <w:vAlign w:val="bottom"/>
            <w:gridSpan w:val="2"/>
          </w:tcPr>
          <w:p>
            <w:pPr>
              <w:jc w:val="center"/>
              <w:ind w:left="1643"/>
              <w:spacing w:after="0"/>
              <w:rPr>
                <w:sz w:val="20"/>
                <w:szCs w:val="20"/>
                <w:color w:val="auto"/>
              </w:rPr>
            </w:pPr>
            <w:r>
              <w:rPr>
                <w:rFonts w:ascii="Arial" w:cs="Arial" w:eastAsia="Arial" w:hAnsi="Arial"/>
                <w:sz w:val="20"/>
                <w:szCs w:val="20"/>
                <w:color w:val="auto"/>
                <w:w w:val="96"/>
              </w:rPr>
              <w:t>1%</w:t>
            </w:r>
          </w:p>
        </w:tc>
        <w:tc>
          <w:tcPr>
            <w:tcW w:w="1720" w:type="dxa"/>
            <w:vAlign w:val="bottom"/>
            <w:gridSpan w:val="3"/>
          </w:tcPr>
          <w:p>
            <w:pPr>
              <w:jc w:val="center"/>
              <w:ind w:left="441"/>
              <w:spacing w:after="0"/>
              <w:rPr>
                <w:sz w:val="20"/>
                <w:szCs w:val="20"/>
                <w:color w:val="auto"/>
              </w:rPr>
            </w:pPr>
            <w:r>
              <w:rPr>
                <w:rFonts w:ascii="Arial" w:cs="Arial" w:eastAsia="Arial" w:hAnsi="Arial"/>
                <w:sz w:val="20"/>
                <w:szCs w:val="20"/>
                <w:color w:val="auto"/>
                <w:w w:val="89"/>
              </w:rPr>
              <w:t>1%</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20" w:type="dxa"/>
            <w:vAlign w:val="bottom"/>
          </w:tcPr>
          <w:p>
            <w:pPr>
              <w:spacing w:after="0"/>
              <w:rPr>
                <w:sz w:val="20"/>
                <w:szCs w:val="20"/>
                <w:color w:val="auto"/>
              </w:rPr>
            </w:pPr>
            <w:r>
              <w:rPr>
                <w:rFonts w:ascii="Arial" w:cs="Arial" w:eastAsia="Arial" w:hAnsi="Arial"/>
                <w:sz w:val="20"/>
                <w:szCs w:val="20"/>
                <w:color w:val="auto"/>
              </w:rPr>
              <w:t>Other</w:t>
            </w:r>
          </w:p>
        </w:tc>
        <w:tc>
          <w:tcPr>
            <w:tcW w:w="2220" w:type="dxa"/>
            <w:vAlign w:val="bottom"/>
            <w:gridSpan w:val="2"/>
          </w:tcPr>
          <w:p>
            <w:pPr>
              <w:jc w:val="center"/>
              <w:ind w:left="1643"/>
              <w:spacing w:after="0"/>
              <w:rPr>
                <w:sz w:val="20"/>
                <w:szCs w:val="20"/>
                <w:color w:val="auto"/>
              </w:rPr>
            </w:pPr>
            <w:r>
              <w:rPr>
                <w:rFonts w:ascii="Arial" w:cs="Arial" w:eastAsia="Arial" w:hAnsi="Arial"/>
                <w:sz w:val="20"/>
                <w:szCs w:val="20"/>
                <w:color w:val="auto"/>
                <w:w w:val="96"/>
              </w:rPr>
              <w:t>1%</w:t>
            </w:r>
          </w:p>
        </w:tc>
        <w:tc>
          <w:tcPr>
            <w:tcW w:w="1720" w:type="dxa"/>
            <w:vAlign w:val="bottom"/>
            <w:gridSpan w:val="3"/>
          </w:tcPr>
          <w:p>
            <w:pPr>
              <w:jc w:val="center"/>
              <w:ind w:left="441"/>
              <w:spacing w:after="0"/>
              <w:rPr>
                <w:sz w:val="20"/>
                <w:szCs w:val="20"/>
                <w:color w:val="auto"/>
              </w:rPr>
            </w:pPr>
            <w:r>
              <w:rPr>
                <w:rFonts w:ascii="Arial" w:cs="Arial" w:eastAsia="Arial" w:hAnsi="Arial"/>
                <w:sz w:val="20"/>
                <w:szCs w:val="20"/>
                <w:color w:val="auto"/>
                <w:w w:val="89"/>
              </w:rPr>
              <w:t>0%</w:t>
            </w: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2"/>
        </w:trPr>
        <w:tc>
          <w:tcPr>
            <w:tcW w:w="4720" w:type="dxa"/>
            <w:vAlign w:val="bottom"/>
          </w:tcPr>
          <w:p>
            <w:pPr>
              <w:spacing w:after="0"/>
              <w:rPr>
                <w:sz w:val="24"/>
                <w:szCs w:val="24"/>
                <w:color w:val="auto"/>
              </w:rPr>
            </w:pPr>
          </w:p>
        </w:tc>
        <w:tc>
          <w:tcPr>
            <w:tcW w:w="1400" w:type="dxa"/>
            <w:vAlign w:val="bottom"/>
          </w:tcPr>
          <w:p>
            <w:pPr>
              <w:jc w:val="right"/>
              <w:ind w:right="223"/>
              <w:spacing w:after="0"/>
              <w:rPr>
                <w:sz w:val="20"/>
                <w:szCs w:val="20"/>
                <w:color w:val="auto"/>
              </w:rPr>
            </w:pPr>
            <w:r>
              <w:rPr>
                <w:rFonts w:ascii="Arial" w:cs="Arial" w:eastAsia="Arial" w:hAnsi="Arial"/>
                <w:sz w:val="18"/>
                <w:szCs w:val="18"/>
                <w:color w:val="auto"/>
              </w:rPr>
              <w:t>27</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72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8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right="40" w:firstLine="648"/>
        <w:spacing w:after="0" w:line="258" w:lineRule="auto"/>
        <w:rPr>
          <w:sz w:val="20"/>
          <w:szCs w:val="20"/>
          <w:color w:val="auto"/>
        </w:rPr>
      </w:pPr>
      <w:r>
        <w:rPr>
          <w:rFonts w:ascii="Arial" w:cs="Arial" w:eastAsia="Arial" w:hAnsi="Arial"/>
          <w:sz w:val="19"/>
          <w:szCs w:val="19"/>
          <w:color w:val="auto"/>
        </w:rPr>
        <w:t>Our customers include Coca-Cola Refreshments USA, Inc., Coca-Cola Bottling Company, CCBCC Operations, LLC, United Bottling Contracts Company, LLC, and certain other TCCC independent bottlers, Coca-Cola European Partners, Coca-Cola Hellenic, Coca-Cola FEMSA, Coca-Cola Amatil, Swire Coca-Cola group in China, COFCO Coca-Cola group in China, Asahi, Kalil Bottling Group, Wal-Mart, Inc. (including Sam’s Club), Costco and select Anheuser-Busch distributors (the “AB Distributors”). TCCC, through certain wholly-owned subsidiaries (the “TCCC Subsidiaries”), accounted for approximately 34% and 46% of our net sales for the three-months ended March 31, 2017 and 2016, respectively. A decision by any large customer to decrease amounts purchased from us or to cease carrying our products could have a material negative effect on our financial condition and consolidated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sets forth key statistics for the three-months ended March 31, 2017 and 2016.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2"/>
              </w:rPr>
              <w:t>Three-Months Ended</w:t>
            </w:r>
          </w:p>
        </w:tc>
        <w:tc>
          <w:tcPr>
            <w:tcW w:w="2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96"/>
              </w:rPr>
              <w:t>March 31,</w:t>
            </w: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0"/>
        </w:trPr>
        <w:tc>
          <w:tcPr>
            <w:tcW w:w="4640" w:type="dxa"/>
            <w:vAlign w:val="bottom"/>
            <w:vMerge w:val="restart"/>
          </w:tcPr>
          <w:p>
            <w:pPr>
              <w:spacing w:after="0"/>
              <w:rPr>
                <w:sz w:val="20"/>
                <w:szCs w:val="20"/>
                <w:color w:val="auto"/>
              </w:rPr>
            </w:pPr>
            <w:r>
              <w:rPr>
                <w:rFonts w:ascii="Arial" w:cs="Arial" w:eastAsia="Arial" w:hAnsi="Arial"/>
                <w:sz w:val="18"/>
                <w:szCs w:val="18"/>
                <w:color w:val="auto"/>
              </w:rPr>
              <w:t>Net sales¹</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17 vs. 16</w:t>
            </w:r>
          </w:p>
        </w:tc>
        <w:tc>
          <w:tcPr>
            <w:tcW w:w="0" w:type="dxa"/>
            <w:vAlign w:val="bottom"/>
          </w:tcPr>
          <w:p>
            <w:pPr>
              <w:spacing w:after="0"/>
              <w:rPr>
                <w:sz w:val="1"/>
                <w:szCs w:val="1"/>
                <w:color w:val="auto"/>
              </w:rPr>
            </w:pPr>
          </w:p>
        </w:tc>
      </w:tr>
      <w:tr>
        <w:trPr>
          <w:trHeight w:val="195"/>
        </w:trPr>
        <w:tc>
          <w:tcPr>
            <w:tcW w:w="4640" w:type="dxa"/>
            <w:vAlign w:val="bottom"/>
            <w:vMerge w:val="continue"/>
          </w:tcPr>
          <w:p>
            <w:pPr>
              <w:spacing w:after="0"/>
              <w:rPr>
                <w:sz w:val="16"/>
                <w:szCs w:val="16"/>
                <w:color w:val="auto"/>
              </w:rPr>
            </w:pPr>
          </w:p>
        </w:tc>
        <w:tc>
          <w:tcPr>
            <w:tcW w:w="320" w:type="dxa"/>
            <w:vAlign w:val="bottom"/>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742,146</w:t>
            </w:r>
          </w:p>
        </w:tc>
        <w:tc>
          <w:tcPr>
            <w:tcW w:w="280" w:type="dxa"/>
            <w:vAlign w:val="bottom"/>
          </w:tcPr>
          <w:p>
            <w:pPr>
              <w:spacing w:after="0"/>
              <w:rPr>
                <w:sz w:val="16"/>
                <w:szCs w:val="16"/>
                <w:color w:val="auto"/>
              </w:rPr>
            </w:pPr>
          </w:p>
        </w:tc>
        <w:tc>
          <w:tcPr>
            <w:tcW w:w="340" w:type="dxa"/>
            <w:vAlign w:val="bottom"/>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680,186</w:t>
            </w:r>
          </w:p>
        </w:tc>
        <w:tc>
          <w:tcPr>
            <w:tcW w:w="280" w:type="dxa"/>
            <w:vAlign w:val="bottom"/>
          </w:tcPr>
          <w:p>
            <w:pPr>
              <w:spacing w:after="0"/>
              <w:rPr>
                <w:sz w:val="16"/>
                <w:szCs w:val="16"/>
                <w:color w:val="auto"/>
              </w:rPr>
            </w:pP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261,272</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257,088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5"/>
        </w:trPr>
        <w:tc>
          <w:tcPr>
            <w:tcW w:w="4640" w:type="dxa"/>
            <w:vAlign w:val="bottom"/>
          </w:tcPr>
          <w:p>
            <w:pPr>
              <w:spacing w:after="0" w:line="195" w:lineRule="exact"/>
              <w:rPr>
                <w:sz w:val="20"/>
                <w:szCs w:val="20"/>
                <w:color w:val="auto"/>
              </w:rPr>
            </w:pPr>
            <w:r>
              <w:rPr>
                <w:rFonts w:ascii="Arial" w:cs="Arial" w:eastAsia="Arial" w:hAnsi="Arial"/>
                <w:sz w:val="18"/>
                <w:szCs w:val="18"/>
                <w:color w:val="auto"/>
              </w:rPr>
              <w:t>Gross profit*¹</w:t>
            </w:r>
          </w:p>
        </w:tc>
        <w:tc>
          <w:tcPr>
            <w:tcW w:w="320" w:type="dxa"/>
            <w:vAlign w:val="bottom"/>
          </w:tcPr>
          <w:p>
            <w:pPr>
              <w:spacing w:after="0"/>
              <w:rPr>
                <w:sz w:val="16"/>
                <w:szCs w:val="16"/>
                <w:color w:val="auto"/>
              </w:rPr>
            </w:pPr>
          </w:p>
        </w:tc>
        <w:tc>
          <w:tcPr>
            <w:tcW w:w="9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480,874</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423,098</w:t>
            </w:r>
          </w:p>
        </w:tc>
        <w:tc>
          <w:tcPr>
            <w:tcW w:w="15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Gross profit as a percentage of net sales¹</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62.2%</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640" w:type="dxa"/>
            <w:vAlign w:val="bottom"/>
          </w:tcPr>
          <w:p>
            <w:pPr>
              <w:spacing w:after="0"/>
              <w:rPr>
                <w:sz w:val="20"/>
                <w:szCs w:val="20"/>
                <w:color w:val="auto"/>
              </w:rPr>
            </w:pPr>
            <w:r>
              <w:rPr>
                <w:rFonts w:ascii="Arial" w:cs="Arial" w:eastAsia="Arial" w:hAnsi="Arial"/>
                <w:sz w:val="18"/>
                <w:szCs w:val="18"/>
                <w:color w:val="auto"/>
              </w:rPr>
              <w:t>Operating expenses²</w:t>
            </w:r>
          </w:p>
        </w:tc>
        <w:tc>
          <w:tcPr>
            <w:tcW w:w="3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216,612</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168,385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Operating expenses as a percentage of net sales</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368" w:right="19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Operating income¹,²</w:t>
            </w:r>
          </w:p>
        </w:tc>
        <w:tc>
          <w:tcPr>
            <w:tcW w:w="3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264,262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254,713</w:t>
            </w:r>
          </w:p>
        </w:tc>
        <w:tc>
          <w:tcPr>
            <w:tcW w:w="15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Operating income as a percentage of net sales</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4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658</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608</w:t>
            </w:r>
          </w:p>
        </w:tc>
        <w:tc>
          <w:tcPr>
            <w:tcW w:w="15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26"/>
        </w:trPr>
        <w:tc>
          <w:tcPr>
            <w:tcW w:w="4640" w:type="dxa"/>
            <w:vAlign w:val="bottom"/>
          </w:tcPr>
          <w:p>
            <w:pPr>
              <w:spacing w:after="0"/>
              <w:rPr>
                <w:sz w:val="20"/>
                <w:szCs w:val="20"/>
                <w:color w:val="auto"/>
              </w:rPr>
            </w:pPr>
            <w:r>
              <w:rPr>
                <w:rFonts w:ascii="Arial" w:cs="Arial" w:eastAsia="Arial" w:hAnsi="Arial"/>
                <w:sz w:val="18"/>
                <w:szCs w:val="18"/>
                <w:color w:val="auto"/>
              </w:rPr>
              <w:t>Income before provision for income taxes¹,²</w:t>
            </w:r>
          </w:p>
        </w:tc>
        <w:tc>
          <w:tcPr>
            <w:tcW w:w="3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264,920</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255,321</w:t>
            </w: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2"/>
        </w:trPr>
        <w:tc>
          <w:tcPr>
            <w:tcW w:w="46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86,940</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91,444</w:t>
            </w:r>
          </w:p>
        </w:tc>
        <w:tc>
          <w:tcPr>
            <w:tcW w:w="15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26"/>
        </w:trPr>
        <w:tc>
          <w:tcPr>
            <w:tcW w:w="4640" w:type="dxa"/>
            <w:vAlign w:val="bottom"/>
          </w:tcPr>
          <w:p>
            <w:pPr>
              <w:spacing w:after="0"/>
              <w:rPr>
                <w:sz w:val="20"/>
                <w:szCs w:val="20"/>
                <w:color w:val="auto"/>
              </w:rPr>
            </w:pPr>
            <w:r>
              <w:rPr>
                <w:rFonts w:ascii="Arial" w:cs="Arial" w:eastAsia="Arial" w:hAnsi="Arial"/>
                <w:sz w:val="18"/>
                <w:szCs w:val="18"/>
                <w:color w:val="auto"/>
              </w:rPr>
              <w:t>Income taxes as a percentage of income before taxes</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40" w:type="dxa"/>
            <w:vAlign w:val="bottom"/>
          </w:tcPr>
          <w:p>
            <w:pPr>
              <w:spacing w:after="0"/>
              <w:rPr>
                <w:sz w:val="20"/>
                <w:szCs w:val="20"/>
                <w:color w:val="auto"/>
              </w:rPr>
            </w:pPr>
            <w:r>
              <w:rPr>
                <w:rFonts w:ascii="Arial" w:cs="Arial" w:eastAsia="Arial" w:hAnsi="Arial"/>
                <w:sz w:val="18"/>
                <w:szCs w:val="18"/>
                <w:color w:val="auto"/>
              </w:rPr>
              <w:t>Net income¹,²</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177,980</w:t>
            </w:r>
          </w:p>
        </w:tc>
        <w:tc>
          <w:tcPr>
            <w:tcW w:w="280" w:type="dxa"/>
            <w:vAlign w:val="bottom"/>
          </w:tcPr>
          <w:p>
            <w:pPr>
              <w:spacing w:after="0"/>
              <w:rPr>
                <w:sz w:val="24"/>
                <w:szCs w:val="24"/>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163,877</w:t>
            </w:r>
          </w:p>
        </w:tc>
        <w:tc>
          <w:tcPr>
            <w:tcW w:w="15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Net income as a percentage of net sales</w:t>
            </w: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w:t>
            </w:r>
          </w:p>
        </w:tc>
        <w:tc>
          <w:tcPr>
            <w:tcW w:w="2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46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280" w:type="dxa"/>
            <w:vAlign w:val="bottom"/>
          </w:tcPr>
          <w:p>
            <w:pPr>
              <w:spacing w:after="0"/>
              <w:rPr>
                <w:sz w:val="18"/>
                <w:szCs w:val="18"/>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15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280" w:type="dxa"/>
            <w:vAlign w:val="bottom"/>
          </w:tcPr>
          <w:p>
            <w:pPr>
              <w:spacing w:after="0"/>
              <w:rPr>
                <w:sz w:val="20"/>
                <w:szCs w:val="20"/>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5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418"/>
        </w:trPr>
        <w:tc>
          <w:tcPr>
            <w:tcW w:w="4640" w:type="dxa"/>
            <w:vAlign w:val="bottom"/>
          </w:tcPr>
          <w:p>
            <w:pPr>
              <w:spacing w:after="0"/>
              <w:rPr>
                <w:sz w:val="20"/>
                <w:szCs w:val="20"/>
                <w:color w:val="auto"/>
              </w:rPr>
            </w:pPr>
            <w:r>
              <w:rPr>
                <w:rFonts w:ascii="Arial" w:cs="Arial" w:eastAsia="Arial" w:hAnsi="Arial"/>
                <w:sz w:val="18"/>
                <w:szCs w:val="18"/>
                <w:color w:val="auto"/>
              </w:rPr>
              <w:t>Case sales (in thousands)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80"/>
              <w:spacing w:after="0"/>
              <w:rPr>
                <w:sz w:val="20"/>
                <w:szCs w:val="20"/>
                <w:color w:val="auto"/>
              </w:rPr>
            </w:pPr>
            <w:r>
              <w:rPr>
                <w:rFonts w:ascii="Arial" w:cs="Arial" w:eastAsia="Arial" w:hAnsi="Arial"/>
                <w:sz w:val="18"/>
                <w:szCs w:val="18"/>
                <w:color w:val="auto"/>
              </w:rPr>
              <w:t>(in 192-ounce case equivalents)</w:t>
            </w:r>
          </w:p>
        </w:tc>
        <w:tc>
          <w:tcPr>
            <w:tcW w:w="3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79,992</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72,653</w:t>
            </w:r>
          </w:p>
        </w:tc>
        <w:tc>
          <w:tcPr>
            <w:tcW w:w="15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¹Includes $10.0 million and $8.2 million for the three-months ended March 31, 2017 and 2016, respectively, related to the recognition of deferred revenue.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²Includes $19.9 million and $3.4 million for the three-months ended March 31, 2017 and 2016, respectively, of distributor termination costs.</w:t>
      </w: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Results of Operations for the Three-Months Ended March 31, 2017 Compared to the Three-Months Ended March 31, 2016.</w:t>
      </w:r>
    </w:p>
    <w:p>
      <w:pPr>
        <w:spacing w:after="0" w:line="2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$742.1 million for the three-months ended March 31, 2017, an increase of approximately $62.0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9.1% higher than net sales of $680.2 million for the three-months ended March 31, 2016. The increase in net sales of our Monster Energy® brand energy drinks represented approximately $43.8 million of the overall increase in net sales. Net sales of our Monster Energy® brand energy drinks increased partially due to increased sales by volume as a result of increased domestic and international consumer demand. Net sales of our Strategic Brands were $68.0 million for the three-months ended March 31, 2017, or 16.4% higher than net sales of $58.5 million for the three-months ended March 31, 2016. Net sales of the AFF Third-Party Products were $5.5 million for the three-months ended March 31, 2017. There were no net sales of the AFF Third-Party Products for the three-months ended March 31, 2016. No other individual product line contributed either a material increase or decrease to net sales for the three-months ended March 31, 2017.</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Net changes in foreign currency exchange rates had an unfavorable impact on net sales in the Monster Energy® Drinks segment of approximately $4.7 million for the three-months ended March 31, 2017. Net changes in foreign currency exchange rates had a favorable impact on net sales in the Strategic Brands segment of approximately $1.0 million for the three-months ended March 31, 2017.</w:t>
      </w:r>
    </w:p>
    <w:p>
      <w:pPr>
        <w:spacing w:after="0" w:line="16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Case sales, in 192-ounce case equivalents, were 80.0 million cases for the three-months ended March 31, 2017, an increase of approximately 7.3 million cases or 10.1% higher than case sales of 72.7 million cases for the three-months ended March 31, 2016. The overall average net sales per case (excluding AFF Third-Party Products net sales of $5.5 million as these sales do not have unit case equivalents) decreased to $9.21 for the three-months ended March 31, 2017, which was 1.6% lower than the average net sales per case of $9.36 for the three-months ended March 31, 2016. The lower average net sales price per case was primarily attributable to the changes in geographic sales mix.</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Net sales for the Monster Energy® Drinks segment were $668.6 million for the three-months ended March 31, 2017, an increase of approximately $46.9 million, or 7.5% higher than net sales of $621.7 million for the three-months ended March 31, 2016. No other individual product line contributed either a material increase or decrease to net sales for the three-months ended March 31, 2017.</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for the Strategic Brands segment were $68.0 million for the three-months ended March 31, 2017, an increase of approximately $9.6 million, or 16.4% higher than net sales of $58.5 million for the three-months ended March 31, 2016.</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for the Other segment were $5.5 million for the three-months ended March 31, 2017. There were no net sales of the Other segment for the three-months ended March 31, 2016.</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$480.9 million for the three-months ended March 31, 2017, an increase of approximately $57.8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13.7% higher than the gross profit of $423.1 million for the three-months ended March 31, 2016. Gross profit as a percentage of net sales increased to 64.8% for the three-months ended March 31, 2017 from 62.2% for the three-months ended March 31, 2016. The increase in gross profit dollars was primarily the result of the $43.8 million increase in net sales of our Monster Energy® brand energy drinks as well as approximately $23.3 million of raw material cost savings from the AFF Transaction. The increase in gross profit as a percentage of net sales was primarily attributable to (i) the raw material cost savings from the AFF Transaction and (ii) changes in product sales mix.</w:t>
      </w:r>
    </w:p>
    <w:p>
      <w:pPr>
        <w:sectPr>
          <w:pgSz w:w="11900" w:h="16838" w:orient="portrait"/>
          <w:cols w:equalWidth="0" w:num="1">
            <w:col w:w="11420"/>
          </w:cols>
          <w:pgMar w:left="240" w:top="125" w:right="239" w:bottom="0" w:gutter="0" w:footer="0" w:header="0"/>
        </w:sectPr>
      </w:pPr>
    </w:p>
    <w:bookmarkStart w:id="20" w:name="page21"/>
    <w:bookmarkEnd w:id="20"/>
    <w:p>
      <w:pPr>
        <w:spacing w:after="0" w:line="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Total operating expenses were $216.6 million for the three-months ended March 31, 2017,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$48.2 million, or 28.6% higher than total operating expenses of $168.4 million for the three-months ended March 31, 2016. The increase in operating expenses was primarily due to increased expenditures of $16.4 million associated with distributor terminations, increased payroll expenses of $13.0 million (of which $3.1 million was related to an increase in stock-based compensation), increased expenditures of $6.8 million for sponsorships and endorsements and increased expenditures of $5.0 million for commissions.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Contribution Margin. </w:t>
      </w:r>
      <w:r>
        <w:rPr>
          <w:rFonts w:ascii="Arial" w:cs="Arial" w:eastAsia="Arial" w:hAnsi="Arial"/>
          <w:sz w:val="20"/>
          <w:szCs w:val="20"/>
          <w:color w:val="auto"/>
        </w:rPr>
        <w:t>Contribution margin for the Monster Energy® Drinks segment was $279.4 million for the three-months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March 31, 2017, an increase of approximately $12.4 million, or 4.6% higher than contribution margin of $267.0 million for the three-months ended March 31, 2016. The increase in contribution margin for the Monster Energy® Drinks segment was primarily the result of the $43.8 million increase in net sales of our Monster Energy® brand energy drinks as well as approximately $23.3 million of raw material cost savings from the AFF Transaction.</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Contribution margin for the Strategic Brands segment was $42.1 million for the three-months ended March 31, 2017, an increase of approximately $3.0 million, or 7.8% higher than contribution margin of $39.1 million for the three-months ended March 31, 2016. The increase in contribution margin for the Strategic Brands segment was primarily due to an increase in net sales.</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Contribution margin for the Other segment was $1.4 million for the three-months ended March 31, 2017. There was no contribution margin for the Other segment for the three-months ended March 31, 2016.</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was $264.3 million for the three-months ended March 31, 2017, an increase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$9.5 million, or 3.7% higher than operating income of $254.7 million for the three-months ended March 31, 2016. Operating income as a percentage of net sales decreased to 35.6% for the three-months ended March 31, 2017 from 37.4% for the three-months ended March 31, 2016. The decrease in operating income as a percentage of net sales was primarily due to the $48.2 million increase in operating expenses for the three-months ended March 31, 2017. Operating income was $33.0 million and $24.6 million for the three-months ended March 31, 2017 and 2016, respectively, in relation to our operations in Africa, Asia, Australia, Europe, the Middle East and South America.</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Interest and Other Income, net</w:t>
      </w:r>
      <w:r>
        <w:rPr>
          <w:rFonts w:ascii="Arial" w:cs="Arial" w:eastAsia="Arial" w:hAnsi="Arial"/>
          <w:sz w:val="19"/>
          <w:szCs w:val="19"/>
          <w:color w:val="auto"/>
        </w:rPr>
        <w:t>. Interest and other income, net, was $0.7 million for the three-months ended March 31, 2017, as</w:t>
      </w:r>
      <w:r>
        <w:rPr>
          <w:rFonts w:ascii="Arial" w:cs="Arial" w:eastAsia="Arial" w:hAnsi="Arial"/>
          <w:sz w:val="19"/>
          <w:szCs w:val="19"/>
          <w:i w:val="1"/>
          <w:iCs w:val="1"/>
          <w:color w:val="auto"/>
        </w:rPr>
        <w:t xml:space="preserve"> </w:t>
      </w:r>
      <w:r>
        <w:rPr>
          <w:rFonts w:ascii="Arial" w:cs="Arial" w:eastAsia="Arial" w:hAnsi="Arial"/>
          <w:sz w:val="19"/>
          <w:szCs w:val="19"/>
          <w:color w:val="auto"/>
        </w:rPr>
        <w:t>compared to interest and other income, net of $0.6 million for the three-months ended March 31, 2016. Foreign currency transaction gains (losses) were $0.1 million and ($1.4) million for the three-months ended March 31, 2017 and 2016, respectively. Interest income was $0.8 million and $2.2 million for the three-months ended March 31, 2017 and 2016, respectively.</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Provision for Income Taxes</w:t>
      </w:r>
      <w:r>
        <w:rPr>
          <w:rFonts w:ascii="Arial" w:cs="Arial" w:eastAsia="Arial" w:hAnsi="Arial"/>
          <w:sz w:val="19"/>
          <w:szCs w:val="19"/>
          <w:color w:val="auto"/>
        </w:rPr>
        <w:t>. Provision for income taxes was $86.9 million for the three-months ended March 31, 2017, a decrease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$4.5 million or 4.9% lower than the provision for income taxes of $91.4 million for the three-months ended March 31, 2016. The effective combined federal, state and foreign tax rate decreased to 32.8% from 35.8% for the three-months ended March 31, 2017 and 2016, respectively. The decrease in the effective tax rate was primarily due to the increase in profits earned by certain foreign subsidiaries in lower tax jurisdictions than the United States as well as an increase in equity compensation deductions.</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$178.0 million for the three-months ended March 31, 2017, an increase of $14.1 million or 8.6% higher</w:t>
      </w:r>
      <w:r>
        <w:rPr>
          <w:rFonts w:ascii="Arial" w:cs="Arial" w:eastAsia="Arial" w:hAnsi="Arial"/>
          <w:sz w:val="20"/>
          <w:szCs w:val="20"/>
          <w:i w:val="1"/>
          <w:iCs w:val="1"/>
          <w:color w:val="auto"/>
        </w:rPr>
        <w:t xml:space="preserve"> </w:t>
      </w:r>
      <w:r>
        <w:rPr>
          <w:rFonts w:ascii="Arial" w:cs="Arial" w:eastAsia="Arial" w:hAnsi="Arial"/>
          <w:sz w:val="20"/>
          <w:szCs w:val="20"/>
          <w:color w:val="auto"/>
        </w:rPr>
        <w:t>than net income of $163.9 million for the three-months ended March 31, 2016. The increase in net income was primarily due to the $57.8 million increase in gross profit and the $4.5 million decrease in the provision for income taxes. The increase in net income was partially offset by the increase in operating expenses of $48.2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i w:val="1"/>
          <w:iCs w:val="1"/>
          <w:color w:val="auto"/>
        </w:rPr>
        <w:t xml:space="preserve">Gross Sales**. </w:t>
      </w:r>
      <w:r>
        <w:rPr>
          <w:rFonts w:ascii="Arial" w:cs="Arial" w:eastAsia="Arial" w:hAnsi="Arial"/>
          <w:sz w:val="16"/>
          <w:szCs w:val="16"/>
          <w:color w:val="auto"/>
        </w:rPr>
        <w:t>Gross sales were $845.5 million for the three-months ended March 31, 2017, an increase of approximately $68.0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8.8% higher than gross sales of $777.5 million for the three-months ended March 31, 2016. The increase in gross sales of our Monster Energy® brand energy drinks represented approximately $47.9 million of the overall increase in gross sales. Gross sales of our Monster Energy® brand energy drinks increased partially due to increased sales by volume as a result of increased domestic and international consumer demand. Gross sales of our Strategic Brands were $73.5 million for the three-months ended March 31, 2017, as compared with $64.0 million for the three-months ended March 31, 2016. Gross sales of our AFF Third-Party Products were $5.5 million for the three-months ended March 31, 2017. There were no gross sales of our AFF Third-Party Products for the three-months ended March 31, 2016. No other individual product line contributed either a material increase or decrease to gross sales for the three-months ended March 31, 2017. Promotional and other allowances, as described in the footnote below, were $103.4 million for the three-months ended March 31, 2017, an increase of $6.1 million, or 6.2% higher than promotional and other allowances of $97.3 million for the three-months ended March 31, 2016. Promotional and other allowances as a percentage of gross sales decreased to 12.2% from 12.5% for the three-months ended March 31, 2017 and 2016, respectively.</w:t>
      </w:r>
    </w:p>
    <w:p>
      <w:pPr>
        <w:spacing w:after="0" w:line="394" w:lineRule="exact"/>
        <w:rPr>
          <w:sz w:val="20"/>
          <w:szCs w:val="20"/>
          <w:color w:val="auto"/>
        </w:rPr>
      </w:pPr>
    </w:p>
    <w:p>
      <w:pPr>
        <w:jc w:val="both"/>
        <w:ind w:firstLine="689"/>
        <w:spacing w:after="0" w:line="291" w:lineRule="auto"/>
        <w:rPr>
          <w:sz w:val="20"/>
          <w:szCs w:val="20"/>
          <w:color w:val="auto"/>
        </w:rPr>
      </w:pPr>
      <w:r>
        <w:rPr>
          <w:rFonts w:ascii="Arial" w:cs="Arial" w:eastAsia="Arial" w:hAnsi="Arial"/>
          <w:sz w:val="18"/>
          <w:szCs w:val="18"/>
          <w:color w:val="auto"/>
        </w:rPr>
        <w:t>Net changes in foreign currency exchange rates had an unfavorable impact on gross sales in the Monster Energy® Drinks segment of approximately $7.2 million for the three-months ended March 31, 2017. Net changes in foreign currency exchange rates had a favorable impact on gross sales in the Strategic Brands segment of approximately $1.0 million for the three-months ended March 31, 2017.</w:t>
      </w:r>
    </w:p>
    <w:p>
      <w:pPr>
        <w:sectPr>
          <w:pgSz w:w="11900" w:h="16923" w:orient="portrait"/>
          <w:cols w:equalWidth="0" w:num="1">
            <w:col w:w="11420"/>
          </w:cols>
          <w:pgMar w:left="240" w:top="121" w:right="239" w:bottom="0" w:gutter="0" w:footer="0" w:header="0"/>
        </w:sectPr>
      </w:pPr>
    </w:p>
    <w:p>
      <w:pPr>
        <w:spacing w:after="0" w:line="172" w:lineRule="exact"/>
        <w:rPr>
          <w:sz w:val="20"/>
          <w:szCs w:val="20"/>
          <w:color w:val="auto"/>
        </w:rPr>
      </w:pPr>
    </w:p>
    <w:p>
      <w:pPr>
        <w:spacing w:after="0" w:line="369" w:lineRule="auto"/>
        <w:rPr>
          <w:sz w:val="20"/>
          <w:szCs w:val="20"/>
          <w:color w:val="auto"/>
        </w:rPr>
      </w:pPr>
      <w:r>
        <w:rPr>
          <w:rFonts w:ascii="Arial" w:cs="Arial" w:eastAsia="Arial" w:hAnsi="Arial"/>
          <w:sz w:val="14"/>
          <w:szCs w:val="14"/>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w:t>
      </w:r>
    </w:p>
    <w:p>
      <w:pPr>
        <w:sectPr>
          <w:pgSz w:w="11900" w:h="16923" w:orient="portrait"/>
          <w:cols w:equalWidth="0" w:num="1">
            <w:col w:w="11420"/>
          </w:cols>
          <w:pgMar w:left="240" w:top="121" w:right="239" w:bottom="0" w:gutter="0" w:footer="0" w:header="0"/>
          <w:type w:val="continuous"/>
        </w:sectPr>
      </w:pPr>
    </w:p>
    <w:bookmarkStart w:id="21" w:name="page22"/>
    <w:bookmarkEnd w:id="21"/>
    <w:p>
      <w:pPr>
        <w:spacing w:after="0" w:line="10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i w:val="1"/>
          <w:iCs w:val="1"/>
          <w:color w:val="auto"/>
        </w:rPr>
        <w:t>items, which can mask certain performance issues. We therefore believe that the presentation of gross sales provides a useful measure of our operating performance. The use of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8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following table reconciles the non-GAAP financial measure of gross sales with the most directly comparable GAAP financial measure of net sales: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gridSpan w:val="4"/>
          </w:tcPr>
          <w:p>
            <w:pPr>
              <w:ind w:left="260"/>
              <w:spacing w:after="0"/>
              <w:rPr>
                <w:sz w:val="20"/>
                <w:szCs w:val="20"/>
                <w:color w:val="auto"/>
              </w:rPr>
            </w:pPr>
            <w:r>
              <w:rPr>
                <w:rFonts w:ascii="Arial" w:cs="Arial" w:eastAsia="Arial" w:hAnsi="Arial"/>
                <w:sz w:val="20"/>
                <w:szCs w:val="20"/>
                <w:color w:val="auto"/>
              </w:rPr>
              <w:t>Three-Months Ended</w:t>
            </w:r>
          </w:p>
        </w:tc>
        <w:tc>
          <w:tcPr>
            <w:tcW w:w="2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20"/>
                <w:szCs w:val="20"/>
                <w:color w:val="auto"/>
                <w:w w:val="84"/>
              </w:rPr>
              <w:t>Percentage</w:t>
            </w:r>
          </w:p>
        </w:tc>
        <w:tc>
          <w:tcPr>
            <w:tcW w:w="0" w:type="dxa"/>
            <w:vAlign w:val="bottom"/>
          </w:tcPr>
          <w:p>
            <w:pPr>
              <w:spacing w:after="0"/>
              <w:rPr>
                <w:sz w:val="1"/>
                <w:szCs w:val="1"/>
                <w:color w:val="auto"/>
              </w:rPr>
            </w:pPr>
          </w:p>
        </w:tc>
      </w:tr>
      <w:tr>
        <w:trPr>
          <w:trHeight w:val="246"/>
        </w:trPr>
        <w:tc>
          <w:tcPr>
            <w:tcW w:w="3500" w:type="dxa"/>
            <w:vAlign w:val="bottom"/>
          </w:tcPr>
          <w:p>
            <w:pPr>
              <w:spacing w:after="0"/>
              <w:rPr>
                <w:sz w:val="20"/>
                <w:szCs w:val="20"/>
                <w:color w:val="auto"/>
              </w:rPr>
            </w:pPr>
            <w:r>
              <w:rPr>
                <w:rFonts w:ascii="Arial" w:cs="Arial" w:eastAsia="Arial" w:hAnsi="Arial"/>
                <w:sz w:val="20"/>
                <w:szCs w:val="20"/>
                <w:color w:val="auto"/>
              </w:rPr>
              <w:t>(In thousands)</w:t>
            </w: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ind w:left="720"/>
              <w:spacing w:after="0"/>
              <w:rPr>
                <w:sz w:val="20"/>
                <w:szCs w:val="20"/>
                <w:color w:val="auto"/>
              </w:rPr>
            </w:pPr>
            <w:r>
              <w:rPr>
                <w:rFonts w:ascii="Arial" w:cs="Arial" w:eastAsia="Arial" w:hAnsi="Arial"/>
                <w:sz w:val="20"/>
                <w:szCs w:val="20"/>
                <w:color w:val="auto"/>
                <w:w w:val="98"/>
              </w:rPr>
              <w:t>March 31,</w:t>
            </w:r>
          </w:p>
        </w:tc>
        <w:tc>
          <w:tcPr>
            <w:tcW w:w="9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5"/>
              </w:rPr>
              <w:t>Change</w:t>
            </w:r>
          </w:p>
        </w:tc>
        <w:tc>
          <w:tcPr>
            <w:tcW w:w="0" w:type="dxa"/>
            <w:vAlign w:val="bottom"/>
          </w:tcPr>
          <w:p>
            <w:pPr>
              <w:spacing w:after="0"/>
              <w:rPr>
                <w:sz w:val="1"/>
                <w:szCs w:val="1"/>
                <w:color w:val="auto"/>
              </w:rPr>
            </w:pPr>
          </w:p>
        </w:tc>
      </w:tr>
      <w:tr>
        <w:trPr>
          <w:trHeight w:val="223"/>
        </w:trPr>
        <w:tc>
          <w:tcPr>
            <w:tcW w:w="3500" w:type="dxa"/>
            <w:vAlign w:val="bottom"/>
            <w:vMerge w:val="restart"/>
          </w:tcPr>
          <w:p>
            <w:pPr>
              <w:spacing w:after="0"/>
              <w:rPr>
                <w:sz w:val="20"/>
                <w:szCs w:val="20"/>
                <w:color w:val="auto"/>
              </w:rPr>
            </w:pPr>
            <w:r>
              <w:rPr>
                <w:rFonts w:ascii="Arial" w:cs="Arial" w:eastAsia="Arial" w:hAnsi="Arial"/>
                <w:sz w:val="20"/>
                <w:szCs w:val="20"/>
                <w:color w:val="auto"/>
                <w:w w:val="95"/>
              </w:rPr>
              <w:t>Gross sales, net of discounts and returns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20"/>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1"/>
              <w:spacing w:after="0" w:line="223" w:lineRule="exact"/>
              <w:rPr>
                <w:sz w:val="20"/>
                <w:szCs w:val="20"/>
                <w:color w:val="auto"/>
              </w:rPr>
            </w:pPr>
            <w:r>
              <w:rPr>
                <w:rFonts w:ascii="Arial" w:cs="Arial" w:eastAsia="Arial" w:hAnsi="Arial"/>
                <w:sz w:val="20"/>
                <w:szCs w:val="20"/>
                <w:color w:val="auto"/>
              </w:rPr>
              <w:t>2016</w:t>
            </w:r>
          </w:p>
        </w:tc>
        <w:tc>
          <w:tcPr>
            <w:tcW w:w="280" w:type="dxa"/>
            <w:vAlign w:val="bottom"/>
          </w:tcPr>
          <w:p>
            <w:pPr>
              <w:spacing w:after="0"/>
              <w:rPr>
                <w:sz w:val="19"/>
                <w:szCs w:val="19"/>
                <w:color w:val="auto"/>
              </w:rPr>
            </w:pPr>
          </w:p>
        </w:tc>
        <w:tc>
          <w:tcPr>
            <w:tcW w:w="122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w w:val="88"/>
              </w:rPr>
              <w:t>17 vs. 16</w:t>
            </w:r>
          </w:p>
        </w:tc>
        <w:tc>
          <w:tcPr>
            <w:tcW w:w="0" w:type="dxa"/>
            <w:vAlign w:val="bottom"/>
          </w:tcPr>
          <w:p>
            <w:pPr>
              <w:spacing w:after="0"/>
              <w:rPr>
                <w:sz w:val="1"/>
                <w:szCs w:val="1"/>
                <w:color w:val="auto"/>
              </w:rPr>
            </w:pPr>
          </w:p>
        </w:tc>
      </w:tr>
      <w:tr>
        <w:trPr>
          <w:trHeight w:val="206"/>
        </w:trPr>
        <w:tc>
          <w:tcPr>
            <w:tcW w:w="3500" w:type="dxa"/>
            <w:vAlign w:val="bottom"/>
            <w:vMerge w:val="continue"/>
          </w:tcPr>
          <w:p>
            <w:pPr>
              <w:spacing w:after="0"/>
              <w:rPr>
                <w:sz w:val="17"/>
                <w:szCs w:val="17"/>
                <w:color w:val="auto"/>
              </w:rPr>
            </w:pPr>
          </w:p>
        </w:tc>
        <w:tc>
          <w:tcPr>
            <w:tcW w:w="320" w:type="dxa"/>
            <w:vAlign w:val="bottom"/>
          </w:tcPr>
          <w:p>
            <w:pPr>
              <w:jc w:val="right"/>
              <w:ind w:right="21"/>
              <w:spacing w:after="0" w:line="207" w:lineRule="exact"/>
              <w:rPr>
                <w:sz w:val="20"/>
                <w:szCs w:val="20"/>
                <w:color w:val="auto"/>
              </w:rPr>
            </w:pPr>
            <w:r>
              <w:rPr>
                <w:rFonts w:ascii="Arial" w:cs="Arial" w:eastAsia="Arial" w:hAnsi="Arial"/>
                <w:sz w:val="20"/>
                <w:szCs w:val="20"/>
                <w:color w:val="auto"/>
              </w:rPr>
              <w:t>$</w:t>
            </w:r>
          </w:p>
        </w:tc>
        <w:tc>
          <w:tcPr>
            <w:tcW w:w="960" w:type="dxa"/>
            <w:vAlign w:val="bottom"/>
          </w:tcPr>
          <w:p>
            <w:pPr>
              <w:ind w:left="240"/>
              <w:spacing w:after="0" w:line="207" w:lineRule="exact"/>
              <w:rPr>
                <w:sz w:val="20"/>
                <w:szCs w:val="20"/>
                <w:color w:val="auto"/>
              </w:rPr>
            </w:pPr>
            <w:r>
              <w:rPr>
                <w:rFonts w:ascii="Arial" w:cs="Arial" w:eastAsia="Arial" w:hAnsi="Arial"/>
                <w:sz w:val="20"/>
                <w:szCs w:val="20"/>
                <w:color w:val="auto"/>
                <w:w w:val="96"/>
              </w:rPr>
              <w:t>845,548</w:t>
            </w:r>
          </w:p>
        </w:tc>
        <w:tc>
          <w:tcPr>
            <w:tcW w:w="280" w:type="dxa"/>
            <w:vAlign w:val="bottom"/>
          </w:tcPr>
          <w:p>
            <w:pPr>
              <w:spacing w:after="0"/>
              <w:rPr>
                <w:sz w:val="17"/>
                <w:szCs w:val="17"/>
                <w:color w:val="auto"/>
              </w:rPr>
            </w:pPr>
          </w:p>
        </w:tc>
        <w:tc>
          <w:tcPr>
            <w:tcW w:w="380" w:type="dxa"/>
            <w:vAlign w:val="bottom"/>
          </w:tcPr>
          <w:p>
            <w:pPr>
              <w:jc w:val="right"/>
              <w:ind w:right="81"/>
              <w:spacing w:after="0" w:line="207" w:lineRule="exact"/>
              <w:rPr>
                <w:sz w:val="20"/>
                <w:szCs w:val="20"/>
                <w:color w:val="auto"/>
              </w:rPr>
            </w:pPr>
            <w:r>
              <w:rPr>
                <w:rFonts w:ascii="Arial" w:cs="Arial" w:eastAsia="Arial" w:hAnsi="Arial"/>
                <w:sz w:val="20"/>
                <w:szCs w:val="20"/>
                <w:color w:val="auto"/>
              </w:rPr>
              <w:t>$</w:t>
            </w:r>
          </w:p>
        </w:tc>
        <w:tc>
          <w:tcPr>
            <w:tcW w:w="960" w:type="dxa"/>
            <w:vAlign w:val="bottom"/>
          </w:tcPr>
          <w:p>
            <w:pPr>
              <w:jc w:val="right"/>
              <w:spacing w:after="0" w:line="207" w:lineRule="exact"/>
              <w:rPr>
                <w:sz w:val="20"/>
                <w:szCs w:val="20"/>
                <w:color w:val="auto"/>
              </w:rPr>
            </w:pPr>
            <w:r>
              <w:rPr>
                <w:rFonts w:ascii="Arial" w:cs="Arial" w:eastAsia="Arial" w:hAnsi="Arial"/>
                <w:sz w:val="20"/>
                <w:szCs w:val="20"/>
                <w:color w:val="auto"/>
              </w:rPr>
              <w:t>777,508</w:t>
            </w:r>
          </w:p>
        </w:tc>
        <w:tc>
          <w:tcPr>
            <w:tcW w:w="280" w:type="dxa"/>
            <w:vAlign w:val="bottom"/>
          </w:tcPr>
          <w:p>
            <w:pPr>
              <w:spacing w:after="0"/>
              <w:rPr>
                <w:sz w:val="17"/>
                <w:szCs w:val="17"/>
                <w:color w:val="auto"/>
              </w:rPr>
            </w:pPr>
          </w:p>
        </w:tc>
        <w:tc>
          <w:tcPr>
            <w:tcW w:w="1220" w:type="dxa"/>
            <w:vAlign w:val="bottom"/>
          </w:tcPr>
          <w:p>
            <w:pPr>
              <w:jc w:val="right"/>
              <w:spacing w:after="0" w:line="207" w:lineRule="exact"/>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20"/>
                <w:szCs w:val="20"/>
                <w:color w:val="auto"/>
              </w:rPr>
              <w:t>Less: Promotional and other</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500" w:type="dxa"/>
            <w:vAlign w:val="bottom"/>
          </w:tcPr>
          <w:p>
            <w:pPr>
              <w:ind w:left="140"/>
              <w:spacing w:after="0"/>
              <w:rPr>
                <w:sz w:val="20"/>
                <w:szCs w:val="20"/>
                <w:color w:val="auto"/>
              </w:rPr>
            </w:pPr>
            <w:r>
              <w:rPr>
                <w:rFonts w:ascii="Arial" w:cs="Arial" w:eastAsia="Arial" w:hAnsi="Arial"/>
                <w:sz w:val="20"/>
                <w:szCs w:val="20"/>
                <w:color w:val="auto"/>
              </w:rPr>
              <w:t>allowances***</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w w:val="96"/>
              </w:rPr>
              <w:t>103,402</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97,322</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30"/>
        </w:trPr>
        <w:tc>
          <w:tcPr>
            <w:tcW w:w="3500" w:type="dxa"/>
            <w:vAlign w:val="bottom"/>
          </w:tcPr>
          <w:p>
            <w:pPr>
              <w:spacing w:after="0" w:line="220" w:lineRule="exact"/>
              <w:rPr>
                <w:sz w:val="20"/>
                <w:szCs w:val="20"/>
                <w:color w:val="auto"/>
              </w:rPr>
            </w:pPr>
            <w:r>
              <w:rPr>
                <w:rFonts w:ascii="Arial" w:cs="Arial" w:eastAsia="Arial" w:hAnsi="Arial"/>
                <w:sz w:val="20"/>
                <w:szCs w:val="20"/>
                <w:color w:val="auto"/>
              </w:rPr>
              <w:t>Net Sales</w:t>
            </w:r>
          </w:p>
        </w:tc>
        <w:tc>
          <w:tcPr>
            <w:tcW w:w="3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w w:val="96"/>
              </w:rPr>
              <w:t>742,146</w:t>
            </w:r>
          </w:p>
        </w:tc>
        <w:tc>
          <w:tcPr>
            <w:tcW w:w="280" w:type="dxa"/>
            <w:vAlign w:val="bottom"/>
          </w:tcPr>
          <w:p>
            <w:pPr>
              <w:spacing w:after="0"/>
              <w:rPr>
                <w:sz w:val="19"/>
                <w:szCs w:val="19"/>
                <w:color w:val="auto"/>
              </w:rPr>
            </w:pPr>
          </w:p>
        </w:tc>
        <w:tc>
          <w:tcPr>
            <w:tcW w:w="3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680,186</w:t>
            </w:r>
          </w:p>
        </w:tc>
        <w:tc>
          <w:tcPr>
            <w:tcW w:w="1500" w:type="dxa"/>
            <w:vAlign w:val="bottom"/>
            <w:gridSpan w:val="2"/>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spacing w:after="0" w:line="303" w:lineRule="auto"/>
        <w:rPr>
          <w:sz w:val="20"/>
          <w:szCs w:val="20"/>
          <w:color w:val="auto"/>
        </w:rPr>
      </w:pPr>
      <w:r>
        <w:rPr>
          <w:rFonts w:ascii="Arial" w:cs="Arial" w:eastAsia="Arial" w:hAnsi="Arial"/>
          <w:sz w:val="14"/>
          <w:szCs w:val="14"/>
          <w:i w:val="1"/>
          <w:iCs w:val="1"/>
          <w:color w:val="auto"/>
        </w:rPr>
        <w:t>***Although the expenditures described in this line item are determined in accordance with GAAP and meet GAAP requirements, the presentation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bottlers/distributors or retail customers including, but not limited to the following:</w:t>
      </w:r>
    </w:p>
    <w:p>
      <w:pPr>
        <w:spacing w:after="0" w:line="2" w:lineRule="exact"/>
        <w:rPr>
          <w:sz w:val="20"/>
          <w:szCs w:val="20"/>
          <w:color w:val="auto"/>
        </w:rPr>
      </w:pPr>
    </w:p>
    <w:p>
      <w:pPr>
        <w:jc w:val="both"/>
        <w:ind w:firstLine="8"/>
        <w:spacing w:after="0" w:line="286" w:lineRule="auto"/>
        <w:tabs>
          <w:tab w:leader="none" w:pos="211" w:val="left"/>
        </w:tabs>
        <w:numPr>
          <w:ilvl w:val="0"/>
          <w:numId w:val="23"/>
        </w:numPr>
        <w:rPr>
          <w:rFonts w:ascii="Arial" w:cs="Arial" w:eastAsia="Arial" w:hAnsi="Arial"/>
          <w:sz w:val="15"/>
          <w:szCs w:val="15"/>
          <w:i w:val="1"/>
          <w:iCs w:val="1"/>
          <w:color w:val="auto"/>
        </w:rPr>
      </w:pPr>
      <w:r>
        <w:rPr>
          <w:rFonts w:ascii="Arial" w:cs="Arial" w:eastAsia="Arial" w:hAnsi="Arial"/>
          <w:sz w:val="15"/>
          <w:szCs w:val="15"/>
          <w:i w:val="1"/>
          <w:iCs w:val="1"/>
          <w:color w:val="auto"/>
        </w:rPr>
        <w:t>discounts granted off list prices to support price promotions to end-consumers by retailers; (ii) reimbursements given to the Company’s bottlers/distributors for agreed portions of their promotional spend with retailers, including slotting, shelf space allowances and other fees for both new and existing products; (iii) the Company’s agreed share of fees given to bottlers/distributors and/or directly to retailers for advertising, in-store marketing and promotional activities; (iv) the Company’s agreed share of slotting, shelf space allowances and other fees given directly to retailers; (v) incentives given to the Company’s bottlers/distributors and/or retailers for achieving or exceeding certain predetermined sales goals; (vi) discounted or free products; (vii) contractual fees given to the Company’s bottlers/distributors related to sales made by the Company direct to certain customers that fall within the bottler’s/distributors’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three-months ended March 31, 2017 and 2016 were (i) to increase sales volume and trial, (ii) to address market conditions, and (iii) to secure shelf and display space at retail.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35"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i w:val="1"/>
          <w:iCs w:val="1"/>
          <w:color w:val="auto"/>
        </w:rPr>
        <w:t xml:space="preserve">Cash flows provided by operating activities. </w:t>
      </w:r>
      <w:r>
        <w:rPr>
          <w:rFonts w:ascii="Arial" w:cs="Arial" w:eastAsia="Arial" w:hAnsi="Arial"/>
          <w:sz w:val="18"/>
          <w:szCs w:val="18"/>
          <w:color w:val="auto"/>
        </w:rPr>
        <w:t>Cash provided by operating activities was $193.0 million for the three-months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2017, as compared with cash provided by operating activities of $109.6 million for the three-months ended March 31, 2016.</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For the three-months ended March 31, 2017, cash provided by operating activities was primarily attributable to net income earned of $178.0 million and adjustments for certain non-cash expenses, consisting of $13.1 million of stock-based compensation and $11.2 million of depreciation and other amortization. For the three-months ended March 31, 2017, cash provided by operating activities also increased due to a $25.6 million decrease in prepaid income taxes, a $14.1 million increase in accrued promotional allowances, a $7.4 million decrease in accounts receivable and a $6.8 million increase in accrued liabilities. For the three-months ended March 31, 2017, cash used in operating activities was primarily attributable to a $19.3 million decrease in accounts payable, a $15.8 million decrease in accrued compensation, an $11.4 million increase in prepaid expenses and other current assets, a $7.8 million increase in inventories, a $5.5 million decrease in income taxes payable and a $4.5 million decrease in deferred revenue.</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For the three-months ended March 31, 2016, cash provided by operating activities was primarily attributable to net income earned of $163.9 million and adjustments for certain non-cash expenses, consisting of $10.1 million of stock-based compensation and $9.0 million of depreciation and other amortization. For the three-months ended March 31, 2016, cash provided by operating activities also increased due to a $36.1 million increase in accounts payable, a $12.2 million increase in accrued liabilities, a $13.1 million increase in accrued promotional allowances and a $3.1 million increase in deferred revenue. For the three-months ended March 31, 2016, cash used in operating activities was primarily attributable to a $58.6 million increase in accounts receivable, a $34.8 million decrease in income taxes payable, a $10.5 million increase in prepaid income taxes, a $7.6 million increase in inventories, a $12.8 million increase in prepaid expenses and other current assets, a $9.1 million decrease in accrued compensation and a $2.9 million decrease in accrued distributor terminations.</w:t>
      </w:r>
    </w:p>
    <w:p>
      <w:pPr>
        <w:spacing w:after="0" w:line="18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Cash flows (used in) provided by investing activities. </w:t>
      </w:r>
      <w:r>
        <w:rPr>
          <w:rFonts w:ascii="Arial" w:cs="Arial" w:eastAsia="Arial" w:hAnsi="Arial"/>
          <w:sz w:val="18"/>
          <w:szCs w:val="18"/>
          <w:color w:val="auto"/>
        </w:rPr>
        <w:t>Cash used in investing activities was $6.3 million for the three-months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2017 as compared to cash provided by investing activities of $234.3 million for the three-months ended March 31, 2016.</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For the three-months ended March 31, 2017, cash used in investing activities was primarily attributable to purchases of available-for-sale. For the three-months ended March 31, 2016, cash used in investing activities was primarily attributable to purchases of held-to-maturity investments. For the three-months ended March 31, 2017, cash provided by investing activities was primarily attributable to sales of available-for-sale investments. For the three-months ended March 31, 2016, cash provided by investing activities was primarily attributable to maturities of held-to-maturity investments. For both the three-months ended March 31, 2017 and 2016,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and certain leasehold improvements.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and</w:t>
      </w:r>
    </w:p>
    <w:p>
      <w:pPr>
        <w:sectPr>
          <w:pgSz w:w="11900" w:h="16940" w:orient="portrait"/>
          <w:cols w:equalWidth="0" w:num="1">
            <w:col w:w="11420"/>
          </w:cols>
          <w:pgMar w:left="240" w:top="130" w:right="239" w:bottom="0" w:gutter="0" w:footer="0" w:header="0"/>
        </w:sectPr>
      </w:pPr>
    </w:p>
    <w:bookmarkStart w:id="22" w:name="page23"/>
    <w:bookmarkEnd w:id="22"/>
    <w:p>
      <w:pPr>
        <w:jc w:val="both"/>
        <w:ind w:right="40"/>
        <w:spacing w:after="0" w:line="262" w:lineRule="auto"/>
        <w:rPr>
          <w:sz w:val="20"/>
          <w:szCs w:val="20"/>
          <w:color w:val="auto"/>
        </w:rPr>
      </w:pPr>
      <w:r>
        <w:rPr>
          <w:rFonts w:ascii="Arial" w:cs="Arial" w:eastAsia="Arial" w:hAnsi="Arial"/>
          <w:sz w:val="20"/>
          <w:szCs w:val="20"/>
          <w:color w:val="auto"/>
        </w:rPr>
        <w:t>for other corporate purposes. From time to time, we may also use cash to purchase additional real property related to our beverage business and/or acquire compatible businesses.</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i w:val="1"/>
          <w:iCs w:val="1"/>
          <w:color w:val="auto"/>
        </w:rPr>
        <w:t xml:space="preserve">Cash flows provided by financing activities. </w:t>
      </w:r>
      <w:r>
        <w:rPr>
          <w:rFonts w:ascii="Arial" w:cs="Arial" w:eastAsia="Arial" w:hAnsi="Arial"/>
          <w:sz w:val="20"/>
          <w:szCs w:val="20"/>
          <w:color w:val="auto"/>
        </w:rPr>
        <w:t>Cash provided by financing activities was $12.9 million for the three-months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March 31, 2017 as compared to cash provided by financing activities of $1.5 million for the three-months ended March 31, 2016. The cash flows provided by financing activities for both the three-months ended March 31, 2017, and 2016 was primarily attributable to the issuance of our common stock.</w:t>
      </w:r>
    </w:p>
    <w:p>
      <w:pPr>
        <w:spacing w:after="0" w:line="205" w:lineRule="exact"/>
        <w:rPr>
          <w:sz w:val="20"/>
          <w:szCs w:val="20"/>
          <w:color w:val="auto"/>
        </w:rPr>
      </w:pPr>
    </w:p>
    <w:p>
      <w:pPr>
        <w:jc w:val="both"/>
        <w:ind w:right="40" w:firstLine="648"/>
        <w:spacing w:after="0" w:line="246" w:lineRule="auto"/>
        <w:rPr>
          <w:sz w:val="20"/>
          <w:szCs w:val="20"/>
          <w:color w:val="auto"/>
        </w:rPr>
      </w:pPr>
      <w:r>
        <w:rPr>
          <w:rFonts w:ascii="Arial" w:cs="Arial" w:eastAsia="Arial" w:hAnsi="Arial"/>
          <w:sz w:val="20"/>
          <w:szCs w:val="20"/>
          <w:color w:val="auto"/>
        </w:rPr>
        <w:t>Purchases of inventories, increases in accounts receivable and other assets, acquisition of property and equipment (including real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205" w:lineRule="exact"/>
        <w:rPr>
          <w:sz w:val="20"/>
          <w:szCs w:val="20"/>
          <w:color w:val="auto"/>
        </w:rPr>
      </w:pPr>
    </w:p>
    <w:p>
      <w:pPr>
        <w:jc w:val="both"/>
        <w:ind w:right="40" w:firstLine="648"/>
        <w:spacing w:after="0" w:line="242" w:lineRule="auto"/>
        <w:rPr>
          <w:sz w:val="20"/>
          <w:szCs w:val="20"/>
          <w:color w:val="auto"/>
        </w:rPr>
      </w:pPr>
      <w:r>
        <w:rPr>
          <w:rFonts w:ascii="Arial" w:cs="Arial" w:eastAsia="Arial" w:hAnsi="Arial"/>
          <w:sz w:val="20"/>
          <w:szCs w:val="20"/>
          <w:i w:val="1"/>
          <w:iCs w:val="1"/>
          <w:color w:val="auto"/>
        </w:rPr>
        <w:t xml:space="preserve">Cash and cash equivalents, short-term and long-term investments. </w:t>
      </w:r>
      <w:r>
        <w:rPr>
          <w:rFonts w:ascii="Arial" w:cs="Arial" w:eastAsia="Arial" w:hAnsi="Arial"/>
          <w:sz w:val="20"/>
          <w:szCs w:val="20"/>
          <w:color w:val="auto"/>
        </w:rPr>
        <w:t>At March 31, 2017, we had $576.3 million in cash and cash</w:t>
      </w:r>
      <w:r>
        <w:rPr>
          <w:rFonts w:ascii="Arial" w:cs="Arial" w:eastAsia="Arial" w:hAnsi="Arial"/>
          <w:sz w:val="20"/>
          <w:szCs w:val="20"/>
          <w:i w:val="1"/>
          <w:iCs w:val="1"/>
          <w:color w:val="auto"/>
        </w:rPr>
        <w:t xml:space="preserve"> </w:t>
      </w:r>
      <w:r>
        <w:rPr>
          <w:rFonts w:ascii="Arial" w:cs="Arial" w:eastAsia="Arial" w:hAnsi="Arial"/>
          <w:sz w:val="20"/>
          <w:szCs w:val="20"/>
          <w:color w:val="auto"/>
        </w:rPr>
        <w:t>equivalents and $209.8 million in short and long-term investments. We have historically invested these amounts in U.S. Treasury bills, U.S. government agency securities and municipal securities, commercial paper, certificates of deposit, variable rate demand notes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209" w:lineRule="exact"/>
        <w:rPr>
          <w:sz w:val="20"/>
          <w:szCs w:val="20"/>
          <w:color w:val="auto"/>
        </w:rPr>
      </w:pPr>
    </w:p>
    <w:p>
      <w:pPr>
        <w:jc w:val="both"/>
        <w:ind w:right="40" w:firstLine="648"/>
        <w:spacing w:after="0" w:line="260" w:lineRule="auto"/>
        <w:rPr>
          <w:sz w:val="20"/>
          <w:szCs w:val="20"/>
          <w:color w:val="auto"/>
        </w:rPr>
      </w:pPr>
      <w:r>
        <w:rPr>
          <w:rFonts w:ascii="Arial" w:cs="Arial" w:eastAsia="Arial" w:hAnsi="Arial"/>
          <w:sz w:val="19"/>
          <w:szCs w:val="19"/>
          <w:color w:val="auto"/>
        </w:rPr>
        <w:t>Of our $576.3 million of cash and cash equivalents held at March 31, 2017, $182.7 million was held by our foreign subsidiaries. No short-term or long-term investments were held by our foreign subsidiaries at March 31, 2017. We do not intend, nor do we foresee a need, to repatriate undistributed earnings of our foreign subsidiaries other than to repay certain intercompany debt owed to our U.S. operations. Under current tax laws, if funds in excess of intercompany amounts owed were repatriated to our U.S. operations we would be required to accrue and pay additional income taxes on such excess funds at the tax rates then in effect.</w:t>
      </w:r>
    </w:p>
    <w:p>
      <w:pPr>
        <w:spacing w:after="0" w:line="194" w:lineRule="exact"/>
        <w:rPr>
          <w:sz w:val="20"/>
          <w:szCs w:val="20"/>
          <w:color w:val="auto"/>
        </w:rPr>
      </w:pPr>
    </w:p>
    <w:p>
      <w:pPr>
        <w:jc w:val="both"/>
        <w:ind w:right="40" w:firstLine="648"/>
        <w:spacing w:after="0" w:line="243" w:lineRule="auto"/>
        <w:rPr>
          <w:sz w:val="20"/>
          <w:szCs w:val="20"/>
          <w:color w:val="auto"/>
        </w:rPr>
      </w:pPr>
      <w:r>
        <w:rPr>
          <w:rFonts w:ascii="Arial" w:cs="Arial" w:eastAsia="Arial" w:hAnsi="Arial"/>
          <w:sz w:val="20"/>
          <w:szCs w:val="20"/>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and properties and purchases of shares of our common stock, through at least the next 12 months. Based on our current plans, at this time we estimate that capital expenditures, including the purchases of real property, are likely to be less than $150.0 million through March 31, 2018. However, future business opportunities may cause a change in this estimate.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a summary of the Company’s contractual commitments and related scheduled maturities as of March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2017:</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360" w:type="dxa"/>
            <w:vAlign w:val="bottom"/>
            <w:tcBorders>
              <w:bottom w:val="single" w:sz="8" w:color="auto"/>
            </w:tcBorders>
            <w:gridSpan w:val="8"/>
          </w:tcPr>
          <w:p>
            <w:pPr>
              <w:ind w:left="260"/>
              <w:spacing w:after="0"/>
              <w:rPr>
                <w:sz w:val="20"/>
                <w:szCs w:val="20"/>
                <w:color w:val="auto"/>
              </w:rPr>
            </w:pPr>
            <w:r>
              <w:rPr>
                <w:rFonts w:ascii="Arial" w:cs="Arial" w:eastAsia="Arial" w:hAnsi="Arial"/>
                <w:sz w:val="22"/>
                <w:szCs w:val="22"/>
                <w:color w:val="auto"/>
              </w:rPr>
              <w:t>Payments due by period (in thousands)</w:t>
            </w: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r>
      <w:tr>
        <w:trPr>
          <w:trHeight w:val="215"/>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40"/>
              <w:spacing w:after="0" w:line="216" w:lineRule="exact"/>
              <w:rPr>
                <w:sz w:val="20"/>
                <w:szCs w:val="20"/>
                <w:color w:val="auto"/>
              </w:rPr>
            </w:pPr>
            <w:r>
              <w:rPr>
                <w:rFonts w:ascii="Arial" w:cs="Arial" w:eastAsia="Arial" w:hAnsi="Arial"/>
                <w:sz w:val="22"/>
                <w:szCs w:val="22"/>
                <w:color w:val="auto"/>
              </w:rPr>
              <w:t>Less than</w:t>
            </w:r>
          </w:p>
        </w:tc>
        <w:tc>
          <w:tcPr>
            <w:tcW w:w="340" w:type="dxa"/>
            <w:vAlign w:val="bottom"/>
          </w:tcPr>
          <w:p>
            <w:pPr>
              <w:spacing w:after="0"/>
              <w:rPr>
                <w:sz w:val="18"/>
                <w:szCs w:val="18"/>
                <w:color w:val="auto"/>
              </w:rPr>
            </w:pPr>
          </w:p>
        </w:tc>
        <w:tc>
          <w:tcPr>
            <w:tcW w:w="1020" w:type="dxa"/>
            <w:vAlign w:val="bottom"/>
          </w:tcPr>
          <w:p>
            <w:pPr>
              <w:jc w:val="right"/>
              <w:ind w:right="432"/>
              <w:spacing w:after="0" w:line="216" w:lineRule="exact"/>
              <w:rPr>
                <w:sz w:val="20"/>
                <w:szCs w:val="20"/>
                <w:color w:val="auto"/>
              </w:rPr>
            </w:pPr>
            <w:r>
              <w:rPr>
                <w:rFonts w:ascii="Arial" w:cs="Arial" w:eastAsia="Arial" w:hAnsi="Arial"/>
                <w:sz w:val="22"/>
                <w:szCs w:val="22"/>
                <w:color w:val="auto"/>
              </w:rPr>
              <w:t>1-3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432"/>
              <w:spacing w:after="0" w:line="216" w:lineRule="exact"/>
              <w:rPr>
                <w:sz w:val="20"/>
                <w:szCs w:val="20"/>
                <w:color w:val="auto"/>
              </w:rPr>
            </w:pPr>
            <w:r>
              <w:rPr>
                <w:rFonts w:ascii="Arial" w:cs="Arial" w:eastAsia="Arial" w:hAnsi="Arial"/>
                <w:sz w:val="22"/>
                <w:szCs w:val="22"/>
                <w:color w:val="auto"/>
              </w:rPr>
              <w:t>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32"/>
              <w:spacing w:after="0" w:line="216" w:lineRule="exact"/>
              <w:rPr>
                <w:sz w:val="20"/>
                <w:szCs w:val="20"/>
                <w:color w:val="auto"/>
              </w:rPr>
            </w:pPr>
            <w:r>
              <w:rPr>
                <w:rFonts w:ascii="Arial" w:cs="Arial" w:eastAsia="Arial" w:hAnsi="Arial"/>
                <w:sz w:val="22"/>
                <w:szCs w:val="22"/>
                <w:color w:val="auto"/>
                <w:w w:val="88"/>
              </w:rPr>
              <w:t>More than</w:t>
            </w:r>
          </w:p>
        </w:tc>
        <w:tc>
          <w:tcPr>
            <w:tcW w:w="140" w:type="dxa"/>
            <w:vAlign w:val="bottom"/>
          </w:tcPr>
          <w:p>
            <w:pPr>
              <w:spacing w:after="0"/>
              <w:rPr>
                <w:sz w:val="18"/>
                <w:szCs w:val="18"/>
                <w:color w:val="auto"/>
              </w:rPr>
            </w:pPr>
          </w:p>
        </w:tc>
      </w:tr>
      <w:tr>
        <w:trPr>
          <w:trHeight w:val="265"/>
        </w:trPr>
        <w:tc>
          <w:tcPr>
            <w:tcW w:w="3620" w:type="dxa"/>
            <w:vAlign w:val="bottom"/>
            <w:tcBorders>
              <w:bottom w:val="single" w:sz="8" w:color="auto"/>
            </w:tcBorders>
          </w:tcPr>
          <w:p>
            <w:pPr>
              <w:ind w:left="1300"/>
              <w:spacing w:after="0"/>
              <w:rPr>
                <w:sz w:val="20"/>
                <w:szCs w:val="20"/>
                <w:color w:val="auto"/>
              </w:rPr>
            </w:pPr>
            <w:r>
              <w:rPr>
                <w:rFonts w:ascii="Arial" w:cs="Arial" w:eastAsia="Arial" w:hAnsi="Arial"/>
                <w:sz w:val="22"/>
                <w:szCs w:val="22"/>
                <w:color w:val="auto"/>
              </w:rPr>
              <w:t>Obligations</w:t>
            </w:r>
          </w:p>
        </w:tc>
        <w:tc>
          <w:tcPr>
            <w:tcW w:w="1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Total</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22"/>
                <w:szCs w:val="22"/>
                <w:color w:val="auto"/>
              </w:rPr>
              <w:t>1 year</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rPr>
              <w:t>years</w:t>
            </w:r>
          </w:p>
        </w:tc>
        <w:tc>
          <w:tcPr>
            <w:tcW w:w="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22"/>
                <w:szCs w:val="22"/>
                <w:color w:val="auto"/>
              </w:rPr>
              <w:t>years</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rPr>
              <w:t>5 years</w:t>
            </w:r>
          </w:p>
        </w:tc>
        <w:tc>
          <w:tcPr>
            <w:tcW w:w="140" w:type="dxa"/>
            <w:vAlign w:val="bottom"/>
          </w:tcPr>
          <w:p>
            <w:pPr>
              <w:spacing w:after="0"/>
              <w:rPr>
                <w:sz w:val="23"/>
                <w:szCs w:val="23"/>
                <w:color w:val="auto"/>
              </w:rPr>
            </w:pPr>
          </w:p>
        </w:tc>
      </w:tr>
      <w:tr>
        <w:trPr>
          <w:trHeight w:val="431"/>
        </w:trPr>
        <w:tc>
          <w:tcPr>
            <w:tcW w:w="3780" w:type="dxa"/>
            <w:vAlign w:val="bottom"/>
            <w:gridSpan w:val="2"/>
          </w:tcPr>
          <w:p>
            <w:pPr>
              <w:spacing w:after="0"/>
              <w:rPr>
                <w:sz w:val="20"/>
                <w:szCs w:val="20"/>
                <w:color w:val="auto"/>
              </w:rPr>
            </w:pPr>
            <w:r>
              <w:rPr>
                <w:rFonts w:ascii="Arial" w:cs="Arial" w:eastAsia="Arial" w:hAnsi="Arial"/>
                <w:sz w:val="22"/>
                <w:szCs w:val="22"/>
                <w:color w:val="auto"/>
              </w:rPr>
              <w:t>Contractual Obligations¹</w:t>
            </w:r>
          </w:p>
        </w:tc>
        <w:tc>
          <w:tcPr>
            <w:tcW w:w="36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040" w:type="dxa"/>
            <w:vAlign w:val="bottom"/>
          </w:tcPr>
          <w:p>
            <w:pPr>
              <w:jc w:val="right"/>
              <w:spacing w:after="0"/>
              <w:rPr>
                <w:sz w:val="20"/>
                <w:szCs w:val="20"/>
                <w:color w:val="auto"/>
              </w:rPr>
            </w:pPr>
            <w:r>
              <w:rPr>
                <w:rFonts w:ascii="Arial" w:cs="Arial" w:eastAsia="Arial" w:hAnsi="Arial"/>
                <w:sz w:val="22"/>
                <w:szCs w:val="22"/>
                <w:color w:val="auto"/>
              </w:rPr>
              <w:t>153,425</w:t>
            </w:r>
          </w:p>
        </w:tc>
        <w:tc>
          <w:tcPr>
            <w:tcW w:w="1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81,918</w:t>
            </w:r>
          </w:p>
        </w:tc>
        <w:tc>
          <w:tcPr>
            <w:tcW w:w="180" w:type="dxa"/>
            <w:vAlign w:val="bottom"/>
          </w:tcPr>
          <w:p>
            <w:pPr>
              <w:spacing w:after="0"/>
              <w:rPr>
                <w:sz w:val="24"/>
                <w:szCs w:val="24"/>
                <w:color w:val="auto"/>
              </w:rPr>
            </w:pPr>
          </w:p>
        </w:tc>
        <w:tc>
          <w:tcPr>
            <w:tcW w:w="3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57,966</w:t>
            </w:r>
          </w:p>
        </w:tc>
        <w:tc>
          <w:tcPr>
            <w:tcW w:w="160" w:type="dxa"/>
            <w:vAlign w:val="bottom"/>
          </w:tcPr>
          <w:p>
            <w:pPr>
              <w:spacing w:after="0"/>
              <w:rPr>
                <w:sz w:val="24"/>
                <w:szCs w:val="24"/>
                <w:color w:val="auto"/>
              </w:rPr>
            </w:pPr>
          </w:p>
        </w:tc>
        <w:tc>
          <w:tcPr>
            <w:tcW w:w="3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020" w:type="dxa"/>
            <w:vAlign w:val="bottom"/>
          </w:tcPr>
          <w:p>
            <w:pPr>
              <w:jc w:val="right"/>
              <w:spacing w:after="0"/>
              <w:rPr>
                <w:sz w:val="20"/>
                <w:szCs w:val="20"/>
                <w:color w:val="auto"/>
              </w:rPr>
            </w:pPr>
            <w:r>
              <w:rPr>
                <w:rFonts w:ascii="Arial" w:cs="Arial" w:eastAsia="Arial" w:hAnsi="Arial"/>
                <w:sz w:val="22"/>
                <w:szCs w:val="22"/>
                <w:color w:val="auto"/>
              </w:rPr>
              <w:t>13,541</w:t>
            </w:r>
          </w:p>
        </w:tc>
        <w:tc>
          <w:tcPr>
            <w:tcW w:w="1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22"/>
                <w:szCs w:val="22"/>
                <w:color w:val="auto"/>
              </w:rPr>
              <w:t>$</w:t>
            </w:r>
          </w:p>
        </w:tc>
        <w:tc>
          <w:tcPr>
            <w:tcW w:w="1140" w:type="dxa"/>
            <w:vAlign w:val="bottom"/>
          </w:tcPr>
          <w:p>
            <w:pPr>
              <w:jc w:val="right"/>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r>
      <w:tr>
        <w:trPr>
          <w:trHeight w:val="243"/>
        </w:trPr>
        <w:tc>
          <w:tcPr>
            <w:tcW w:w="3780" w:type="dxa"/>
            <w:vAlign w:val="bottom"/>
            <w:gridSpan w:val="2"/>
          </w:tcPr>
          <w:p>
            <w:pPr>
              <w:spacing w:after="0" w:line="243" w:lineRule="exact"/>
              <w:rPr>
                <w:sz w:val="20"/>
                <w:szCs w:val="20"/>
                <w:color w:val="auto"/>
              </w:rPr>
            </w:pPr>
            <w:r>
              <w:rPr>
                <w:rFonts w:ascii="Arial" w:cs="Arial" w:eastAsia="Arial" w:hAnsi="Arial"/>
                <w:sz w:val="22"/>
                <w:szCs w:val="22"/>
                <w:color w:val="auto"/>
              </w:rPr>
              <w:t>Capital Leases</w:t>
            </w:r>
          </w:p>
        </w:tc>
        <w:tc>
          <w:tcPr>
            <w:tcW w:w="36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1,412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1,412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1"/>
                <w:szCs w:val="21"/>
                <w:color w:val="auto"/>
              </w:rPr>
            </w:pPr>
          </w:p>
        </w:tc>
      </w:tr>
      <w:tr>
        <w:trPr>
          <w:trHeight w:val="243"/>
        </w:trPr>
        <w:tc>
          <w:tcPr>
            <w:tcW w:w="3780" w:type="dxa"/>
            <w:vAlign w:val="bottom"/>
            <w:gridSpan w:val="2"/>
          </w:tcPr>
          <w:p>
            <w:pPr>
              <w:spacing w:after="0" w:line="243" w:lineRule="exact"/>
              <w:rPr>
                <w:sz w:val="20"/>
                <w:szCs w:val="20"/>
                <w:color w:val="auto"/>
              </w:rPr>
            </w:pPr>
            <w:r>
              <w:rPr>
                <w:rFonts w:ascii="Arial" w:cs="Arial" w:eastAsia="Arial" w:hAnsi="Arial"/>
                <w:sz w:val="22"/>
                <w:szCs w:val="22"/>
                <w:color w:val="auto"/>
              </w:rPr>
              <w:t>Operating Leases</w:t>
            </w:r>
          </w:p>
        </w:tc>
        <w:tc>
          <w:tcPr>
            <w:tcW w:w="36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18,865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5,141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2,912</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2,722</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8,090</w:t>
            </w:r>
          </w:p>
        </w:tc>
        <w:tc>
          <w:tcPr>
            <w:tcW w:w="140" w:type="dxa"/>
            <w:vAlign w:val="bottom"/>
          </w:tcPr>
          <w:p>
            <w:pPr>
              <w:spacing w:after="0"/>
              <w:rPr>
                <w:sz w:val="21"/>
                <w:szCs w:val="21"/>
                <w:color w:val="auto"/>
              </w:rPr>
            </w:pPr>
          </w:p>
        </w:tc>
      </w:tr>
      <w:tr>
        <w:trPr>
          <w:trHeight w:val="243"/>
        </w:trPr>
        <w:tc>
          <w:tcPr>
            <w:tcW w:w="3780" w:type="dxa"/>
            <w:vAlign w:val="bottom"/>
            <w:gridSpan w:val="2"/>
          </w:tcPr>
          <w:p>
            <w:pPr>
              <w:spacing w:after="0" w:line="243" w:lineRule="exact"/>
              <w:rPr>
                <w:sz w:val="20"/>
                <w:szCs w:val="20"/>
                <w:color w:val="auto"/>
              </w:rPr>
            </w:pPr>
            <w:r>
              <w:rPr>
                <w:rFonts w:ascii="Arial" w:cs="Arial" w:eastAsia="Arial" w:hAnsi="Arial"/>
                <w:sz w:val="22"/>
                <w:szCs w:val="22"/>
                <w:color w:val="auto"/>
              </w:rPr>
              <w:t>Purchase Commitments²</w:t>
            </w:r>
          </w:p>
        </w:tc>
        <w:tc>
          <w:tcPr>
            <w:tcW w:w="36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Arial" w:cs="Arial" w:eastAsia="Arial" w:hAnsi="Arial"/>
                <w:sz w:val="22"/>
                <w:szCs w:val="22"/>
                <w:color w:val="auto"/>
              </w:rPr>
              <w:t>39,834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39,834</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1"/>
                <w:szCs w:val="21"/>
                <w:color w:val="auto"/>
              </w:rPr>
            </w:pPr>
          </w:p>
        </w:tc>
      </w:tr>
      <w:tr>
        <w:trPr>
          <w:trHeight w:val="265"/>
        </w:trPr>
        <w:tc>
          <w:tcPr>
            <w:tcW w:w="3780" w:type="dxa"/>
            <w:vAlign w:val="bottom"/>
            <w:gridSpan w:val="2"/>
          </w:tcPr>
          <w:p>
            <w:pPr>
              <w:spacing w:after="0"/>
              <w:rPr>
                <w:sz w:val="20"/>
                <w:szCs w:val="20"/>
                <w:color w:val="auto"/>
              </w:rPr>
            </w:pPr>
            <w:r>
              <w:rPr>
                <w:rFonts w:ascii="Arial" w:cs="Arial" w:eastAsia="Arial" w:hAnsi="Arial"/>
                <w:sz w:val="22"/>
                <w:szCs w:val="22"/>
                <w:color w:val="auto"/>
              </w:rPr>
              <w:t>Construction Contract³</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22,315</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22,315</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3"/>
                <w:szCs w:val="23"/>
                <w:color w:val="auto"/>
              </w:rPr>
            </w:pPr>
          </w:p>
        </w:tc>
      </w:tr>
      <w:tr>
        <w:trPr>
          <w:trHeight w:val="237"/>
        </w:trPr>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rPr>
              <w:t>$</w:t>
            </w:r>
          </w:p>
        </w:tc>
        <w:tc>
          <w:tcPr>
            <w:tcW w:w="10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235,851</w:t>
            </w:r>
          </w:p>
        </w:tc>
        <w:tc>
          <w:tcPr>
            <w:tcW w:w="180" w:type="dxa"/>
            <w:vAlign w:val="bottom"/>
          </w:tcPr>
          <w:p>
            <w:pPr>
              <w:spacing w:after="0"/>
              <w:rPr>
                <w:sz w:val="20"/>
                <w:szCs w:val="20"/>
                <w:color w:val="auto"/>
              </w:rPr>
            </w:pPr>
          </w:p>
        </w:tc>
        <w:tc>
          <w:tcPr>
            <w:tcW w:w="2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150,620</w:t>
            </w:r>
          </w:p>
        </w:tc>
        <w:tc>
          <w:tcPr>
            <w:tcW w:w="180" w:type="dxa"/>
            <w:vAlign w:val="bottom"/>
          </w:tcPr>
          <w:p>
            <w:pPr>
              <w:spacing w:after="0"/>
              <w:rPr>
                <w:sz w:val="20"/>
                <w:szCs w:val="20"/>
                <w:color w:val="auto"/>
              </w:rPr>
            </w:pPr>
          </w:p>
        </w:tc>
        <w:tc>
          <w:tcPr>
            <w:tcW w:w="34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60,878</w:t>
            </w:r>
          </w:p>
        </w:tc>
        <w:tc>
          <w:tcPr>
            <w:tcW w:w="160" w:type="dxa"/>
            <w:vAlign w:val="bottom"/>
          </w:tcPr>
          <w:p>
            <w:pPr>
              <w:spacing w:after="0"/>
              <w:rPr>
                <w:sz w:val="20"/>
                <w:szCs w:val="20"/>
                <w:color w:val="auto"/>
              </w:rPr>
            </w:pPr>
          </w:p>
        </w:tc>
        <w:tc>
          <w:tcPr>
            <w:tcW w:w="34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10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16,263</w:t>
            </w:r>
          </w:p>
        </w:tc>
        <w:tc>
          <w:tcPr>
            <w:tcW w:w="160" w:type="dxa"/>
            <w:vAlign w:val="bottom"/>
          </w:tcPr>
          <w:p>
            <w:pPr>
              <w:spacing w:after="0"/>
              <w:rPr>
                <w:sz w:val="20"/>
                <w:szCs w:val="20"/>
                <w:color w:val="auto"/>
              </w:rPr>
            </w:pPr>
          </w:p>
        </w:tc>
        <w:tc>
          <w:tcPr>
            <w:tcW w:w="2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8,090</w:t>
            </w:r>
          </w:p>
        </w:tc>
        <w:tc>
          <w:tcPr>
            <w:tcW w:w="140" w:type="dxa"/>
            <w:vAlign w:val="bottom"/>
          </w:tcPr>
          <w:p>
            <w:pPr>
              <w:spacing w:after="0"/>
              <w:rPr>
                <w:sz w:val="20"/>
                <w:szCs w:val="20"/>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834"/>
              <w:spacing w:after="0"/>
              <w:rPr>
                <w:sz w:val="20"/>
                <w:szCs w:val="20"/>
                <w:color w:val="auto"/>
              </w:rPr>
            </w:pPr>
            <w:r>
              <w:rPr>
                <w:rFonts w:ascii="Arial" w:cs="Arial" w:eastAsia="Arial" w:hAnsi="Arial"/>
                <w:sz w:val="18"/>
                <w:szCs w:val="18"/>
                <w:color w:val="auto"/>
                <w:w w:val="89"/>
              </w:rPr>
              <w:t>33</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32"/>
        </w:trPr>
        <w:tc>
          <w:tcPr>
            <w:tcW w:w="36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¹Contractual obligations include our obligations related to sponsorships and other commitments.</w:t>
      </w:r>
    </w:p>
    <w:p>
      <w:pPr>
        <w:spacing w:after="0" w:line="225" w:lineRule="exact"/>
        <w:rPr>
          <w:sz w:val="20"/>
          <w:szCs w:val="20"/>
          <w:color w:val="auto"/>
        </w:rPr>
      </w:pPr>
    </w:p>
    <w:p>
      <w:pPr>
        <w:jc w:val="both"/>
        <w:ind w:left="660" w:right="40"/>
        <w:spacing w:after="0" w:line="277" w:lineRule="auto"/>
        <w:rPr>
          <w:sz w:val="20"/>
          <w:szCs w:val="20"/>
          <w:color w:val="auto"/>
        </w:rPr>
      </w:pPr>
      <w:r>
        <w:rPr>
          <w:rFonts w:ascii="Arial" w:cs="Arial" w:eastAsia="Arial" w:hAnsi="Arial"/>
          <w:sz w:val="18"/>
          <w:szCs w:val="18"/>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170" w:lineRule="exact"/>
        <w:rPr>
          <w:sz w:val="20"/>
          <w:szCs w:val="20"/>
          <w:color w:val="auto"/>
        </w:rPr>
      </w:pPr>
    </w:p>
    <w:p>
      <w:pPr>
        <w:jc w:val="both"/>
        <w:ind w:left="660" w:right="40"/>
        <w:spacing w:after="0" w:line="254" w:lineRule="auto"/>
        <w:rPr>
          <w:sz w:val="20"/>
          <w:szCs w:val="20"/>
          <w:color w:val="auto"/>
        </w:rPr>
      </w:pPr>
      <w:r>
        <w:rPr>
          <w:rFonts w:ascii="Arial" w:cs="Arial" w:eastAsia="Arial" w:hAnsi="Arial"/>
          <w:sz w:val="22"/>
          <w:szCs w:val="22"/>
          <w:color w:val="auto"/>
          <w:vertAlign w:val="superscript"/>
        </w:rPr>
        <w:t>3</w:t>
      </w:r>
      <w:r>
        <w:rPr>
          <w:rFonts w:ascii="Arial" w:cs="Arial" w:eastAsia="Arial" w:hAnsi="Arial"/>
          <w:sz w:val="17"/>
          <w:szCs w:val="17"/>
          <w:color w:val="auto"/>
        </w:rPr>
        <w:t>In September 2016, the Company completed its acquisition of approximately 49 acres of land, located in Rialto, CA, for a purchase price of approximately $39.1 million. The Company has begun construction of an approximately 1,000,000 square-foot building to replace its current leased warehouse and distribution facilities located in Corona, CA. The Company has entered into an approximately $37.6 million guaranteed maximum price construction contract for the construction of the building, of which $22.3 million remained outstanding as of March 31, 2017.</w:t>
      </w:r>
    </w:p>
    <w:p>
      <w:pPr>
        <w:sectPr>
          <w:pgSz w:w="11900" w:h="16838" w:orient="portrait"/>
          <w:cols w:equalWidth="0" w:num="1">
            <w:col w:w="11460"/>
          </w:cols>
          <w:pgMar w:left="240" w:top="121" w:right="199" w:bottom="215" w:gutter="0" w:footer="0" w:header="0"/>
        </w:sectPr>
      </w:pPr>
    </w:p>
    <w:bookmarkStart w:id="23" w:name="page24"/>
    <w:bookmarkEnd w:id="23"/>
    <w:p>
      <w:pPr>
        <w:spacing w:after="0" w:line="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addition, approximately $6.5 million of unrecognized tax benefits have been recorded as liabilities as of March 31, 2017. It is expected that the amount of unrecognized tax benefits will not significantly change within the next 12 months. As of March 31, 2017, we had $1.1 million of accrued interest and penalties related to unrecognized tax benefits.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discloses selected quarterly data regarding sales for the three-months ended March 31, 2017 and 2016,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Data from any one or more quarters or periods is not necessarily indicative of annual results or continuing trends.</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expected from traditional beverages. In addition, our continued growth internationally may further reduce the impact of seasonality. Quarterly fluctuations may also be affected by other factors including the introduction of new products, the opening of new markets where temperature fluctuations are more pronounced, the addition of new bottlers, customers and distributors, changes in the sales mix of our products and changes in advertising and promotional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gridSpan w:val="2"/>
          </w:tcPr>
          <w:p>
            <w:pPr>
              <w:ind w:left="660"/>
              <w:spacing w:after="0"/>
              <w:rPr>
                <w:sz w:val="20"/>
                <w:szCs w:val="20"/>
                <w:color w:val="auto"/>
              </w:rPr>
            </w:pPr>
            <w:r>
              <w:rPr>
                <w:rFonts w:ascii="Arial" w:cs="Arial" w:eastAsia="Arial" w:hAnsi="Arial"/>
                <w:sz w:val="20"/>
                <w:szCs w:val="20"/>
                <w:color w:val="auto"/>
              </w:rPr>
              <w:t>(In thousands, except average</w:t>
            </w:r>
          </w:p>
        </w:tc>
        <w:tc>
          <w:tcPr>
            <w:tcW w:w="400" w:type="dxa"/>
            <w:vAlign w:val="bottom"/>
          </w:tcPr>
          <w:p>
            <w:pPr>
              <w:spacing w:after="0"/>
              <w:rPr>
                <w:sz w:val="19"/>
                <w:szCs w:val="19"/>
                <w:color w:val="auto"/>
              </w:rPr>
            </w:pPr>
          </w:p>
        </w:tc>
        <w:tc>
          <w:tcPr>
            <w:tcW w:w="3060" w:type="dxa"/>
            <w:vAlign w:val="bottom"/>
            <w:gridSpan w:val="4"/>
          </w:tcPr>
          <w:p>
            <w:pPr>
              <w:jc w:val="right"/>
              <w:ind w:right="781"/>
              <w:spacing w:after="0"/>
              <w:rPr>
                <w:sz w:val="20"/>
                <w:szCs w:val="20"/>
                <w:color w:val="auto"/>
              </w:rPr>
            </w:pPr>
            <w:r>
              <w:rPr>
                <w:rFonts w:ascii="Arial" w:cs="Arial" w:eastAsia="Arial" w:hAnsi="Arial"/>
                <w:sz w:val="20"/>
                <w:szCs w:val="20"/>
                <w:color w:val="auto"/>
              </w:rPr>
              <w:t>Three-Months Ended</w:t>
            </w:r>
          </w:p>
        </w:tc>
        <w:tc>
          <w:tcPr>
            <w:tcW w:w="0" w:type="dxa"/>
            <w:vAlign w:val="bottom"/>
          </w:tcPr>
          <w:p>
            <w:pPr>
              <w:spacing w:after="0"/>
              <w:rPr>
                <w:sz w:val="1"/>
                <w:szCs w:val="1"/>
                <w:color w:val="auto"/>
              </w:rPr>
            </w:pPr>
          </w:p>
        </w:tc>
      </w:tr>
      <w:tr>
        <w:trPr>
          <w:trHeight w:val="246"/>
        </w:trPr>
        <w:tc>
          <w:tcPr>
            <w:tcW w:w="4120" w:type="dxa"/>
            <w:vAlign w:val="bottom"/>
            <w:tcBorders>
              <w:bottom w:val="single" w:sz="8" w:color="auto"/>
            </w:tcBorders>
          </w:tcPr>
          <w:p>
            <w:pPr>
              <w:ind w:left="1100"/>
              <w:spacing w:after="0"/>
              <w:rPr>
                <w:sz w:val="20"/>
                <w:szCs w:val="20"/>
                <w:color w:val="auto"/>
              </w:rPr>
            </w:pPr>
            <w:r>
              <w:rPr>
                <w:rFonts w:ascii="Arial" w:cs="Arial" w:eastAsia="Arial" w:hAnsi="Arial"/>
                <w:sz w:val="20"/>
                <w:szCs w:val="20"/>
                <w:color w:val="auto"/>
              </w:rPr>
              <w:t>net sales per case)</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20"/>
                <w:szCs w:val="20"/>
                <w:color w:val="auto"/>
              </w:rPr>
              <w:t>March 31,</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20" w:type="dxa"/>
            <w:vAlign w:val="bottom"/>
            <w:gridSpan w:val="2"/>
            <w:vMerge w:val="restart"/>
          </w:tcPr>
          <w:p>
            <w:pPr>
              <w:spacing w:after="0"/>
              <w:rPr>
                <w:sz w:val="20"/>
                <w:szCs w:val="20"/>
                <w:color w:val="auto"/>
              </w:rPr>
            </w:pPr>
            <w:r>
              <w:rPr>
                <w:rFonts w:ascii="Arial" w:cs="Arial" w:eastAsia="Arial" w:hAnsi="Arial"/>
                <w:sz w:val="20"/>
                <w:szCs w:val="20"/>
                <w:color w:val="auto"/>
              </w:rPr>
              <w:t>Net sales¹</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2017</w:t>
            </w: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2016</w:t>
            </w:r>
          </w:p>
        </w:tc>
        <w:tc>
          <w:tcPr>
            <w:tcW w:w="0" w:type="dxa"/>
            <w:vAlign w:val="bottom"/>
          </w:tcPr>
          <w:p>
            <w:pPr>
              <w:spacing w:after="0"/>
              <w:rPr>
                <w:sz w:val="1"/>
                <w:szCs w:val="1"/>
                <w:color w:val="auto"/>
              </w:rPr>
            </w:pPr>
          </w:p>
        </w:tc>
      </w:tr>
      <w:tr>
        <w:trPr>
          <w:trHeight w:val="206"/>
        </w:trPr>
        <w:tc>
          <w:tcPr>
            <w:tcW w:w="4420" w:type="dxa"/>
            <w:vAlign w:val="bottom"/>
            <w:gridSpan w:val="2"/>
            <w:vMerge w:val="continue"/>
          </w:tcPr>
          <w:p>
            <w:pPr>
              <w:spacing w:after="0"/>
              <w:rPr>
                <w:sz w:val="17"/>
                <w:szCs w:val="17"/>
                <w:color w:val="auto"/>
              </w:rPr>
            </w:pPr>
          </w:p>
        </w:tc>
        <w:tc>
          <w:tcPr>
            <w:tcW w:w="400" w:type="dxa"/>
            <w:vAlign w:val="bottom"/>
          </w:tcPr>
          <w:p>
            <w:pPr>
              <w:jc w:val="right"/>
              <w:ind w:right="121"/>
              <w:spacing w:after="0" w:line="207" w:lineRule="exact"/>
              <w:rPr>
                <w:sz w:val="20"/>
                <w:szCs w:val="20"/>
                <w:color w:val="auto"/>
              </w:rPr>
            </w:pPr>
            <w:r>
              <w:rPr>
                <w:rFonts w:ascii="Arial" w:cs="Arial" w:eastAsia="Arial" w:hAnsi="Arial"/>
                <w:sz w:val="20"/>
                <w:szCs w:val="20"/>
                <w:color w:val="auto"/>
              </w:rPr>
              <w:t>$</w:t>
            </w:r>
          </w:p>
        </w:tc>
        <w:tc>
          <w:tcPr>
            <w:tcW w:w="1200" w:type="dxa"/>
            <w:vAlign w:val="bottom"/>
          </w:tcPr>
          <w:p>
            <w:pPr>
              <w:jc w:val="right"/>
              <w:spacing w:after="0" w:line="207" w:lineRule="exact"/>
              <w:rPr>
                <w:sz w:val="20"/>
                <w:szCs w:val="20"/>
                <w:color w:val="auto"/>
              </w:rPr>
            </w:pPr>
            <w:r>
              <w:rPr>
                <w:rFonts w:ascii="Arial" w:cs="Arial" w:eastAsia="Arial" w:hAnsi="Arial"/>
                <w:sz w:val="20"/>
                <w:szCs w:val="20"/>
                <w:color w:val="auto"/>
              </w:rPr>
              <w:t>742,146</w:t>
            </w:r>
          </w:p>
        </w:tc>
        <w:tc>
          <w:tcPr>
            <w:tcW w:w="280" w:type="dxa"/>
            <w:vAlign w:val="bottom"/>
          </w:tcPr>
          <w:p>
            <w:pPr>
              <w:spacing w:after="0"/>
              <w:rPr>
                <w:sz w:val="17"/>
                <w:szCs w:val="17"/>
                <w:color w:val="auto"/>
              </w:rPr>
            </w:pPr>
          </w:p>
        </w:tc>
        <w:tc>
          <w:tcPr>
            <w:tcW w:w="420" w:type="dxa"/>
            <w:vAlign w:val="bottom"/>
          </w:tcPr>
          <w:p>
            <w:pPr>
              <w:jc w:val="right"/>
              <w:ind w:right="121"/>
              <w:spacing w:after="0" w:line="207" w:lineRule="exact"/>
              <w:rPr>
                <w:sz w:val="20"/>
                <w:szCs w:val="20"/>
                <w:color w:val="auto"/>
              </w:rPr>
            </w:pPr>
            <w:r>
              <w:rPr>
                <w:rFonts w:ascii="Arial" w:cs="Arial" w:eastAsia="Arial" w:hAnsi="Arial"/>
                <w:sz w:val="20"/>
                <w:szCs w:val="20"/>
                <w:color w:val="auto"/>
              </w:rPr>
              <w:t>$</w:t>
            </w:r>
          </w:p>
        </w:tc>
        <w:tc>
          <w:tcPr>
            <w:tcW w:w="1160" w:type="dxa"/>
            <w:vAlign w:val="bottom"/>
          </w:tcPr>
          <w:p>
            <w:pPr>
              <w:jc w:val="right"/>
              <w:spacing w:after="0" w:line="207" w:lineRule="exact"/>
              <w:rPr>
                <w:sz w:val="20"/>
                <w:szCs w:val="20"/>
                <w:color w:val="auto"/>
              </w:rPr>
            </w:pPr>
            <w:r>
              <w:rPr>
                <w:rFonts w:ascii="Arial" w:cs="Arial" w:eastAsia="Arial" w:hAnsi="Arial"/>
                <w:sz w:val="20"/>
                <w:szCs w:val="20"/>
                <w:color w:val="auto"/>
              </w:rPr>
              <w:t>680,186</w:t>
            </w:r>
          </w:p>
        </w:tc>
        <w:tc>
          <w:tcPr>
            <w:tcW w:w="0" w:type="dxa"/>
            <w:vAlign w:val="bottom"/>
          </w:tcPr>
          <w:p>
            <w:pPr>
              <w:spacing w:after="0"/>
              <w:rPr>
                <w:sz w:val="1"/>
                <w:szCs w:val="1"/>
                <w:color w:val="auto"/>
              </w:rPr>
            </w:pPr>
          </w:p>
        </w:tc>
      </w:tr>
      <w:tr>
        <w:trPr>
          <w:trHeight w:val="240"/>
        </w:trPr>
        <w:tc>
          <w:tcPr>
            <w:tcW w:w="4420" w:type="dxa"/>
            <w:vAlign w:val="bottom"/>
            <w:gridSpan w:val="2"/>
          </w:tcPr>
          <w:p>
            <w:pPr>
              <w:spacing w:after="0"/>
              <w:rPr>
                <w:sz w:val="20"/>
                <w:szCs w:val="20"/>
                <w:color w:val="auto"/>
              </w:rPr>
            </w:pPr>
            <w:r>
              <w:rPr>
                <w:rFonts w:ascii="Arial" w:cs="Arial" w:eastAsia="Arial" w:hAnsi="Arial"/>
                <w:sz w:val="20"/>
                <w:szCs w:val="20"/>
                <w:color w:val="auto"/>
              </w:rPr>
              <w:t>Less: AFF third-party sales</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(5,539)</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line="220" w:lineRule="exact"/>
              <w:rPr>
                <w:sz w:val="20"/>
                <w:szCs w:val="20"/>
                <w:color w:val="auto"/>
              </w:rPr>
            </w:pPr>
            <w:r>
              <w:rPr>
                <w:rFonts w:ascii="Arial" w:cs="Arial" w:eastAsia="Arial" w:hAnsi="Arial"/>
                <w:sz w:val="20"/>
                <w:szCs w:val="20"/>
                <w:color w:val="auto"/>
              </w:rPr>
              <w:t>Adjusted net sales²</w:t>
            </w:r>
          </w:p>
        </w:tc>
        <w:tc>
          <w:tcPr>
            <w:tcW w:w="40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736,607</w:t>
            </w:r>
          </w:p>
        </w:tc>
        <w:tc>
          <w:tcPr>
            <w:tcW w:w="280" w:type="dxa"/>
            <w:vAlign w:val="bottom"/>
          </w:tcPr>
          <w:p>
            <w:pPr>
              <w:spacing w:after="0"/>
              <w:rPr>
                <w:sz w:val="19"/>
                <w:szCs w:val="19"/>
                <w:color w:val="auto"/>
              </w:rPr>
            </w:pPr>
          </w:p>
        </w:tc>
        <w:tc>
          <w:tcPr>
            <w:tcW w:w="4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680,186</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line="207" w:lineRule="exact"/>
              <w:rPr>
                <w:sz w:val="20"/>
                <w:szCs w:val="20"/>
                <w:color w:val="auto"/>
              </w:rPr>
            </w:pPr>
            <w:r>
              <w:rPr>
                <w:rFonts w:ascii="Arial" w:cs="Arial" w:eastAsia="Arial" w:hAnsi="Arial"/>
                <w:sz w:val="20"/>
                <w:szCs w:val="20"/>
                <w:color w:val="auto"/>
              </w:rPr>
              <w:t>Case sales by segment:</w:t>
            </w: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4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ind w:left="200"/>
              <w:spacing w:after="0"/>
              <w:rPr>
                <w:sz w:val="20"/>
                <w:szCs w:val="20"/>
                <w:color w:val="auto"/>
              </w:rPr>
            </w:pPr>
            <w:r>
              <w:rPr>
                <w:rFonts w:ascii="Arial" w:cs="Arial" w:eastAsia="Arial" w:hAnsi="Arial"/>
                <w:sz w:val="20"/>
                <w:szCs w:val="20"/>
                <w:color w:val="auto"/>
              </w:rPr>
              <w:t>Monster Energy® Drinks</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63,781</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57,569</w:t>
            </w:r>
          </w:p>
        </w:tc>
        <w:tc>
          <w:tcPr>
            <w:tcW w:w="0" w:type="dxa"/>
            <w:vAlign w:val="bottom"/>
          </w:tcPr>
          <w:p>
            <w:pPr>
              <w:spacing w:after="0"/>
              <w:rPr>
                <w:sz w:val="1"/>
                <w:szCs w:val="1"/>
                <w:color w:val="auto"/>
              </w:rPr>
            </w:pPr>
          </w:p>
        </w:tc>
      </w:tr>
      <w:tr>
        <w:trPr>
          <w:trHeight w:val="230"/>
        </w:trPr>
        <w:tc>
          <w:tcPr>
            <w:tcW w:w="4420" w:type="dxa"/>
            <w:vAlign w:val="bottom"/>
            <w:gridSpan w:val="2"/>
          </w:tcPr>
          <w:p>
            <w:pPr>
              <w:ind w:left="200"/>
              <w:spacing w:after="0"/>
              <w:rPr>
                <w:sz w:val="20"/>
                <w:szCs w:val="20"/>
                <w:color w:val="auto"/>
              </w:rPr>
            </w:pPr>
            <w:r>
              <w:rPr>
                <w:rFonts w:ascii="Arial" w:cs="Arial" w:eastAsia="Arial" w:hAnsi="Arial"/>
                <w:sz w:val="20"/>
                <w:szCs w:val="20"/>
                <w:color w:val="auto"/>
              </w:rPr>
              <w:t>Strategic Brands</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16,211</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15,084</w:t>
            </w:r>
          </w:p>
        </w:tc>
        <w:tc>
          <w:tcPr>
            <w:tcW w:w="0" w:type="dxa"/>
            <w:vAlign w:val="bottom"/>
          </w:tcPr>
          <w:p>
            <w:pPr>
              <w:spacing w:after="0"/>
              <w:rPr>
                <w:sz w:val="1"/>
                <w:szCs w:val="1"/>
                <w:color w:val="auto"/>
              </w:rPr>
            </w:pPr>
          </w:p>
        </w:tc>
      </w:tr>
      <w:tr>
        <w:trPr>
          <w:trHeight w:val="240"/>
        </w:trPr>
        <w:tc>
          <w:tcPr>
            <w:tcW w:w="4420" w:type="dxa"/>
            <w:vAlign w:val="bottom"/>
            <w:gridSpan w:val="2"/>
          </w:tcPr>
          <w:p>
            <w:pPr>
              <w:ind w:left="200"/>
              <w:spacing w:after="0"/>
              <w:rPr>
                <w:sz w:val="20"/>
                <w:szCs w:val="20"/>
                <w:color w:val="auto"/>
              </w:rPr>
            </w:pPr>
            <w:r>
              <w:rPr>
                <w:rFonts w:ascii="Arial" w:cs="Arial" w:eastAsia="Arial" w:hAnsi="Arial"/>
                <w:sz w:val="20"/>
                <w:szCs w:val="20"/>
                <w:color w:val="auto"/>
              </w:rPr>
              <w:t>Other²</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line="213" w:lineRule="exact"/>
              <w:rPr>
                <w:sz w:val="20"/>
                <w:szCs w:val="20"/>
                <w:color w:val="auto"/>
              </w:rPr>
            </w:pPr>
            <w:r>
              <w:rPr>
                <w:rFonts w:ascii="Arial" w:cs="Arial" w:eastAsia="Arial" w:hAnsi="Arial"/>
                <w:sz w:val="20"/>
                <w:szCs w:val="20"/>
                <w:color w:val="auto"/>
              </w:rPr>
              <w:t>Total case sales</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79,992</w:t>
            </w: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3" w:lineRule="exact"/>
              <w:rPr>
                <w:sz w:val="20"/>
                <w:szCs w:val="20"/>
                <w:color w:val="auto"/>
              </w:rPr>
            </w:pPr>
            <w:r>
              <w:rPr>
                <w:rFonts w:ascii="Arial" w:cs="Arial" w:eastAsia="Arial" w:hAnsi="Arial"/>
                <w:sz w:val="20"/>
                <w:szCs w:val="20"/>
                <w:color w:val="auto"/>
              </w:rPr>
              <w:t>72,653</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line="220" w:lineRule="exact"/>
              <w:rPr>
                <w:sz w:val="20"/>
                <w:szCs w:val="20"/>
                <w:color w:val="auto"/>
              </w:rPr>
            </w:pPr>
            <w:r>
              <w:rPr>
                <w:rFonts w:ascii="Arial" w:cs="Arial" w:eastAsia="Arial" w:hAnsi="Arial"/>
                <w:sz w:val="20"/>
                <w:szCs w:val="20"/>
                <w:color w:val="auto"/>
              </w:rPr>
              <w:t>Average net sales per case</w:t>
            </w:r>
          </w:p>
        </w:tc>
        <w:tc>
          <w:tcPr>
            <w:tcW w:w="40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9.21</w:t>
            </w:r>
          </w:p>
        </w:tc>
        <w:tc>
          <w:tcPr>
            <w:tcW w:w="280" w:type="dxa"/>
            <w:vAlign w:val="bottom"/>
          </w:tcPr>
          <w:p>
            <w:pPr>
              <w:spacing w:after="0"/>
              <w:rPr>
                <w:sz w:val="19"/>
                <w:szCs w:val="19"/>
                <w:color w:val="auto"/>
              </w:rPr>
            </w:pPr>
          </w:p>
        </w:tc>
        <w:tc>
          <w:tcPr>
            <w:tcW w:w="42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vertAlign w:val="superscript"/>
        </w:rPr>
        <w:t>1</w:t>
      </w:r>
      <w:r>
        <w:rPr>
          <w:rFonts w:ascii="Arial" w:cs="Arial" w:eastAsia="Arial" w:hAnsi="Arial"/>
          <w:sz w:val="15"/>
          <w:szCs w:val="15"/>
          <w:i w:val="1"/>
          <w:iCs w:val="1"/>
          <w:color w:val="auto"/>
        </w:rPr>
        <w:t>Includes $10.0 million and $8.2 million for the three-months ended March 31, 2017 and 2016, respectively, related to the recognition of deferred revenue.</w:t>
      </w:r>
    </w:p>
    <w:p>
      <w:pPr>
        <w:spacing w:after="0" w:line="17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Excludes Other segment net sales of $5.5 million for the three-months ended March 31, 2017 comprised of sales of AFF Third-Party Products to independent third-party customers as these sales do not have unit case equivalents.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See Item 2, “Management’s Discussion and Analysis of Financial Condition and Results of Operations - Our Business” for additional information related to the increase in sales.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There have been no material changes to our critical accounting policies from the information provided in Item 7, “Management’s Discussion and Analysis of Financial Condition and Results of Operations”, included in our Annual Report on Form 10-K for the fiscal year ended December 31, 2016 (“Form 10-K”).</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January 2017, the FASB issued ASU No. 2017-01</w:t>
      </w:r>
      <w:r>
        <w:rPr>
          <w:rFonts w:ascii="Arial" w:cs="Arial" w:eastAsia="Arial" w:hAnsi="Arial"/>
          <w:sz w:val="20"/>
          <w:szCs w:val="20"/>
          <w:i w:val="1"/>
          <w:iCs w:val="1"/>
          <w:color w:val="auto"/>
        </w:rPr>
        <w:t>, “</w:t>
      </w:r>
      <w:r>
        <w:rPr>
          <w:rFonts w:ascii="Arial" w:cs="Arial" w:eastAsia="Arial" w:hAnsi="Arial"/>
          <w:sz w:val="20"/>
          <w:szCs w:val="20"/>
          <w:color w:val="auto"/>
        </w:rPr>
        <w:t>Business Combinations (Topic 805): Clarifying the Definition of a Business”, which clarifies the definition of a business with the objective of adding guidance to assist entities with evaluating whether transactions should be accounted for as acquisitions (or disposals) of assets or businesses. This amendment is effective for fiscal years beginning after December 15, 2017, and interim periods within those fiscal years. Early adoption is permitted. The Company is currently evaluating the impact of ASU No. 2017-01 on its financial position, results of operations and liquidity.</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January 2017, the FASB issued ASU No. 2017-04, “Intangibles and Other (Topic 350): Simplifying the Test for Goodwill Impairment”, which eliminates the requirement to calculate the implied fair value of goodwill but rather requires an entity to record an impairment charge based on the excess of a reporting unit’s carrying value over its fair value. This amendment is effective for annual or interim goodwill impairment tests in fiscal years beginning after December 15, 2019. Early adoption is permitted. The Company is currently evaluating the impact of ASU No. 2017-04 on its financial position, results of operations and liquidity.</w:t>
      </w:r>
    </w:p>
    <w:p>
      <w:pPr>
        <w:spacing w:after="0" w:line="19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October 2016, the FASB issued ASU No. 2016-16, “Income Taxes (Topic 740): Intra-Entity Transfers of Assets Other Than Inventory”, in an effort to improve the accounting for the income tax consequences of intra-entity transfers of assets other than inventory. Current GAAP prohibits the recognition of current and deferred income taxes for an intra-entity asset transfer until the asset has been sold to an outside party. FASB ASU No. 2016-16 establishes the requirement that an entity recognize the income tax consequences of an intra-entity transfer of an asset other than inventory when the transfer occurs. ASU No. 2016-16 is effective for financial statements issued for annual</w:t>
      </w:r>
    </w:p>
    <w:p>
      <w:pPr>
        <w:sectPr>
          <w:pgSz w:w="11900" w:h="16877" w:orient="portrait"/>
          <w:cols w:equalWidth="0" w:num="1">
            <w:col w:w="11420"/>
          </w:cols>
          <w:pgMar w:left="240" w:top="121" w:right="239" w:bottom="0" w:gutter="0" w:footer="0" w:header="0"/>
        </w:sectPr>
      </w:pPr>
    </w:p>
    <w:bookmarkStart w:id="24" w:name="page25"/>
    <w:bookmarkEnd w:id="24"/>
    <w:p>
      <w:pPr>
        <w:spacing w:after="0" w:line="67"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periods beginning after December 15, 2017 and interim periods within those annual periods. Earlier application is permitted as of the beginning of an interim or annual reporting period, with any adjustments reflected as of the beginning of the fiscal year of adoption. The Company is currently evaluating the impact of ASU No. 2016-16 on its financial position, results of operations and liquidity.</w:t>
      </w:r>
    </w:p>
    <w:p>
      <w:pPr>
        <w:spacing w:after="0" w:line="1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August 2016, the FASB issued ASU No. 2016-15, “Statement of Cash Flows (Topic 230)”. The new guidance is intended to reduce diversity in practice in how certain transactions are classified in the statement of cash flows. ASU No. 2016-15 is effective for fiscal years, and interim periods within those years, beginning after December 15, 2017. Early adoption is permitted, provided that all of the amendments are adopted in the same period. The guidance requires application using a retrospective transition method. The Company is currently evaluating the impact of ASU No. 2016-15 on its financial position, results of operations and liquidity.</w:t>
      </w:r>
    </w:p>
    <w:p>
      <w:pPr>
        <w:spacing w:after="0" w:line="19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is effective for fiscal years, and interim periods within those years, beginning after December 15, 2019. Early adoption is permitted for fiscal years, and interim periods within those years, beginning after December 15, 2018. The Company is currently evaluating the impact of ASU No. 2016-13 on its financial position, results of operations and liquidity.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February 2016, the FASB issued ASU No. 2016-02, “Leases (Topic 842)”. This update is intended to increase transparency and comparability among organizations by recognizing lease assets and lease liabilities on the balance sheet and disclosing key information about leasing arrangements. This update is effective for annual and interim reporting periods beginning after December 15, 2018, including interim periods within those fiscal years. Early adoption is permitted. The Company is currently evaluating the impact of ASU No. 2016-02 on its financial position, results of operations and liquidity.</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May 2014, the FASB issued ASU No. 2014-09, “Revenue from Contracts with Customers (Topic 606)”, which supersedes previous revenue recognition guidance. ASU No. 2014-09 requires that a company recognize revenue at an amount that reflects the consideration to which the company expects to be entitled in exchange for transferring goods or services to a customer. In applying the new guidance, a company will (i) identify the contract(s) with a customer; (ii) identify the performance obligations in the contract; (iii) determine the transaction price; (iv) allocate the transaction price to the contract’s performance obligations; and (v) recognize revenue when (or as) the entity satisfies a performance obligation. ASU No. 2014-09 was to be effective for reporting periods beginning after December 15, 2016. However, on July 9, 2015, the FASB voted to approve a one-year deferral of the effective date. This new guidance is effective for the Company beginning January 1, 2018 and can be adopted using either a full retrospective or modified approach. The Company is in the very early stages of evaluating the amended revenue recognition guidance in Topic 606. The evaluation has yet to progress to a stage where there is sufficient information for a preliminary position of the impact on the Company’s consolidated financial statements. Therefore, the Company is unable at this time to provide (i) qualitative financial statement disclosures of the potential impact that this standard will have on its financial statements when adopted, (ii) a description of the effects of the accounting policies it expects to apply, (iii) a comparison to its current revenue recognition policies and (iv) a method for adoption.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inflation did not have a significant impact on our results of operations for the periods presented.</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20"/>
          <w:szCs w:val="20"/>
          <w:color w:val="auto"/>
        </w:rPr>
        <w:t>Our ability to recognize any and/or all of the benefits from the TCCC transaction and the AFF Transaction;</w:t>
      </w:r>
    </w:p>
    <w:p>
      <w:pPr>
        <w:spacing w:after="0" w:line="15" w:lineRule="exact"/>
        <w:rPr>
          <w:rFonts w:ascii="Arial" w:cs="Arial" w:eastAsia="Arial" w:hAnsi="Arial"/>
          <w:sz w:val="18"/>
          <w:szCs w:val="18"/>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20"/>
          <w:szCs w:val="20"/>
          <w:color w:val="auto"/>
        </w:rPr>
        <w:t>The effect of our extensive commercial arrangements with TCCC on our future performance;</w:t>
      </w:r>
    </w:p>
    <w:p>
      <w:pPr>
        <w:ind w:left="380" w:hanging="372"/>
        <w:spacing w:after="0" w:line="239"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20"/>
          <w:szCs w:val="20"/>
          <w:color w:val="auto"/>
        </w:rPr>
        <w:t>The effect of TCCC becoming one of our significant shareholders and the potential divergence of TCCC’s interests from those of our other shareholders;</w:t>
      </w:r>
    </w:p>
    <w:p>
      <w:pPr>
        <w:spacing w:after="0" w:line="1" w:lineRule="exact"/>
        <w:rPr>
          <w:rFonts w:ascii="Arial" w:cs="Arial" w:eastAsia="Arial" w:hAnsi="Arial"/>
          <w:sz w:val="18"/>
          <w:szCs w:val="18"/>
          <w:color w:val="auto"/>
        </w:rPr>
      </w:pPr>
    </w:p>
    <w:p>
      <w:pPr>
        <w:ind w:left="380" w:hanging="372"/>
        <w:spacing w:after="0" w:line="244"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20"/>
          <w:szCs w:val="20"/>
          <w:color w:val="auto"/>
        </w:rPr>
        <w:t>Our ability to successfully transfer the distribution of our Monster Energy® brand energy drinks in certain existing domestic and international territories to bottlers/distributors within the TCCC distribution system on terms beneficial to us;</w:t>
      </w:r>
    </w:p>
    <w:p>
      <w:pPr>
        <w:sectPr>
          <w:pgSz w:w="11900" w:h="16905" w:orient="portrait"/>
          <w:cols w:equalWidth="0" w:num="1">
            <w:col w:w="11420"/>
          </w:cols>
          <w:pgMar w:left="240" w:top="121" w:right="239" w:bottom="0" w:gutter="0" w:footer="0" w:header="0"/>
        </w:sectPr>
      </w:pPr>
    </w:p>
    <w:bookmarkStart w:id="25" w:name="page26"/>
    <w:bookmarkEnd w:id="25"/>
    <w:p>
      <w:pPr>
        <w:spacing w:after="0" w:line="22" w:lineRule="exact"/>
        <w:rPr>
          <w:sz w:val="20"/>
          <w:szCs w:val="20"/>
          <w:color w:val="auto"/>
        </w:rPr>
      </w:pPr>
    </w:p>
    <w:p>
      <w:pPr>
        <w:ind w:left="380" w:hanging="372"/>
        <w:spacing w:after="0" w:line="248"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20"/>
          <w:szCs w:val="20"/>
          <w:color w:val="auto"/>
        </w:rPr>
        <w:t>Our ability to successfully enter into new distribution agreements with bottlers/distributors within the TCCC distribution system for new international territories;</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20"/>
          <w:szCs w:val="20"/>
          <w:color w:val="auto"/>
        </w:rPr>
        <w:t>The slowing of and/or decline in the sales growth rates of the energy drink category;</w:t>
      </w:r>
    </w:p>
    <w:p>
      <w:pPr>
        <w:ind w:left="380" w:hanging="372"/>
        <w:spacing w:after="0" w:line="239"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20"/>
          <w:szCs w:val="20"/>
          <w:color w:val="auto"/>
        </w:rPr>
        <w:t>Disruption in distribution or sales and/or decline in sales due to the termination and/or appointment of existing and/or new domestic and/or international distributors;</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Lack of anticipated demand for our products in domestic and/or international markets;</w:t>
      </w:r>
    </w:p>
    <w:p>
      <w:pPr>
        <w:ind w:left="380" w:hanging="372"/>
        <w:spacing w:after="0"/>
        <w:tabs>
          <w:tab w:leader="none" w:pos="3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Fluctuations in the inventory levels of our bottlers/distributors, planned or otherwise, and the resultant impact on our revenues;</w:t>
      </w:r>
    </w:p>
    <w:p>
      <w:pPr>
        <w:spacing w:after="0" w:line="11" w:lineRule="exact"/>
        <w:rPr>
          <w:rFonts w:ascii="Arial" w:cs="Arial" w:eastAsia="Arial" w:hAnsi="Arial"/>
          <w:sz w:val="19"/>
          <w:szCs w:val="19"/>
          <w:color w:val="auto"/>
        </w:rPr>
      </w:pPr>
    </w:p>
    <w:p>
      <w:pPr>
        <w:ind w:left="380" w:right="20" w:hanging="372"/>
        <w:spacing w:after="0" w:line="239" w:lineRule="auto"/>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product registration requirements, tariffs, trade restrictions, container size limitations and/or ingredient restrictions;</w:t>
      </w:r>
    </w:p>
    <w:p>
      <w:pPr>
        <w:spacing w:after="0" w:line="1" w:lineRule="exact"/>
        <w:rPr>
          <w:rFonts w:ascii="Arial" w:cs="Arial" w:eastAsia="Arial" w:hAnsi="Arial"/>
          <w:sz w:val="20"/>
          <w:szCs w:val="20"/>
          <w:color w:val="auto"/>
        </w:rPr>
      </w:pPr>
    </w:p>
    <w:p>
      <w:pPr>
        <w:jc w:val="both"/>
        <w:ind w:left="380" w:hanging="372"/>
        <w:spacing w:after="0" w:line="239" w:lineRule="auto"/>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effect of inquiries from, and/or actions by, state attorneys general, the Federal Trade Commission (the “FTC”), the FDA, municipalities, city attorneys, other government agencies, quasi-government agencies and/or government officials (including members of Congress), into the advertising, marketing, promotion, ingredients, sale and/or consumption of our energy drink products, including voluntary and/or required changes to our business practices;</w:t>
      </w:r>
    </w:p>
    <w:p>
      <w:pPr>
        <w:spacing w:after="0" w:line="2" w:lineRule="exact"/>
        <w:rPr>
          <w:rFonts w:ascii="Arial" w:cs="Arial" w:eastAsia="Arial" w:hAnsi="Arial"/>
          <w:sz w:val="20"/>
          <w:szCs w:val="20"/>
          <w:color w:val="auto"/>
        </w:rPr>
      </w:pPr>
    </w:p>
    <w:p>
      <w:pPr>
        <w:ind w:left="380" w:hanging="372"/>
        <w:spacing w:after="0"/>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achieve profitability from certain of our operations outside the United States;</w:t>
      </w:r>
    </w:p>
    <w:p>
      <w:pPr>
        <w:ind w:left="380" w:hanging="372"/>
        <w:spacing w:after="0" w:line="252" w:lineRule="auto"/>
        <w:tabs>
          <w:tab w:leader="none" w:pos="380" w:val="left"/>
        </w:tabs>
        <w:numPr>
          <w:ilvl w:val="0"/>
          <w:numId w:val="25"/>
        </w:numPr>
        <w:rPr>
          <w:rFonts w:ascii="Arial" w:cs="Arial" w:eastAsia="Arial" w:hAnsi="Arial"/>
          <w:sz w:val="19"/>
          <w:szCs w:val="19"/>
          <w:color w:val="auto"/>
        </w:rPr>
      </w:pPr>
      <w:r>
        <w:rPr>
          <w:rFonts w:ascii="Arial" w:cs="Arial" w:eastAsia="Arial" w:hAnsi="Arial"/>
          <w:sz w:val="19"/>
          <w:szCs w:val="19"/>
          <w:color w:val="auto"/>
        </w:rPr>
        <w:t>Our ability to manage legal and regulatory requirements in foreign jurisdictions, potential difficulties in staffing and managing foreign operations and potentially higher incidence of fraud or corruption and credit risk of foreign customers and/or distributors;</w:t>
      </w: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produce our products in international markets in which they are sold, thereby reducing freight costs and/or product damages;</w:t>
      </w:r>
    </w:p>
    <w:p>
      <w:pPr>
        <w:spacing w:after="0" w:line="22"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ind w:left="380" w:hanging="372"/>
        <w:spacing w:after="0" w:line="239" w:lineRule="auto"/>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380" w:hanging="372"/>
        <w:spacing w:after="0" w:line="239" w:lineRule="auto"/>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FTC or other governmental agencies or bodies;</w:t>
      </w:r>
    </w:p>
    <w:p>
      <w:pPr>
        <w:spacing w:after="0" w:line="1" w:lineRule="exact"/>
        <w:rPr>
          <w:rFonts w:ascii="Arial" w:cs="Arial" w:eastAsia="Arial" w:hAnsi="Arial"/>
          <w:sz w:val="20"/>
          <w:szCs w:val="20"/>
          <w:color w:val="auto"/>
        </w:rPr>
      </w:pPr>
    </w:p>
    <w:p>
      <w:pPr>
        <w:ind w:left="380" w:hanging="372"/>
        <w:spacing w:after="0" w:line="239" w:lineRule="auto"/>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outcome and/or possibility of future shareholder derivative actions or shareholder securities litigation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jc w:val="both"/>
        <w:ind w:left="380" w:right="20" w:hanging="372"/>
        <w:spacing w:after="0" w:line="239" w:lineRule="auto"/>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outcome of product liability litigation and/or class action litigation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outcome of any other litigation;</w:t>
      </w:r>
    </w:p>
    <w:p>
      <w:pPr>
        <w:ind w:left="380" w:hanging="372"/>
        <w:spacing w:after="0"/>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current uncertainty and volatility in the national and global economy;</w:t>
      </w:r>
    </w:p>
    <w:p>
      <w:pPr>
        <w:ind w:left="380" w:hanging="372"/>
        <w:spacing w:after="0"/>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address any significant deficiencies or material weakness in our internal controls over financial reporting;</w:t>
      </w:r>
    </w:p>
    <w:p>
      <w:pPr>
        <w:ind w:left="380" w:hanging="372"/>
        <w:spacing w:after="0"/>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continue to generate sufficient cash flows to support capital expansion plans and general operating activities;</w:t>
      </w:r>
    </w:p>
    <w:p>
      <w:pPr>
        <w:ind w:left="380" w:hanging="372"/>
        <w:spacing w:after="0" w:line="239" w:lineRule="auto"/>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and/or from decreased consumer discretionary spending power;</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Changes in demand that are weather related and/or for other reasons, including changes in product category consumption;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380" w:hanging="372"/>
        <w:spacing w:after="0" w:line="247" w:lineRule="auto"/>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introduce new products;</w:t>
      </w:r>
    </w:p>
    <w:p>
      <w:pPr>
        <w:ind w:left="380" w:hanging="372"/>
        <w:spacing w:after="0"/>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380" w:hanging="372"/>
        <w:spacing w:after="0" w:line="239" w:lineRule="auto"/>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increase the sales of our Monster Energy® brand energy drinks and/or our other products, including the Strategic Brands acquired from TCCC;</w:t>
      </w:r>
    </w:p>
    <w:p>
      <w:pPr>
        <w:spacing w:after="0" w:line="1" w:lineRule="exact"/>
        <w:rPr>
          <w:rFonts w:ascii="Arial" w:cs="Arial" w:eastAsia="Arial" w:hAnsi="Arial"/>
          <w:sz w:val="20"/>
          <w:szCs w:val="20"/>
          <w:color w:val="auto"/>
        </w:rPr>
      </w:pPr>
    </w:p>
    <w:p>
      <w:pPr>
        <w:jc w:val="both"/>
        <w:ind w:left="380" w:hanging="372"/>
        <w:spacing w:after="0" w:line="239" w:lineRule="auto"/>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impact of criticism of our energy drink products and/or the energy drink market generally and/or legislation enacted (whether as a result of such criticism or otherwise) that restricts the sale of energy drinks (including prohibiting the sale of energy drinks at certain establishments or pursuant to certain governmental programs), limit caffeine content in beverages, require certain product labeling disclosures and/or warnings, impose excise and/or sales taxes, limit product sizes and/or impose age restrictions for the sale of energy drinks;</w:t>
      </w:r>
    </w:p>
    <w:p>
      <w:pPr>
        <w:spacing w:after="0" w:line="2" w:lineRule="exact"/>
        <w:rPr>
          <w:rFonts w:ascii="Arial" w:cs="Arial" w:eastAsia="Arial" w:hAnsi="Arial"/>
          <w:sz w:val="20"/>
          <w:szCs w:val="20"/>
          <w:color w:val="auto"/>
        </w:rPr>
      </w:pPr>
    </w:p>
    <w:p>
      <w:pPr>
        <w:jc w:val="both"/>
        <w:ind w:left="380" w:hanging="372"/>
        <w:spacing w:after="0" w:line="266"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&amp; Cosmetic Act,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FDA, the Bureau of Alcohol, Tobacco and Firearms and Explosives and/or the FTC;</w:t>
      </w:r>
    </w:p>
    <w:p>
      <w:pPr>
        <w:spacing w:after="0" w:line="1" w:lineRule="exact"/>
        <w:rPr>
          <w:rFonts w:ascii="Arial" w:cs="Arial" w:eastAsia="Arial" w:hAnsi="Arial"/>
          <w:sz w:val="18"/>
          <w:szCs w:val="18"/>
          <w:color w:val="auto"/>
        </w:rPr>
      </w:pPr>
    </w:p>
    <w:p>
      <w:pPr>
        <w:jc w:val="both"/>
        <w:ind w:left="380" w:right="20" w:hanging="372"/>
        <w:spacing w:after="0" w:line="239" w:lineRule="auto"/>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satisfy all criteria set forth in any model energy drink guidelines, including, without limitation, those adopted by the American Beverage Association, of which the Company is a member, and/or any international beverage association and the impact on the Company of such guidelines;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Disruptions in the timely import or export of our products and/or ingredients due to port strikes and related labor issues;</w:t>
      </w:r>
    </w:p>
    <w:p>
      <w:pPr>
        <w:ind w:left="380" w:hanging="372"/>
        <w:spacing w:after="0"/>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effect of unfavorable or adverse public relations, press, articles, comments and/or media attention;</w:t>
      </w:r>
    </w:p>
    <w:p>
      <w:pPr>
        <w:jc w:val="both"/>
        <w:ind w:left="380" w:hanging="372"/>
        <w:spacing w:after="0" w:line="252" w:lineRule="auto"/>
        <w:tabs>
          <w:tab w:leader="none" w:pos="3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Changes in the cost, quality and availability of containers, packaging materials, aluminum,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ind w:left="380" w:hanging="372"/>
        <w:spacing w:after="0"/>
        <w:tabs>
          <w:tab w:leader="none" w:pos="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shortages that may be experienced in the procurement of containers and/or other raw materials;</w:t>
      </w: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corporate activity among the limited number of suppliers from whom we purchase certain raw materials on our cost of sales;</w:t>
      </w:r>
    </w:p>
    <w:p>
      <w:pPr>
        <w:sectPr>
          <w:pgSz w:w="11900" w:h="16860" w:orient="portrait"/>
          <w:cols w:equalWidth="0" w:num="1">
            <w:col w:w="11420"/>
          </w:cols>
          <w:pgMar w:left="240" w:top="121" w:right="239" w:bottom="0" w:gutter="0" w:footer="0" w:header="0"/>
        </w:sectPr>
      </w:pPr>
    </w:p>
    <w:bookmarkStart w:id="26" w:name="page27"/>
    <w:bookmarkEnd w:id="26"/>
    <w:p>
      <w:pPr>
        <w:spacing w:after="0" w:line="72" w:lineRule="exact"/>
        <w:rPr>
          <w:sz w:val="20"/>
          <w:szCs w:val="20"/>
          <w:color w:val="auto"/>
        </w:rPr>
      </w:pPr>
    </w:p>
    <w:p>
      <w:pPr>
        <w:ind w:left="380" w:hanging="372"/>
        <w:spacing w:after="0" w:line="248" w:lineRule="auto"/>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any increases in the costs of raw materials, ingredients, commodities and/or other cost inputs affecting our business;</w:t>
      </w:r>
    </w:p>
    <w:p>
      <w:pPr>
        <w:spacing w:after="0" w:line="1" w:lineRule="exact"/>
        <w:rPr>
          <w:rFonts w:ascii="Arial" w:cs="Arial" w:eastAsia="Arial" w:hAnsi="Arial"/>
          <w:sz w:val="20"/>
          <w:szCs w:val="20"/>
          <w:color w:val="auto"/>
        </w:rPr>
      </w:pPr>
    </w:p>
    <w:p>
      <w:pPr>
        <w:jc w:val="both"/>
        <w:ind w:left="380" w:hanging="372"/>
        <w:spacing w:after="0" w:line="239" w:lineRule="auto"/>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20"/>
          <w:szCs w:val="20"/>
          <w:color w:val="auto"/>
        </w:rPr>
      </w:pPr>
    </w:p>
    <w:p>
      <w:pPr>
        <w:ind w:left="380" w:hanging="372"/>
        <w:spacing w:after="0" w:line="239" w:lineRule="auto"/>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Economic or political instability in one or more of our international markets;</w:t>
      </w:r>
    </w:p>
    <w:p>
      <w:pPr>
        <w:ind w:left="380" w:hanging="372"/>
        <w:spacing w:after="0" w:line="239" w:lineRule="auto"/>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by us and/or the distributors of our products, most of whom distribute products that may be regarded as competitive with our products;</w:t>
      </w:r>
    </w:p>
    <w:p>
      <w:pPr>
        <w:spacing w:after="0" w:line="1" w:lineRule="exact"/>
        <w:rPr>
          <w:rFonts w:ascii="Arial" w:cs="Arial" w:eastAsia="Arial" w:hAnsi="Arial"/>
          <w:sz w:val="20"/>
          <w:szCs w:val="20"/>
          <w:color w:val="auto"/>
        </w:rPr>
      </w:pPr>
    </w:p>
    <w:p>
      <w:pPr>
        <w:jc w:val="both"/>
        <w:ind w:left="380" w:hanging="372"/>
        <w:spacing w:after="0" w:line="241" w:lineRule="auto"/>
        <w:tabs>
          <w:tab w:leader="none" w:pos="3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Unilateral decisions by distributors, convenience chains, grocery chains, mass merchandisers, specialty chain stores, club stores and other customers to discontinue carrying all or any of our products that they are carrying at any time, restrict the range of our products they carry and/or devote less resources to the sale of our products;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6"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costs and/or effectiveness, now or in the future, of our advertising, marketing and promotional strategies;</w:t>
      </w:r>
    </w:p>
    <w:p>
      <w:pPr>
        <w:spacing w:after="0" w:line="15" w:lineRule="exact"/>
        <w:rPr>
          <w:rFonts w:ascii="Arial" w:cs="Arial" w:eastAsia="Arial" w:hAnsi="Arial"/>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success of our sports marketing endeavors both domestically and internationally;</w:t>
      </w: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Unforeseen economic and political changes;</w:t>
      </w: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Possible recalls of our products and/or defective production;</w:t>
      </w:r>
    </w:p>
    <w:p>
      <w:pPr>
        <w:ind w:left="380" w:hanging="372"/>
        <w:spacing w:after="0" w:line="252" w:lineRule="auto"/>
        <w:tabs>
          <w:tab w:leader="none" w:pos="3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Our ability to make suitable arrangements for the co-packing of any of our products both domestically and internationally, the timely replacement of discontinued co-packing arrangements and/or limitations on co-packing availability, including for retort production;</w:t>
      </w: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timely procurement of non-defective raw materials;</w:t>
      </w:r>
    </w:p>
    <w:p>
      <w:pPr>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trade names or designs and/or trade dress in certain countries;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w:t>
      </w:r>
    </w:p>
    <w:p>
      <w:pPr>
        <w:ind w:left="380" w:right="2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failure of our bottlers and/or contract packers to manufacture our products on a timely basis or at all;</w:t>
      </w: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380" w:hanging="372"/>
        <w:spacing w:after="0" w:line="239" w:lineRule="auto"/>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including a breach of cyber security, that disrupts our business or negatively impacts customer relationships; and</w:t>
      </w:r>
    </w:p>
    <w:p>
      <w:pPr>
        <w:spacing w:after="0" w:line="1" w:lineRule="exact"/>
        <w:rPr>
          <w:rFonts w:ascii="Arial" w:cs="Arial" w:eastAsia="Arial" w:hAnsi="Arial"/>
          <w:sz w:val="20"/>
          <w:szCs w:val="20"/>
          <w:color w:val="auto"/>
        </w:rPr>
      </w:pPr>
    </w:p>
    <w:p>
      <w:pPr>
        <w:ind w:left="380" w:hanging="372"/>
        <w:spacing w:after="0"/>
        <w:tabs>
          <w:tab w:leader="none" w:pos="3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pacing w:after="0" w:line="21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foregoing list of important factors and other risks detailed from time to time in our reports filed with the SEC is not exhaustive. See the section entitled “Risk Factors” in our Form 10-K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There have been no material changes in our market risk during the three-months ended March 31, 2017 compared with the disclosures in Part II, Item 7A of our Form 10-K.</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 Under the supervision and with the participation of the Company’s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w:t>
      </w:r>
    </w:p>
    <w:p>
      <w:pPr>
        <w:spacing w:after="0" w:line="2" w:lineRule="exact"/>
        <w:rPr>
          <w:sz w:val="20"/>
          <w:szCs w:val="20"/>
          <w:color w:val="auto"/>
        </w:rPr>
      </w:pPr>
    </w:p>
    <w:p>
      <w:pPr>
        <w:ind w:firstLine="8"/>
        <w:spacing w:after="0" w:line="244" w:lineRule="auto"/>
        <w:tabs>
          <w:tab w:leader="none" w:pos="304" w:val="left"/>
        </w:tabs>
        <w:numPr>
          <w:ilvl w:val="0"/>
          <w:numId w:val="29"/>
        </w:numPr>
        <w:rPr>
          <w:rFonts w:ascii="Arial" w:cs="Arial" w:eastAsia="Arial" w:hAnsi="Arial"/>
          <w:sz w:val="20"/>
          <w:szCs w:val="20"/>
          <w:color w:val="auto"/>
        </w:rPr>
      </w:pPr>
      <w:r>
        <w:rPr>
          <w:rFonts w:ascii="Arial" w:cs="Arial" w:eastAsia="Arial" w:hAnsi="Arial"/>
          <w:sz w:val="20"/>
          <w:szCs w:val="20"/>
          <w:color w:val="auto"/>
        </w:rPr>
        <w:t>accumulated and communicated to our management, including its principal executive and principal financial officers, as appropriate, to allow timely decisions regarding required disclosures.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910" w:orient="portrait"/>
          <w:cols w:equalWidth="0" w:num="1">
            <w:col w:w="11420"/>
          </w:cols>
          <w:pgMar w:left="240" w:top="121" w:right="239" w:bottom="0" w:gutter="0" w:footer="0" w:header="0"/>
        </w:sectPr>
      </w:pP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 over financial</w:t>
      </w:r>
      <w:r>
        <w:rPr>
          <w:rFonts w:ascii="Arial" w:cs="Arial" w:eastAsia="Arial" w:hAnsi="Arial"/>
          <w:sz w:val="20"/>
          <w:szCs w:val="20"/>
          <w:i w:val="1"/>
          <w:iCs w:val="1"/>
          <w:color w:val="auto"/>
        </w:rPr>
        <w:t xml:space="preserve"> </w:t>
      </w:r>
      <w:r>
        <w:rPr>
          <w:rFonts w:ascii="Arial" w:cs="Arial" w:eastAsia="Arial" w:hAnsi="Arial"/>
          <w:sz w:val="20"/>
          <w:szCs w:val="20"/>
          <w:color w:val="auto"/>
        </w:rPr>
        <w:t>reporting during the quarter ended March 31, 2017, that have materially affected, or are reasonably likely to materially affect, our internal control over financial reporting.</w:t>
      </w:r>
    </w:p>
    <w:p>
      <w:pPr>
        <w:sectPr>
          <w:pgSz w:w="11900" w:h="16910" w:orient="portrait"/>
          <w:cols w:equalWidth="0" w:num="1">
            <w:col w:w="11420"/>
          </w:cols>
          <w:pgMar w:left="240" w:top="121" w:right="239" w:bottom="0" w:gutter="0" w:footer="0" w:header="0"/>
          <w:type w:val="continuous"/>
        </w:sectPr>
      </w:pPr>
    </w:p>
    <w:bookmarkStart w:id="27" w:name="page28"/>
    <w:bookmarkEnd w:id="27"/>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29"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23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information required by this Item is incorporated herein by reference to the Notes to Condensed Consolidated Financial Statements —Note 10. Commitments and Contingencies: Legal Proceedings in Part I, Item 1, of this Quarterly Report on Form 10-Q.</w:t>
      </w:r>
    </w:p>
    <w:p>
      <w:pPr>
        <w:spacing w:after="0" w:line="160"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risk factors are discussed in our Form 10-K. There have been no material changes with respect to the risk factors disclosed in our Form 10-K.</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the three-months ended March 31, 2017, 1,397 shares were purchased from employees in lieu of cash payments for options exercised or withholding taxes due for a total amount of $0.1 million. While such purchases are considered common stock repurchases, they are not counted as purchases against the Company’s authorized share repurchase programs.</w:t>
      </w:r>
    </w:p>
    <w:p>
      <w:pPr>
        <w:spacing w:after="0" w:line="194"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0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10220" w:type="dxa"/>
            <w:vAlign w:val="bottom"/>
          </w:tcPr>
          <w:p>
            <w:pPr>
              <w:ind w:left="80"/>
              <w:spacing w:after="0"/>
              <w:rPr>
                <w:sz w:val="20"/>
                <w:szCs w:val="20"/>
                <w:color w:val="auto"/>
              </w:rPr>
            </w:pPr>
            <w:r>
              <w:rPr>
                <w:rFonts w:ascii="Arial" w:cs="Arial" w:eastAsia="Arial" w:hAnsi="Arial"/>
                <w:sz w:val="20"/>
                <w:szCs w:val="20"/>
                <w:b w:val="1"/>
                <w:bCs w:val="1"/>
                <w:color w:val="auto"/>
              </w:rPr>
              <w:t>OTHER INFORMATION</w:t>
            </w:r>
          </w:p>
        </w:tc>
      </w:tr>
      <w:tr>
        <w:trPr>
          <w:trHeight w:val="459"/>
        </w:trPr>
        <w:tc>
          <w:tcPr>
            <w:tcW w:w="1200" w:type="dxa"/>
            <w:vAlign w:val="bottom"/>
          </w:tcPr>
          <w:p>
            <w:pPr>
              <w:ind w:left="660"/>
              <w:spacing w:after="0"/>
              <w:rPr>
                <w:sz w:val="20"/>
                <w:szCs w:val="20"/>
                <w:color w:val="auto"/>
              </w:rPr>
            </w:pPr>
            <w:r>
              <w:rPr>
                <w:rFonts w:ascii="Arial" w:cs="Arial" w:eastAsia="Arial" w:hAnsi="Arial"/>
                <w:sz w:val="20"/>
                <w:szCs w:val="20"/>
                <w:color w:val="auto"/>
                <w:w w:val="97"/>
              </w:rPr>
              <w:t>None.</w:t>
            </w:r>
          </w:p>
        </w:tc>
        <w:tc>
          <w:tcPr>
            <w:tcW w:w="10220" w:type="dxa"/>
            <w:vAlign w:val="bottom"/>
          </w:tcPr>
          <w:p>
            <w:pPr>
              <w:spacing w:after="0"/>
              <w:rPr>
                <w:sz w:val="24"/>
                <w:szCs w:val="24"/>
                <w:color w:val="auto"/>
              </w:rPr>
            </w:pPr>
          </w:p>
        </w:tc>
      </w:tr>
      <w:tr>
        <w:trPr>
          <w:trHeight w:val="459"/>
        </w:trPr>
        <w:tc>
          <w:tcPr>
            <w:tcW w:w="120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0220" w:type="dxa"/>
            <w:vAlign w:val="bottom"/>
          </w:tcPr>
          <w:p>
            <w:pPr>
              <w:ind w:left="80"/>
              <w:spacing w:after="0"/>
              <w:rPr>
                <w:sz w:val="20"/>
                <w:szCs w:val="20"/>
                <w:color w:val="auto"/>
              </w:rPr>
            </w:pPr>
            <w:r>
              <w:rPr>
                <w:rFonts w:ascii="Arial" w:cs="Arial" w:eastAsia="Arial" w:hAnsi="Arial"/>
                <w:sz w:val="20"/>
                <w:szCs w:val="20"/>
                <w:b w:val="1"/>
                <w:bCs w:val="1"/>
                <w:color w:val="auto"/>
              </w:rPr>
              <w:t>EXHIBITS</w:t>
            </w:r>
          </w:p>
        </w:tc>
      </w:tr>
      <w:tr>
        <w:trPr>
          <w:trHeight w:val="459"/>
        </w:trPr>
        <w:tc>
          <w:tcPr>
            <w:tcW w:w="1200" w:type="dxa"/>
            <w:vAlign w:val="bottom"/>
          </w:tcPr>
          <w:p>
            <w:pPr>
              <w:spacing w:after="0"/>
              <w:rPr>
                <w:sz w:val="20"/>
                <w:szCs w:val="20"/>
                <w:color w:val="auto"/>
              </w:rPr>
            </w:pPr>
            <w:r>
              <w:rPr>
                <w:rFonts w:ascii="Arial" w:cs="Arial" w:eastAsia="Arial" w:hAnsi="Arial"/>
                <w:sz w:val="20"/>
                <w:szCs w:val="20"/>
                <w:color w:val="auto"/>
              </w:rPr>
              <w:t>31.1*</w:t>
            </w:r>
          </w:p>
        </w:tc>
        <w:tc>
          <w:tcPr>
            <w:tcW w:w="10220" w:type="dxa"/>
            <w:vAlign w:val="bottom"/>
          </w:tcPr>
          <w:p>
            <w:pPr>
              <w:ind w:left="60"/>
              <w:spacing w:after="0"/>
              <w:rPr>
                <w:sz w:val="20"/>
                <w:szCs w:val="20"/>
                <w:color w:val="auto"/>
              </w:rPr>
            </w:pPr>
            <w:r>
              <w:rPr>
                <w:rFonts w:ascii="Arial" w:cs="Arial" w:eastAsia="Arial" w:hAnsi="Arial"/>
                <w:sz w:val="20"/>
                <w:szCs w:val="20"/>
                <w:color w:val="auto"/>
              </w:rPr>
              <w:t>Certification of Chief Executive Officer Pursuant to Section 302 of the Sarbanes-Oxley Act of 2002</w:t>
            </w:r>
          </w:p>
        </w:tc>
      </w:tr>
      <w:tr>
        <w:trPr>
          <w:trHeight w:val="459"/>
        </w:trPr>
        <w:tc>
          <w:tcPr>
            <w:tcW w:w="1200" w:type="dxa"/>
            <w:vAlign w:val="bottom"/>
          </w:tcPr>
          <w:p>
            <w:pPr>
              <w:spacing w:after="0"/>
              <w:rPr>
                <w:sz w:val="20"/>
                <w:szCs w:val="20"/>
                <w:color w:val="auto"/>
              </w:rPr>
            </w:pPr>
            <w:r>
              <w:rPr>
                <w:rFonts w:ascii="Arial" w:cs="Arial" w:eastAsia="Arial" w:hAnsi="Arial"/>
                <w:sz w:val="20"/>
                <w:szCs w:val="20"/>
                <w:color w:val="auto"/>
              </w:rPr>
              <w:t>31.2*</w:t>
            </w:r>
          </w:p>
        </w:tc>
        <w:tc>
          <w:tcPr>
            <w:tcW w:w="10220" w:type="dxa"/>
            <w:vAlign w:val="bottom"/>
          </w:tcPr>
          <w:p>
            <w:pPr>
              <w:ind w:left="60"/>
              <w:spacing w:after="0"/>
              <w:rPr>
                <w:sz w:val="20"/>
                <w:szCs w:val="20"/>
                <w:color w:val="auto"/>
              </w:rPr>
            </w:pPr>
            <w:r>
              <w:rPr>
                <w:rFonts w:ascii="Arial" w:cs="Arial" w:eastAsia="Arial" w:hAnsi="Arial"/>
                <w:sz w:val="20"/>
                <w:szCs w:val="20"/>
                <w:color w:val="auto"/>
              </w:rPr>
              <w:t>Certification of Chief Financial Officer Pursuant to Section 302 of the Sarbanes-Oxley Act of 2002</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32.1*</w:t>
            </w:r>
          </w:p>
        </w:tc>
        <w:tc>
          <w:tcPr>
            <w:tcW w:w="10220" w:type="dxa"/>
            <w:vAlign w:val="bottom"/>
          </w:tcPr>
          <w:p>
            <w:pPr>
              <w:ind w:left="600"/>
              <w:spacing w:after="0"/>
              <w:rPr>
                <w:sz w:val="20"/>
                <w:szCs w:val="20"/>
                <w:color w:val="auto"/>
              </w:rPr>
            </w:pPr>
            <w:r>
              <w:rPr>
                <w:rFonts w:ascii="Arial" w:cs="Arial" w:eastAsia="Arial" w:hAnsi="Arial"/>
                <w:sz w:val="20"/>
                <w:szCs w:val="20"/>
                <w:color w:val="auto"/>
                <w:w w:val="91"/>
              </w:rPr>
              <w:t>Certification of Chief Executive Officer Pursuant to 18 U.S.C. Section 1350, as Adopted Pursuant to Section 906 of the</w:t>
            </w:r>
          </w:p>
        </w:tc>
      </w:tr>
      <w:tr>
        <w:trPr>
          <w:trHeight w:val="250"/>
        </w:trPr>
        <w:tc>
          <w:tcPr>
            <w:tcW w:w="1200" w:type="dxa"/>
            <w:vAlign w:val="bottom"/>
          </w:tcPr>
          <w:p>
            <w:pPr>
              <w:spacing w:after="0"/>
              <w:rPr>
                <w:sz w:val="21"/>
                <w:szCs w:val="21"/>
                <w:color w:val="auto"/>
              </w:rPr>
            </w:pPr>
          </w:p>
        </w:tc>
        <w:tc>
          <w:tcPr>
            <w:tcW w:w="10220" w:type="dxa"/>
            <w:vAlign w:val="bottom"/>
          </w:tcPr>
          <w:p>
            <w:pPr>
              <w:ind w:left="100"/>
              <w:spacing w:after="0"/>
              <w:rPr>
                <w:sz w:val="20"/>
                <w:szCs w:val="20"/>
                <w:color w:val="auto"/>
              </w:rPr>
            </w:pPr>
            <w:r>
              <w:rPr>
                <w:rFonts w:ascii="Arial" w:cs="Arial" w:eastAsia="Arial" w:hAnsi="Arial"/>
                <w:sz w:val="20"/>
                <w:szCs w:val="20"/>
                <w:color w:val="auto"/>
              </w:rPr>
              <w:t>Sarbanes-Oxley Act of 2002</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32.2*</w:t>
            </w:r>
          </w:p>
        </w:tc>
        <w:tc>
          <w:tcPr>
            <w:tcW w:w="10220" w:type="dxa"/>
            <w:vAlign w:val="bottom"/>
          </w:tcPr>
          <w:p>
            <w:pPr>
              <w:ind w:left="600"/>
              <w:spacing w:after="0"/>
              <w:rPr>
                <w:sz w:val="20"/>
                <w:szCs w:val="20"/>
                <w:color w:val="auto"/>
              </w:rPr>
            </w:pPr>
            <w:r>
              <w:rPr>
                <w:rFonts w:ascii="Arial" w:cs="Arial" w:eastAsia="Arial" w:hAnsi="Arial"/>
                <w:sz w:val="20"/>
                <w:szCs w:val="20"/>
                <w:color w:val="auto"/>
                <w:w w:val="91"/>
              </w:rPr>
              <w:t>Certification by Chief Financial Officer Pursuant to 18 U.S.C. Section 1350, as Adopted Pursuant to Section 906 of the</w:t>
            </w:r>
          </w:p>
        </w:tc>
      </w:tr>
      <w:tr>
        <w:trPr>
          <w:trHeight w:val="250"/>
        </w:trPr>
        <w:tc>
          <w:tcPr>
            <w:tcW w:w="1200" w:type="dxa"/>
            <w:vAlign w:val="bottom"/>
          </w:tcPr>
          <w:p>
            <w:pPr>
              <w:spacing w:after="0"/>
              <w:rPr>
                <w:sz w:val="21"/>
                <w:szCs w:val="21"/>
                <w:color w:val="auto"/>
              </w:rPr>
            </w:pPr>
          </w:p>
        </w:tc>
        <w:tc>
          <w:tcPr>
            <w:tcW w:w="10220" w:type="dxa"/>
            <w:vAlign w:val="bottom"/>
          </w:tcPr>
          <w:p>
            <w:pPr>
              <w:ind w:left="100"/>
              <w:spacing w:after="0"/>
              <w:rPr>
                <w:sz w:val="20"/>
                <w:szCs w:val="20"/>
                <w:color w:val="auto"/>
              </w:rPr>
            </w:pPr>
            <w:r>
              <w:rPr>
                <w:rFonts w:ascii="Arial" w:cs="Arial" w:eastAsia="Arial" w:hAnsi="Arial"/>
                <w:sz w:val="20"/>
                <w:szCs w:val="20"/>
                <w:color w:val="auto"/>
              </w:rPr>
              <w:t>Sarbanes-Oxley Act of 2002</w:t>
            </w:r>
          </w:p>
        </w:tc>
      </w:tr>
      <w:tr>
        <w:trPr>
          <w:trHeight w:val="438"/>
        </w:trPr>
        <w:tc>
          <w:tcPr>
            <w:tcW w:w="1200" w:type="dxa"/>
            <w:vAlign w:val="bottom"/>
          </w:tcPr>
          <w:p>
            <w:pPr>
              <w:spacing w:after="0"/>
              <w:rPr>
                <w:sz w:val="20"/>
                <w:szCs w:val="20"/>
                <w:color w:val="auto"/>
              </w:rPr>
            </w:pPr>
            <w:r>
              <w:rPr>
                <w:rFonts w:ascii="Arial" w:cs="Arial" w:eastAsia="Arial" w:hAnsi="Arial"/>
                <w:sz w:val="20"/>
                <w:szCs w:val="20"/>
                <w:color w:val="auto"/>
              </w:rPr>
              <w:t>101*</w:t>
            </w:r>
          </w:p>
        </w:tc>
        <w:tc>
          <w:tcPr>
            <w:tcW w:w="10220" w:type="dxa"/>
            <w:vAlign w:val="bottom"/>
          </w:tcPr>
          <w:p>
            <w:pPr>
              <w:ind w:left="440"/>
              <w:spacing w:after="0"/>
              <w:rPr>
                <w:sz w:val="20"/>
                <w:szCs w:val="20"/>
                <w:color w:val="auto"/>
              </w:rPr>
            </w:pPr>
            <w:r>
              <w:rPr>
                <w:rFonts w:ascii="Arial" w:cs="Arial" w:eastAsia="Arial" w:hAnsi="Arial"/>
                <w:sz w:val="20"/>
                <w:szCs w:val="20"/>
                <w:color w:val="auto"/>
                <w:w w:val="92"/>
              </w:rPr>
              <w:t>The following financial information from Monster Beverage Corporation’s Quarterly Report on Form 10-Q for the quarter</w:t>
            </w:r>
          </w:p>
        </w:tc>
      </w:tr>
      <w:tr>
        <w:trPr>
          <w:trHeight w:val="246"/>
        </w:trPr>
        <w:tc>
          <w:tcPr>
            <w:tcW w:w="1200" w:type="dxa"/>
            <w:vAlign w:val="bottom"/>
          </w:tcPr>
          <w:p>
            <w:pPr>
              <w:spacing w:after="0"/>
              <w:rPr>
                <w:sz w:val="21"/>
                <w:szCs w:val="21"/>
                <w:color w:val="auto"/>
              </w:rPr>
            </w:pPr>
          </w:p>
        </w:tc>
        <w:tc>
          <w:tcPr>
            <w:tcW w:w="10220" w:type="dxa"/>
            <w:vAlign w:val="bottom"/>
          </w:tcPr>
          <w:p>
            <w:pPr>
              <w:ind w:left="100"/>
              <w:spacing w:after="0"/>
              <w:rPr>
                <w:sz w:val="20"/>
                <w:szCs w:val="20"/>
                <w:color w:val="auto"/>
              </w:rPr>
            </w:pPr>
            <w:r>
              <w:rPr>
                <w:rFonts w:ascii="Arial" w:cs="Arial" w:eastAsia="Arial" w:hAnsi="Arial"/>
                <w:sz w:val="20"/>
                <w:szCs w:val="20"/>
                <w:color w:val="auto"/>
                <w:w w:val="92"/>
              </w:rPr>
              <w:t>ended March 31, 2017, formatted in XBRL (eXtensible Business Reporting Language): (i) Condensed Consolidated Balance</w:t>
            </w:r>
          </w:p>
        </w:tc>
      </w:tr>
    </w:tbl>
    <w:p>
      <w:pPr>
        <w:jc w:val="both"/>
        <w:ind w:left="1300"/>
        <w:spacing w:after="0" w:line="258" w:lineRule="auto"/>
        <w:rPr>
          <w:sz w:val="20"/>
          <w:szCs w:val="20"/>
          <w:color w:val="auto"/>
        </w:rPr>
      </w:pPr>
      <w:r>
        <w:rPr>
          <w:rFonts w:ascii="Arial" w:cs="Arial" w:eastAsia="Arial" w:hAnsi="Arial"/>
          <w:sz w:val="19"/>
          <w:szCs w:val="19"/>
          <w:color w:val="auto"/>
        </w:rPr>
        <w:t>Sheets as of March 31, 2017 and December 31, 2016, (ii) Condensed Consolidated Statements of Income for the three-months ended March 31, 2017 and 2016, (iii) Condensed Consolidated Statements of Comprehensive Income for the three-months ended March 31, 2017 and 2016, (iv) Condensed Consolidated Statements of Cash Flows for the three-months ended March 31, 2017 and 2016, and (v) the Notes to Condensed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Filed herewith</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20"/>
                <w:szCs w:val="20"/>
                <w:color w:val="auto"/>
                <w:w w:val="93"/>
              </w:rPr>
              <w:t>MONSTER BEVERAGE CORPORATION</w:t>
            </w:r>
          </w:p>
        </w:tc>
      </w:tr>
      <w:tr>
        <w:trPr>
          <w:trHeight w:val="250"/>
        </w:trPr>
        <w:tc>
          <w:tcPr>
            <w:tcW w:w="3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480" w:type="dxa"/>
            <w:vAlign w:val="bottom"/>
            <w:gridSpan w:val="2"/>
          </w:tcPr>
          <w:p>
            <w:pPr>
              <w:spacing w:after="0"/>
              <w:rPr>
                <w:sz w:val="20"/>
                <w:szCs w:val="20"/>
                <w:color w:val="auto"/>
              </w:rPr>
            </w:pPr>
            <w:r>
              <w:rPr>
                <w:rFonts w:ascii="Arial" w:cs="Arial" w:eastAsia="Arial" w:hAnsi="Arial"/>
                <w:sz w:val="20"/>
                <w:szCs w:val="20"/>
                <w:color w:val="auto"/>
              </w:rPr>
              <w:t>Registrant</w:t>
            </w:r>
          </w:p>
        </w:tc>
      </w:tr>
      <w:tr>
        <w:trPr>
          <w:trHeight w:val="631"/>
        </w:trPr>
        <w:tc>
          <w:tcPr>
            <w:tcW w:w="3560" w:type="dxa"/>
            <w:vAlign w:val="bottom"/>
          </w:tcPr>
          <w:p>
            <w:pPr>
              <w:spacing w:after="0"/>
              <w:rPr>
                <w:sz w:val="20"/>
                <w:szCs w:val="20"/>
                <w:color w:val="auto"/>
              </w:rPr>
            </w:pPr>
            <w:r>
              <w:rPr>
                <w:rFonts w:ascii="Arial" w:cs="Arial" w:eastAsia="Arial" w:hAnsi="Arial"/>
                <w:sz w:val="20"/>
                <w:szCs w:val="20"/>
                <w:color w:val="auto"/>
              </w:rPr>
              <w:t>Date: May 5, 2017</w:t>
            </w:r>
          </w:p>
        </w:tc>
        <w:tc>
          <w:tcPr>
            <w:tcW w:w="216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Arial" w:cs="Arial" w:eastAsia="Arial" w:hAnsi="Arial"/>
                <w:sz w:val="20"/>
                <w:szCs w:val="20"/>
                <w:color w:val="auto"/>
              </w:rPr>
              <w:t>/s/ RODNEY C. SACKS</w:t>
            </w:r>
          </w:p>
        </w:tc>
      </w:tr>
      <w:tr>
        <w:trPr>
          <w:trHeight w:val="233"/>
        </w:trPr>
        <w:tc>
          <w:tcPr>
            <w:tcW w:w="3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Rodney C. Sacks</w:t>
            </w:r>
          </w:p>
        </w:tc>
        <w:tc>
          <w:tcPr>
            <w:tcW w:w="1500" w:type="dxa"/>
            <w:vAlign w:val="bottom"/>
          </w:tcPr>
          <w:p>
            <w:pPr>
              <w:spacing w:after="0"/>
              <w:rPr>
                <w:sz w:val="20"/>
                <w:szCs w:val="20"/>
                <w:color w:val="auto"/>
              </w:rPr>
            </w:pPr>
          </w:p>
        </w:tc>
      </w:tr>
      <w:tr>
        <w:trPr>
          <w:trHeight w:val="230"/>
        </w:trPr>
        <w:tc>
          <w:tcPr>
            <w:tcW w:w="35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20"/>
                <w:szCs w:val="20"/>
                <w:color w:val="auto"/>
              </w:rPr>
              <w:t>Chairman of the Board of Directors</w:t>
            </w:r>
          </w:p>
        </w:tc>
      </w:tr>
      <w:tr>
        <w:trPr>
          <w:trHeight w:val="250"/>
        </w:trPr>
        <w:tc>
          <w:tcPr>
            <w:tcW w:w="35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480" w:type="dxa"/>
            <w:vAlign w:val="bottom"/>
            <w:gridSpan w:val="2"/>
          </w:tcPr>
          <w:p>
            <w:pPr>
              <w:spacing w:after="0"/>
              <w:rPr>
                <w:sz w:val="20"/>
                <w:szCs w:val="20"/>
                <w:color w:val="auto"/>
              </w:rPr>
            </w:pPr>
            <w:r>
              <w:rPr>
                <w:rFonts w:ascii="Arial" w:cs="Arial" w:eastAsia="Arial" w:hAnsi="Arial"/>
                <w:sz w:val="20"/>
                <w:szCs w:val="20"/>
                <w:color w:val="auto"/>
              </w:rPr>
              <w:t>and Chief Executive Officer</w:t>
            </w:r>
          </w:p>
        </w:tc>
      </w:tr>
      <w:tr>
        <w:trPr>
          <w:trHeight w:val="442"/>
        </w:trPr>
        <w:tc>
          <w:tcPr>
            <w:tcW w:w="3560" w:type="dxa"/>
            <w:vAlign w:val="bottom"/>
          </w:tcPr>
          <w:p>
            <w:pPr>
              <w:spacing w:after="0"/>
              <w:rPr>
                <w:sz w:val="24"/>
                <w:szCs w:val="24"/>
                <w:color w:val="auto"/>
              </w:rPr>
            </w:pPr>
          </w:p>
        </w:tc>
        <w:tc>
          <w:tcPr>
            <w:tcW w:w="4140" w:type="dxa"/>
            <w:vAlign w:val="bottom"/>
            <w:gridSpan w:val="2"/>
          </w:tcPr>
          <w:p>
            <w:pPr>
              <w:jc w:val="right"/>
              <w:ind w:right="1801"/>
              <w:spacing w:after="0"/>
              <w:rPr>
                <w:sz w:val="20"/>
                <w:szCs w:val="20"/>
                <w:color w:val="auto"/>
              </w:rPr>
            </w:pPr>
            <w:r>
              <w:rPr>
                <w:rFonts w:ascii="Arial" w:cs="Arial" w:eastAsia="Arial" w:hAnsi="Arial"/>
                <w:sz w:val="18"/>
                <w:szCs w:val="18"/>
                <w:color w:val="auto"/>
              </w:rPr>
              <w:t>41</w:t>
            </w:r>
          </w:p>
        </w:tc>
        <w:tc>
          <w:tcPr>
            <w:tcW w:w="1500" w:type="dxa"/>
            <w:vAlign w:val="bottom"/>
          </w:tcPr>
          <w:p>
            <w:pPr>
              <w:spacing w:after="0"/>
              <w:rPr>
                <w:sz w:val="24"/>
                <w:szCs w:val="24"/>
                <w:color w:val="auto"/>
              </w:rPr>
            </w:pPr>
          </w:p>
        </w:tc>
      </w:tr>
    </w:tbl>
    <w:p>
      <w:pPr>
        <w:sectPr>
          <w:pgSz w:w="11900" w:h="16857" w:orient="portrait"/>
          <w:cols w:equalWidth="0" w:num="1">
            <w:col w:w="11420"/>
          </w:cols>
          <w:pgMar w:left="240" w:top="346" w:right="239" w:bottom="0"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ind w:right="40"/>
        <w:spacing w:after="0"/>
        <w:rPr>
          <w:sz w:val="20"/>
          <w:szCs w:val="20"/>
          <w:color w:val="auto"/>
        </w:rPr>
      </w:pPr>
      <w:r>
        <w:rPr>
          <w:rFonts w:ascii="Arial" w:cs="Arial" w:eastAsia="Arial" w:hAnsi="Arial"/>
          <w:sz w:val="22"/>
          <w:szCs w:val="22"/>
          <w:b w:val="1"/>
          <w:bCs w:val="1"/>
          <w:color w:val="auto"/>
        </w:rPr>
        <w:t>EXHIBIT 31.1</w:t>
      </w:r>
    </w:p>
    <w:p>
      <w:pPr>
        <w:spacing w:after="0" w:line="231"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434" w:val="left"/>
        </w:tabs>
        <w:numPr>
          <w:ilvl w:val="0"/>
          <w:numId w:val="3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60" w:hanging="332"/>
        <w:spacing w:after="0" w:line="316" w:lineRule="auto"/>
        <w:tabs>
          <w:tab w:leader="none" w:pos="5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502"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3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3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3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0" w:type="dxa"/>
            <w:vAlign w:val="bottom"/>
          </w:tcPr>
          <w:p>
            <w:pPr>
              <w:spacing w:after="0"/>
              <w:rPr>
                <w:sz w:val="20"/>
                <w:szCs w:val="20"/>
                <w:color w:val="auto"/>
              </w:rPr>
            </w:pPr>
            <w:r>
              <w:rPr>
                <w:rFonts w:ascii="Arial" w:cs="Arial" w:eastAsia="Arial" w:hAnsi="Arial"/>
                <w:sz w:val="20"/>
                <w:szCs w:val="20"/>
                <w:color w:val="auto"/>
              </w:rPr>
              <w:t>Date:</w:t>
            </w:r>
          </w:p>
        </w:tc>
        <w:tc>
          <w:tcPr>
            <w:tcW w:w="4980" w:type="dxa"/>
            <w:vAlign w:val="bottom"/>
          </w:tcPr>
          <w:p>
            <w:pPr>
              <w:ind w:left="300"/>
              <w:spacing w:after="0"/>
              <w:rPr>
                <w:sz w:val="20"/>
                <w:szCs w:val="20"/>
                <w:color w:val="auto"/>
              </w:rPr>
            </w:pPr>
            <w:r>
              <w:rPr>
                <w:rFonts w:ascii="Arial" w:cs="Arial" w:eastAsia="Arial" w:hAnsi="Arial"/>
                <w:sz w:val="20"/>
                <w:szCs w:val="20"/>
                <w:color w:val="auto"/>
              </w:rPr>
              <w:t>May 5, 2017</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7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5700" w:type="dxa"/>
            <w:vAlign w:val="bottom"/>
          </w:tcPr>
          <w:p>
            <w:pPr>
              <w:ind w:left="10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30"/>
        </w:trPr>
        <w:tc>
          <w:tcPr>
            <w:tcW w:w="7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Chairman of the Board of Directors</w:t>
            </w:r>
          </w:p>
        </w:tc>
        <w:tc>
          <w:tcPr>
            <w:tcW w:w="40" w:type="dxa"/>
            <w:vAlign w:val="bottom"/>
          </w:tcPr>
          <w:p>
            <w:pPr>
              <w:spacing w:after="0"/>
              <w:rPr>
                <w:sz w:val="19"/>
                <w:szCs w:val="19"/>
                <w:color w:val="auto"/>
              </w:rPr>
            </w:pPr>
          </w:p>
        </w:tc>
      </w:tr>
      <w:tr>
        <w:trPr>
          <w:trHeight w:val="250"/>
        </w:trPr>
        <w:tc>
          <w:tcPr>
            <w:tcW w:w="740" w:type="dxa"/>
            <w:vAlign w:val="bottom"/>
          </w:tcPr>
          <w:p>
            <w:pPr>
              <w:spacing w:after="0"/>
              <w:rPr>
                <w:sz w:val="21"/>
                <w:szCs w:val="21"/>
                <w:color w:val="auto"/>
              </w:rPr>
            </w:pPr>
          </w:p>
        </w:tc>
        <w:tc>
          <w:tcPr>
            <w:tcW w:w="4980" w:type="dxa"/>
            <w:vAlign w:val="bottom"/>
          </w:tcPr>
          <w:p>
            <w:pPr>
              <w:spacing w:after="0"/>
              <w:rPr>
                <w:sz w:val="21"/>
                <w:szCs w:val="21"/>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and Chief Executive Officer</w:t>
            </w:r>
          </w:p>
        </w:tc>
        <w:tc>
          <w:tcPr>
            <w:tcW w:w="40" w:type="dxa"/>
            <w:vAlign w:val="bottom"/>
          </w:tcPr>
          <w:p>
            <w:pPr>
              <w:spacing w:after="0"/>
              <w:rPr>
                <w:sz w:val="21"/>
                <w:szCs w:val="21"/>
                <w:color w:val="auto"/>
              </w:rPr>
            </w:pPr>
          </w:p>
        </w:tc>
      </w:tr>
      <w:tr>
        <w:trPr>
          <w:trHeight w:val="344"/>
        </w:trPr>
        <w:tc>
          <w:tcPr>
            <w:tcW w:w="74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t>EXHIBIT 31.2</w:t>
      </w:r>
    </w:p>
    <w:p>
      <w:pPr>
        <w:spacing w:after="0" w:line="231"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hanging="332"/>
        <w:spacing w:after="0" w:line="250" w:lineRule="auto"/>
        <w:tabs>
          <w:tab w:leader="none" w:pos="434" w:val="left"/>
        </w:tabs>
        <w:numPr>
          <w:ilvl w:val="0"/>
          <w:numId w:val="3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20" w:hanging="332"/>
        <w:spacing w:after="0" w:line="316" w:lineRule="auto"/>
        <w:tabs>
          <w:tab w:leader="none" w:pos="5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hanging="332"/>
        <w:spacing w:after="0" w:line="250" w:lineRule="auto"/>
        <w:tabs>
          <w:tab w:leader="none" w:pos="502"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hanging="315"/>
        <w:spacing w:after="0" w:line="291" w:lineRule="auto"/>
        <w:tabs>
          <w:tab w:leader="none" w:pos="166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hanging="315"/>
        <w:spacing w:after="0" w:line="291" w:lineRule="auto"/>
        <w:tabs>
          <w:tab w:leader="none" w:pos="186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hanging="315"/>
        <w:spacing w:after="0" w:line="250" w:lineRule="auto"/>
        <w:tabs>
          <w:tab w:leader="none" w:pos="2027" w:val="left"/>
        </w:tabs>
        <w:numPr>
          <w:ilvl w:val="1"/>
          <w:numId w:val="3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hanging="315"/>
        <w:spacing w:after="0" w:line="291" w:lineRule="auto"/>
        <w:tabs>
          <w:tab w:leader="none" w:pos="1809"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hanging="332"/>
        <w:spacing w:after="0" w:line="250" w:lineRule="auto"/>
        <w:tabs>
          <w:tab w:leader="none" w:pos="542"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hanging="315"/>
        <w:spacing w:after="0" w:line="250" w:lineRule="auto"/>
        <w:tabs>
          <w:tab w:leader="none" w:pos="1717" w:val="left"/>
        </w:tabs>
        <w:numPr>
          <w:ilvl w:val="1"/>
          <w:numId w:val="3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hanging="315"/>
        <w:spacing w:after="0" w:line="260" w:lineRule="auto"/>
        <w:tabs>
          <w:tab w:leader="none" w:pos="1863" w:val="left"/>
        </w:tabs>
        <w:numPr>
          <w:ilvl w:val="1"/>
          <w:numId w:val="3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0" w:type="dxa"/>
            <w:vAlign w:val="bottom"/>
          </w:tcPr>
          <w:p>
            <w:pPr>
              <w:spacing w:after="0"/>
              <w:rPr>
                <w:sz w:val="20"/>
                <w:szCs w:val="20"/>
                <w:color w:val="auto"/>
              </w:rPr>
            </w:pPr>
            <w:r>
              <w:rPr>
                <w:rFonts w:ascii="Arial" w:cs="Arial" w:eastAsia="Arial" w:hAnsi="Arial"/>
                <w:sz w:val="20"/>
                <w:szCs w:val="20"/>
                <w:color w:val="auto"/>
              </w:rPr>
              <w:t>Date:</w:t>
            </w:r>
          </w:p>
        </w:tc>
        <w:tc>
          <w:tcPr>
            <w:tcW w:w="4980" w:type="dxa"/>
            <w:vAlign w:val="bottom"/>
          </w:tcPr>
          <w:p>
            <w:pPr>
              <w:ind w:left="300"/>
              <w:spacing w:after="0"/>
              <w:rPr>
                <w:sz w:val="20"/>
                <w:szCs w:val="20"/>
                <w:color w:val="auto"/>
              </w:rPr>
            </w:pPr>
            <w:r>
              <w:rPr>
                <w:rFonts w:ascii="Arial" w:cs="Arial" w:eastAsia="Arial" w:hAnsi="Arial"/>
                <w:sz w:val="20"/>
                <w:szCs w:val="20"/>
                <w:color w:val="auto"/>
              </w:rPr>
              <w:t>May 5, 2017</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r>
      <w:tr>
        <w:trPr>
          <w:trHeight w:val="222"/>
        </w:trPr>
        <w:tc>
          <w:tcPr>
            <w:tcW w:w="74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700" w:type="dxa"/>
            <w:vAlign w:val="bottom"/>
          </w:tcPr>
          <w:p>
            <w:pPr>
              <w:ind w:left="100"/>
              <w:spacing w:after="0" w:line="222" w:lineRule="exact"/>
              <w:rPr>
                <w:sz w:val="20"/>
                <w:szCs w:val="20"/>
                <w:color w:val="auto"/>
              </w:rPr>
            </w:pPr>
            <w:r>
              <w:rPr>
                <w:rFonts w:ascii="Arial" w:cs="Arial" w:eastAsia="Arial" w:hAnsi="Arial"/>
                <w:sz w:val="20"/>
                <w:szCs w:val="20"/>
                <w:color w:val="auto"/>
              </w:rPr>
              <w:t>Hilton H. Schlosberg</w:t>
            </w:r>
          </w:p>
        </w:tc>
      </w:tr>
    </w:tbl>
    <w:p>
      <w:pPr>
        <w:ind w:left="5820"/>
        <w:spacing w:after="0"/>
        <w:rPr>
          <w:sz w:val="20"/>
          <w:szCs w:val="20"/>
          <w:color w:val="auto"/>
        </w:rPr>
      </w:pPr>
      <w:r>
        <w:rPr>
          <w:rFonts w:ascii="Arial" w:cs="Arial" w:eastAsia="Arial" w:hAnsi="Arial"/>
          <w:sz w:val="20"/>
          <w:szCs w:val="20"/>
          <w:color w:val="auto"/>
        </w:rPr>
        <w:t>Vice Chairman of the Board of Directors,</w:t>
      </w:r>
    </w:p>
    <w:p>
      <w:pPr>
        <w:ind w:left="5820"/>
        <w:spacing w:after="0"/>
        <w:rPr>
          <w:sz w:val="20"/>
          <w:szCs w:val="20"/>
          <w:color w:val="auto"/>
        </w:rPr>
      </w:pPr>
      <w:r>
        <w:rPr>
          <w:rFonts w:ascii="Arial" w:cs="Arial" w:eastAsia="Arial" w:hAnsi="Arial"/>
          <w:sz w:val="20"/>
          <w:szCs w:val="20"/>
          <w:color w:val="auto"/>
        </w:rPr>
        <w:t>President, Chief Operating Officer, Chief</w:t>
      </w:r>
    </w:p>
    <w:p>
      <w:pPr>
        <w:ind w:left="5820"/>
        <w:spacing w:after="0"/>
        <w:rPr>
          <w:sz w:val="20"/>
          <w:szCs w:val="20"/>
          <w:color w:val="auto"/>
        </w:rPr>
      </w:pPr>
      <w:r>
        <w:rPr>
          <w:rFonts w:ascii="Arial" w:cs="Arial" w:eastAsia="Arial" w:hAnsi="Arial"/>
          <w:sz w:val="20"/>
          <w:szCs w:val="20"/>
          <w:color w:val="auto"/>
        </w:rPr>
        <w:t>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2"/>
          <w:szCs w:val="22"/>
          <w:b w:val="1"/>
          <w:bCs w:val="1"/>
          <w:color w:val="auto"/>
        </w:rPr>
        <w:t>EXHIBIT 32.1</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March 31, 2017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hanging="324"/>
        <w:spacing w:after="0" w:line="260" w:lineRule="auto"/>
        <w:tabs>
          <w:tab w:leader="none" w:pos="1007"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0" w:type="dxa"/>
            <w:vAlign w:val="bottom"/>
          </w:tcPr>
          <w:p>
            <w:pPr>
              <w:spacing w:after="0"/>
              <w:rPr>
                <w:sz w:val="20"/>
                <w:szCs w:val="20"/>
                <w:color w:val="auto"/>
              </w:rPr>
            </w:pPr>
            <w:r>
              <w:rPr>
                <w:rFonts w:ascii="Arial" w:cs="Arial" w:eastAsia="Arial" w:hAnsi="Arial"/>
                <w:sz w:val="20"/>
                <w:szCs w:val="20"/>
                <w:color w:val="auto"/>
              </w:rPr>
              <w:t>Date:</w:t>
            </w:r>
          </w:p>
        </w:tc>
        <w:tc>
          <w:tcPr>
            <w:tcW w:w="5040" w:type="dxa"/>
            <w:vAlign w:val="bottom"/>
          </w:tcPr>
          <w:p>
            <w:pPr>
              <w:ind w:left="260"/>
              <w:spacing w:after="0"/>
              <w:rPr>
                <w:sz w:val="20"/>
                <w:szCs w:val="20"/>
                <w:color w:val="auto"/>
              </w:rPr>
            </w:pPr>
            <w:r>
              <w:rPr>
                <w:rFonts w:ascii="Arial" w:cs="Arial" w:eastAsia="Arial" w:hAnsi="Arial"/>
                <w:sz w:val="20"/>
                <w:szCs w:val="20"/>
                <w:color w:val="auto"/>
              </w:rPr>
              <w:t>May 5, 2017</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Rodney C. Sacks</w:t>
            </w:r>
          </w:p>
        </w:tc>
      </w:tr>
      <w:tr>
        <w:trPr>
          <w:trHeight w:val="222"/>
        </w:trPr>
        <w:tc>
          <w:tcPr>
            <w:tcW w:w="6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5700" w:type="dxa"/>
            <w:vAlign w:val="bottom"/>
          </w:tcPr>
          <w:p>
            <w:pPr>
              <w:ind w:left="100"/>
              <w:spacing w:after="0" w:line="222" w:lineRule="exact"/>
              <w:rPr>
                <w:sz w:val="20"/>
                <w:szCs w:val="20"/>
                <w:color w:val="auto"/>
              </w:rPr>
            </w:pPr>
            <w:r>
              <w:rPr>
                <w:rFonts w:ascii="Arial" w:cs="Arial" w:eastAsia="Arial" w:hAnsi="Arial"/>
                <w:sz w:val="20"/>
                <w:szCs w:val="20"/>
                <w:color w:val="auto"/>
              </w:rPr>
              <w:t>Rodney C. Sacks</w:t>
            </w:r>
          </w:p>
        </w:tc>
      </w:tr>
    </w:tbl>
    <w:p>
      <w:pPr>
        <w:ind w:left="5820"/>
        <w:spacing w:after="0"/>
        <w:rPr>
          <w:sz w:val="20"/>
          <w:szCs w:val="20"/>
          <w:color w:val="auto"/>
        </w:rPr>
      </w:pPr>
      <w:r>
        <w:rPr>
          <w:rFonts w:ascii="Arial" w:cs="Arial" w:eastAsia="Arial" w:hAnsi="Arial"/>
          <w:sz w:val="20"/>
          <w:szCs w:val="20"/>
          <w:color w:val="auto"/>
        </w:rPr>
        <w:t>Chairman of the Board of Directors</w:t>
      </w:r>
    </w:p>
    <w:p>
      <w:pPr>
        <w:ind w:left="5820"/>
        <w:spacing w:after="0"/>
        <w:rPr>
          <w:sz w:val="20"/>
          <w:szCs w:val="20"/>
          <w:color w:val="auto"/>
        </w:rPr>
      </w:pPr>
      <w:r>
        <w:rPr>
          <w:rFonts w:ascii="Arial" w:cs="Arial" w:eastAsia="Arial" w:hAnsi="Arial"/>
          <w:sz w:val="20"/>
          <w:szCs w:val="20"/>
          <w:color w:val="auto"/>
        </w:rPr>
        <w:t>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2" w:name="page33"/>
    <w:bookmarkEnd w:id="32"/>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March 31, 2017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160" w:hanging="324"/>
        <w:spacing w:after="0" w:line="260" w:lineRule="auto"/>
        <w:tabs>
          <w:tab w:leader="none" w:pos="966"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60" w:type="dxa"/>
            <w:vAlign w:val="bottom"/>
          </w:tcPr>
          <w:p>
            <w:pPr>
              <w:spacing w:after="0"/>
              <w:rPr>
                <w:sz w:val="20"/>
                <w:szCs w:val="20"/>
                <w:color w:val="auto"/>
              </w:rPr>
            </w:pPr>
            <w:r>
              <w:rPr>
                <w:rFonts w:ascii="Arial" w:cs="Arial" w:eastAsia="Arial" w:hAnsi="Arial"/>
                <w:sz w:val="20"/>
                <w:szCs w:val="20"/>
                <w:color w:val="auto"/>
              </w:rPr>
              <w:t>Date:</w:t>
            </w:r>
          </w:p>
        </w:tc>
        <w:tc>
          <w:tcPr>
            <w:tcW w:w="5060" w:type="dxa"/>
            <w:vAlign w:val="bottom"/>
          </w:tcPr>
          <w:p>
            <w:pPr>
              <w:ind w:left="220"/>
              <w:spacing w:after="0"/>
              <w:rPr>
                <w:sz w:val="20"/>
                <w:szCs w:val="20"/>
                <w:color w:val="auto"/>
              </w:rPr>
            </w:pPr>
            <w:r>
              <w:rPr>
                <w:rFonts w:ascii="Arial" w:cs="Arial" w:eastAsia="Arial" w:hAnsi="Arial"/>
                <w:sz w:val="20"/>
                <w:szCs w:val="20"/>
                <w:color w:val="auto"/>
              </w:rPr>
              <w:t>May 5, 2017</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6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5700" w:type="dxa"/>
            <w:vAlign w:val="bottom"/>
          </w:tcPr>
          <w:p>
            <w:pPr>
              <w:ind w:left="10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6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Vice Chairman of the Board of Directors,</w:t>
            </w:r>
          </w:p>
        </w:tc>
        <w:tc>
          <w:tcPr>
            <w:tcW w:w="4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President, Chief Operating Officer, Chief</w:t>
            </w:r>
          </w:p>
        </w:tc>
        <w:tc>
          <w:tcPr>
            <w:tcW w:w="40" w:type="dxa"/>
            <w:vAlign w:val="bottom"/>
          </w:tcPr>
          <w:p>
            <w:pPr>
              <w:spacing w:after="0"/>
              <w:rPr>
                <w:sz w:val="19"/>
                <w:szCs w:val="19"/>
                <w:color w:val="auto"/>
              </w:rPr>
            </w:pPr>
          </w:p>
        </w:tc>
      </w:tr>
      <w:tr>
        <w:trPr>
          <w:trHeight w:val="250"/>
        </w:trPr>
        <w:tc>
          <w:tcPr>
            <w:tcW w:w="660" w:type="dxa"/>
            <w:vAlign w:val="bottom"/>
          </w:tcPr>
          <w:p>
            <w:pPr>
              <w:spacing w:after="0"/>
              <w:rPr>
                <w:sz w:val="21"/>
                <w:szCs w:val="21"/>
                <w:color w:val="auto"/>
              </w:rPr>
            </w:pPr>
          </w:p>
        </w:tc>
        <w:tc>
          <w:tcPr>
            <w:tcW w:w="5060" w:type="dxa"/>
            <w:vAlign w:val="bottom"/>
          </w:tcPr>
          <w:p>
            <w:pPr>
              <w:spacing w:after="0"/>
              <w:rPr>
                <w:sz w:val="21"/>
                <w:szCs w:val="21"/>
                <w:color w:val="auto"/>
              </w:rPr>
            </w:pPr>
          </w:p>
        </w:tc>
        <w:tc>
          <w:tcPr>
            <w:tcW w:w="5700" w:type="dxa"/>
            <w:vAlign w:val="bottom"/>
          </w:tcPr>
          <w:p>
            <w:pPr>
              <w:ind w:left="100"/>
              <w:spacing w:after="0"/>
              <w:rPr>
                <w:sz w:val="20"/>
                <w:szCs w:val="20"/>
                <w:color w:val="auto"/>
              </w:rPr>
            </w:pPr>
            <w:r>
              <w:rPr>
                <w:rFonts w:ascii="Arial" w:cs="Arial" w:eastAsia="Arial" w:hAnsi="Arial"/>
                <w:sz w:val="20"/>
                <w:szCs w:val="20"/>
                <w:color w:val="auto"/>
              </w:rPr>
              <w:t>Financial Officer and Secretary</w:t>
            </w:r>
          </w:p>
        </w:tc>
        <w:tc>
          <w:tcPr>
            <w:tcW w:w="40" w:type="dxa"/>
            <w:vAlign w:val="bottom"/>
          </w:tcPr>
          <w:p>
            <w:pPr>
              <w:spacing w:after="0"/>
              <w:rPr>
                <w:sz w:val="21"/>
                <w:szCs w:val="21"/>
                <w:color w:val="auto"/>
              </w:rPr>
            </w:pPr>
          </w:p>
        </w:tc>
      </w:tr>
      <w:tr>
        <w:trPr>
          <w:trHeight w:val="357"/>
        </w:trPr>
        <w:tc>
          <w:tcPr>
            <w:tcW w:w="66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2"/>
    </w:lvl>
  </w:abstractNum>
  <w:abstractNum w:abstractNumId="2">
    <w:nsid w:val="431BD7B7"/>
    <w:multiLevelType w:val="hybridMultilevel"/>
    <w:lvl w:ilvl="0">
      <w:lvlJc w:val="left"/>
      <w:lvlText w:val="%1."/>
      <w:numFmt w:val="decimal"/>
      <w:start w:val="3"/>
    </w:lvl>
  </w:abstractNum>
  <w:abstractNum w:abstractNumId="3">
    <w:nsid w:val="3F2DBA31"/>
    <w:multiLevelType w:val="hybridMultilevel"/>
    <w:lvl w:ilvl="0">
      <w:lvlJc w:val="left"/>
      <w:lvlText w:val="%1."/>
      <w:numFmt w:val="decimal"/>
      <w:start w:val="4"/>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5"/>
    </w:lvl>
  </w:abstractNum>
  <w:abstractNum w:abstractNumId="6">
    <w:nsid w:val="62BBD95A"/>
    <w:multiLevelType w:val="hybridMultilevel"/>
    <w:lvl w:ilvl="0">
      <w:lvlJc w:val="left"/>
      <w:lvlText w:val="%1."/>
      <w:numFmt w:val="decimal"/>
      <w:start w:val="6"/>
    </w:lvl>
  </w:abstractNum>
  <w:abstractNum w:abstractNumId="7">
    <w:nsid w:val="436C6125"/>
    <w:multiLevelType w:val="hybridMultilevel"/>
    <w:lvl w:ilvl="0">
      <w:lvlJc w:val="left"/>
      <w:lvlText w:val="%1."/>
      <w:numFmt w:val="decimal"/>
      <w:start w:val="7"/>
    </w:lvl>
  </w:abstractNum>
  <w:abstractNum w:abstractNumId="8">
    <w:nsid w:val="628C895D"/>
    <w:multiLevelType w:val="hybridMultilevel"/>
    <w:lvl w:ilvl="0">
      <w:lvlJc w:val="left"/>
      <w:lvlText w:val="%1."/>
      <w:numFmt w:val="decimal"/>
      <w:start w:val="8"/>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9"/>
    </w:lvl>
  </w:abstractNum>
  <w:abstractNum w:abstractNumId="12">
    <w:nsid w:val="2D1D5AE9"/>
    <w:multiLevelType w:val="hybridMultilevel"/>
    <w:lvl w:ilvl="0">
      <w:lvlJc w:val="left"/>
      <w:lvlText w:val="%1."/>
      <w:numFmt w:val="decimal"/>
      <w:start w:val="10"/>
    </w:lvl>
  </w:abstractNum>
  <w:abstractNum w:abstractNumId="13">
    <w:nsid w:val="6763845E"/>
    <w:multiLevelType w:val="hybridMultilevel"/>
    <w:lvl w:ilvl="0">
      <w:lvlJc w:val="left"/>
      <w:lvlText w:val="%1."/>
      <w:numFmt w:val="decimal"/>
      <w:start w:val="11"/>
    </w:lvl>
  </w:abstractNum>
  <w:abstractNum w:abstractNumId="14">
    <w:nsid w:val="75A2A8D4"/>
    <w:multiLevelType w:val="hybridMultilevel"/>
    <w:lvl w:ilvl="0">
      <w:lvlJc w:val="left"/>
      <w:lvlText w:val="%1."/>
      <w:numFmt w:val="decimal"/>
      <w:start w:val="12"/>
    </w:lvl>
  </w:abstractNum>
  <w:abstractNum w:abstractNumId="15">
    <w:nsid w:val="8EDBDAB"/>
    <w:multiLevelType w:val="hybridMultilevel"/>
    <w:lvl w:ilvl="0">
      <w:lvlJc w:val="left"/>
      <w:lvlText w:val="%1."/>
      <w:numFmt w:val="decimal"/>
      <w:start w:val="13"/>
    </w:lvl>
  </w:abstractNum>
  <w:abstractNum w:abstractNumId="16">
    <w:nsid w:val="79838CB2"/>
    <w:multiLevelType w:val="hybridMultilevel"/>
    <w:lvl w:ilvl="0">
      <w:lvlJc w:val="left"/>
      <w:lvlText w:val="%1."/>
      <w:numFmt w:val="decimal"/>
      <w:start w:val="14"/>
    </w:lvl>
  </w:abstractNum>
  <w:abstractNum w:abstractNumId="17">
    <w:nsid w:val="4353D0CD"/>
    <w:multiLevelType w:val="hybridMultilevel"/>
    <w:lvl w:ilvl="0">
      <w:lvlJc w:val="left"/>
      <w:lvlText w:val="%1."/>
      <w:numFmt w:val="decimal"/>
      <w:start w:val="15"/>
    </w:lvl>
  </w:abstractNum>
  <w:abstractNum w:abstractNumId="18">
    <w:nsid w:val="B03E0C6"/>
    <w:multiLevelType w:val="hybridMultilevel"/>
    <w:lvl w:ilvl="0">
      <w:lvlJc w:val="left"/>
      <w:lvlText w:val="%1."/>
      <w:numFmt w:val="decimal"/>
      <w:start w:val="16"/>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7"/>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lowerRoman"/>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2"/>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2019-12-29T06:48:41Z</dcterms:created>
  <dcterms:modified xsi:type="dcterms:W3CDTF">2019-12-29T06:48:41Z</dcterms:modified>
</cp:coreProperties>
</file>