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7"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5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Quarterly Report Pursuant to Section 13 or 15(d)</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200" w:lineRule="exact"/>
        <w:rPr>
          <w:sz w:val="24"/>
          <w:szCs w:val="24"/>
          <w:color w:val="auto"/>
        </w:rPr>
      </w:pPr>
    </w:p>
    <w:p>
      <w:pPr>
        <w:spacing w:after="0" w:line="204" w:lineRule="exact"/>
        <w:rPr>
          <w:sz w:val="24"/>
          <w:szCs w:val="24"/>
          <w:color w:val="auto"/>
        </w:rPr>
      </w:pPr>
    </w:p>
    <w:p>
      <w:pPr>
        <w:spacing w:after="0"/>
        <w:tabs>
          <w:tab w:leader="none" w:pos="8380" w:val="left"/>
        </w:tabs>
        <w:rPr>
          <w:sz w:val="20"/>
          <w:szCs w:val="20"/>
          <w:color w:val="auto"/>
        </w:rPr>
      </w:pPr>
      <w:r>
        <w:rPr>
          <w:rFonts w:ascii="Arial" w:cs="Arial" w:eastAsia="Arial" w:hAnsi="Arial"/>
          <w:sz w:val="22"/>
          <w:szCs w:val="22"/>
          <w:color w:val="auto"/>
        </w:rPr>
        <w:t>For the quarterly period ended September 30, 2012</w:t>
      </w:r>
      <w:r>
        <w:rPr>
          <w:sz w:val="20"/>
          <w:szCs w:val="20"/>
          <w:color w:val="auto"/>
        </w:rPr>
        <w:tab/>
      </w:r>
      <w:r>
        <w:rPr>
          <w:rFonts w:ascii="Arial" w:cs="Arial" w:eastAsia="Arial" w:hAnsi="Arial"/>
          <w:sz w:val="19"/>
          <w:szCs w:val="19"/>
          <w:color w:val="auto"/>
        </w:rPr>
        <w:t>Commission File Number 0-18761</w:t>
      </w:r>
    </w:p>
    <w:p>
      <w:pPr>
        <w:spacing w:after="0" w:line="200" w:lineRule="exact"/>
        <w:rPr>
          <w:sz w:val="24"/>
          <w:szCs w:val="24"/>
          <w:color w:val="auto"/>
        </w:rPr>
      </w:pPr>
    </w:p>
    <w:p>
      <w:pPr>
        <w:spacing w:after="0" w:line="221"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MONSTER BEVERAGE CORPORATION</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ectPr>
          <w:pgSz w:w="11900" w:h="16838" w:orient="portrait"/>
          <w:cols w:equalWidth="0" w:num="1">
            <w:col w:w="11420"/>
          </w:cols>
          <w:pgMar w:left="240" w:top="233" w:right="239" w:bottom="0" w:gutter="0" w:footer="0" w:header="0"/>
        </w:sectPr>
      </w:pPr>
    </w:p>
    <w:p>
      <w:pPr>
        <w:spacing w:after="0" w:line="200" w:lineRule="exact"/>
        <w:rPr>
          <w:sz w:val="24"/>
          <w:szCs w:val="24"/>
          <w:color w:val="auto"/>
        </w:rPr>
      </w:pPr>
    </w:p>
    <w:p>
      <w:pPr>
        <w:spacing w:after="0" w:line="205" w:lineRule="exact"/>
        <w:rPr>
          <w:sz w:val="24"/>
          <w:szCs w:val="24"/>
          <w:color w:val="auto"/>
        </w:rPr>
      </w:pPr>
    </w:p>
    <w:p>
      <w:pPr>
        <w:jc w:val="center"/>
        <w:ind w:left="920"/>
        <w:spacing w:after="0"/>
        <w:rPr>
          <w:sz w:val="20"/>
          <w:szCs w:val="20"/>
          <w:color w:val="auto"/>
        </w:rPr>
      </w:pPr>
      <w:r>
        <w:rPr>
          <w:rFonts w:ascii="Arial" w:cs="Arial" w:eastAsia="Arial" w:hAnsi="Arial"/>
          <w:sz w:val="19"/>
          <w:szCs w:val="19"/>
          <w:color w:val="auto"/>
        </w:rPr>
        <w:t>Delaware</w:t>
      </w:r>
    </w:p>
    <w:p>
      <w:pPr>
        <w:spacing w:after="0" w:line="20" w:lineRule="exact"/>
        <w:rPr>
          <w:sz w:val="24"/>
          <w:szCs w:val="24"/>
          <w:color w:val="auto"/>
        </w:rPr>
      </w:pPr>
      <w:r>
        <w:rPr>
          <w:sz w:val="24"/>
          <w:szCs w:val="24"/>
          <w:color w:val="auto"/>
        </w:rPr>
        <w:br w:type="column"/>
      </w:r>
    </w:p>
    <w:p>
      <w:pPr>
        <w:spacing w:after="0" w:line="385" w:lineRule="exact"/>
        <w:rPr>
          <w:sz w:val="24"/>
          <w:szCs w:val="24"/>
          <w:color w:val="auto"/>
        </w:rPr>
      </w:pPr>
    </w:p>
    <w:p>
      <w:pPr>
        <w:spacing w:after="0"/>
        <w:rPr>
          <w:sz w:val="20"/>
          <w:szCs w:val="20"/>
          <w:color w:val="auto"/>
        </w:rPr>
      </w:pPr>
      <w:r>
        <w:rPr>
          <w:rFonts w:ascii="Arial" w:cs="Arial" w:eastAsia="Arial" w:hAnsi="Arial"/>
          <w:sz w:val="19"/>
          <w:szCs w:val="19"/>
          <w:color w:val="auto"/>
        </w:rPr>
        <w:t>39-1679918</w:t>
      </w:r>
    </w:p>
    <w:p>
      <w:pPr>
        <w:spacing w:after="0" w:line="27" w:lineRule="exact"/>
        <w:rPr>
          <w:sz w:val="24"/>
          <w:szCs w:val="24"/>
          <w:color w:val="auto"/>
        </w:rPr>
      </w:pPr>
    </w:p>
    <w:p>
      <w:pPr>
        <w:sectPr>
          <w:pgSz w:w="11900" w:h="16838" w:orient="portrait"/>
          <w:cols w:equalWidth="0" w:num="2">
            <w:col w:w="6260" w:space="720"/>
            <w:col w:w="4440"/>
          </w:cols>
          <w:pgMar w:left="240" w:top="233" w:right="239" w:bottom="0" w:gutter="0" w:footer="0" w:header="0"/>
          <w:type w:val="continuous"/>
        </w:sectPr>
      </w:pPr>
    </w:p>
    <w:p>
      <w:pPr>
        <w:spacing w:after="0" w:line="11" w:lineRule="exact"/>
        <w:rPr>
          <w:sz w:val="24"/>
          <w:szCs w:val="24"/>
          <w:color w:val="auto"/>
        </w:rPr>
      </w:pPr>
    </w:p>
    <w:p>
      <w:pPr>
        <w:ind w:left="3180"/>
        <w:spacing w:after="0"/>
        <w:rPr>
          <w:sz w:val="20"/>
          <w:szCs w:val="20"/>
          <w:color w:val="auto"/>
        </w:rPr>
      </w:pPr>
      <w:r>
        <w:rPr>
          <w:rFonts w:ascii="Arial" w:cs="Arial" w:eastAsia="Arial" w:hAnsi="Arial"/>
          <w:sz w:val="13"/>
          <w:szCs w:val="13"/>
          <w:color w:val="auto"/>
        </w:rPr>
        <w:t>(State or other jurisdiction of</w:t>
      </w:r>
    </w:p>
    <w:p>
      <w:pPr>
        <w:ind w:left="3180"/>
        <w:spacing w:after="0"/>
        <w:rPr>
          <w:sz w:val="20"/>
          <w:szCs w:val="20"/>
          <w:color w:val="auto"/>
        </w:rPr>
      </w:pPr>
      <w:r>
        <w:rPr>
          <w:rFonts w:ascii="Arial" w:cs="Arial" w:eastAsia="Arial" w:hAnsi="Arial"/>
          <w:sz w:val="13"/>
          <w:szCs w:val="13"/>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(I.R.S. Employer</w:t>
      </w:r>
    </w:p>
    <w:p>
      <w:pPr>
        <w:spacing w:after="0"/>
        <w:rPr>
          <w:sz w:val="20"/>
          <w:szCs w:val="20"/>
          <w:color w:val="auto"/>
        </w:rPr>
      </w:pPr>
      <w:r>
        <w:rPr>
          <w:rFonts w:ascii="Arial" w:cs="Arial" w:eastAsia="Arial" w:hAnsi="Arial"/>
          <w:sz w:val="13"/>
          <w:szCs w:val="13"/>
          <w:color w:val="auto"/>
        </w:rPr>
        <w:t>Identification No.)</w:t>
      </w:r>
    </w:p>
    <w:p>
      <w:pPr>
        <w:spacing w:after="0" w:line="200" w:lineRule="exact"/>
        <w:rPr>
          <w:sz w:val="24"/>
          <w:szCs w:val="24"/>
          <w:color w:val="auto"/>
        </w:rPr>
      </w:pPr>
    </w:p>
    <w:p>
      <w:pPr>
        <w:sectPr>
          <w:pgSz w:w="11900" w:h="16838" w:orient="portrait"/>
          <w:cols w:equalWidth="0" w:num="2">
            <w:col w:w="6260" w:space="720"/>
            <w:col w:w="4440"/>
          </w:cols>
          <w:pgMar w:left="240" w:top="233" w:right="239" w:bottom="0" w:gutter="0" w:footer="0" w:header="0"/>
          <w:type w:val="continuous"/>
        </w:sectPr>
      </w:pP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550 Monica Circle, Suite 201</w:t>
      </w:r>
    </w:p>
    <w:p>
      <w:pPr>
        <w:jc w:val="center"/>
        <w:spacing w:after="0" w:line="235" w:lineRule="auto"/>
        <w:rPr>
          <w:sz w:val="20"/>
          <w:szCs w:val="20"/>
          <w:color w:val="auto"/>
        </w:rPr>
      </w:pPr>
      <w:r>
        <w:rPr>
          <w:rFonts w:ascii="Arial" w:cs="Arial" w:eastAsia="Arial" w:hAnsi="Arial"/>
          <w:sz w:val="22"/>
          <w:szCs w:val="22"/>
          <w:color w:val="auto"/>
        </w:rPr>
        <w:t>Corona, California 92880</w:t>
      </w:r>
    </w:p>
    <w:p>
      <w:pPr>
        <w:jc w:val="center"/>
        <w:spacing w:after="0"/>
        <w:rPr>
          <w:sz w:val="20"/>
          <w:szCs w:val="20"/>
          <w:color w:val="auto"/>
        </w:rPr>
      </w:pPr>
      <w:r>
        <w:rPr>
          <w:rFonts w:ascii="Arial" w:cs="Arial" w:eastAsia="Arial" w:hAnsi="Arial"/>
          <w:sz w:val="14"/>
          <w:szCs w:val="14"/>
          <w:color w:val="auto"/>
        </w:rPr>
        <w:t>(Address of principal executive offices) (Zip code)</w:t>
      </w:r>
    </w:p>
    <w:p>
      <w:pPr>
        <w:spacing w:after="0" w:line="200" w:lineRule="exact"/>
        <w:rPr>
          <w:sz w:val="24"/>
          <w:szCs w:val="24"/>
          <w:color w:val="auto"/>
        </w:rPr>
      </w:pPr>
    </w:p>
    <w:p>
      <w:pPr>
        <w:spacing w:after="0" w:line="205"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(951) 739 – 6200</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(Registrant’s telephone number, including area code)</w:t>
      </w:r>
    </w:p>
    <w:p>
      <w:pPr>
        <w:spacing w:after="0" w:line="200" w:lineRule="exact"/>
        <w:rPr>
          <w:sz w:val="24"/>
          <w:szCs w:val="24"/>
          <w:color w:val="auto"/>
        </w:rPr>
      </w:pPr>
    </w:p>
    <w:p>
      <w:pPr>
        <w:spacing w:after="0" w:line="210" w:lineRule="exact"/>
        <w:rPr>
          <w:sz w:val="24"/>
          <w:szCs w:val="24"/>
          <w:color w:val="auto"/>
        </w:rPr>
      </w:pPr>
    </w:p>
    <w:p>
      <w:pPr>
        <w:jc w:val="both"/>
        <w:ind w:firstLine="648"/>
        <w:spacing w:after="0" w:line="250" w:lineRule="auto"/>
        <w:rPr>
          <w:sz w:val="20"/>
          <w:szCs w:val="20"/>
          <w:color w:val="auto"/>
        </w:rPr>
      </w:pPr>
      <w:r>
        <w:rPr>
          <w:rFonts w:ascii="Arial" w:cs="Arial" w:eastAsia="Arial" w:hAnsi="Arial"/>
          <w:sz w:val="20"/>
          <w:szCs w:val="20"/>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86" w:lineRule="exact"/>
        <w:rPr>
          <w:sz w:val="24"/>
          <w:szCs w:val="24"/>
          <w:color w:val="auto"/>
        </w:rPr>
      </w:pPr>
    </w:p>
    <w:p>
      <w:pPr>
        <w:jc w:val="center"/>
        <w:spacing w:after="0"/>
        <w:tabs>
          <w:tab w:leader="none" w:pos="180" w:val="left"/>
        </w:tabs>
        <w:rPr>
          <w:sz w:val="20"/>
          <w:szCs w:val="20"/>
          <w:color w:val="auto"/>
        </w:rPr>
      </w:pPr>
      <w:r>
        <w:rPr>
          <w:rFonts w:ascii="Arial" w:cs="Arial" w:eastAsia="Arial" w:hAnsi="Arial"/>
          <w:sz w:val="20"/>
          <w:szCs w:val="20"/>
          <w:color w:val="auto"/>
        </w:rPr>
        <w:t xml:space="preserve">Yes </w:t>
      </w:r>
      <w:r>
        <w:rPr>
          <w:rFonts w:ascii="Arial" w:cs="Arial" w:eastAsia="Arial" w:hAnsi="Arial"/>
          <w:sz w:val="20"/>
          <w:szCs w:val="20"/>
          <w:u w:val="single" w:color="auto"/>
          <w:color w:val="auto"/>
        </w:rPr>
        <w:t>X</w:t>
      </w:r>
      <w:r>
        <w:rPr>
          <w:sz w:val="20"/>
          <w:szCs w:val="20"/>
          <w:color w:val="auto"/>
        </w:rPr>
        <w:tab/>
      </w:r>
      <w:r>
        <w:rPr>
          <w:rFonts w:ascii="Arial" w:cs="Arial" w:eastAsia="Arial" w:hAnsi="Arial"/>
          <w:sz w:val="16"/>
          <w:szCs w:val="16"/>
          <w:color w:val="auto"/>
        </w:rPr>
        <w:t>No __</w:t>
      </w:r>
    </w:p>
    <w:p>
      <w:pPr>
        <w:spacing w:after="0" w:line="216" w:lineRule="exact"/>
        <w:rPr>
          <w:sz w:val="24"/>
          <w:szCs w:val="24"/>
          <w:color w:val="auto"/>
        </w:rPr>
      </w:pPr>
    </w:p>
    <w:p>
      <w:pPr>
        <w:jc w:val="both"/>
        <w:ind w:firstLine="648"/>
        <w:spacing w:after="0" w:line="250" w:lineRule="auto"/>
        <w:rPr>
          <w:sz w:val="20"/>
          <w:szCs w:val="20"/>
          <w:color w:val="auto"/>
        </w:rPr>
      </w:pPr>
      <w:r>
        <w:rPr>
          <w:rFonts w:ascii="Arial" w:cs="Arial" w:eastAsia="Arial" w:hAnsi="Arial"/>
          <w:sz w:val="20"/>
          <w:szCs w:val="20"/>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w:t>
      </w:r>
    </w:p>
    <w:p>
      <w:pPr>
        <w:spacing w:after="0" w:line="200" w:lineRule="exact"/>
        <w:rPr>
          <w:sz w:val="24"/>
          <w:szCs w:val="24"/>
          <w:color w:val="auto"/>
        </w:rPr>
      </w:pPr>
    </w:p>
    <w:p>
      <w:pPr>
        <w:jc w:val="center"/>
        <w:spacing w:after="0"/>
        <w:tabs>
          <w:tab w:leader="none" w:pos="240" w:val="left"/>
        </w:tabs>
        <w:rPr>
          <w:sz w:val="20"/>
          <w:szCs w:val="20"/>
          <w:color w:val="auto"/>
        </w:rPr>
      </w:pPr>
      <w:r>
        <w:rPr>
          <w:rFonts w:ascii="Arial" w:cs="Arial" w:eastAsia="Arial" w:hAnsi="Arial"/>
          <w:sz w:val="20"/>
          <w:szCs w:val="20"/>
          <w:color w:val="auto"/>
        </w:rPr>
        <w:t xml:space="preserve">Yes </w:t>
      </w:r>
      <w:r>
        <w:rPr>
          <w:rFonts w:ascii="Arial" w:cs="Arial" w:eastAsia="Arial" w:hAnsi="Arial"/>
          <w:sz w:val="20"/>
          <w:szCs w:val="20"/>
          <w:u w:val="single" w:color="auto"/>
          <w:color w:val="auto"/>
        </w:rPr>
        <w:t>X</w:t>
      </w:r>
      <w:r>
        <w:rPr>
          <w:sz w:val="20"/>
          <w:szCs w:val="20"/>
          <w:color w:val="auto"/>
        </w:rPr>
        <w:tab/>
      </w:r>
      <w:r>
        <w:rPr>
          <w:rFonts w:ascii="Arial" w:cs="Arial" w:eastAsia="Arial" w:hAnsi="Arial"/>
          <w:sz w:val="16"/>
          <w:szCs w:val="16"/>
          <w:color w:val="auto"/>
        </w:rPr>
        <w:t>No __</w:t>
      </w:r>
    </w:p>
    <w:p>
      <w:pPr>
        <w:spacing w:after="0" w:line="200" w:lineRule="exact"/>
        <w:rPr>
          <w:sz w:val="24"/>
          <w:szCs w:val="24"/>
          <w:color w:val="auto"/>
        </w:rPr>
      </w:pPr>
    </w:p>
    <w:p>
      <w:pPr>
        <w:spacing w:after="0" w:line="232" w:lineRule="exact"/>
        <w:rPr>
          <w:sz w:val="24"/>
          <w:szCs w:val="24"/>
          <w:color w:val="auto"/>
        </w:rPr>
      </w:pPr>
    </w:p>
    <w:p>
      <w:pPr>
        <w:jc w:val="both"/>
        <w:ind w:firstLine="648"/>
        <w:spacing w:after="0" w:line="250" w:lineRule="auto"/>
        <w:rPr>
          <w:sz w:val="20"/>
          <w:szCs w:val="20"/>
          <w:color w:val="auto"/>
        </w:rPr>
      </w:pPr>
      <w:r>
        <w:rPr>
          <w:rFonts w:ascii="Arial" w:cs="Arial" w:eastAsia="Arial" w:hAnsi="Arial"/>
          <w:sz w:val="20"/>
          <w:szCs w:val="20"/>
          <w:color w:val="auto"/>
        </w:rPr>
        <w:t>Indicate by check mark whether the Registrant is a large accelerated filer, an accelerated filer, a non-accelerated filer or a smaller reporting company. See definition of “large accelerated filer,” “accelerated filer” and “smaller reporting company” in Rule 12b-2 of the Exchange Act.</w:t>
      </w:r>
    </w:p>
    <w:p>
      <w:pPr>
        <w:sectPr>
          <w:pgSz w:w="11900" w:h="16838" w:orient="portrait"/>
          <w:cols w:equalWidth="0" w:num="1">
            <w:col w:w="11420"/>
          </w:cols>
          <w:pgMar w:left="240" w:top="233" w:right="239" w:bottom="0" w:gutter="0" w:footer="0" w:header="0"/>
          <w:type w:val="continuous"/>
        </w:sectPr>
      </w:pPr>
    </w:p>
    <w:p>
      <w:pPr>
        <w:spacing w:after="0" w:line="186" w:lineRule="exact"/>
        <w:rPr>
          <w:sz w:val="24"/>
          <w:szCs w:val="24"/>
          <w:color w:val="auto"/>
        </w:rPr>
      </w:pPr>
    </w:p>
    <w:p>
      <w:pPr>
        <w:spacing w:after="0"/>
        <w:rPr>
          <w:sz w:val="20"/>
          <w:szCs w:val="20"/>
          <w:color w:val="auto"/>
        </w:rPr>
      </w:pPr>
      <w:r>
        <w:rPr>
          <w:rFonts w:ascii="Arial" w:cs="Arial" w:eastAsia="Arial" w:hAnsi="Arial"/>
          <w:sz w:val="18"/>
          <w:szCs w:val="18"/>
          <w:color w:val="auto"/>
        </w:rPr>
        <w:t>Large Accelerated Filer x</w:t>
      </w:r>
    </w:p>
    <w:p>
      <w:pPr>
        <w:spacing w:after="0" w:line="20" w:lineRule="exact"/>
        <w:rPr>
          <w:sz w:val="24"/>
          <w:szCs w:val="24"/>
          <w:color w:val="auto"/>
        </w:rPr>
      </w:pPr>
      <w:r>
        <w:rPr>
          <w:sz w:val="24"/>
          <w:szCs w:val="24"/>
          <w:color w:val="auto"/>
        </w:rPr>
        <w:br w:type="column"/>
      </w:r>
    </w:p>
    <w:p>
      <w:pPr>
        <w:spacing w:after="0" w:line="166" w:lineRule="exact"/>
        <w:rPr>
          <w:sz w:val="24"/>
          <w:szCs w:val="24"/>
          <w:color w:val="auto"/>
        </w:rPr>
      </w:pPr>
    </w:p>
    <w:p>
      <w:pPr>
        <w:spacing w:after="0"/>
        <w:rPr>
          <w:sz w:val="20"/>
          <w:szCs w:val="20"/>
          <w:color w:val="auto"/>
        </w:rPr>
      </w:pPr>
      <w:r>
        <w:rPr>
          <w:rFonts w:ascii="Arial" w:cs="Arial" w:eastAsia="Arial" w:hAnsi="Arial"/>
          <w:sz w:val="18"/>
          <w:szCs w:val="18"/>
          <w:color w:val="auto"/>
        </w:rPr>
        <w:t>Accelerated filer o</w:t>
      </w:r>
    </w:p>
    <w:p>
      <w:pPr>
        <w:spacing w:after="0" w:line="158" w:lineRule="exact"/>
        <w:rPr>
          <w:sz w:val="24"/>
          <w:szCs w:val="24"/>
          <w:color w:val="auto"/>
        </w:rPr>
      </w:pPr>
    </w:p>
    <w:p>
      <w:pPr>
        <w:sectPr>
          <w:pgSz w:w="11900" w:h="16838" w:orient="portrait"/>
          <w:cols w:equalWidth="0" w:num="2">
            <w:col w:w="7100" w:space="720"/>
            <w:col w:w="3600"/>
          </w:cols>
          <w:pgMar w:left="240" w:top="233" w:right="239" w:bottom="0" w:gutter="0" w:footer="0" w:header="0"/>
          <w:type w:val="continuous"/>
        </w:sectPr>
      </w:pPr>
    </w:p>
    <w:p>
      <w:pPr>
        <w:spacing w:after="0"/>
        <w:rPr>
          <w:sz w:val="20"/>
          <w:szCs w:val="20"/>
          <w:color w:val="auto"/>
        </w:rPr>
      </w:pPr>
      <w:r>
        <w:rPr>
          <w:rFonts w:ascii="Arial" w:cs="Arial" w:eastAsia="Arial" w:hAnsi="Arial"/>
          <w:sz w:val="18"/>
          <w:szCs w:val="18"/>
          <w:color w:val="auto"/>
        </w:rPr>
        <w:t>Non-accelerated filer o (Do not check if 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Smaller reporting company o</w:t>
      </w:r>
    </w:p>
    <w:p>
      <w:pPr>
        <w:spacing w:after="0" w:line="222" w:lineRule="exact"/>
        <w:rPr>
          <w:sz w:val="24"/>
          <w:szCs w:val="24"/>
          <w:color w:val="auto"/>
        </w:rPr>
      </w:pPr>
    </w:p>
    <w:p>
      <w:pPr>
        <w:sectPr>
          <w:pgSz w:w="11900" w:h="16838" w:orient="portrait"/>
          <w:cols w:equalWidth="0" w:num="2">
            <w:col w:w="7100" w:space="720"/>
            <w:col w:w="3600"/>
          </w:cols>
          <w:pgMar w:left="240" w:top="233" w:right="239" w:bottom="0" w:gutter="0" w:footer="0" w:header="0"/>
          <w:type w:val="continuous"/>
        </w:sectPr>
      </w:pPr>
    </w:p>
    <w:p>
      <w:pPr>
        <w:spacing w:after="0" w:line="255" w:lineRule="exact"/>
        <w:rPr>
          <w:sz w:val="24"/>
          <w:szCs w:val="24"/>
          <w:color w:val="auto"/>
        </w:rPr>
      </w:pPr>
    </w:p>
    <w:p>
      <w:pPr>
        <w:ind w:left="660"/>
        <w:spacing w:after="0"/>
        <w:rPr>
          <w:sz w:val="20"/>
          <w:szCs w:val="20"/>
          <w:color w:val="auto"/>
        </w:rPr>
      </w:pPr>
      <w:r>
        <w:rPr>
          <w:rFonts w:ascii="Arial" w:cs="Arial" w:eastAsia="Arial" w:hAnsi="Arial"/>
          <w:sz w:val="20"/>
          <w:szCs w:val="20"/>
          <w:color w:val="auto"/>
        </w:rPr>
        <w:t>Indicate by check mark whether the Registrant is a shell company (as defined by Rule 12b-2 of the Exchange Act).</w:t>
      </w:r>
    </w:p>
    <w:p>
      <w:pPr>
        <w:spacing w:after="0" w:line="229" w:lineRule="exact"/>
        <w:rPr>
          <w:sz w:val="24"/>
          <w:szCs w:val="24"/>
          <w:color w:val="auto"/>
        </w:rPr>
      </w:pPr>
    </w:p>
    <w:p>
      <w:pPr>
        <w:jc w:val="center"/>
        <w:ind w:right="-19"/>
        <w:spacing w:after="0"/>
        <w:tabs>
          <w:tab w:leader="none" w:pos="160" w:val="left"/>
        </w:tabs>
        <w:rPr>
          <w:sz w:val="20"/>
          <w:szCs w:val="20"/>
          <w:color w:val="auto"/>
        </w:rPr>
      </w:pPr>
      <w:r>
        <w:rPr>
          <w:rFonts w:ascii="Arial" w:cs="Arial" w:eastAsia="Arial" w:hAnsi="Arial"/>
          <w:sz w:val="20"/>
          <w:szCs w:val="20"/>
          <w:color w:val="auto"/>
        </w:rPr>
        <w:t>Yes ___</w:t>
        <w:tab/>
        <w:t xml:space="preserve">No </w:t>
      </w:r>
      <w:r>
        <w:rPr>
          <w:rFonts w:ascii="Arial" w:cs="Arial" w:eastAsia="Arial" w:hAnsi="Arial"/>
          <w:sz w:val="20"/>
          <w:szCs w:val="20"/>
          <w:u w:val="single" w:color="auto"/>
          <w:color w:val="auto"/>
        </w:rPr>
        <w:t>X</w:t>
      </w:r>
    </w:p>
    <w:p>
      <w:pPr>
        <w:spacing w:after="0" w:line="229" w:lineRule="exact"/>
        <w:rPr>
          <w:sz w:val="24"/>
          <w:szCs w:val="24"/>
          <w:color w:val="auto"/>
        </w:rPr>
      </w:pPr>
    </w:p>
    <w:p>
      <w:pPr>
        <w:ind w:left="660"/>
        <w:spacing w:after="0"/>
        <w:rPr>
          <w:sz w:val="20"/>
          <w:szCs w:val="20"/>
          <w:color w:val="auto"/>
        </w:rPr>
      </w:pPr>
      <w:r>
        <w:rPr>
          <w:rFonts w:ascii="Arial" w:cs="Arial" w:eastAsia="Arial" w:hAnsi="Arial"/>
          <w:sz w:val="19"/>
          <w:szCs w:val="19"/>
          <w:color w:val="auto"/>
        </w:rPr>
        <w:t>The Registrant had 171,369,859 shares of common stock, par value $0.005 per share, outstanding as of October 26,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221615</wp:posOffset>
            </wp:positionV>
            <wp:extent cx="7267575"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9" w:lineRule="exact"/>
        <w:rPr>
          <w:sz w:val="24"/>
          <w:szCs w:val="24"/>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4"/>
          <w:szCs w:val="24"/>
          <w:color w:val="auto"/>
        </w:rPr>
      </w:pPr>
    </w:p>
    <w:p>
      <w:pPr>
        <w:spacing w:after="0" w:line="228" w:lineRule="exact"/>
        <w:rPr>
          <w:sz w:val="24"/>
          <w:szCs w:val="24"/>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MONSTER BEVERAGE CORPORATION AND SUBSIDIARIES</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SEPTEMBER 30, 2012</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INDEX</w:t>
      </w:r>
    </w:p>
    <w:p>
      <w:pPr>
        <w:spacing w:after="0" w:line="206" w:lineRule="exact"/>
        <w:rPr>
          <w:sz w:val="24"/>
          <w:szCs w:val="24"/>
          <w:color w:val="auto"/>
        </w:rPr>
      </w:pPr>
    </w:p>
    <w:p>
      <w:pPr>
        <w:spacing w:after="0"/>
        <w:tabs>
          <w:tab w:leader="none" w:pos="1380" w:val="left"/>
          <w:tab w:leader="none" w:pos="10420" w:val="left"/>
        </w:tabs>
        <w:rPr>
          <w:rFonts w:ascii="Arial" w:cs="Arial" w:eastAsia="Arial" w:hAnsi="Arial"/>
          <w:sz w:val="22"/>
          <w:szCs w:val="22"/>
          <w:b w:val="1"/>
          <w:bCs w:val="1"/>
          <w:u w:val="single" w:color="auto"/>
          <w:color w:val="0000EE"/>
        </w:rPr>
      </w:pPr>
      <w:hyperlink w:anchor="page2">
        <w:r>
          <w:rPr>
            <w:rFonts w:ascii="Arial" w:cs="Arial" w:eastAsia="Arial" w:hAnsi="Arial"/>
            <w:sz w:val="22"/>
            <w:szCs w:val="22"/>
            <w:b w:val="1"/>
            <w:bCs w:val="1"/>
            <w:u w:val="single" w:color="auto"/>
            <w:color w:val="0000EE"/>
          </w:rPr>
          <w:t>Part I.</w:t>
        </w:r>
      </w:hyperlink>
      <w:r>
        <w:rPr>
          <w:rFonts w:ascii="Arial" w:cs="Arial" w:eastAsia="Arial" w:hAnsi="Arial"/>
          <w:sz w:val="22"/>
          <w:szCs w:val="22"/>
          <w:b w:val="1"/>
          <w:bCs w:val="1"/>
          <w:u w:val="single" w:color="auto"/>
          <w:color w:val="0000EE"/>
        </w:rPr>
        <w:tab/>
      </w:r>
      <w:hyperlink w:anchor="page2">
        <w:r>
          <w:rPr>
            <w:rFonts w:ascii="Arial" w:cs="Arial" w:eastAsia="Arial" w:hAnsi="Arial"/>
            <w:sz w:val="22"/>
            <w:szCs w:val="22"/>
            <w:b w:val="1"/>
            <w:bCs w:val="1"/>
            <w:u w:val="single" w:color="auto"/>
            <w:color w:val="0000EE"/>
          </w:rPr>
          <w:t>FINANCIAL INFORMATION</w:t>
        </w:r>
      </w:hyperlink>
      <w:r>
        <w:rPr>
          <w:rFonts w:ascii="Arial" w:cs="Arial" w:eastAsia="Arial" w:hAnsi="Arial"/>
          <w:sz w:val="22"/>
          <w:szCs w:val="22"/>
          <w:b w:val="1"/>
          <w:bCs w:val="1"/>
          <w:u w:val="single" w:color="auto"/>
          <w:color w:val="0000EE"/>
        </w:rPr>
        <w:tab/>
      </w:r>
      <w:r>
        <w:rPr>
          <w:rFonts w:ascii="Arial" w:cs="Arial" w:eastAsia="Arial" w:hAnsi="Arial"/>
          <w:sz w:val="19"/>
          <w:szCs w:val="19"/>
          <w:b w:val="1"/>
          <w:bCs w:val="1"/>
          <w:u w:val="single" w:color="auto"/>
          <w:color w:val="0000EE"/>
        </w:rPr>
        <w:t>Page No.</w:t>
      </w:r>
    </w:p>
    <w:p>
      <w:pPr>
        <w:sectPr>
          <w:pgSz w:w="11900" w:h="16838" w:orient="portrait"/>
          <w:cols w:equalWidth="0" w:num="1">
            <w:col w:w="11420"/>
          </w:cols>
          <w:pgMar w:left="240" w:top="233" w:right="23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53"/>
        </w:trPr>
        <w:tc>
          <w:tcPr>
            <w:tcW w:w="1400" w:type="dxa"/>
            <w:vAlign w:val="bottom"/>
            <w:gridSpan w:val="4"/>
          </w:tcPr>
          <w:p>
            <w:pPr>
              <w:spacing w:after="0"/>
              <w:rPr>
                <w:rFonts w:ascii="Arial" w:cs="Arial" w:eastAsia="Arial" w:hAnsi="Arial"/>
                <w:sz w:val="22"/>
                <w:szCs w:val="22"/>
                <w:color w:val="0000EE"/>
              </w:rPr>
            </w:pPr>
            <w:hyperlink w:anchor="page2">
              <w:r>
                <w:rPr>
                  <w:rFonts w:ascii="Arial" w:cs="Arial" w:eastAsia="Arial" w:hAnsi="Arial"/>
                  <w:sz w:val="22"/>
                  <w:szCs w:val="22"/>
                  <w:color w:val="0000EE"/>
                </w:rPr>
                <w:t>Item 1.</w:t>
              </w:r>
            </w:hyperlink>
          </w:p>
        </w:tc>
        <w:tc>
          <w:tcPr>
            <w:tcW w:w="9060" w:type="dxa"/>
            <w:vAlign w:val="bottom"/>
            <w:gridSpan w:val="19"/>
          </w:tcPr>
          <w:p>
            <w:pPr>
              <w:spacing w:after="0"/>
              <w:rPr>
                <w:rFonts w:ascii="Arial" w:cs="Arial" w:eastAsia="Arial" w:hAnsi="Arial"/>
                <w:sz w:val="22"/>
                <w:szCs w:val="22"/>
                <w:color w:val="0000EE"/>
              </w:rPr>
            </w:pPr>
            <w:hyperlink w:anchor="page2">
              <w:r>
                <w:rPr>
                  <w:rFonts w:ascii="Arial" w:cs="Arial" w:eastAsia="Arial" w:hAnsi="Arial"/>
                  <w:sz w:val="22"/>
                  <w:szCs w:val="22"/>
                  <w:color w:val="0000EE"/>
                </w:rPr>
                <w:t>Condensed Consolidated Financial Statements (Unaudited)</w:t>
              </w:r>
            </w:hyperlink>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4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60" w:type="dxa"/>
            <w:vAlign w:val="bottom"/>
            <w:gridSpan w:val="19"/>
          </w:tcPr>
          <w:p>
            <w:pPr>
              <w:spacing w:after="0"/>
              <w:rPr>
                <w:rFonts w:ascii="Arial" w:cs="Arial" w:eastAsia="Arial" w:hAnsi="Arial"/>
                <w:sz w:val="22"/>
                <w:szCs w:val="22"/>
                <w:color w:val="0000EE"/>
                <w:w w:val="99"/>
              </w:rPr>
            </w:pPr>
            <w:hyperlink w:anchor="page2">
              <w:r>
                <w:rPr>
                  <w:rFonts w:ascii="Arial" w:cs="Arial" w:eastAsia="Arial" w:hAnsi="Arial"/>
                  <w:sz w:val="22"/>
                  <w:szCs w:val="22"/>
                  <w:color w:val="0000EE"/>
                  <w:w w:val="99"/>
                </w:rPr>
                <w:t>Condensed Consolidated Balance Sheets as of September 30, 2012 and December 31, 2011</w:t>
              </w:r>
            </w:hyperlink>
          </w:p>
        </w:tc>
        <w:tc>
          <w:tcPr>
            <w:tcW w:w="1000" w:type="dxa"/>
            <w:vAlign w:val="bottom"/>
          </w:tcPr>
          <w:p>
            <w:pPr>
              <w:jc w:val="right"/>
              <w:spacing w:after="0"/>
              <w:rPr>
                <w:sz w:val="20"/>
                <w:szCs w:val="20"/>
                <w:color w:val="auto"/>
              </w:rPr>
            </w:pPr>
            <w:r>
              <w:rPr>
                <w:rFonts w:ascii="Arial" w:cs="Arial" w:eastAsia="Arial" w:hAnsi="Arial"/>
                <w:sz w:val="22"/>
                <w:szCs w:val="22"/>
                <w:color w:val="auto"/>
              </w:rPr>
              <w:t>3</w:t>
            </w:r>
          </w:p>
        </w:tc>
        <w:tc>
          <w:tcPr>
            <w:tcW w:w="0" w:type="dxa"/>
            <w:vAlign w:val="bottom"/>
          </w:tcPr>
          <w:p>
            <w:pPr>
              <w:spacing w:after="0"/>
              <w:rPr>
                <w:sz w:val="1"/>
                <w:szCs w:val="1"/>
                <w:color w:val="auto"/>
              </w:rPr>
            </w:pPr>
          </w:p>
        </w:tc>
      </w:tr>
      <w:tr>
        <w:trPr>
          <w:trHeight w:val="466"/>
        </w:trPr>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880" w:type="dxa"/>
            <w:vAlign w:val="bottom"/>
            <w:tcBorders>
              <w:top w:val="single" w:sz="8" w:color="0000EE"/>
            </w:tcBorders>
            <w:gridSpan w:val="16"/>
          </w:tcPr>
          <w:p>
            <w:pPr>
              <w:spacing w:after="0"/>
              <w:rPr>
                <w:rFonts w:ascii="Arial" w:cs="Arial" w:eastAsia="Arial" w:hAnsi="Arial"/>
                <w:sz w:val="22"/>
                <w:szCs w:val="22"/>
                <w:color w:val="0000EE"/>
                <w:w w:val="92"/>
              </w:rPr>
            </w:pPr>
            <w:hyperlink w:anchor="page3">
              <w:r>
                <w:rPr>
                  <w:rFonts w:ascii="Arial" w:cs="Arial" w:eastAsia="Arial" w:hAnsi="Arial"/>
                  <w:sz w:val="22"/>
                  <w:szCs w:val="22"/>
                  <w:color w:val="0000EE"/>
                  <w:w w:val="92"/>
                </w:rPr>
                <w:t>Condensed Consolidated Statements of Income for the Three- and Nine-Months Ended</w:t>
              </w:r>
            </w:hyperlink>
          </w:p>
        </w:tc>
        <w:tc>
          <w:tcPr>
            <w:tcW w:w="1180" w:type="dxa"/>
            <w:vAlign w:val="bottom"/>
            <w:gridSpan w:val="3"/>
          </w:tcPr>
          <w:p>
            <w:pPr>
              <w:spacing w:after="0"/>
              <w:rPr>
                <w:sz w:val="24"/>
                <w:szCs w:val="24"/>
                <w:color w:val="auto"/>
              </w:rPr>
            </w:pPr>
          </w:p>
        </w:tc>
        <w:tc>
          <w:tcPr>
            <w:tcW w:w="1000" w:type="dxa"/>
            <w:vAlign w:val="bottom"/>
            <w:vMerge w:val="restart"/>
          </w:tcPr>
          <w:p>
            <w:pPr>
              <w:jc w:val="right"/>
              <w:spacing w:after="0"/>
              <w:rPr>
                <w:sz w:val="20"/>
                <w:szCs w:val="20"/>
                <w:color w:val="auto"/>
              </w:rPr>
            </w:pPr>
            <w:r>
              <w:rPr>
                <w:rFonts w:ascii="Arial" w:cs="Arial" w:eastAsia="Arial" w:hAnsi="Arial"/>
                <w:sz w:val="22"/>
                <w:szCs w:val="22"/>
                <w:color w:val="auto"/>
              </w:rPr>
              <w:t>4</w:t>
            </w:r>
          </w:p>
        </w:tc>
        <w:tc>
          <w:tcPr>
            <w:tcW w:w="0" w:type="dxa"/>
            <w:vAlign w:val="bottom"/>
          </w:tcPr>
          <w:p>
            <w:pPr>
              <w:spacing w:after="0"/>
              <w:rPr>
                <w:sz w:val="1"/>
                <w:szCs w:val="1"/>
                <w:color w:val="auto"/>
              </w:rPr>
            </w:pPr>
          </w:p>
        </w:tc>
      </w:tr>
      <w:tr>
        <w:trPr>
          <w:trHeight w:val="223"/>
        </w:trPr>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580" w:type="dxa"/>
            <w:vAlign w:val="bottom"/>
            <w:tcBorders>
              <w:top w:val="single" w:sz="8" w:color="0000EE"/>
              <w:bottom w:val="single" w:sz="8" w:color="0000EE"/>
            </w:tcBorders>
            <w:gridSpan w:val="8"/>
          </w:tcPr>
          <w:p>
            <w:pPr>
              <w:spacing w:after="0" w:line="223" w:lineRule="exact"/>
              <w:rPr>
                <w:rFonts w:ascii="Arial" w:cs="Arial" w:eastAsia="Arial" w:hAnsi="Arial"/>
                <w:sz w:val="22"/>
                <w:szCs w:val="22"/>
                <w:color w:val="0000EE"/>
                <w:w w:val="86"/>
              </w:rPr>
            </w:pPr>
            <w:hyperlink w:anchor="page3">
              <w:r>
                <w:rPr>
                  <w:rFonts w:ascii="Arial" w:cs="Arial" w:eastAsia="Arial" w:hAnsi="Arial"/>
                  <w:sz w:val="22"/>
                  <w:szCs w:val="22"/>
                  <w:color w:val="0000EE"/>
                  <w:w w:val="86"/>
                </w:rPr>
                <w:t>September 30, 2012 and 2011</w:t>
              </w:r>
            </w:hyperlink>
          </w:p>
        </w:tc>
        <w:tc>
          <w:tcPr>
            <w:tcW w:w="4940" w:type="dxa"/>
            <w:vAlign w:val="bottom"/>
            <w:tcBorders>
              <w:top w:val="single" w:sz="8" w:color="0000EE"/>
            </w:tcBorders>
            <w:gridSpan w:val="6"/>
          </w:tcPr>
          <w:p>
            <w:pPr>
              <w:spacing w:after="0"/>
              <w:rPr>
                <w:sz w:val="19"/>
                <w:szCs w:val="19"/>
                <w:color w:val="auto"/>
              </w:rPr>
            </w:pPr>
          </w:p>
        </w:tc>
        <w:tc>
          <w:tcPr>
            <w:tcW w:w="1540" w:type="dxa"/>
            <w:vAlign w:val="bottom"/>
            <w:gridSpan w:val="5"/>
          </w:tcPr>
          <w:p>
            <w:pPr>
              <w:spacing w:after="0"/>
              <w:rPr>
                <w:sz w:val="19"/>
                <w:szCs w:val="19"/>
                <w:color w:val="auto"/>
              </w:rPr>
            </w:pPr>
          </w:p>
        </w:tc>
        <w:tc>
          <w:tcPr>
            <w:tcW w:w="10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66"/>
        </w:trPr>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60" w:type="dxa"/>
            <w:vAlign w:val="bottom"/>
            <w:gridSpan w:val="19"/>
          </w:tcPr>
          <w:p>
            <w:pPr>
              <w:spacing w:after="0"/>
              <w:rPr>
                <w:rFonts w:ascii="Arial" w:cs="Arial" w:eastAsia="Arial" w:hAnsi="Arial"/>
                <w:sz w:val="22"/>
                <w:szCs w:val="22"/>
                <w:color w:val="0000EE"/>
                <w:w w:val="96"/>
              </w:rPr>
            </w:pPr>
            <w:hyperlink w:anchor="page4">
              <w:r>
                <w:rPr>
                  <w:rFonts w:ascii="Arial" w:cs="Arial" w:eastAsia="Arial" w:hAnsi="Arial"/>
                  <w:sz w:val="22"/>
                  <w:szCs w:val="22"/>
                  <w:color w:val="0000EE"/>
                  <w:w w:val="96"/>
                </w:rPr>
                <w:t>Condensed Consolidated Statements of Comprehensive Income for the Three- and Nine-Months</w:t>
              </w:r>
            </w:hyperlink>
          </w:p>
        </w:tc>
        <w:tc>
          <w:tcPr>
            <w:tcW w:w="1000" w:type="dxa"/>
            <w:vAlign w:val="bottom"/>
            <w:vMerge w:val="restart"/>
          </w:tcPr>
          <w:p>
            <w:pPr>
              <w:jc w:val="right"/>
              <w:spacing w:after="0"/>
              <w:rPr>
                <w:sz w:val="20"/>
                <w:szCs w:val="20"/>
                <w:color w:val="auto"/>
              </w:rPr>
            </w:pPr>
            <w:r>
              <w:rPr>
                <w:rFonts w:ascii="Arial" w:cs="Arial" w:eastAsia="Arial" w:hAnsi="Arial"/>
                <w:sz w:val="22"/>
                <w:szCs w:val="22"/>
                <w:color w:val="auto"/>
              </w:rPr>
              <w:t>5</w:t>
            </w:r>
          </w:p>
        </w:tc>
        <w:tc>
          <w:tcPr>
            <w:tcW w:w="0" w:type="dxa"/>
            <w:vAlign w:val="bottom"/>
          </w:tcPr>
          <w:p>
            <w:pPr>
              <w:spacing w:after="0"/>
              <w:rPr>
                <w:sz w:val="1"/>
                <w:szCs w:val="1"/>
                <w:color w:val="auto"/>
              </w:rPr>
            </w:pPr>
          </w:p>
        </w:tc>
      </w:tr>
      <w:tr>
        <w:trPr>
          <w:trHeight w:val="223"/>
        </w:trPr>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320" w:type="dxa"/>
            <w:vAlign w:val="bottom"/>
            <w:tcBorders>
              <w:top w:val="single" w:sz="8" w:color="0000EE"/>
            </w:tcBorders>
            <w:gridSpan w:val="18"/>
          </w:tcPr>
          <w:p>
            <w:pPr>
              <w:spacing w:after="0" w:line="223" w:lineRule="exact"/>
              <w:rPr>
                <w:rFonts w:ascii="Arial" w:cs="Arial" w:eastAsia="Arial" w:hAnsi="Arial"/>
                <w:sz w:val="22"/>
                <w:szCs w:val="22"/>
                <w:color w:val="0000EE"/>
              </w:rPr>
            </w:pPr>
            <w:hyperlink w:anchor="page4">
              <w:r>
                <w:rPr>
                  <w:rFonts w:ascii="Arial" w:cs="Arial" w:eastAsia="Arial" w:hAnsi="Arial"/>
                  <w:sz w:val="22"/>
                  <w:szCs w:val="22"/>
                  <w:color w:val="0000EE"/>
                </w:rPr>
                <w:t>Ended September 30, 2012 and 2011</w:t>
              </w:r>
            </w:hyperlink>
          </w:p>
        </w:tc>
        <w:tc>
          <w:tcPr>
            <w:tcW w:w="74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4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52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200" w:type="dxa"/>
            <w:vAlign w:val="bottom"/>
            <w:tcBorders>
              <w:bottom w:val="single" w:sz="8" w:color="0000EE"/>
            </w:tcBorders>
            <w:gridSpan w:val="17"/>
          </w:tcPr>
          <w:p>
            <w:pPr>
              <w:spacing w:after="0"/>
              <w:rPr>
                <w:rFonts w:ascii="Arial" w:cs="Arial" w:eastAsia="Arial" w:hAnsi="Arial"/>
                <w:sz w:val="22"/>
                <w:szCs w:val="22"/>
                <w:color w:val="0000EE"/>
                <w:w w:val="88"/>
              </w:rPr>
            </w:pPr>
            <w:hyperlink w:anchor="page4">
              <w:r>
                <w:rPr>
                  <w:rFonts w:ascii="Arial" w:cs="Arial" w:eastAsia="Arial" w:hAnsi="Arial"/>
                  <w:sz w:val="22"/>
                  <w:szCs w:val="22"/>
                  <w:color w:val="0000EE"/>
                  <w:w w:val="88"/>
                </w:rPr>
                <w:t>Condensed Consolidated Statements of Cash Flows for the Nine-Months Ended September 30,</w:t>
              </w:r>
            </w:hyperlink>
          </w:p>
        </w:tc>
        <w:tc>
          <w:tcPr>
            <w:tcW w:w="860" w:type="dxa"/>
            <w:vAlign w:val="bottom"/>
            <w:gridSpan w:val="2"/>
          </w:tcPr>
          <w:p>
            <w:pPr>
              <w:spacing w:after="0"/>
              <w:rPr>
                <w:sz w:val="24"/>
                <w:szCs w:val="24"/>
                <w:color w:val="auto"/>
              </w:rPr>
            </w:pPr>
          </w:p>
        </w:tc>
        <w:tc>
          <w:tcPr>
            <w:tcW w:w="1000" w:type="dxa"/>
            <w:vAlign w:val="bottom"/>
            <w:vMerge w:val="restart"/>
          </w:tcPr>
          <w:p>
            <w:pPr>
              <w:jc w:val="right"/>
              <w:spacing w:after="0"/>
              <w:rPr>
                <w:sz w:val="20"/>
                <w:szCs w:val="20"/>
                <w:color w:val="auto"/>
              </w:rPr>
            </w:pPr>
            <w:r>
              <w:rPr>
                <w:rFonts w:ascii="Arial" w:cs="Arial" w:eastAsia="Arial" w:hAnsi="Arial"/>
                <w:sz w:val="22"/>
                <w:szCs w:val="22"/>
                <w:color w:val="auto"/>
              </w:rPr>
              <w:t>6</w:t>
            </w:r>
          </w:p>
        </w:tc>
        <w:tc>
          <w:tcPr>
            <w:tcW w:w="0" w:type="dxa"/>
            <w:vAlign w:val="bottom"/>
          </w:tcPr>
          <w:p>
            <w:pPr>
              <w:spacing w:after="0"/>
              <w:rPr>
                <w:sz w:val="1"/>
                <w:szCs w:val="1"/>
                <w:color w:val="auto"/>
              </w:rPr>
            </w:pPr>
          </w:p>
        </w:tc>
      </w:tr>
      <w:tr>
        <w:trPr>
          <w:trHeight w:val="223"/>
        </w:trPr>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80" w:type="dxa"/>
            <w:vAlign w:val="bottom"/>
            <w:tcBorders>
              <w:bottom w:val="single" w:sz="8" w:color="0000EE"/>
            </w:tcBorders>
            <w:gridSpan w:val="4"/>
          </w:tcPr>
          <w:p>
            <w:pPr>
              <w:spacing w:after="0" w:line="223" w:lineRule="exact"/>
              <w:rPr>
                <w:rFonts w:ascii="Arial" w:cs="Arial" w:eastAsia="Arial" w:hAnsi="Arial"/>
                <w:sz w:val="22"/>
                <w:szCs w:val="22"/>
                <w:color w:val="0000EE"/>
                <w:w w:val="85"/>
              </w:rPr>
            </w:pPr>
            <w:hyperlink w:anchor="page4">
              <w:r>
                <w:rPr>
                  <w:rFonts w:ascii="Arial" w:cs="Arial" w:eastAsia="Arial" w:hAnsi="Arial"/>
                  <w:sz w:val="22"/>
                  <w:szCs w:val="22"/>
                  <w:color w:val="0000EE"/>
                  <w:w w:val="85"/>
                </w:rPr>
                <w:t>2012 and 2011</w:t>
              </w:r>
            </w:hyperlink>
          </w:p>
        </w:tc>
        <w:tc>
          <w:tcPr>
            <w:tcW w:w="7780" w:type="dxa"/>
            <w:vAlign w:val="bottom"/>
            <w:gridSpan w:val="15"/>
          </w:tcPr>
          <w:p>
            <w:pPr>
              <w:spacing w:after="0"/>
              <w:rPr>
                <w:sz w:val="19"/>
                <w:szCs w:val="19"/>
                <w:color w:val="auto"/>
              </w:rPr>
            </w:pPr>
          </w:p>
        </w:tc>
        <w:tc>
          <w:tcPr>
            <w:tcW w:w="10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66"/>
        </w:trPr>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800" w:type="dxa"/>
            <w:vAlign w:val="bottom"/>
            <w:tcBorders>
              <w:bottom w:val="single" w:sz="8" w:color="0000EE"/>
            </w:tcBorders>
            <w:gridSpan w:val="11"/>
          </w:tcPr>
          <w:p>
            <w:pPr>
              <w:spacing w:after="0"/>
              <w:rPr>
                <w:rFonts w:ascii="Arial" w:cs="Arial" w:eastAsia="Arial" w:hAnsi="Arial"/>
                <w:sz w:val="22"/>
                <w:szCs w:val="22"/>
                <w:color w:val="0000EE"/>
                <w:w w:val="87"/>
              </w:rPr>
            </w:pPr>
            <w:hyperlink w:anchor="page5">
              <w:r>
                <w:rPr>
                  <w:rFonts w:ascii="Arial" w:cs="Arial" w:eastAsia="Arial" w:hAnsi="Arial"/>
                  <w:sz w:val="22"/>
                  <w:szCs w:val="22"/>
                  <w:color w:val="0000EE"/>
                  <w:w w:val="87"/>
                </w:rPr>
                <w:t>Notes to Condensed Consolidated Financial Statements</w:t>
              </w:r>
            </w:hyperlink>
          </w:p>
        </w:tc>
        <w:tc>
          <w:tcPr>
            <w:tcW w:w="4260" w:type="dxa"/>
            <w:vAlign w:val="bottom"/>
            <w:gridSpan w:val="8"/>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8</w:t>
            </w:r>
          </w:p>
        </w:tc>
        <w:tc>
          <w:tcPr>
            <w:tcW w:w="0" w:type="dxa"/>
            <w:vAlign w:val="bottom"/>
          </w:tcPr>
          <w:p>
            <w:pPr>
              <w:spacing w:after="0"/>
              <w:rPr>
                <w:sz w:val="1"/>
                <w:szCs w:val="1"/>
                <w:color w:val="auto"/>
              </w:rPr>
            </w:pPr>
          </w:p>
        </w:tc>
      </w:tr>
      <w:tr>
        <w:trPr>
          <w:trHeight w:val="466"/>
        </w:trPr>
        <w:tc>
          <w:tcPr>
            <w:tcW w:w="1400" w:type="dxa"/>
            <w:vAlign w:val="bottom"/>
            <w:gridSpan w:val="4"/>
          </w:tcPr>
          <w:p>
            <w:pPr>
              <w:spacing w:after="0"/>
              <w:rPr>
                <w:rFonts w:ascii="Arial" w:cs="Arial" w:eastAsia="Arial" w:hAnsi="Arial"/>
                <w:sz w:val="22"/>
                <w:szCs w:val="22"/>
                <w:color w:val="0000EE"/>
              </w:rPr>
            </w:pPr>
            <w:hyperlink w:anchor="page20">
              <w:r>
                <w:rPr>
                  <w:rFonts w:ascii="Arial" w:cs="Arial" w:eastAsia="Arial" w:hAnsi="Arial"/>
                  <w:sz w:val="22"/>
                  <w:szCs w:val="22"/>
                  <w:color w:val="0000EE"/>
                </w:rPr>
                <w:t>Item 2.</w:t>
              </w:r>
            </w:hyperlink>
          </w:p>
        </w:tc>
        <w:tc>
          <w:tcPr>
            <w:tcW w:w="9060" w:type="dxa"/>
            <w:vAlign w:val="bottom"/>
            <w:gridSpan w:val="19"/>
          </w:tcPr>
          <w:p>
            <w:pPr>
              <w:spacing w:after="0"/>
              <w:rPr>
                <w:rFonts w:ascii="Arial" w:cs="Arial" w:eastAsia="Arial" w:hAnsi="Arial"/>
                <w:sz w:val="22"/>
                <w:szCs w:val="22"/>
                <w:color w:val="0000EE"/>
              </w:rPr>
            </w:pPr>
            <w:hyperlink w:anchor="page20">
              <w:r>
                <w:rPr>
                  <w:rFonts w:ascii="Arial" w:cs="Arial" w:eastAsia="Arial" w:hAnsi="Arial"/>
                  <w:sz w:val="22"/>
                  <w:szCs w:val="22"/>
                  <w:color w:val="0000EE"/>
                </w:rPr>
                <w:t>Management’s Discussion and Analysis of Financial Condition and Results of Operations</w:t>
              </w:r>
            </w:hyperlink>
          </w:p>
        </w:tc>
        <w:tc>
          <w:tcPr>
            <w:tcW w:w="1000" w:type="dxa"/>
            <w:vAlign w:val="bottom"/>
          </w:tcPr>
          <w:p>
            <w:pPr>
              <w:jc w:val="right"/>
              <w:spacing w:after="0"/>
              <w:rPr>
                <w:sz w:val="20"/>
                <w:szCs w:val="20"/>
                <w:color w:val="auto"/>
              </w:rPr>
            </w:pPr>
            <w:r>
              <w:rPr>
                <w:rFonts w:ascii="Arial" w:cs="Arial" w:eastAsia="Arial" w:hAnsi="Arial"/>
                <w:sz w:val="22"/>
                <w:szCs w:val="22"/>
                <w:color w:val="auto"/>
              </w:rPr>
              <w:t>31</w:t>
            </w:r>
          </w:p>
        </w:tc>
        <w:tc>
          <w:tcPr>
            <w:tcW w:w="0" w:type="dxa"/>
            <w:vAlign w:val="bottom"/>
          </w:tcPr>
          <w:p>
            <w:pPr>
              <w:spacing w:after="0"/>
              <w:rPr>
                <w:sz w:val="1"/>
                <w:szCs w:val="1"/>
                <w:color w:val="auto"/>
              </w:rPr>
            </w:pPr>
          </w:p>
        </w:tc>
      </w:tr>
      <w:tr>
        <w:trPr>
          <w:trHeight w:val="20"/>
        </w:trPr>
        <w:tc>
          <w:tcPr>
            <w:tcW w:w="6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54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460" w:type="dxa"/>
            <w:vAlign w:val="bottom"/>
            <w:tcBorders>
              <w:right w:val="single" w:sz="8" w:color="0000EE"/>
            </w:tcBorders>
            <w:gridSpan w:val="4"/>
            <w:shd w:val="clear" w:color="auto" w:fill="0000EE"/>
          </w:tcPr>
          <w:p>
            <w:pPr>
              <w:spacing w:after="0" w:line="20" w:lineRule="exact"/>
              <w:rPr>
                <w:sz w:val="1"/>
                <w:szCs w:val="1"/>
                <w:color w:val="auto"/>
              </w:rPr>
            </w:pPr>
          </w:p>
        </w:tc>
        <w:tc>
          <w:tcPr>
            <w:tcW w:w="2520" w:type="dxa"/>
            <w:vAlign w:val="bottom"/>
            <w:gridSpan w:val="2"/>
            <w:shd w:val="clear" w:color="auto" w:fill="0000EE"/>
          </w:tcPr>
          <w:p>
            <w:pPr>
              <w:spacing w:after="0" w:line="20" w:lineRule="exact"/>
              <w:rPr>
                <w:sz w:val="1"/>
                <w:szCs w:val="1"/>
                <w:color w:val="auto"/>
              </w:rPr>
            </w:pPr>
          </w:p>
        </w:tc>
        <w:tc>
          <w:tcPr>
            <w:tcW w:w="1300" w:type="dxa"/>
            <w:vAlign w:val="bottom"/>
            <w:gridSpan w:val="4"/>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400" w:type="dxa"/>
            <w:vAlign w:val="bottom"/>
            <w:gridSpan w:val="4"/>
          </w:tcPr>
          <w:p>
            <w:pPr>
              <w:spacing w:after="0"/>
              <w:rPr>
                <w:rFonts w:ascii="Arial" w:cs="Arial" w:eastAsia="Arial" w:hAnsi="Arial"/>
                <w:sz w:val="22"/>
                <w:szCs w:val="22"/>
                <w:color w:val="0000EE"/>
              </w:rPr>
            </w:pPr>
            <w:hyperlink w:anchor="page32">
              <w:r>
                <w:rPr>
                  <w:rFonts w:ascii="Arial" w:cs="Arial" w:eastAsia="Arial" w:hAnsi="Arial"/>
                  <w:sz w:val="22"/>
                  <w:szCs w:val="22"/>
                  <w:color w:val="0000EE"/>
                </w:rPr>
                <w:t>Item 3.</w:t>
              </w:r>
            </w:hyperlink>
          </w:p>
        </w:tc>
        <w:tc>
          <w:tcPr>
            <w:tcW w:w="9060" w:type="dxa"/>
            <w:vAlign w:val="bottom"/>
            <w:gridSpan w:val="19"/>
          </w:tcPr>
          <w:p>
            <w:pPr>
              <w:spacing w:after="0"/>
              <w:rPr>
                <w:rFonts w:ascii="Arial" w:cs="Arial" w:eastAsia="Arial" w:hAnsi="Arial"/>
                <w:sz w:val="22"/>
                <w:szCs w:val="22"/>
                <w:color w:val="0000EE"/>
              </w:rPr>
            </w:pPr>
            <w:hyperlink w:anchor="page32">
              <w:r>
                <w:rPr>
                  <w:rFonts w:ascii="Arial" w:cs="Arial" w:eastAsia="Arial" w:hAnsi="Arial"/>
                  <w:sz w:val="22"/>
                  <w:szCs w:val="22"/>
                  <w:color w:val="0000EE"/>
                </w:rPr>
                <w:t>Quantitative and Qualitative Disclosures About Market Risk</w:t>
              </w:r>
            </w:hyperlink>
          </w:p>
        </w:tc>
        <w:tc>
          <w:tcPr>
            <w:tcW w:w="1000" w:type="dxa"/>
            <w:vAlign w:val="bottom"/>
          </w:tcPr>
          <w:p>
            <w:pPr>
              <w:jc w:val="right"/>
              <w:spacing w:after="0"/>
              <w:rPr>
                <w:sz w:val="20"/>
                <w:szCs w:val="20"/>
                <w:color w:val="auto"/>
              </w:rPr>
            </w:pPr>
            <w:r>
              <w:rPr>
                <w:rFonts w:ascii="Arial" w:cs="Arial" w:eastAsia="Arial" w:hAnsi="Arial"/>
                <w:sz w:val="22"/>
                <w:szCs w:val="22"/>
                <w:color w:val="auto"/>
              </w:rPr>
              <w:t>49</w:t>
            </w:r>
          </w:p>
        </w:tc>
        <w:tc>
          <w:tcPr>
            <w:tcW w:w="0" w:type="dxa"/>
            <w:vAlign w:val="bottom"/>
          </w:tcPr>
          <w:p>
            <w:pPr>
              <w:spacing w:after="0"/>
              <w:rPr>
                <w:sz w:val="1"/>
                <w:szCs w:val="1"/>
                <w:color w:val="auto"/>
              </w:rPr>
            </w:pPr>
          </w:p>
        </w:tc>
      </w:tr>
      <w:tr>
        <w:trPr>
          <w:trHeight w:val="20"/>
        </w:trPr>
        <w:tc>
          <w:tcPr>
            <w:tcW w:w="6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54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460" w:type="dxa"/>
            <w:vAlign w:val="bottom"/>
            <w:tcBorders>
              <w:right w:val="single" w:sz="8" w:color="0000EE"/>
            </w:tcBorders>
            <w:gridSpan w:val="4"/>
            <w:shd w:val="clear" w:color="auto" w:fill="0000EE"/>
          </w:tcPr>
          <w:p>
            <w:pPr>
              <w:spacing w:after="0" w:line="20" w:lineRule="exact"/>
              <w:rPr>
                <w:sz w:val="1"/>
                <w:szCs w:val="1"/>
                <w:color w:val="auto"/>
              </w:rPr>
            </w:pPr>
          </w:p>
        </w:tc>
        <w:tc>
          <w:tcPr>
            <w:tcW w:w="3820" w:type="dxa"/>
            <w:vAlign w:val="bottom"/>
            <w:gridSpan w:val="6"/>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400" w:type="dxa"/>
            <w:vAlign w:val="bottom"/>
            <w:gridSpan w:val="4"/>
          </w:tcPr>
          <w:p>
            <w:pPr>
              <w:spacing w:after="0"/>
              <w:rPr>
                <w:rFonts w:ascii="Arial" w:cs="Arial" w:eastAsia="Arial" w:hAnsi="Arial"/>
                <w:sz w:val="22"/>
                <w:szCs w:val="22"/>
                <w:color w:val="0000EE"/>
              </w:rPr>
            </w:pPr>
            <w:hyperlink w:anchor="page32">
              <w:r>
                <w:rPr>
                  <w:rFonts w:ascii="Arial" w:cs="Arial" w:eastAsia="Arial" w:hAnsi="Arial"/>
                  <w:sz w:val="22"/>
                  <w:szCs w:val="22"/>
                  <w:color w:val="0000EE"/>
                </w:rPr>
                <w:t>Item 4.</w:t>
              </w:r>
            </w:hyperlink>
          </w:p>
        </w:tc>
        <w:tc>
          <w:tcPr>
            <w:tcW w:w="9060" w:type="dxa"/>
            <w:vAlign w:val="bottom"/>
            <w:gridSpan w:val="19"/>
          </w:tcPr>
          <w:p>
            <w:pPr>
              <w:spacing w:after="0"/>
              <w:rPr>
                <w:rFonts w:ascii="Arial" w:cs="Arial" w:eastAsia="Arial" w:hAnsi="Arial"/>
                <w:sz w:val="22"/>
                <w:szCs w:val="22"/>
                <w:color w:val="0000EE"/>
              </w:rPr>
            </w:pPr>
            <w:hyperlink w:anchor="page32">
              <w:r>
                <w:rPr>
                  <w:rFonts w:ascii="Arial" w:cs="Arial" w:eastAsia="Arial" w:hAnsi="Arial"/>
                  <w:sz w:val="22"/>
                  <w:szCs w:val="22"/>
                  <w:color w:val="0000EE"/>
                </w:rPr>
                <w:t>Controls and Procedures</w:t>
              </w:r>
            </w:hyperlink>
          </w:p>
        </w:tc>
        <w:tc>
          <w:tcPr>
            <w:tcW w:w="1000" w:type="dxa"/>
            <w:vAlign w:val="bottom"/>
          </w:tcPr>
          <w:p>
            <w:pPr>
              <w:jc w:val="right"/>
              <w:spacing w:after="0"/>
              <w:rPr>
                <w:sz w:val="20"/>
                <w:szCs w:val="20"/>
                <w:color w:val="auto"/>
              </w:rPr>
            </w:pPr>
            <w:r>
              <w:rPr>
                <w:rFonts w:ascii="Arial" w:cs="Arial" w:eastAsia="Arial" w:hAnsi="Arial"/>
                <w:sz w:val="22"/>
                <w:szCs w:val="22"/>
                <w:color w:val="auto"/>
              </w:rPr>
              <w:t>49</w:t>
            </w:r>
          </w:p>
        </w:tc>
        <w:tc>
          <w:tcPr>
            <w:tcW w:w="0" w:type="dxa"/>
            <w:vAlign w:val="bottom"/>
          </w:tcPr>
          <w:p>
            <w:pPr>
              <w:spacing w:after="0"/>
              <w:rPr>
                <w:sz w:val="1"/>
                <w:szCs w:val="1"/>
                <w:color w:val="auto"/>
              </w:rPr>
            </w:pPr>
          </w:p>
        </w:tc>
      </w:tr>
      <w:tr>
        <w:trPr>
          <w:trHeight w:val="20"/>
        </w:trPr>
        <w:tc>
          <w:tcPr>
            <w:tcW w:w="6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54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460" w:type="dxa"/>
            <w:vAlign w:val="bottom"/>
            <w:gridSpan w:val="4"/>
          </w:tcPr>
          <w:p>
            <w:pPr>
              <w:spacing w:after="0" w:line="20" w:lineRule="exact"/>
              <w:rPr>
                <w:sz w:val="1"/>
                <w:szCs w:val="1"/>
                <w:color w:val="auto"/>
              </w:rPr>
            </w:pPr>
          </w:p>
        </w:tc>
        <w:tc>
          <w:tcPr>
            <w:tcW w:w="3820" w:type="dxa"/>
            <w:vAlign w:val="bottom"/>
            <w:gridSpan w:val="6"/>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700" w:type="dxa"/>
            <w:vAlign w:val="bottom"/>
            <w:gridSpan w:val="2"/>
          </w:tcPr>
          <w:p>
            <w:pPr>
              <w:spacing w:after="0"/>
              <w:rPr>
                <w:rFonts w:ascii="Arial" w:cs="Arial" w:eastAsia="Arial" w:hAnsi="Arial"/>
                <w:sz w:val="22"/>
                <w:szCs w:val="22"/>
                <w:b w:val="1"/>
                <w:bCs w:val="1"/>
                <w:color w:val="0000EE"/>
              </w:rPr>
            </w:pPr>
            <w:hyperlink w:anchor="page32">
              <w:r>
                <w:rPr>
                  <w:rFonts w:ascii="Arial" w:cs="Arial" w:eastAsia="Arial" w:hAnsi="Arial"/>
                  <w:sz w:val="22"/>
                  <w:szCs w:val="22"/>
                  <w:b w:val="1"/>
                  <w:bCs w:val="1"/>
                  <w:color w:val="0000EE"/>
                </w:rPr>
                <w:t>Part II.</w:t>
              </w:r>
            </w:hyperlink>
          </w:p>
        </w:tc>
        <w:tc>
          <w:tcPr>
            <w:tcW w:w="700" w:type="dxa"/>
            <w:vAlign w:val="bottom"/>
            <w:gridSpan w:val="2"/>
          </w:tcPr>
          <w:p>
            <w:pPr>
              <w:spacing w:after="0"/>
              <w:rPr>
                <w:sz w:val="24"/>
                <w:szCs w:val="24"/>
                <w:color w:val="auto"/>
              </w:rPr>
            </w:pPr>
          </w:p>
        </w:tc>
        <w:tc>
          <w:tcPr>
            <w:tcW w:w="9060" w:type="dxa"/>
            <w:vAlign w:val="bottom"/>
            <w:gridSpan w:val="19"/>
          </w:tcPr>
          <w:p>
            <w:pPr>
              <w:spacing w:after="0"/>
              <w:rPr>
                <w:rFonts w:ascii="Arial" w:cs="Arial" w:eastAsia="Arial" w:hAnsi="Arial"/>
                <w:sz w:val="22"/>
                <w:szCs w:val="22"/>
                <w:b w:val="1"/>
                <w:bCs w:val="1"/>
                <w:color w:val="0000EE"/>
              </w:rPr>
            </w:pPr>
            <w:hyperlink w:anchor="page32">
              <w:r>
                <w:rPr>
                  <w:rFonts w:ascii="Arial" w:cs="Arial" w:eastAsia="Arial" w:hAnsi="Arial"/>
                  <w:sz w:val="22"/>
                  <w:szCs w:val="22"/>
                  <w:b w:val="1"/>
                  <w:bCs w:val="1"/>
                  <w:color w:val="0000EE"/>
                </w:rPr>
                <w:t>OTHER INFORMATION</w:t>
              </w:r>
            </w:hyperlink>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700" w:type="dxa"/>
            <w:vAlign w:val="bottom"/>
            <w:tcBorders>
              <w:top w:val="single" w:sz="8" w:color="0000EE"/>
            </w:tcBorders>
            <w:gridSpan w:val="2"/>
          </w:tcPr>
          <w:p>
            <w:pPr>
              <w:spacing w:after="0"/>
              <w:rPr>
                <w:rFonts w:ascii="Arial" w:cs="Arial" w:eastAsia="Arial" w:hAnsi="Arial"/>
                <w:sz w:val="22"/>
                <w:szCs w:val="22"/>
                <w:color w:val="0000EE"/>
              </w:rPr>
            </w:pPr>
            <w:hyperlink w:anchor="page32">
              <w:r>
                <w:rPr>
                  <w:rFonts w:ascii="Arial" w:cs="Arial" w:eastAsia="Arial" w:hAnsi="Arial"/>
                  <w:sz w:val="22"/>
                  <w:szCs w:val="22"/>
                  <w:color w:val="0000EE"/>
                </w:rPr>
                <w:t>Item 1.</w:t>
              </w:r>
            </w:hyperlink>
          </w:p>
        </w:tc>
        <w:tc>
          <w:tcPr>
            <w:tcW w:w="700" w:type="dxa"/>
            <w:vAlign w:val="bottom"/>
            <w:gridSpan w:val="2"/>
          </w:tcPr>
          <w:p>
            <w:pPr>
              <w:spacing w:after="0"/>
              <w:rPr>
                <w:sz w:val="24"/>
                <w:szCs w:val="24"/>
                <w:color w:val="auto"/>
              </w:rPr>
            </w:pPr>
          </w:p>
        </w:tc>
        <w:tc>
          <w:tcPr>
            <w:tcW w:w="2420" w:type="dxa"/>
            <w:vAlign w:val="bottom"/>
            <w:tcBorders>
              <w:top w:val="single" w:sz="8" w:color="0000EE"/>
            </w:tcBorders>
            <w:gridSpan w:val="7"/>
          </w:tcPr>
          <w:p>
            <w:pPr>
              <w:spacing w:after="0"/>
              <w:rPr>
                <w:rFonts w:ascii="Arial" w:cs="Arial" w:eastAsia="Arial" w:hAnsi="Arial"/>
                <w:sz w:val="22"/>
                <w:szCs w:val="22"/>
                <w:color w:val="0000EE"/>
              </w:rPr>
            </w:pPr>
            <w:hyperlink w:anchor="page32">
              <w:r>
                <w:rPr>
                  <w:rFonts w:ascii="Arial" w:cs="Arial" w:eastAsia="Arial" w:hAnsi="Arial"/>
                  <w:sz w:val="22"/>
                  <w:szCs w:val="22"/>
                  <w:color w:val="0000EE"/>
                </w:rPr>
                <w:t>Legal Proceedings</w:t>
              </w:r>
            </w:hyperlink>
          </w:p>
        </w:tc>
        <w:tc>
          <w:tcPr>
            <w:tcW w:w="6640" w:type="dxa"/>
            <w:vAlign w:val="bottom"/>
            <w:gridSpan w:val="12"/>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50</w:t>
            </w:r>
          </w:p>
        </w:tc>
        <w:tc>
          <w:tcPr>
            <w:tcW w:w="0" w:type="dxa"/>
            <w:vAlign w:val="bottom"/>
          </w:tcPr>
          <w:p>
            <w:pPr>
              <w:spacing w:after="0"/>
              <w:rPr>
                <w:sz w:val="1"/>
                <w:szCs w:val="1"/>
                <w:color w:val="auto"/>
              </w:rPr>
            </w:pPr>
          </w:p>
        </w:tc>
      </w:tr>
      <w:tr>
        <w:trPr>
          <w:trHeight w:val="20"/>
        </w:trPr>
        <w:tc>
          <w:tcPr>
            <w:tcW w:w="620" w:type="dxa"/>
            <w:vAlign w:val="bottom"/>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200" w:type="dxa"/>
            <w:vAlign w:val="bottom"/>
            <w:tcBorders>
              <w:left w:val="single" w:sz="8" w:color="0000EE"/>
            </w:tcBorders>
            <w:gridSpan w:val="4"/>
          </w:tcPr>
          <w:p>
            <w:pPr>
              <w:spacing w:after="0" w:line="20" w:lineRule="exact"/>
              <w:rPr>
                <w:sz w:val="1"/>
                <w:szCs w:val="1"/>
                <w:color w:val="auto"/>
              </w:rPr>
            </w:pPr>
          </w:p>
        </w:tc>
        <w:tc>
          <w:tcPr>
            <w:tcW w:w="2460" w:type="dxa"/>
            <w:vAlign w:val="bottom"/>
            <w:gridSpan w:val="4"/>
          </w:tcPr>
          <w:p>
            <w:pPr>
              <w:spacing w:after="0" w:line="20" w:lineRule="exact"/>
              <w:rPr>
                <w:sz w:val="1"/>
                <w:szCs w:val="1"/>
                <w:color w:val="auto"/>
              </w:rPr>
            </w:pPr>
          </w:p>
        </w:tc>
        <w:tc>
          <w:tcPr>
            <w:tcW w:w="3820" w:type="dxa"/>
            <w:vAlign w:val="bottom"/>
            <w:gridSpan w:val="6"/>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780" w:type="dxa"/>
            <w:vAlign w:val="bottom"/>
            <w:gridSpan w:val="3"/>
          </w:tcPr>
          <w:p>
            <w:pPr>
              <w:spacing w:after="0"/>
              <w:rPr>
                <w:rFonts w:ascii="Arial" w:cs="Arial" w:eastAsia="Arial" w:hAnsi="Arial"/>
                <w:sz w:val="22"/>
                <w:szCs w:val="22"/>
                <w:color w:val="0000EE"/>
                <w:w w:val="92"/>
              </w:rPr>
            </w:pPr>
            <w:hyperlink w:anchor="page35">
              <w:r>
                <w:rPr>
                  <w:rFonts w:ascii="Arial" w:cs="Arial" w:eastAsia="Arial" w:hAnsi="Arial"/>
                  <w:sz w:val="22"/>
                  <w:szCs w:val="22"/>
                  <w:color w:val="0000EE"/>
                  <w:w w:val="92"/>
                </w:rPr>
                <w:t>Item 1A.</w:t>
              </w:r>
            </w:hyperlink>
          </w:p>
        </w:tc>
        <w:tc>
          <w:tcPr>
            <w:tcW w:w="620" w:type="dxa"/>
            <w:vAlign w:val="bottom"/>
          </w:tcPr>
          <w:p>
            <w:pPr>
              <w:spacing w:after="0"/>
              <w:rPr>
                <w:sz w:val="24"/>
                <w:szCs w:val="24"/>
                <w:color w:val="auto"/>
              </w:rPr>
            </w:pPr>
          </w:p>
        </w:tc>
        <w:tc>
          <w:tcPr>
            <w:tcW w:w="9060" w:type="dxa"/>
            <w:vAlign w:val="bottom"/>
            <w:gridSpan w:val="19"/>
          </w:tcPr>
          <w:p>
            <w:pPr>
              <w:spacing w:after="0"/>
              <w:rPr>
                <w:rFonts w:ascii="Arial" w:cs="Arial" w:eastAsia="Arial" w:hAnsi="Arial"/>
                <w:sz w:val="22"/>
                <w:szCs w:val="22"/>
                <w:color w:val="0000EE"/>
              </w:rPr>
            </w:pPr>
            <w:hyperlink w:anchor="page35">
              <w:r>
                <w:rPr>
                  <w:rFonts w:ascii="Arial" w:cs="Arial" w:eastAsia="Arial" w:hAnsi="Arial"/>
                  <w:sz w:val="22"/>
                  <w:szCs w:val="22"/>
                  <w:color w:val="0000EE"/>
                </w:rPr>
                <w:t>Risk Factors</w:t>
              </w:r>
            </w:hyperlink>
          </w:p>
        </w:tc>
        <w:tc>
          <w:tcPr>
            <w:tcW w:w="1000" w:type="dxa"/>
            <w:vAlign w:val="bottom"/>
          </w:tcPr>
          <w:p>
            <w:pPr>
              <w:jc w:val="right"/>
              <w:spacing w:after="0"/>
              <w:rPr>
                <w:sz w:val="20"/>
                <w:szCs w:val="20"/>
                <w:color w:val="auto"/>
              </w:rPr>
            </w:pPr>
            <w:r>
              <w:rPr>
                <w:rFonts w:ascii="Arial" w:cs="Arial" w:eastAsia="Arial" w:hAnsi="Arial"/>
                <w:sz w:val="22"/>
                <w:szCs w:val="22"/>
                <w:color w:val="auto"/>
              </w:rPr>
              <w:t>53</w:t>
            </w:r>
          </w:p>
        </w:tc>
        <w:tc>
          <w:tcPr>
            <w:tcW w:w="0" w:type="dxa"/>
            <w:vAlign w:val="bottom"/>
          </w:tcPr>
          <w:p>
            <w:pPr>
              <w:spacing w:after="0"/>
              <w:rPr>
                <w:sz w:val="1"/>
                <w:szCs w:val="1"/>
                <w:color w:val="auto"/>
              </w:rPr>
            </w:pPr>
          </w:p>
        </w:tc>
      </w:tr>
      <w:tr>
        <w:trPr>
          <w:trHeight w:val="20"/>
        </w:trPr>
        <w:tc>
          <w:tcPr>
            <w:tcW w:w="780" w:type="dxa"/>
            <w:vAlign w:val="bottom"/>
            <w:gridSpan w:val="3"/>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200" w:type="dxa"/>
            <w:vAlign w:val="bottom"/>
            <w:gridSpan w:val="4"/>
          </w:tcPr>
          <w:p>
            <w:pPr>
              <w:spacing w:after="0" w:line="20" w:lineRule="exact"/>
              <w:rPr>
                <w:sz w:val="1"/>
                <w:szCs w:val="1"/>
                <w:color w:val="auto"/>
              </w:rPr>
            </w:pPr>
          </w:p>
        </w:tc>
        <w:tc>
          <w:tcPr>
            <w:tcW w:w="2460" w:type="dxa"/>
            <w:vAlign w:val="bottom"/>
            <w:gridSpan w:val="4"/>
          </w:tcPr>
          <w:p>
            <w:pPr>
              <w:spacing w:after="0" w:line="20" w:lineRule="exact"/>
              <w:rPr>
                <w:sz w:val="1"/>
                <w:szCs w:val="1"/>
                <w:color w:val="auto"/>
              </w:rPr>
            </w:pPr>
          </w:p>
        </w:tc>
        <w:tc>
          <w:tcPr>
            <w:tcW w:w="3820" w:type="dxa"/>
            <w:vAlign w:val="bottom"/>
            <w:gridSpan w:val="6"/>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780" w:type="dxa"/>
            <w:vAlign w:val="bottom"/>
            <w:tcBorders>
              <w:bottom w:val="single" w:sz="8" w:color="0000EE"/>
            </w:tcBorders>
            <w:gridSpan w:val="3"/>
          </w:tcPr>
          <w:p>
            <w:pPr>
              <w:spacing w:after="0"/>
              <w:rPr>
                <w:rFonts w:ascii="Arial" w:cs="Arial" w:eastAsia="Arial" w:hAnsi="Arial"/>
                <w:sz w:val="22"/>
                <w:szCs w:val="22"/>
                <w:color w:val="0000EE"/>
              </w:rPr>
            </w:pPr>
            <w:hyperlink w:anchor="page35">
              <w:r>
                <w:rPr>
                  <w:rFonts w:ascii="Arial" w:cs="Arial" w:eastAsia="Arial" w:hAnsi="Arial"/>
                  <w:sz w:val="22"/>
                  <w:szCs w:val="22"/>
                  <w:color w:val="0000EE"/>
                </w:rPr>
                <w:t>Item 2.</w:t>
              </w:r>
            </w:hyperlink>
          </w:p>
        </w:tc>
        <w:tc>
          <w:tcPr>
            <w:tcW w:w="620" w:type="dxa"/>
            <w:vAlign w:val="bottom"/>
            <w:tcBorders>
              <w:bottom w:val="single" w:sz="8" w:color="0000EE"/>
            </w:tcBorders>
          </w:tcPr>
          <w:p>
            <w:pPr>
              <w:spacing w:after="0"/>
              <w:rPr>
                <w:sz w:val="24"/>
                <w:szCs w:val="24"/>
                <w:color w:val="auto"/>
              </w:rPr>
            </w:pPr>
          </w:p>
        </w:tc>
        <w:tc>
          <w:tcPr>
            <w:tcW w:w="5240" w:type="dxa"/>
            <w:vAlign w:val="bottom"/>
            <w:tcBorders>
              <w:bottom w:val="single" w:sz="8" w:color="0000EE"/>
            </w:tcBorders>
            <w:gridSpan w:val="13"/>
          </w:tcPr>
          <w:p>
            <w:pPr>
              <w:spacing w:after="0"/>
              <w:rPr>
                <w:rFonts w:ascii="Arial" w:cs="Arial" w:eastAsia="Arial" w:hAnsi="Arial"/>
                <w:sz w:val="22"/>
                <w:szCs w:val="22"/>
                <w:color w:val="0000EE"/>
                <w:w w:val="87"/>
              </w:rPr>
            </w:pPr>
            <w:hyperlink w:anchor="page35">
              <w:r>
                <w:rPr>
                  <w:rFonts w:ascii="Arial" w:cs="Arial" w:eastAsia="Arial" w:hAnsi="Arial"/>
                  <w:sz w:val="22"/>
                  <w:szCs w:val="22"/>
                  <w:color w:val="0000EE"/>
                  <w:w w:val="87"/>
                </w:rPr>
                <w:t>Unregistered Sales of Equity Securities and Use of Proceeds</w:t>
              </w:r>
            </w:hyperlink>
          </w:p>
        </w:tc>
        <w:tc>
          <w:tcPr>
            <w:tcW w:w="3820" w:type="dxa"/>
            <w:vAlign w:val="bottom"/>
            <w:gridSpan w:val="6"/>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54</w:t>
            </w:r>
          </w:p>
        </w:tc>
        <w:tc>
          <w:tcPr>
            <w:tcW w:w="0" w:type="dxa"/>
            <w:vAlign w:val="bottom"/>
          </w:tcPr>
          <w:p>
            <w:pPr>
              <w:spacing w:after="0"/>
              <w:rPr>
                <w:sz w:val="1"/>
                <w:szCs w:val="1"/>
                <w:color w:val="auto"/>
              </w:rPr>
            </w:pPr>
          </w:p>
        </w:tc>
      </w:tr>
      <w:tr>
        <w:trPr>
          <w:trHeight w:val="466"/>
        </w:trPr>
        <w:tc>
          <w:tcPr>
            <w:tcW w:w="1400" w:type="dxa"/>
            <w:vAlign w:val="bottom"/>
            <w:gridSpan w:val="4"/>
          </w:tcPr>
          <w:p>
            <w:pPr>
              <w:spacing w:after="0"/>
              <w:rPr>
                <w:rFonts w:ascii="Arial" w:cs="Arial" w:eastAsia="Arial" w:hAnsi="Arial"/>
                <w:sz w:val="22"/>
                <w:szCs w:val="22"/>
                <w:color w:val="0000EE"/>
              </w:rPr>
            </w:pPr>
            <w:hyperlink w:anchor="page35">
              <w:r>
                <w:rPr>
                  <w:rFonts w:ascii="Arial" w:cs="Arial" w:eastAsia="Arial" w:hAnsi="Arial"/>
                  <w:sz w:val="22"/>
                  <w:szCs w:val="22"/>
                  <w:color w:val="0000EE"/>
                </w:rPr>
                <w:t>Item 3.</w:t>
              </w:r>
            </w:hyperlink>
          </w:p>
        </w:tc>
        <w:tc>
          <w:tcPr>
            <w:tcW w:w="9060" w:type="dxa"/>
            <w:vAlign w:val="bottom"/>
            <w:gridSpan w:val="19"/>
          </w:tcPr>
          <w:p>
            <w:pPr>
              <w:spacing w:after="0"/>
              <w:rPr>
                <w:rFonts w:ascii="Arial" w:cs="Arial" w:eastAsia="Arial" w:hAnsi="Arial"/>
                <w:sz w:val="22"/>
                <w:szCs w:val="22"/>
                <w:color w:val="0000EE"/>
              </w:rPr>
            </w:pPr>
            <w:hyperlink w:anchor="page35">
              <w:r>
                <w:rPr>
                  <w:rFonts w:ascii="Arial" w:cs="Arial" w:eastAsia="Arial" w:hAnsi="Arial"/>
                  <w:sz w:val="22"/>
                  <w:szCs w:val="22"/>
                  <w:color w:val="0000EE"/>
                </w:rPr>
                <w:t>Defaults Upon Senior Securities</w:t>
              </w:r>
            </w:hyperlink>
          </w:p>
        </w:tc>
        <w:tc>
          <w:tcPr>
            <w:tcW w:w="1000" w:type="dxa"/>
            <w:vAlign w:val="bottom"/>
          </w:tcPr>
          <w:p>
            <w:pPr>
              <w:jc w:val="right"/>
              <w:spacing w:after="0"/>
              <w:rPr>
                <w:sz w:val="20"/>
                <w:szCs w:val="20"/>
                <w:color w:val="auto"/>
              </w:rPr>
            </w:pPr>
            <w:r>
              <w:rPr>
                <w:rFonts w:ascii="Arial" w:cs="Arial" w:eastAsia="Arial" w:hAnsi="Arial"/>
                <w:sz w:val="22"/>
                <w:szCs w:val="22"/>
                <w:color w:val="auto"/>
              </w:rPr>
              <w:t>54</w:t>
            </w:r>
          </w:p>
        </w:tc>
        <w:tc>
          <w:tcPr>
            <w:tcW w:w="0" w:type="dxa"/>
            <w:vAlign w:val="bottom"/>
          </w:tcPr>
          <w:p>
            <w:pPr>
              <w:spacing w:after="0"/>
              <w:rPr>
                <w:sz w:val="1"/>
                <w:szCs w:val="1"/>
                <w:color w:val="auto"/>
              </w:rPr>
            </w:pPr>
          </w:p>
        </w:tc>
      </w:tr>
      <w:tr>
        <w:trPr>
          <w:trHeight w:val="20"/>
        </w:trPr>
        <w:tc>
          <w:tcPr>
            <w:tcW w:w="620" w:type="dxa"/>
            <w:vAlign w:val="bottom"/>
            <w:shd w:val="clear" w:color="auto" w:fill="0000EE"/>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1200" w:type="dxa"/>
            <w:vAlign w:val="bottom"/>
            <w:tcBorders>
              <w:left w:val="single" w:sz="8" w:color="0000EE"/>
            </w:tcBorders>
            <w:gridSpan w:val="4"/>
            <w:shd w:val="clear" w:color="auto" w:fill="0000EE"/>
          </w:tcPr>
          <w:p>
            <w:pPr>
              <w:spacing w:after="0" w:line="20" w:lineRule="exact"/>
              <w:rPr>
                <w:sz w:val="1"/>
                <w:szCs w:val="1"/>
                <w:color w:val="auto"/>
              </w:rPr>
            </w:pPr>
          </w:p>
        </w:tc>
        <w:tc>
          <w:tcPr>
            <w:tcW w:w="6280" w:type="dxa"/>
            <w:vAlign w:val="bottom"/>
            <w:gridSpan w:val="1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400" w:type="dxa"/>
            <w:vAlign w:val="bottom"/>
            <w:gridSpan w:val="4"/>
          </w:tcPr>
          <w:p>
            <w:pPr>
              <w:spacing w:after="0"/>
              <w:rPr>
                <w:rFonts w:ascii="Arial" w:cs="Arial" w:eastAsia="Arial" w:hAnsi="Arial"/>
                <w:sz w:val="22"/>
                <w:szCs w:val="22"/>
                <w:color w:val="0000EE"/>
              </w:rPr>
            </w:pPr>
            <w:hyperlink w:anchor="page35">
              <w:r>
                <w:rPr>
                  <w:rFonts w:ascii="Arial" w:cs="Arial" w:eastAsia="Arial" w:hAnsi="Arial"/>
                  <w:sz w:val="22"/>
                  <w:szCs w:val="22"/>
                  <w:color w:val="0000EE"/>
                </w:rPr>
                <w:t>Item 4.</w:t>
              </w:r>
            </w:hyperlink>
          </w:p>
        </w:tc>
        <w:tc>
          <w:tcPr>
            <w:tcW w:w="9060" w:type="dxa"/>
            <w:vAlign w:val="bottom"/>
            <w:gridSpan w:val="19"/>
          </w:tcPr>
          <w:p>
            <w:pPr>
              <w:spacing w:after="0"/>
              <w:rPr>
                <w:rFonts w:ascii="Arial" w:cs="Arial" w:eastAsia="Arial" w:hAnsi="Arial"/>
                <w:sz w:val="22"/>
                <w:szCs w:val="22"/>
                <w:color w:val="0000EE"/>
              </w:rPr>
            </w:pPr>
            <w:hyperlink w:anchor="page35">
              <w:r>
                <w:rPr>
                  <w:rFonts w:ascii="Arial" w:cs="Arial" w:eastAsia="Arial" w:hAnsi="Arial"/>
                  <w:sz w:val="22"/>
                  <w:szCs w:val="22"/>
                  <w:color w:val="0000EE"/>
                </w:rPr>
                <w:t>Mine Safety Disclosures</w:t>
              </w:r>
            </w:hyperlink>
          </w:p>
        </w:tc>
        <w:tc>
          <w:tcPr>
            <w:tcW w:w="1000" w:type="dxa"/>
            <w:vAlign w:val="bottom"/>
          </w:tcPr>
          <w:p>
            <w:pPr>
              <w:jc w:val="right"/>
              <w:spacing w:after="0"/>
              <w:rPr>
                <w:sz w:val="20"/>
                <w:szCs w:val="20"/>
                <w:color w:val="auto"/>
              </w:rPr>
            </w:pPr>
            <w:r>
              <w:rPr>
                <w:rFonts w:ascii="Arial" w:cs="Arial" w:eastAsia="Arial" w:hAnsi="Arial"/>
                <w:sz w:val="22"/>
                <w:szCs w:val="22"/>
                <w:color w:val="auto"/>
              </w:rPr>
              <w:t>55</w:t>
            </w:r>
          </w:p>
        </w:tc>
        <w:tc>
          <w:tcPr>
            <w:tcW w:w="0" w:type="dxa"/>
            <w:vAlign w:val="bottom"/>
          </w:tcPr>
          <w:p>
            <w:pPr>
              <w:spacing w:after="0"/>
              <w:rPr>
                <w:sz w:val="1"/>
                <w:szCs w:val="1"/>
                <w:color w:val="auto"/>
              </w:rPr>
            </w:pPr>
          </w:p>
        </w:tc>
      </w:tr>
      <w:tr>
        <w:trPr>
          <w:trHeight w:val="20"/>
        </w:trPr>
        <w:tc>
          <w:tcPr>
            <w:tcW w:w="620" w:type="dxa"/>
            <w:vAlign w:val="bottom"/>
            <w:shd w:val="clear" w:color="auto" w:fill="0000EE"/>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540" w:type="dxa"/>
            <w:vAlign w:val="bottom"/>
            <w:tcBorders>
              <w:left w:val="single" w:sz="8" w:color="0000EE"/>
            </w:tcBorders>
            <w:shd w:val="clear" w:color="auto" w:fill="0000EE"/>
          </w:tcPr>
          <w:p>
            <w:pPr>
              <w:spacing w:after="0" w:line="20" w:lineRule="exact"/>
              <w:rPr>
                <w:sz w:val="1"/>
                <w:szCs w:val="1"/>
                <w:color w:val="auto"/>
              </w:rPr>
            </w:pPr>
          </w:p>
        </w:tc>
        <w:tc>
          <w:tcPr>
            <w:tcW w:w="6940" w:type="dxa"/>
            <w:vAlign w:val="bottom"/>
            <w:gridSpan w:val="13"/>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400" w:type="dxa"/>
            <w:vAlign w:val="bottom"/>
            <w:gridSpan w:val="4"/>
          </w:tcPr>
          <w:p>
            <w:pPr>
              <w:spacing w:after="0"/>
              <w:rPr>
                <w:rFonts w:ascii="Arial" w:cs="Arial" w:eastAsia="Arial" w:hAnsi="Arial"/>
                <w:sz w:val="22"/>
                <w:szCs w:val="22"/>
                <w:color w:val="0000EE"/>
              </w:rPr>
            </w:pPr>
            <w:hyperlink w:anchor="page35">
              <w:r>
                <w:rPr>
                  <w:rFonts w:ascii="Arial" w:cs="Arial" w:eastAsia="Arial" w:hAnsi="Arial"/>
                  <w:sz w:val="22"/>
                  <w:szCs w:val="22"/>
                  <w:color w:val="0000EE"/>
                </w:rPr>
                <w:t>Item 5.</w:t>
              </w:r>
            </w:hyperlink>
          </w:p>
        </w:tc>
        <w:tc>
          <w:tcPr>
            <w:tcW w:w="9060" w:type="dxa"/>
            <w:vAlign w:val="bottom"/>
            <w:gridSpan w:val="19"/>
          </w:tcPr>
          <w:p>
            <w:pPr>
              <w:spacing w:after="0"/>
              <w:rPr>
                <w:rFonts w:ascii="Arial" w:cs="Arial" w:eastAsia="Arial" w:hAnsi="Arial"/>
                <w:sz w:val="22"/>
                <w:szCs w:val="22"/>
                <w:color w:val="0000EE"/>
              </w:rPr>
            </w:pPr>
            <w:hyperlink w:anchor="page35">
              <w:r>
                <w:rPr>
                  <w:rFonts w:ascii="Arial" w:cs="Arial" w:eastAsia="Arial" w:hAnsi="Arial"/>
                  <w:sz w:val="22"/>
                  <w:szCs w:val="22"/>
                  <w:color w:val="0000EE"/>
                </w:rPr>
                <w:t>Other Information</w:t>
              </w:r>
            </w:hyperlink>
          </w:p>
        </w:tc>
        <w:tc>
          <w:tcPr>
            <w:tcW w:w="1000" w:type="dxa"/>
            <w:vAlign w:val="bottom"/>
          </w:tcPr>
          <w:p>
            <w:pPr>
              <w:jc w:val="right"/>
              <w:spacing w:after="0"/>
              <w:rPr>
                <w:sz w:val="20"/>
                <w:szCs w:val="20"/>
                <w:color w:val="auto"/>
              </w:rPr>
            </w:pPr>
            <w:r>
              <w:rPr>
                <w:rFonts w:ascii="Arial" w:cs="Arial" w:eastAsia="Arial" w:hAnsi="Arial"/>
                <w:sz w:val="22"/>
                <w:szCs w:val="22"/>
                <w:color w:val="auto"/>
              </w:rPr>
              <w:t>55</w:t>
            </w:r>
          </w:p>
        </w:tc>
        <w:tc>
          <w:tcPr>
            <w:tcW w:w="0" w:type="dxa"/>
            <w:vAlign w:val="bottom"/>
          </w:tcPr>
          <w:p>
            <w:pPr>
              <w:spacing w:after="0"/>
              <w:rPr>
                <w:sz w:val="1"/>
                <w:szCs w:val="1"/>
                <w:color w:val="auto"/>
              </w:rPr>
            </w:pPr>
          </w:p>
        </w:tc>
      </w:tr>
      <w:tr>
        <w:trPr>
          <w:trHeight w:val="20"/>
        </w:trPr>
        <w:tc>
          <w:tcPr>
            <w:tcW w:w="620" w:type="dxa"/>
            <w:vAlign w:val="bottom"/>
            <w:shd w:val="clear" w:color="auto" w:fill="0000EE"/>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7480" w:type="dxa"/>
            <w:vAlign w:val="bottom"/>
            <w:gridSpan w:val="14"/>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400" w:type="dxa"/>
            <w:vAlign w:val="bottom"/>
            <w:gridSpan w:val="4"/>
          </w:tcPr>
          <w:p>
            <w:pPr>
              <w:spacing w:after="0"/>
              <w:rPr>
                <w:rFonts w:ascii="Arial" w:cs="Arial" w:eastAsia="Arial" w:hAnsi="Arial"/>
                <w:sz w:val="22"/>
                <w:szCs w:val="22"/>
                <w:color w:val="0000EE"/>
              </w:rPr>
            </w:pPr>
            <w:hyperlink w:anchor="page36">
              <w:r>
                <w:rPr>
                  <w:rFonts w:ascii="Arial" w:cs="Arial" w:eastAsia="Arial" w:hAnsi="Arial"/>
                  <w:sz w:val="22"/>
                  <w:szCs w:val="22"/>
                  <w:color w:val="0000EE"/>
                </w:rPr>
                <w:t>Item 6.</w:t>
              </w:r>
            </w:hyperlink>
          </w:p>
        </w:tc>
        <w:tc>
          <w:tcPr>
            <w:tcW w:w="9060" w:type="dxa"/>
            <w:vAlign w:val="bottom"/>
            <w:gridSpan w:val="19"/>
          </w:tcPr>
          <w:p>
            <w:pPr>
              <w:spacing w:after="0"/>
              <w:rPr>
                <w:rFonts w:ascii="Arial" w:cs="Arial" w:eastAsia="Arial" w:hAnsi="Arial"/>
                <w:sz w:val="22"/>
                <w:szCs w:val="22"/>
                <w:color w:val="0000EE"/>
              </w:rPr>
            </w:pPr>
            <w:hyperlink w:anchor="page36">
              <w:r>
                <w:rPr>
                  <w:rFonts w:ascii="Arial" w:cs="Arial" w:eastAsia="Arial" w:hAnsi="Arial"/>
                  <w:sz w:val="22"/>
                  <w:szCs w:val="22"/>
                  <w:color w:val="0000EE"/>
                </w:rPr>
                <w:t>Exhibits</w:t>
              </w:r>
            </w:hyperlink>
          </w:p>
        </w:tc>
        <w:tc>
          <w:tcPr>
            <w:tcW w:w="1000" w:type="dxa"/>
            <w:vAlign w:val="bottom"/>
          </w:tcPr>
          <w:p>
            <w:pPr>
              <w:jc w:val="right"/>
              <w:spacing w:after="0"/>
              <w:rPr>
                <w:sz w:val="20"/>
                <w:szCs w:val="20"/>
                <w:color w:val="auto"/>
              </w:rPr>
            </w:pPr>
            <w:r>
              <w:rPr>
                <w:rFonts w:ascii="Arial" w:cs="Arial" w:eastAsia="Arial" w:hAnsi="Arial"/>
                <w:sz w:val="22"/>
                <w:szCs w:val="22"/>
                <w:color w:val="auto"/>
              </w:rPr>
              <w:t>55</w:t>
            </w:r>
          </w:p>
        </w:tc>
        <w:tc>
          <w:tcPr>
            <w:tcW w:w="0" w:type="dxa"/>
            <w:vAlign w:val="bottom"/>
          </w:tcPr>
          <w:p>
            <w:pPr>
              <w:spacing w:after="0"/>
              <w:rPr>
                <w:sz w:val="1"/>
                <w:szCs w:val="1"/>
                <w:color w:val="auto"/>
              </w:rPr>
            </w:pPr>
          </w:p>
        </w:tc>
      </w:tr>
      <w:tr>
        <w:trPr>
          <w:trHeight w:val="20"/>
        </w:trPr>
        <w:tc>
          <w:tcPr>
            <w:tcW w:w="6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140" w:type="dxa"/>
            <w:vAlign w:val="bottom"/>
            <w:gridSpan w:val="17"/>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Borders>
              <w:bottom w:val="single" w:sz="8" w:color="0000EE"/>
            </w:tcBorders>
            <w:gridSpan w:val="2"/>
          </w:tcPr>
          <w:p>
            <w:pPr>
              <w:spacing w:after="0"/>
              <w:rPr>
                <w:rFonts w:ascii="Arial" w:cs="Arial" w:eastAsia="Arial" w:hAnsi="Arial"/>
                <w:sz w:val="22"/>
                <w:szCs w:val="22"/>
                <w:color w:val="0000EE"/>
                <w:w w:val="85"/>
              </w:rPr>
            </w:pPr>
            <w:hyperlink w:anchor="page36">
              <w:r>
                <w:rPr>
                  <w:rFonts w:ascii="Arial" w:cs="Arial" w:eastAsia="Arial" w:hAnsi="Arial"/>
                  <w:sz w:val="22"/>
                  <w:szCs w:val="22"/>
                  <w:color w:val="0000EE"/>
                  <w:w w:val="85"/>
                </w:rPr>
                <w:t>Signatures</w:t>
              </w:r>
            </w:hyperlink>
          </w:p>
        </w:tc>
        <w:tc>
          <w:tcPr>
            <w:tcW w:w="8140" w:type="dxa"/>
            <w:vAlign w:val="bottom"/>
            <w:gridSpan w:val="17"/>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56</w:t>
            </w:r>
          </w:p>
        </w:tc>
        <w:tc>
          <w:tcPr>
            <w:tcW w:w="0" w:type="dxa"/>
            <w:vAlign w:val="bottom"/>
          </w:tcPr>
          <w:p>
            <w:pPr>
              <w:spacing w:after="0"/>
              <w:rPr>
                <w:sz w:val="1"/>
                <w:szCs w:val="1"/>
                <w:color w:val="auto"/>
              </w:rPr>
            </w:pPr>
          </w:p>
        </w:tc>
      </w:tr>
      <w:tr>
        <w:trPr>
          <w:trHeight w:val="453"/>
        </w:trPr>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800" w:type="dxa"/>
            <w:vAlign w:val="bottom"/>
            <w:gridSpan w:val="11"/>
          </w:tcPr>
          <w:p>
            <w:pPr>
              <w:ind w:left="4260"/>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62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620" w:type="dxa"/>
            <w:vAlign w:val="bottom"/>
            <w:tcBorders>
              <w:bottom w:val="single" w:sz="8" w:color="010101"/>
            </w:tcBorders>
          </w:tcPr>
          <w:p>
            <w:pPr>
              <w:spacing w:after="0"/>
              <w:rPr>
                <w:sz w:val="11"/>
                <w:szCs w:val="11"/>
                <w:color w:val="auto"/>
              </w:rPr>
            </w:pPr>
          </w:p>
        </w:tc>
        <w:tc>
          <w:tcPr>
            <w:tcW w:w="72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54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400" w:type="dxa"/>
            <w:vAlign w:val="bottom"/>
            <w:tcBorders>
              <w:bottom w:val="single" w:sz="8" w:color="010101"/>
            </w:tcBorders>
          </w:tcPr>
          <w:p>
            <w:pPr>
              <w:spacing w:after="0"/>
              <w:rPr>
                <w:sz w:val="11"/>
                <w:szCs w:val="11"/>
                <w:color w:val="auto"/>
              </w:rPr>
            </w:pPr>
          </w:p>
        </w:tc>
        <w:tc>
          <w:tcPr>
            <w:tcW w:w="162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228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740" w:type="dxa"/>
            <w:vAlign w:val="bottom"/>
            <w:tcBorders>
              <w:bottom w:val="single" w:sz="8" w:color="010101"/>
            </w:tcBorders>
          </w:tcPr>
          <w:p>
            <w:pPr>
              <w:spacing w:after="0"/>
              <w:rPr>
                <w:sz w:val="11"/>
                <w:szCs w:val="11"/>
                <w:color w:val="auto"/>
              </w:rPr>
            </w:pPr>
          </w:p>
        </w:tc>
        <w:tc>
          <w:tcPr>
            <w:tcW w:w="100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PART I – FINANCIAL INFORMATION</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 CONDENSED CONSOLIDATED FINANCIAL STATEMENTS (UNAUDITED)</w:t>
      </w:r>
    </w:p>
    <w:p>
      <w:pPr>
        <w:spacing w:after="0" w:line="233" w:lineRule="exact"/>
        <w:rPr>
          <w:sz w:val="20"/>
          <w:szCs w:val="20"/>
          <w:color w:val="auto"/>
        </w:rPr>
      </w:pPr>
    </w:p>
    <w:p>
      <w:pPr>
        <w:ind w:right="5300"/>
        <w:spacing w:after="0" w:line="249" w:lineRule="auto"/>
        <w:rPr>
          <w:sz w:val="20"/>
          <w:szCs w:val="20"/>
          <w:color w:val="auto"/>
        </w:rPr>
      </w:pPr>
      <w:r>
        <w:rPr>
          <w:rFonts w:ascii="Arial" w:cs="Arial" w:eastAsia="Arial" w:hAnsi="Arial"/>
          <w:sz w:val="21"/>
          <w:szCs w:val="21"/>
          <w:b w:val="1"/>
          <w:bCs w:val="1"/>
          <w:color w:val="auto"/>
        </w:rPr>
        <w:t>MONSTER BEVERAGE CORPORATION AND SUBSIDIARIES CONDENSED CONSOLIDATED BALANCE SHEETS AS OF SEPTEMBER 30, 2012 AND DECEMBER 31, 2011</w:t>
      </w:r>
    </w:p>
    <w:p>
      <w:pPr>
        <w:spacing w:after="0" w:line="235" w:lineRule="auto"/>
        <w:rPr>
          <w:sz w:val="20"/>
          <w:szCs w:val="20"/>
          <w:color w:val="auto"/>
        </w:rPr>
      </w:pPr>
      <w:r>
        <w:rPr>
          <w:rFonts w:ascii="Arial" w:cs="Arial" w:eastAsia="Arial" w:hAnsi="Arial"/>
          <w:sz w:val="22"/>
          <w:szCs w:val="22"/>
          <w:b w:val="1"/>
          <w:bCs w:val="1"/>
          <w:color w:val="auto"/>
        </w:rPr>
        <w:t>(In Thousands, Except Par Value) (Unaudited)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314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392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gridSpan w:val="4"/>
          </w:tcPr>
          <w:p>
            <w:pPr>
              <w:ind w:left="180"/>
              <w:spacing w:after="0"/>
              <w:rPr>
                <w:sz w:val="20"/>
                <w:szCs w:val="20"/>
                <w:color w:val="auto"/>
              </w:rPr>
            </w:pPr>
            <w:r>
              <w:rPr>
                <w:rFonts w:ascii="Arial" w:cs="Arial" w:eastAsia="Arial" w:hAnsi="Arial"/>
                <w:sz w:val="16"/>
                <w:szCs w:val="16"/>
                <w:b w:val="1"/>
                <w:bCs w:val="1"/>
                <w:color w:val="auto"/>
              </w:rPr>
              <w:t>September 30,</w:t>
            </w:r>
          </w:p>
        </w:tc>
        <w:tc>
          <w:tcPr>
            <w:tcW w:w="1500" w:type="dxa"/>
            <w:vAlign w:val="bottom"/>
            <w:tcBorders>
              <w:top w:val="single" w:sz="8" w:color="auto"/>
            </w:tcBorders>
            <w:gridSpan w:val="3"/>
          </w:tcPr>
          <w:p>
            <w:pPr>
              <w:ind w:left="220"/>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140" w:type="dxa"/>
            <w:vAlign w:val="bottom"/>
            <w:tcBorders>
              <w:bottom w:val="single" w:sz="8" w:color="CCEEFF"/>
            </w:tcBorders>
          </w:tcPr>
          <w:p>
            <w:pPr>
              <w:spacing w:after="0"/>
              <w:rPr>
                <w:sz w:val="18"/>
                <w:szCs w:val="18"/>
                <w:color w:val="auto"/>
              </w:rPr>
            </w:pPr>
          </w:p>
        </w:tc>
        <w:tc>
          <w:tcPr>
            <w:tcW w:w="480" w:type="dxa"/>
            <w:vAlign w:val="bottom"/>
            <w:tcBorders>
              <w:bottom w:val="single" w:sz="8" w:color="CCEEFF"/>
            </w:tcBorders>
          </w:tcPr>
          <w:p>
            <w:pPr>
              <w:spacing w:after="0"/>
              <w:rPr>
                <w:sz w:val="18"/>
                <w:szCs w:val="18"/>
                <w:color w:val="auto"/>
              </w:rPr>
            </w:pPr>
          </w:p>
        </w:tc>
        <w:tc>
          <w:tcPr>
            <w:tcW w:w="600" w:type="dxa"/>
            <w:vAlign w:val="bottom"/>
            <w:tcBorders>
              <w:bottom w:val="single" w:sz="8" w:color="CCEEFF"/>
            </w:tcBorders>
          </w:tcPr>
          <w:p>
            <w:pPr>
              <w:spacing w:after="0"/>
              <w:rPr>
                <w:sz w:val="18"/>
                <w:szCs w:val="18"/>
                <w:color w:val="auto"/>
              </w:rPr>
            </w:pPr>
          </w:p>
        </w:tc>
        <w:tc>
          <w:tcPr>
            <w:tcW w:w="39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2012</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2011</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140" w:type="dxa"/>
            <w:vAlign w:val="bottom"/>
            <w:shd w:val="clear" w:color="auto" w:fill="CCEEFF"/>
          </w:tcPr>
          <w:p>
            <w:pPr>
              <w:spacing w:after="0"/>
              <w:rPr>
                <w:sz w:val="14"/>
                <w:szCs w:val="14"/>
                <w:color w:val="auto"/>
              </w:rPr>
            </w:pPr>
          </w:p>
        </w:tc>
        <w:tc>
          <w:tcPr>
            <w:tcW w:w="5000" w:type="dxa"/>
            <w:vAlign w:val="bottom"/>
            <w:gridSpan w:val="3"/>
            <w:shd w:val="clear" w:color="auto" w:fill="CCEEFF"/>
          </w:tcPr>
          <w:p>
            <w:pPr>
              <w:ind w:left="480"/>
              <w:spacing w:after="0" w:line="145" w:lineRule="exact"/>
              <w:rPr>
                <w:sz w:val="20"/>
                <w:szCs w:val="20"/>
                <w:color w:val="auto"/>
              </w:rPr>
            </w:pPr>
            <w:r>
              <w:rPr>
                <w:rFonts w:ascii="Arial" w:cs="Arial" w:eastAsia="Arial" w:hAnsi="Arial"/>
                <w:sz w:val="16"/>
                <w:szCs w:val="16"/>
                <w:b w:val="1"/>
                <w:bCs w:val="1"/>
                <w:color w:val="auto"/>
              </w:rPr>
              <w:t>ASSETS</w:t>
            </w:r>
          </w:p>
        </w:tc>
        <w:tc>
          <w:tcPr>
            <w:tcW w:w="3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40" w:type="dxa"/>
            <w:vAlign w:val="bottom"/>
            <w:tcBorders>
              <w:top w:val="single" w:sz="8" w:color="CCEEFF"/>
            </w:tcBorders>
          </w:tcPr>
          <w:p>
            <w:pPr>
              <w:spacing w:after="0"/>
              <w:rPr>
                <w:sz w:val="20"/>
                <w:szCs w:val="20"/>
                <w:color w:val="auto"/>
              </w:rPr>
            </w:pPr>
            <w:r>
              <w:rPr>
                <w:rFonts w:ascii="Arial" w:cs="Arial" w:eastAsia="Arial" w:hAnsi="Arial"/>
                <w:sz w:val="16"/>
                <w:szCs w:val="16"/>
                <w:color w:val="auto"/>
              </w:rPr>
              <w:t>CURRENT ASSETS:</w:t>
            </w:r>
          </w:p>
        </w:tc>
        <w:tc>
          <w:tcPr>
            <w:tcW w:w="480" w:type="dxa"/>
            <w:vAlign w:val="bottom"/>
            <w:tcBorders>
              <w:top w:val="single" w:sz="8" w:color="CCEEFF"/>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3920" w:type="dxa"/>
            <w:vAlign w:val="bottom"/>
            <w:tcBorders>
              <w:top w:val="single" w:sz="8" w:color="CCEEFF"/>
            </w:tcBorders>
          </w:tcPr>
          <w:p>
            <w:pPr>
              <w:spacing w:after="0"/>
              <w:rPr>
                <w:sz w:val="17"/>
                <w:szCs w:val="17"/>
                <w:color w:val="auto"/>
              </w:rPr>
            </w:pPr>
          </w:p>
        </w:tc>
        <w:tc>
          <w:tcPr>
            <w:tcW w:w="360" w:type="dxa"/>
            <w:vAlign w:val="bottom"/>
            <w:tcBorders>
              <w:top w:val="single" w:sz="8" w:color="CCEEFF"/>
            </w:tcBorders>
          </w:tcPr>
          <w:p>
            <w:pPr>
              <w:spacing w:after="0"/>
              <w:rPr>
                <w:sz w:val="17"/>
                <w:szCs w:val="17"/>
                <w:color w:val="auto"/>
              </w:rPr>
            </w:pPr>
          </w:p>
        </w:tc>
        <w:tc>
          <w:tcPr>
            <w:tcW w:w="10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380" w:type="dxa"/>
            <w:vAlign w:val="bottom"/>
            <w:tcBorders>
              <w:top w:val="single" w:sz="8" w:color="CCEEFF"/>
            </w:tcBorders>
          </w:tcPr>
          <w:p>
            <w:pPr>
              <w:spacing w:after="0"/>
              <w:rPr>
                <w:sz w:val="17"/>
                <w:szCs w:val="17"/>
                <w:color w:val="auto"/>
              </w:rPr>
            </w:pPr>
          </w:p>
        </w:tc>
        <w:tc>
          <w:tcPr>
            <w:tcW w:w="10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6"/>
                <w:szCs w:val="16"/>
                <w:color w:val="auto"/>
              </w:rPr>
              <w:t>Cash and cash equivalents</w:t>
            </w:r>
          </w:p>
        </w:tc>
        <w:tc>
          <w:tcPr>
            <w:tcW w:w="5360" w:type="dxa"/>
            <w:vAlign w:val="bottom"/>
            <w:gridSpan w:val="4"/>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283,054</w:t>
            </w:r>
          </w:p>
        </w:tc>
        <w:tc>
          <w:tcPr>
            <w:tcW w:w="3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359,331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40" w:type="dxa"/>
            <w:vAlign w:val="bottom"/>
          </w:tcPr>
          <w:p>
            <w:pPr>
              <w:spacing w:after="0"/>
              <w:rPr>
                <w:sz w:val="20"/>
                <w:szCs w:val="20"/>
                <w:color w:val="auto"/>
              </w:rPr>
            </w:pPr>
            <w:r>
              <w:rPr>
                <w:rFonts w:ascii="Arial" w:cs="Arial" w:eastAsia="Arial" w:hAnsi="Arial"/>
                <w:sz w:val="16"/>
                <w:szCs w:val="16"/>
                <w:color w:val="auto"/>
              </w:rPr>
              <w:t>Short-term investments</w:t>
            </w:r>
          </w:p>
        </w:tc>
        <w:tc>
          <w:tcPr>
            <w:tcW w:w="4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307,654</w:t>
            </w: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411,282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6"/>
                <w:szCs w:val="16"/>
                <w:color w:val="auto"/>
              </w:rPr>
              <w:t>Trade accounts receivable, net</w:t>
            </w:r>
          </w:p>
        </w:tc>
        <w:tc>
          <w:tcPr>
            <w:tcW w:w="4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9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288,584</w:t>
            </w:r>
          </w:p>
        </w:tc>
        <w:tc>
          <w:tcPr>
            <w:tcW w:w="3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218,072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40" w:type="dxa"/>
            <w:vAlign w:val="bottom"/>
          </w:tcPr>
          <w:p>
            <w:pPr>
              <w:spacing w:after="0"/>
              <w:rPr>
                <w:sz w:val="20"/>
                <w:szCs w:val="20"/>
                <w:color w:val="auto"/>
              </w:rPr>
            </w:pPr>
            <w:r>
              <w:rPr>
                <w:rFonts w:ascii="Arial" w:cs="Arial" w:eastAsia="Arial" w:hAnsi="Arial"/>
                <w:sz w:val="16"/>
                <w:szCs w:val="16"/>
                <w:color w:val="auto"/>
              </w:rPr>
              <w:t>Distributor receivables</w:t>
            </w:r>
          </w:p>
        </w:tc>
        <w:tc>
          <w:tcPr>
            <w:tcW w:w="4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669</w:t>
            </w: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669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6"/>
                <w:szCs w:val="16"/>
                <w:color w:val="auto"/>
              </w:rPr>
              <w:t>Inventories</w:t>
            </w:r>
          </w:p>
        </w:tc>
        <w:tc>
          <w:tcPr>
            <w:tcW w:w="4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9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193,934</w:t>
            </w:r>
          </w:p>
        </w:tc>
        <w:tc>
          <w:tcPr>
            <w:tcW w:w="3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155,613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40" w:type="dxa"/>
            <w:vAlign w:val="bottom"/>
          </w:tcPr>
          <w:p>
            <w:pPr>
              <w:spacing w:after="0"/>
              <w:rPr>
                <w:sz w:val="20"/>
                <w:szCs w:val="20"/>
                <w:color w:val="auto"/>
              </w:rPr>
            </w:pPr>
            <w:r>
              <w:rPr>
                <w:rFonts w:ascii="Arial" w:cs="Arial" w:eastAsia="Arial" w:hAnsi="Arial"/>
                <w:sz w:val="16"/>
                <w:szCs w:val="16"/>
                <w:color w:val="auto"/>
              </w:rPr>
              <w:t>Prepaid expenses and other current assets</w:t>
            </w:r>
          </w:p>
        </w:tc>
        <w:tc>
          <w:tcPr>
            <w:tcW w:w="4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20,190</w:t>
            </w: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20,912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6"/>
                <w:szCs w:val="16"/>
                <w:color w:val="auto"/>
              </w:rPr>
              <w:t>Prepaid income taxes</w:t>
            </w:r>
          </w:p>
        </w:tc>
        <w:tc>
          <w:tcPr>
            <w:tcW w:w="4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9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18,424</w:t>
            </w:r>
          </w:p>
        </w:tc>
        <w:tc>
          <w:tcPr>
            <w:tcW w:w="3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370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Deferred income taxes</w:t>
            </w:r>
          </w:p>
        </w:tc>
        <w:tc>
          <w:tcPr>
            <w:tcW w:w="480" w:type="dxa"/>
            <w:vAlign w:val="bottom"/>
            <w:tcBorders>
              <w:bottom w:val="single" w:sz="8" w:color="CCEEFF"/>
            </w:tcBorders>
          </w:tcPr>
          <w:p>
            <w:pPr>
              <w:spacing w:after="0"/>
              <w:rPr>
                <w:sz w:val="17"/>
                <w:szCs w:val="17"/>
                <w:color w:val="auto"/>
              </w:rPr>
            </w:pPr>
          </w:p>
        </w:tc>
        <w:tc>
          <w:tcPr>
            <w:tcW w:w="600" w:type="dxa"/>
            <w:vAlign w:val="bottom"/>
            <w:tcBorders>
              <w:bottom w:val="single" w:sz="8" w:color="CCEEFF"/>
            </w:tcBorders>
          </w:tcPr>
          <w:p>
            <w:pPr>
              <w:spacing w:after="0"/>
              <w:rPr>
                <w:sz w:val="17"/>
                <w:szCs w:val="17"/>
                <w:color w:val="auto"/>
              </w:rPr>
            </w:pPr>
          </w:p>
        </w:tc>
        <w:tc>
          <w:tcPr>
            <w:tcW w:w="39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16,428</w:t>
            </w:r>
          </w:p>
        </w:tc>
        <w:tc>
          <w:tcPr>
            <w:tcW w:w="3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16,428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1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Total current assets</w:t>
            </w:r>
          </w:p>
        </w:tc>
        <w:tc>
          <w:tcPr>
            <w:tcW w:w="4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9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1,128,937</w:t>
            </w:r>
          </w:p>
        </w:tc>
        <w:tc>
          <w:tcPr>
            <w:tcW w:w="3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1,182,677</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3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6"/>
                <w:szCs w:val="16"/>
                <w:color w:val="auto"/>
              </w:rPr>
              <w:t>INVESTMENTS</w:t>
            </w:r>
          </w:p>
        </w:tc>
        <w:tc>
          <w:tcPr>
            <w:tcW w:w="4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9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19,882</w:t>
            </w:r>
          </w:p>
        </w:tc>
        <w:tc>
          <w:tcPr>
            <w:tcW w:w="3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23,194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40" w:type="dxa"/>
            <w:vAlign w:val="bottom"/>
          </w:tcPr>
          <w:p>
            <w:pPr>
              <w:spacing w:after="0"/>
              <w:rPr>
                <w:sz w:val="20"/>
                <w:szCs w:val="20"/>
                <w:color w:val="auto"/>
              </w:rPr>
            </w:pPr>
            <w:r>
              <w:rPr>
                <w:rFonts w:ascii="Arial" w:cs="Arial" w:eastAsia="Arial" w:hAnsi="Arial"/>
                <w:sz w:val="16"/>
                <w:szCs w:val="16"/>
                <w:color w:val="auto"/>
              </w:rPr>
              <w:t>PROPERTY AND EQUIPMENT, net</w:t>
            </w:r>
          </w:p>
        </w:tc>
        <w:tc>
          <w:tcPr>
            <w:tcW w:w="4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57,574</w:t>
            </w: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45,151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6"/>
                <w:szCs w:val="16"/>
                <w:color w:val="auto"/>
              </w:rPr>
              <w:t>DEFERRED INCOME TAXES</w:t>
            </w:r>
          </w:p>
        </w:tc>
        <w:tc>
          <w:tcPr>
            <w:tcW w:w="4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9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56,005</w:t>
            </w:r>
          </w:p>
        </w:tc>
        <w:tc>
          <w:tcPr>
            <w:tcW w:w="3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58,576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40" w:type="dxa"/>
            <w:vAlign w:val="bottom"/>
          </w:tcPr>
          <w:p>
            <w:pPr>
              <w:spacing w:after="0"/>
              <w:rPr>
                <w:sz w:val="20"/>
                <w:szCs w:val="20"/>
                <w:color w:val="auto"/>
              </w:rPr>
            </w:pPr>
            <w:r>
              <w:rPr>
                <w:rFonts w:ascii="Arial" w:cs="Arial" w:eastAsia="Arial" w:hAnsi="Arial"/>
                <w:sz w:val="16"/>
                <w:szCs w:val="16"/>
                <w:color w:val="auto"/>
              </w:rPr>
              <w:t>INTANGIBLES, net</w:t>
            </w:r>
          </w:p>
        </w:tc>
        <w:tc>
          <w:tcPr>
            <w:tcW w:w="4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52,851</w:t>
            </w: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48,396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6"/>
                <w:szCs w:val="16"/>
                <w:color w:val="auto"/>
              </w:rPr>
              <w:t>OTHER ASSETS</w:t>
            </w:r>
          </w:p>
        </w:tc>
        <w:tc>
          <w:tcPr>
            <w:tcW w:w="4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92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3,673</w:t>
            </w:r>
          </w:p>
        </w:tc>
        <w:tc>
          <w:tcPr>
            <w:tcW w:w="3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4,405</w:t>
            </w:r>
          </w:p>
        </w:tc>
        <w:tc>
          <w:tcPr>
            <w:tcW w:w="0" w:type="dxa"/>
            <w:vAlign w:val="bottom"/>
          </w:tcPr>
          <w:p>
            <w:pPr>
              <w:spacing w:after="0"/>
              <w:rPr>
                <w:sz w:val="1"/>
                <w:szCs w:val="1"/>
                <w:color w:val="auto"/>
              </w:rPr>
            </w:pPr>
          </w:p>
        </w:tc>
      </w:tr>
    </w:tbl>
    <w:p>
      <w:pPr>
        <w:sectPr>
          <w:pgSz w:w="11900" w:h="16838" w:orient="portrait"/>
          <w:cols w:equalWidth="0" w:num="1">
            <w:col w:w="11460"/>
          </w:cols>
          <w:pgMar w:left="240" w:top="89" w:right="199" w:bottom="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2"/>
                <w:szCs w:val="22"/>
                <w:color w:val="auto"/>
              </w:rPr>
            </w:pPr>
          </w:p>
        </w:tc>
        <w:tc>
          <w:tcPr>
            <w:tcW w:w="2160" w:type="dxa"/>
            <w:vAlign w:val="bottom"/>
            <w:tcBorders>
              <w:bottom w:val="single" w:sz="8" w:color="CCEEFF"/>
            </w:tcBorders>
          </w:tcPr>
          <w:p>
            <w:pPr>
              <w:spacing w:after="0"/>
              <w:rPr>
                <w:sz w:val="22"/>
                <w:szCs w:val="22"/>
                <w:color w:val="auto"/>
              </w:rPr>
            </w:pPr>
          </w:p>
        </w:tc>
        <w:tc>
          <w:tcPr>
            <w:tcW w:w="5980" w:type="dxa"/>
            <w:vAlign w:val="bottom"/>
            <w:tcBorders>
              <w:bottom w:val="single" w:sz="8" w:color="CCEEFF"/>
            </w:tcBorders>
            <w:gridSpan w:val="2"/>
          </w:tcPr>
          <w:p>
            <w:pPr>
              <w:jc w:val="center"/>
              <w:ind w:right="2440"/>
              <w:spacing w:after="0"/>
              <w:rPr>
                <w:sz w:val="20"/>
                <w:szCs w:val="20"/>
                <w:color w:val="auto"/>
              </w:rPr>
            </w:pPr>
            <w:r>
              <w:rPr>
                <w:rFonts w:ascii="Arial" w:cs="Arial" w:eastAsia="Arial" w:hAnsi="Arial"/>
                <w:sz w:val="16"/>
                <w:szCs w:val="16"/>
                <w:b w:val="1"/>
                <w:bCs w:val="1"/>
                <w:color w:val="auto"/>
                <w:w w:val="86"/>
              </w:rPr>
              <w:t>Total Assets</w:t>
            </w:r>
          </w:p>
        </w:tc>
        <w:tc>
          <w:tcPr>
            <w:tcW w:w="4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1,318,922</w:t>
            </w:r>
          </w:p>
        </w:tc>
        <w:tc>
          <w:tcPr>
            <w:tcW w:w="3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1,362,399</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160" w:type="dxa"/>
            <w:vAlign w:val="bottom"/>
            <w:shd w:val="clear" w:color="auto" w:fill="CCEEFF"/>
          </w:tcPr>
          <w:p>
            <w:pPr>
              <w:spacing w:after="0"/>
              <w:rPr>
                <w:sz w:val="16"/>
                <w:szCs w:val="16"/>
                <w:color w:val="auto"/>
              </w:rPr>
            </w:pPr>
          </w:p>
        </w:tc>
        <w:tc>
          <w:tcPr>
            <w:tcW w:w="3520" w:type="dxa"/>
            <w:vAlign w:val="bottom"/>
            <w:shd w:val="clear" w:color="auto" w:fill="CCEEFF"/>
          </w:tcPr>
          <w:p>
            <w:pPr>
              <w:spacing w:after="0"/>
              <w:rPr>
                <w:sz w:val="16"/>
                <w:szCs w:val="16"/>
                <w:color w:val="auto"/>
              </w:rPr>
            </w:pPr>
          </w:p>
        </w:tc>
        <w:tc>
          <w:tcPr>
            <w:tcW w:w="24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140" w:type="dxa"/>
            <w:vAlign w:val="bottom"/>
            <w:gridSpan w:val="3"/>
          </w:tcPr>
          <w:p>
            <w:pPr>
              <w:jc w:val="center"/>
              <w:ind w:right="300"/>
              <w:spacing w:after="0" w:line="162" w:lineRule="exact"/>
              <w:rPr>
                <w:sz w:val="20"/>
                <w:szCs w:val="20"/>
                <w:color w:val="auto"/>
              </w:rPr>
            </w:pPr>
            <w:r>
              <w:rPr>
                <w:rFonts w:ascii="Arial" w:cs="Arial" w:eastAsia="Arial" w:hAnsi="Arial"/>
                <w:sz w:val="16"/>
                <w:szCs w:val="16"/>
                <w:b w:val="1"/>
                <w:bCs w:val="1"/>
                <w:color w:val="auto"/>
              </w:rPr>
              <w:t>LIABILITIES AND STOCKHOLDERS’ EQUITY</w:t>
            </w:r>
          </w:p>
        </w:tc>
        <w:tc>
          <w:tcPr>
            <w:tcW w:w="4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3520" w:type="dxa"/>
            <w:vAlign w:val="bottom"/>
            <w:tcBorders>
              <w:top w:val="single" w:sz="8" w:color="auto"/>
            </w:tcBorders>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81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CURRENT LIABILITIES:</w:t>
            </w:r>
          </w:p>
        </w:tc>
        <w:tc>
          <w:tcPr>
            <w:tcW w:w="4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40" w:type="dxa"/>
            <w:vAlign w:val="bottom"/>
            <w:gridSpan w:val="3"/>
          </w:tcPr>
          <w:p>
            <w:pPr>
              <w:spacing w:after="0"/>
              <w:rPr>
                <w:sz w:val="20"/>
                <w:szCs w:val="20"/>
                <w:color w:val="auto"/>
              </w:rPr>
            </w:pPr>
            <w:r>
              <w:rPr>
                <w:rFonts w:ascii="Arial" w:cs="Arial" w:eastAsia="Arial" w:hAnsi="Arial"/>
                <w:sz w:val="16"/>
                <w:szCs w:val="16"/>
                <w:color w:val="auto"/>
              </w:rPr>
              <w:t>Accounts payable</w:t>
            </w:r>
          </w:p>
        </w:tc>
        <w:tc>
          <w:tcPr>
            <w:tcW w:w="46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152,449</w:t>
            </w:r>
          </w:p>
        </w:tc>
        <w:tc>
          <w:tcPr>
            <w:tcW w:w="300" w:type="dxa"/>
            <w:vAlign w:val="bottom"/>
          </w:tcPr>
          <w:p>
            <w:pPr>
              <w:spacing w:after="0"/>
              <w:rPr>
                <w:sz w:val="17"/>
                <w:szCs w:val="17"/>
                <w:color w:val="auto"/>
              </w:rPr>
            </w:pPr>
          </w:p>
        </w:tc>
        <w:tc>
          <w:tcPr>
            <w:tcW w:w="48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113,446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Accrued liabilities</w:t>
            </w:r>
          </w:p>
        </w:tc>
        <w:tc>
          <w:tcPr>
            <w:tcW w:w="46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58,973</w:t>
            </w:r>
          </w:p>
        </w:tc>
        <w:tc>
          <w:tcPr>
            <w:tcW w:w="3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31,966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40" w:type="dxa"/>
            <w:vAlign w:val="bottom"/>
            <w:gridSpan w:val="3"/>
          </w:tcPr>
          <w:p>
            <w:pPr>
              <w:spacing w:after="0"/>
              <w:rPr>
                <w:sz w:val="20"/>
                <w:szCs w:val="20"/>
                <w:color w:val="auto"/>
              </w:rPr>
            </w:pPr>
            <w:r>
              <w:rPr>
                <w:rFonts w:ascii="Arial" w:cs="Arial" w:eastAsia="Arial" w:hAnsi="Arial"/>
                <w:sz w:val="16"/>
                <w:szCs w:val="16"/>
                <w:color w:val="auto"/>
              </w:rPr>
              <w:t>Accrued promotional allowances</w:t>
            </w:r>
          </w:p>
        </w:tc>
        <w:tc>
          <w:tcPr>
            <w:tcW w:w="460" w:type="dxa"/>
            <w:vAlign w:val="bottom"/>
          </w:tcPr>
          <w:p>
            <w:pPr>
              <w:spacing w:after="0"/>
              <w:rPr>
                <w:sz w:val="17"/>
                <w:szCs w:val="17"/>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78,526</w:t>
            </w:r>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87,746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Deferred revenue</w:t>
            </w:r>
          </w:p>
        </w:tc>
        <w:tc>
          <w:tcPr>
            <w:tcW w:w="46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12,360</w:t>
            </w:r>
          </w:p>
        </w:tc>
        <w:tc>
          <w:tcPr>
            <w:tcW w:w="3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11,583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40" w:type="dxa"/>
            <w:vAlign w:val="bottom"/>
            <w:gridSpan w:val="3"/>
          </w:tcPr>
          <w:p>
            <w:pPr>
              <w:spacing w:after="0"/>
              <w:rPr>
                <w:sz w:val="20"/>
                <w:szCs w:val="20"/>
                <w:color w:val="auto"/>
              </w:rPr>
            </w:pPr>
            <w:r>
              <w:rPr>
                <w:rFonts w:ascii="Arial" w:cs="Arial" w:eastAsia="Arial" w:hAnsi="Arial"/>
                <w:sz w:val="16"/>
                <w:szCs w:val="16"/>
                <w:color w:val="auto"/>
              </w:rPr>
              <w:t>Accrued compensation</w:t>
            </w:r>
          </w:p>
        </w:tc>
        <w:tc>
          <w:tcPr>
            <w:tcW w:w="460" w:type="dxa"/>
            <w:vAlign w:val="bottom"/>
          </w:tcPr>
          <w:p>
            <w:pPr>
              <w:spacing w:after="0"/>
              <w:rPr>
                <w:sz w:val="17"/>
                <w:szCs w:val="17"/>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11,897</w:t>
            </w:r>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10,353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Income taxes payable</w:t>
            </w:r>
          </w:p>
        </w:tc>
        <w:tc>
          <w:tcPr>
            <w:tcW w:w="46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2,833</w:t>
            </w:r>
          </w:p>
        </w:tc>
        <w:tc>
          <w:tcPr>
            <w:tcW w:w="30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10,996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140" w:type="dxa"/>
            <w:vAlign w:val="bottom"/>
            <w:gridSpan w:val="3"/>
          </w:tcPr>
          <w:p>
            <w:pPr>
              <w:ind w:left="160"/>
              <w:spacing w:after="0"/>
              <w:rPr>
                <w:sz w:val="20"/>
                <w:szCs w:val="20"/>
                <w:color w:val="auto"/>
              </w:rPr>
            </w:pPr>
            <w:r>
              <w:rPr>
                <w:rFonts w:ascii="Arial" w:cs="Arial" w:eastAsia="Arial" w:hAnsi="Arial"/>
                <w:sz w:val="16"/>
                <w:szCs w:val="16"/>
                <w:color w:val="auto"/>
              </w:rPr>
              <w:t>Total current liabilities</w:t>
            </w:r>
          </w:p>
        </w:tc>
        <w:tc>
          <w:tcPr>
            <w:tcW w:w="460" w:type="dxa"/>
            <w:vAlign w:val="bottom"/>
          </w:tcPr>
          <w:p>
            <w:pPr>
              <w:spacing w:after="0"/>
              <w:rPr>
                <w:sz w:val="17"/>
                <w:szCs w:val="17"/>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317,038</w:t>
            </w:r>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266,090</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2160" w:type="dxa"/>
            <w:vAlign w:val="bottom"/>
            <w:shd w:val="clear" w:color="auto" w:fill="CCEEFF"/>
          </w:tcPr>
          <w:p>
            <w:pPr>
              <w:spacing w:after="0"/>
              <w:rPr>
                <w:sz w:val="17"/>
                <w:szCs w:val="17"/>
                <w:color w:val="auto"/>
              </w:rPr>
            </w:pPr>
          </w:p>
        </w:tc>
        <w:tc>
          <w:tcPr>
            <w:tcW w:w="3520" w:type="dxa"/>
            <w:vAlign w:val="bottom"/>
            <w:shd w:val="clear" w:color="auto" w:fill="CCEEFF"/>
          </w:tcPr>
          <w:p>
            <w:pPr>
              <w:spacing w:after="0"/>
              <w:rPr>
                <w:sz w:val="17"/>
                <w:szCs w:val="17"/>
                <w:color w:val="auto"/>
              </w:rPr>
            </w:pPr>
          </w:p>
        </w:tc>
        <w:tc>
          <w:tcPr>
            <w:tcW w:w="24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140" w:type="dxa"/>
            <w:vAlign w:val="bottom"/>
            <w:gridSpan w:val="3"/>
          </w:tcPr>
          <w:p>
            <w:pPr>
              <w:spacing w:after="0"/>
              <w:rPr>
                <w:sz w:val="20"/>
                <w:szCs w:val="20"/>
                <w:color w:val="auto"/>
              </w:rPr>
            </w:pPr>
            <w:r>
              <w:rPr>
                <w:rFonts w:ascii="Arial" w:cs="Arial" w:eastAsia="Arial" w:hAnsi="Arial"/>
                <w:sz w:val="16"/>
                <w:szCs w:val="16"/>
                <w:color w:val="auto"/>
              </w:rPr>
              <w:t>DEFERRED REVENUE</w:t>
            </w:r>
          </w:p>
        </w:tc>
        <w:tc>
          <w:tcPr>
            <w:tcW w:w="460" w:type="dxa"/>
            <w:vAlign w:val="bottom"/>
          </w:tcPr>
          <w:p>
            <w:pPr>
              <w:spacing w:after="0"/>
              <w:rPr>
                <w:sz w:val="17"/>
                <w:szCs w:val="17"/>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112,209</w:t>
            </w:r>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117,151</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2160" w:type="dxa"/>
            <w:vAlign w:val="bottom"/>
            <w:shd w:val="clear" w:color="auto" w:fill="CCEEFF"/>
          </w:tcPr>
          <w:p>
            <w:pPr>
              <w:spacing w:after="0"/>
              <w:rPr>
                <w:sz w:val="17"/>
                <w:szCs w:val="17"/>
                <w:color w:val="auto"/>
              </w:rPr>
            </w:pPr>
          </w:p>
        </w:tc>
        <w:tc>
          <w:tcPr>
            <w:tcW w:w="3520" w:type="dxa"/>
            <w:vAlign w:val="bottom"/>
            <w:shd w:val="clear" w:color="auto" w:fill="CCEEFF"/>
          </w:tcPr>
          <w:p>
            <w:pPr>
              <w:spacing w:after="0"/>
              <w:rPr>
                <w:sz w:val="17"/>
                <w:szCs w:val="17"/>
                <w:color w:val="auto"/>
              </w:rPr>
            </w:pPr>
          </w:p>
        </w:tc>
        <w:tc>
          <w:tcPr>
            <w:tcW w:w="24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140" w:type="dxa"/>
            <w:vAlign w:val="bottom"/>
            <w:gridSpan w:val="3"/>
          </w:tcPr>
          <w:p>
            <w:pPr>
              <w:spacing w:after="0"/>
              <w:rPr>
                <w:sz w:val="20"/>
                <w:szCs w:val="20"/>
                <w:color w:val="auto"/>
              </w:rPr>
            </w:pPr>
            <w:r>
              <w:rPr>
                <w:rFonts w:ascii="Arial" w:cs="Arial" w:eastAsia="Arial" w:hAnsi="Arial"/>
                <w:sz w:val="16"/>
                <w:szCs w:val="16"/>
                <w:color w:val="auto"/>
              </w:rPr>
              <w:t>COMMITMENTS AND CONTINGENCIES (Note 9)</w:t>
            </w:r>
          </w:p>
        </w:tc>
        <w:tc>
          <w:tcPr>
            <w:tcW w:w="4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2160" w:type="dxa"/>
            <w:vAlign w:val="bottom"/>
            <w:shd w:val="clear" w:color="auto" w:fill="CCEEFF"/>
          </w:tcPr>
          <w:p>
            <w:pPr>
              <w:spacing w:after="0"/>
              <w:rPr>
                <w:sz w:val="17"/>
                <w:szCs w:val="17"/>
                <w:color w:val="auto"/>
              </w:rPr>
            </w:pPr>
          </w:p>
        </w:tc>
        <w:tc>
          <w:tcPr>
            <w:tcW w:w="3520" w:type="dxa"/>
            <w:vAlign w:val="bottom"/>
            <w:shd w:val="clear" w:color="auto" w:fill="CCEEFF"/>
          </w:tcPr>
          <w:p>
            <w:pPr>
              <w:spacing w:after="0"/>
              <w:rPr>
                <w:sz w:val="17"/>
                <w:szCs w:val="17"/>
                <w:color w:val="auto"/>
              </w:rPr>
            </w:pPr>
          </w:p>
        </w:tc>
        <w:tc>
          <w:tcPr>
            <w:tcW w:w="24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140" w:type="dxa"/>
            <w:vAlign w:val="bottom"/>
            <w:gridSpan w:val="3"/>
          </w:tcPr>
          <w:p>
            <w:pPr>
              <w:spacing w:after="0"/>
              <w:rPr>
                <w:sz w:val="20"/>
                <w:szCs w:val="20"/>
                <w:color w:val="auto"/>
              </w:rPr>
            </w:pPr>
            <w:r>
              <w:rPr>
                <w:rFonts w:ascii="Arial" w:cs="Arial" w:eastAsia="Arial" w:hAnsi="Arial"/>
                <w:sz w:val="16"/>
                <w:szCs w:val="16"/>
                <w:color w:val="auto"/>
              </w:rPr>
              <w:t>STOCKHOLDERS’ EQUITY:</w:t>
            </w:r>
          </w:p>
        </w:tc>
        <w:tc>
          <w:tcPr>
            <w:tcW w:w="4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140" w:type="dxa"/>
            <w:vAlign w:val="bottom"/>
            <w:gridSpan w:val="3"/>
            <w:shd w:val="clear" w:color="auto" w:fill="CCEEFF"/>
          </w:tcPr>
          <w:p>
            <w:pPr>
              <w:spacing w:after="0"/>
              <w:rPr>
                <w:sz w:val="20"/>
                <w:szCs w:val="20"/>
                <w:color w:val="auto"/>
              </w:rPr>
            </w:pPr>
            <w:r>
              <w:rPr>
                <w:rFonts w:ascii="Arial" w:cs="Arial" w:eastAsia="Arial" w:hAnsi="Arial"/>
                <w:sz w:val="16"/>
                <w:szCs w:val="16"/>
                <w:color w:val="auto"/>
                <w:w w:val="98"/>
              </w:rPr>
              <w:t>Common stock - $0.005 par value; 240,000 shares authorized; 202,661 shares issued and 171,355 outstanding as of</w:t>
            </w:r>
          </w:p>
        </w:tc>
        <w:tc>
          <w:tcPr>
            <w:tcW w:w="4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140" w:type="dxa"/>
            <w:vAlign w:val="bottom"/>
            <w:gridSpan w:val="3"/>
            <w:shd w:val="clear" w:color="auto" w:fill="CCEEFF"/>
          </w:tcPr>
          <w:p>
            <w:pPr>
              <w:ind w:left="160"/>
              <w:spacing w:after="0"/>
              <w:rPr>
                <w:sz w:val="20"/>
                <w:szCs w:val="20"/>
                <w:color w:val="auto"/>
              </w:rPr>
            </w:pPr>
            <w:r>
              <w:rPr>
                <w:rFonts w:ascii="Arial" w:cs="Arial" w:eastAsia="Arial" w:hAnsi="Arial"/>
                <w:sz w:val="16"/>
                <w:szCs w:val="16"/>
                <w:color w:val="auto"/>
              </w:rPr>
              <w:t>September 30, 2012; 198,729 shares issued and 174,277 outstanding as of December 31, 2011</w:t>
            </w: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1,013</w:t>
            </w: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994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40" w:type="dxa"/>
            <w:vAlign w:val="bottom"/>
            <w:gridSpan w:val="3"/>
          </w:tcPr>
          <w:p>
            <w:pPr>
              <w:spacing w:after="0"/>
              <w:rPr>
                <w:sz w:val="20"/>
                <w:szCs w:val="20"/>
                <w:color w:val="auto"/>
              </w:rPr>
            </w:pPr>
            <w:r>
              <w:rPr>
                <w:rFonts w:ascii="Arial" w:cs="Arial" w:eastAsia="Arial" w:hAnsi="Arial"/>
                <w:sz w:val="16"/>
                <w:szCs w:val="16"/>
                <w:color w:val="auto"/>
              </w:rPr>
              <w:t>Additional paid-in capital</w:t>
            </w:r>
          </w:p>
        </w:tc>
        <w:tc>
          <w:tcPr>
            <w:tcW w:w="460" w:type="dxa"/>
            <w:vAlign w:val="bottom"/>
          </w:tcPr>
          <w:p>
            <w:pPr>
              <w:spacing w:after="0"/>
              <w:rPr>
                <w:sz w:val="17"/>
                <w:szCs w:val="17"/>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262,805</w:t>
            </w:r>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229,301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Retained earnings</w:t>
            </w:r>
          </w:p>
        </w:tc>
        <w:tc>
          <w:tcPr>
            <w:tcW w:w="46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1,440,681</w:t>
            </w:r>
          </w:p>
        </w:tc>
        <w:tc>
          <w:tcPr>
            <w:tcW w:w="3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1,168,644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40" w:type="dxa"/>
            <w:vAlign w:val="bottom"/>
            <w:gridSpan w:val="3"/>
          </w:tcPr>
          <w:p>
            <w:pPr>
              <w:spacing w:after="0"/>
              <w:rPr>
                <w:sz w:val="20"/>
                <w:szCs w:val="20"/>
                <w:color w:val="auto"/>
              </w:rPr>
            </w:pPr>
            <w:r>
              <w:rPr>
                <w:rFonts w:ascii="Arial" w:cs="Arial" w:eastAsia="Arial" w:hAnsi="Arial"/>
                <w:sz w:val="16"/>
                <w:szCs w:val="16"/>
                <w:color w:val="auto"/>
              </w:rPr>
              <w:t>Accumulated other comprehensive income (loss)</w:t>
            </w:r>
          </w:p>
        </w:tc>
        <w:tc>
          <w:tcPr>
            <w:tcW w:w="460" w:type="dxa"/>
            <w:vAlign w:val="bottom"/>
          </w:tcPr>
          <w:p>
            <w:pPr>
              <w:spacing w:after="0"/>
              <w:rPr>
                <w:sz w:val="17"/>
                <w:szCs w:val="17"/>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905</w:t>
            </w:r>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(1,547)</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1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Common stock in treasury, at cost; 31,306 and 24,452 shares as of September 30, 2012 and December 31, 2011,</w:t>
            </w:r>
          </w:p>
        </w:tc>
        <w:tc>
          <w:tcPr>
            <w:tcW w:w="4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140" w:type="dxa"/>
            <w:vAlign w:val="bottom"/>
            <w:gridSpan w:val="3"/>
            <w:shd w:val="clear" w:color="auto" w:fill="CCEEFF"/>
          </w:tcPr>
          <w:p>
            <w:pPr>
              <w:ind w:left="160"/>
              <w:spacing w:after="0"/>
              <w:rPr>
                <w:sz w:val="20"/>
                <w:szCs w:val="20"/>
                <w:color w:val="auto"/>
              </w:rPr>
            </w:pPr>
            <w:r>
              <w:rPr>
                <w:rFonts w:ascii="Arial" w:cs="Arial" w:eastAsia="Arial" w:hAnsi="Arial"/>
                <w:sz w:val="16"/>
                <w:szCs w:val="16"/>
                <w:color w:val="auto"/>
              </w:rPr>
              <w:t>respectively</w:t>
            </w:r>
          </w:p>
        </w:tc>
        <w:tc>
          <w:tcPr>
            <w:tcW w:w="4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(815,729)</w:t>
            </w:r>
          </w:p>
        </w:tc>
        <w:tc>
          <w:tcPr>
            <w:tcW w:w="3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(418,234)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140" w:type="dxa"/>
            <w:vAlign w:val="bottom"/>
            <w:tcBorders>
              <w:bottom w:val="single" w:sz="8" w:color="CCEEFF"/>
            </w:tcBorders>
            <w:gridSpan w:val="3"/>
          </w:tcPr>
          <w:p>
            <w:pPr>
              <w:ind w:left="180"/>
              <w:spacing w:after="0"/>
              <w:rPr>
                <w:sz w:val="20"/>
                <w:szCs w:val="20"/>
                <w:color w:val="auto"/>
              </w:rPr>
            </w:pPr>
            <w:r>
              <w:rPr>
                <w:rFonts w:ascii="Arial" w:cs="Arial" w:eastAsia="Arial" w:hAnsi="Arial"/>
                <w:sz w:val="16"/>
                <w:szCs w:val="16"/>
                <w:color w:val="auto"/>
              </w:rPr>
              <w:t>Total stockholders’ equity</w:t>
            </w:r>
          </w:p>
        </w:tc>
        <w:tc>
          <w:tcPr>
            <w:tcW w:w="4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889,675</w:t>
            </w:r>
          </w:p>
        </w:tc>
        <w:tc>
          <w:tcPr>
            <w:tcW w:w="3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979,158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160" w:type="dxa"/>
            <w:vAlign w:val="bottom"/>
            <w:tcBorders>
              <w:bottom w:val="single" w:sz="8" w:color="CCEEFF"/>
            </w:tcBorders>
            <w:shd w:val="clear" w:color="auto" w:fill="CCEEFF"/>
          </w:tcPr>
          <w:p>
            <w:pPr>
              <w:spacing w:after="0"/>
              <w:rPr>
                <w:sz w:val="17"/>
                <w:szCs w:val="17"/>
                <w:color w:val="auto"/>
              </w:rPr>
            </w:pPr>
          </w:p>
        </w:tc>
        <w:tc>
          <w:tcPr>
            <w:tcW w:w="5980" w:type="dxa"/>
            <w:vAlign w:val="bottom"/>
            <w:tcBorders>
              <w:bottom w:val="single" w:sz="8" w:color="CCEEFF"/>
            </w:tcBorders>
            <w:gridSpan w:val="2"/>
            <w:shd w:val="clear" w:color="auto" w:fill="CCEEFF"/>
          </w:tcPr>
          <w:p>
            <w:pPr>
              <w:jc w:val="center"/>
              <w:ind w:right="2440"/>
              <w:spacing w:after="0"/>
              <w:rPr>
                <w:sz w:val="20"/>
                <w:szCs w:val="20"/>
                <w:color w:val="auto"/>
              </w:rPr>
            </w:pPr>
            <w:r>
              <w:rPr>
                <w:rFonts w:ascii="Arial" w:cs="Arial" w:eastAsia="Arial" w:hAnsi="Arial"/>
                <w:sz w:val="16"/>
                <w:szCs w:val="16"/>
                <w:b w:val="1"/>
                <w:bCs w:val="1"/>
                <w:color w:val="auto"/>
                <w:w w:val="92"/>
              </w:rPr>
              <w:t>Total Liabilities and Stockholders’ Equity</w:t>
            </w:r>
          </w:p>
        </w:tc>
        <w:tc>
          <w:tcPr>
            <w:tcW w:w="4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1,318,922</w:t>
            </w:r>
          </w:p>
        </w:tc>
        <w:tc>
          <w:tcPr>
            <w:tcW w:w="30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1,362,399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5260"/>
        <w:spacing w:after="0" w:line="253" w:lineRule="auto"/>
        <w:rPr>
          <w:sz w:val="20"/>
          <w:szCs w:val="20"/>
          <w:color w:val="auto"/>
        </w:rPr>
      </w:pPr>
      <w:r>
        <w:rPr>
          <w:rFonts w:ascii="Arial" w:cs="Arial" w:eastAsia="Arial" w:hAnsi="Arial"/>
          <w:sz w:val="21"/>
          <w:szCs w:val="21"/>
          <w:b w:val="1"/>
          <w:bCs w:val="1"/>
          <w:color w:val="auto"/>
        </w:rPr>
        <w:t>MONSTER BEVERAGE CORPORATION AND SUBSIDIARIES CONDENSED CONSOLIDATED STATEMENTS OF INCOME</w:t>
      </w:r>
    </w:p>
    <w:p>
      <w:pPr>
        <w:spacing w:after="0" w:line="1" w:lineRule="exact"/>
        <w:rPr>
          <w:sz w:val="20"/>
          <w:szCs w:val="20"/>
          <w:color w:val="auto"/>
        </w:rPr>
      </w:pPr>
    </w:p>
    <w:p>
      <w:pPr>
        <w:ind w:right="3420"/>
        <w:spacing w:after="0" w:line="232" w:lineRule="auto"/>
        <w:rPr>
          <w:sz w:val="20"/>
          <w:szCs w:val="20"/>
          <w:color w:val="auto"/>
        </w:rPr>
      </w:pPr>
      <w:r>
        <w:rPr>
          <w:rFonts w:ascii="Arial" w:cs="Arial" w:eastAsia="Arial" w:hAnsi="Arial"/>
          <w:sz w:val="22"/>
          <w:szCs w:val="22"/>
          <w:b w:val="1"/>
          <w:bCs w:val="1"/>
          <w:color w:val="auto"/>
        </w:rPr>
        <w:t>FOR THE THREE- AND NINE-MONTHS ENDED SEPTEMBER 30, 2012 AND 2011 (In Thousands, Except Per Share Amounts) (Unaudited)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0" w:type="dxa"/>
            <w:vAlign w:val="bottom"/>
          </w:tcPr>
          <w:p>
            <w:pPr>
              <w:spacing w:after="0"/>
              <w:rPr>
                <w:sz w:val="18"/>
                <w:szCs w:val="18"/>
                <w:color w:val="auto"/>
              </w:rPr>
            </w:pPr>
          </w:p>
        </w:tc>
        <w:tc>
          <w:tcPr>
            <w:tcW w:w="520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2880" w:type="dxa"/>
            <w:vAlign w:val="bottom"/>
            <w:tcBorders>
              <w:top w:val="single" w:sz="8" w:color="auto"/>
            </w:tcBorders>
            <w:gridSpan w:val="5"/>
          </w:tcPr>
          <w:p>
            <w:pPr>
              <w:ind w:left="320"/>
              <w:spacing w:after="0"/>
              <w:rPr>
                <w:sz w:val="20"/>
                <w:szCs w:val="20"/>
                <w:color w:val="auto"/>
              </w:rPr>
            </w:pPr>
            <w:r>
              <w:rPr>
                <w:rFonts w:ascii="Arial" w:cs="Arial" w:eastAsia="Arial" w:hAnsi="Arial"/>
                <w:sz w:val="18"/>
                <w:szCs w:val="18"/>
                <w:b w:val="1"/>
                <w:bCs w:val="1"/>
                <w:color w:val="auto"/>
              </w:rPr>
              <w:t>Three-Months Ended</w:t>
            </w:r>
          </w:p>
        </w:tc>
        <w:tc>
          <w:tcPr>
            <w:tcW w:w="340" w:type="dxa"/>
            <w:vAlign w:val="bottom"/>
            <w:tcBorders>
              <w:top w:val="single" w:sz="8" w:color="auto"/>
            </w:tcBorders>
          </w:tcPr>
          <w:p>
            <w:pPr>
              <w:spacing w:after="0"/>
              <w:rPr>
                <w:sz w:val="18"/>
                <w:szCs w:val="18"/>
                <w:color w:val="auto"/>
              </w:rPr>
            </w:pPr>
          </w:p>
        </w:tc>
        <w:tc>
          <w:tcPr>
            <w:tcW w:w="2600" w:type="dxa"/>
            <w:vAlign w:val="bottom"/>
            <w:tcBorders>
              <w:top w:val="single" w:sz="8" w:color="auto"/>
            </w:tcBorders>
            <w:gridSpan w:val="4"/>
          </w:tcPr>
          <w:p>
            <w:pPr>
              <w:jc w:val="right"/>
              <w:ind w:right="610"/>
              <w:spacing w:after="0"/>
              <w:rPr>
                <w:sz w:val="20"/>
                <w:szCs w:val="20"/>
                <w:color w:val="auto"/>
              </w:rPr>
            </w:pPr>
            <w:r>
              <w:rPr>
                <w:rFonts w:ascii="Arial" w:cs="Arial" w:eastAsia="Arial" w:hAnsi="Arial"/>
                <w:sz w:val="18"/>
                <w:szCs w:val="18"/>
                <w:b w:val="1"/>
                <w:bCs w:val="1"/>
                <w:color w:val="auto"/>
              </w:rPr>
              <w:t>Nine-Months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2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9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8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2012</w:t>
            </w:r>
          </w:p>
        </w:tc>
        <w:tc>
          <w:tcPr>
            <w:tcW w:w="22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w w:val="94"/>
              </w:rPr>
              <w:t>2011</w:t>
            </w:r>
          </w:p>
        </w:tc>
        <w:tc>
          <w:tcPr>
            <w:tcW w:w="2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2012</w:t>
            </w:r>
          </w:p>
        </w:tc>
        <w:tc>
          <w:tcPr>
            <w:tcW w:w="2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89"/>
              </w:rPr>
              <w:t>2011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541,940</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474,709</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1,589,185</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1,293,273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3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268,348</w:t>
            </w:r>
          </w:p>
        </w:tc>
        <w:tc>
          <w:tcPr>
            <w:tcW w:w="2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224,402</w:t>
            </w:r>
          </w:p>
        </w:tc>
        <w:tc>
          <w:tcPr>
            <w:tcW w:w="2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767,417</w:t>
            </w:r>
          </w:p>
        </w:tc>
        <w:tc>
          <w:tcPr>
            <w:tcW w:w="2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613,208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273,592</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250,307</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821,768</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680,065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3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132,907</w:t>
            </w:r>
          </w:p>
        </w:tc>
        <w:tc>
          <w:tcPr>
            <w:tcW w:w="2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118,217</w:t>
            </w:r>
          </w:p>
        </w:tc>
        <w:tc>
          <w:tcPr>
            <w:tcW w:w="2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385,026</w:t>
            </w:r>
          </w:p>
        </w:tc>
        <w:tc>
          <w:tcPr>
            <w:tcW w:w="2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327,039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140,685</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132,090</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436,742</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353,026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Interest and other income (expense), net</w:t>
            </w:r>
          </w:p>
        </w:tc>
        <w:tc>
          <w:tcPr>
            <w:tcW w:w="38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331</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(63)</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255</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Gain (loss) on investments and put options, net (Note 3)</w:t>
            </w:r>
          </w:p>
        </w:tc>
        <w:tc>
          <w:tcPr>
            <w:tcW w:w="3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222</w:t>
            </w:r>
          </w:p>
        </w:tc>
        <w:tc>
          <w:tcPr>
            <w:tcW w:w="2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(799)</w:t>
            </w:r>
          </w:p>
        </w:tc>
        <w:tc>
          <w:tcPr>
            <w:tcW w:w="2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585</w:t>
            </w:r>
          </w:p>
        </w:tc>
        <w:tc>
          <w:tcPr>
            <w:tcW w:w="2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other income (expense)</w:t>
            </w:r>
          </w:p>
        </w:tc>
        <w:tc>
          <w:tcPr>
            <w:tcW w:w="3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553</w:t>
            </w:r>
          </w:p>
        </w:tc>
        <w:tc>
          <w:tcPr>
            <w:tcW w:w="2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(862)</w:t>
            </w:r>
          </w:p>
        </w:tc>
        <w:tc>
          <w:tcPr>
            <w:tcW w:w="2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840</w:t>
            </w:r>
          </w:p>
        </w:tc>
        <w:tc>
          <w:tcPr>
            <w:tcW w:w="2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INCOME BEFORE PROVISION FOR INCOME TAXES</w:t>
            </w:r>
          </w:p>
        </w:tc>
        <w:tc>
          <w:tcPr>
            <w:tcW w:w="38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141,238</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131,228</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437,582</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352,740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PROVISION FOR INCOME TAXES</w:t>
            </w:r>
          </w:p>
        </w:tc>
        <w:tc>
          <w:tcPr>
            <w:tcW w:w="3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55,096</w:t>
            </w:r>
          </w:p>
        </w:tc>
        <w:tc>
          <w:tcPr>
            <w:tcW w:w="2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48,836</w:t>
            </w:r>
          </w:p>
        </w:tc>
        <w:tc>
          <w:tcPr>
            <w:tcW w:w="2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165,545</w:t>
            </w:r>
          </w:p>
        </w:tc>
        <w:tc>
          <w:tcPr>
            <w:tcW w:w="2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131,057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52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INCOME</w:t>
            </w:r>
          </w:p>
        </w:tc>
        <w:tc>
          <w:tcPr>
            <w:tcW w:w="3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86,142</w:t>
            </w:r>
          </w:p>
        </w:tc>
        <w:tc>
          <w:tcPr>
            <w:tcW w:w="2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82,392</w:t>
            </w:r>
          </w:p>
        </w:tc>
        <w:tc>
          <w:tcPr>
            <w:tcW w:w="2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272,037</w:t>
            </w:r>
          </w:p>
        </w:tc>
        <w:tc>
          <w:tcPr>
            <w:tcW w:w="2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221,683</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NET INCOME PER COMMON SHARE:</w:t>
            </w:r>
          </w:p>
        </w:tc>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3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0.49</w:t>
            </w:r>
          </w:p>
        </w:tc>
        <w:tc>
          <w:tcPr>
            <w:tcW w:w="22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0.47</w:t>
            </w:r>
          </w:p>
        </w:tc>
        <w:tc>
          <w:tcPr>
            <w:tcW w:w="2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1.55</w:t>
            </w:r>
          </w:p>
        </w:tc>
        <w:tc>
          <w:tcPr>
            <w:tcW w:w="2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vMerge w:val="restart"/>
          </w:tcPr>
          <w:p>
            <w:pPr>
              <w:ind w:left="340"/>
              <w:spacing w:after="0"/>
              <w:rPr>
                <w:sz w:val="20"/>
                <w:szCs w:val="20"/>
                <w:color w:val="auto"/>
              </w:rPr>
            </w:pPr>
            <w:r>
              <w:rPr>
                <w:rFonts w:ascii="Arial" w:cs="Arial" w:eastAsia="Arial" w:hAnsi="Arial"/>
                <w:sz w:val="18"/>
                <w:szCs w:val="18"/>
                <w:color w:val="auto"/>
              </w:rPr>
              <w:t>Diluted</w:t>
            </w: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200" w:type="dxa"/>
            <w:vAlign w:val="bottom"/>
            <w:tcBorders>
              <w:bottom w:val="single" w:sz="8" w:color="CCEEFF"/>
            </w:tcBorders>
            <w:vMerge w:val="continue"/>
          </w:tcPr>
          <w:p>
            <w:pPr>
              <w:spacing w:after="0"/>
              <w:rPr>
                <w:sz w:val="20"/>
                <w:szCs w:val="20"/>
                <w:color w:val="auto"/>
              </w:rPr>
            </w:pPr>
          </w:p>
        </w:tc>
        <w:tc>
          <w:tcPr>
            <w:tcW w:w="38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0.47</w:t>
            </w:r>
          </w:p>
        </w:tc>
        <w:tc>
          <w:tcPr>
            <w:tcW w:w="220" w:type="dxa"/>
            <w:vAlign w:val="bottom"/>
            <w:tcBorders>
              <w:bottom w:val="single" w:sz="8" w:color="CCEEFF"/>
            </w:tcBorders>
          </w:tcPr>
          <w:p>
            <w:pPr>
              <w:spacing w:after="0"/>
              <w:rPr>
                <w:sz w:val="20"/>
                <w:szCs w:val="20"/>
                <w:color w:val="auto"/>
              </w:rPr>
            </w:pPr>
          </w:p>
        </w:tc>
        <w:tc>
          <w:tcPr>
            <w:tcW w:w="460" w:type="dxa"/>
            <w:vAlign w:val="bottom"/>
            <w:tcBorders>
              <w:bottom w:val="single" w:sz="8" w:color="auto"/>
            </w:tcBorders>
          </w:tcPr>
          <w:p>
            <w:pPr>
              <w:jc w:val="right"/>
              <w:ind w:right="190"/>
              <w:spacing w:after="0" w:line="196" w:lineRule="exact"/>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0.44</w:t>
            </w:r>
          </w:p>
        </w:tc>
        <w:tc>
          <w:tcPr>
            <w:tcW w:w="2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1.47</w:t>
            </w:r>
          </w:p>
        </w:tc>
        <w:tc>
          <w:tcPr>
            <w:tcW w:w="20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jc w:val="right"/>
              <w:ind w:right="210"/>
              <w:spacing w:after="0" w:line="196" w:lineRule="exact"/>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200" w:type="dxa"/>
            <w:vAlign w:val="bottom"/>
          </w:tcPr>
          <w:p>
            <w:pPr>
              <w:spacing w:after="0" w:line="201" w:lineRule="exact"/>
              <w:rPr>
                <w:sz w:val="20"/>
                <w:szCs w:val="20"/>
                <w:color w:val="auto"/>
              </w:rPr>
            </w:pPr>
            <w:r>
              <w:rPr>
                <w:rFonts w:ascii="Arial" w:cs="Arial" w:eastAsia="Arial" w:hAnsi="Arial"/>
                <w:sz w:val="18"/>
                <w:szCs w:val="18"/>
                <w:color w:val="auto"/>
              </w:rPr>
              <w:t>WEIGHTED AVERAGE NUMBER OF SHARES OF COMMON</w:t>
            </w:r>
          </w:p>
        </w:tc>
        <w:tc>
          <w:tcPr>
            <w:tcW w:w="3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00" w:type="dxa"/>
            <w:vAlign w:val="bottom"/>
          </w:tcPr>
          <w:p>
            <w:pPr>
              <w:ind w:left="160"/>
              <w:spacing w:after="0"/>
              <w:rPr>
                <w:sz w:val="20"/>
                <w:szCs w:val="20"/>
                <w:color w:val="auto"/>
              </w:rPr>
            </w:pPr>
            <w:r>
              <w:rPr>
                <w:rFonts w:ascii="Arial" w:cs="Arial" w:eastAsia="Arial" w:hAnsi="Arial"/>
                <w:sz w:val="18"/>
                <w:szCs w:val="18"/>
                <w:color w:val="auto"/>
              </w:rPr>
              <w:t>STOCK AND COMMON STOCK EQUIVALENTS:</w:t>
            </w:r>
          </w:p>
        </w:tc>
        <w:tc>
          <w:tcPr>
            <w:tcW w:w="3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3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175,026</w:t>
            </w:r>
          </w:p>
        </w:tc>
        <w:tc>
          <w:tcPr>
            <w:tcW w:w="22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175,952</w:t>
            </w:r>
          </w:p>
        </w:tc>
        <w:tc>
          <w:tcPr>
            <w:tcW w:w="2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175,347</w:t>
            </w:r>
          </w:p>
        </w:tc>
        <w:tc>
          <w:tcPr>
            <w:tcW w:w="2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176,916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vMerge w:val="restart"/>
          </w:tcPr>
          <w:p>
            <w:pPr>
              <w:ind w:left="340"/>
              <w:spacing w:after="0"/>
              <w:rPr>
                <w:sz w:val="20"/>
                <w:szCs w:val="20"/>
                <w:color w:val="auto"/>
              </w:rPr>
            </w:pPr>
            <w:r>
              <w:rPr>
                <w:rFonts w:ascii="Arial" w:cs="Arial" w:eastAsia="Arial" w:hAnsi="Arial"/>
                <w:sz w:val="18"/>
                <w:szCs w:val="18"/>
                <w:color w:val="auto"/>
              </w:rPr>
              <w:t>Diluted</w:t>
            </w: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200" w:type="dxa"/>
            <w:vAlign w:val="bottom"/>
            <w:vMerge w:val="continue"/>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183,899</w:t>
            </w:r>
          </w:p>
        </w:tc>
        <w:tc>
          <w:tcPr>
            <w:tcW w:w="22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186,640</w:t>
            </w:r>
          </w:p>
        </w:tc>
        <w:tc>
          <w:tcPr>
            <w:tcW w:w="2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185,365</w:t>
            </w:r>
          </w:p>
        </w:tc>
        <w:tc>
          <w:tcPr>
            <w:tcW w:w="20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187,164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6" w:right="239" w:bottom="0" w:gutter="0" w:footer="0" w:header="0"/>
        </w:sect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condensed consolidated financial statements.</w:t>
      </w:r>
    </w:p>
    <w:p>
      <w:pPr>
        <w:sectPr>
          <w:pgSz w:w="11900" w:h="16838" w:orient="portrait"/>
          <w:cols w:equalWidth="0" w:num="1">
            <w:col w:w="11420"/>
          </w:cols>
          <w:pgMar w:left="240" w:top="126" w:right="239" w:bottom="0" w:gutter="0" w:footer="0" w:header="0"/>
          <w:type w:val="continuous"/>
        </w:sectPr>
      </w:pPr>
    </w:p>
    <w:bookmarkStart w:id="3" w:name="page4"/>
    <w:bookmarkEnd w:id="3"/>
    <w:p>
      <w:pPr>
        <w:spacing w:after="0" w:line="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MONSTER BEVERAGE CORPORATION AND SUBSIDIARIES</w:t>
      </w:r>
    </w:p>
    <w:p>
      <w:pPr>
        <w:spacing w:after="0" w:line="14" w:lineRule="exact"/>
        <w:rPr>
          <w:sz w:val="20"/>
          <w:szCs w:val="20"/>
          <w:color w:val="auto"/>
        </w:rPr>
      </w:pPr>
    </w:p>
    <w:p>
      <w:pPr>
        <w:jc w:val="both"/>
        <w:ind w:right="3420"/>
        <w:spacing w:after="0" w:line="234" w:lineRule="auto"/>
        <w:rPr>
          <w:sz w:val="20"/>
          <w:szCs w:val="20"/>
          <w:color w:val="auto"/>
        </w:rPr>
      </w:pPr>
      <w:r>
        <w:rPr>
          <w:rFonts w:ascii="Arial" w:cs="Arial" w:eastAsia="Arial" w:hAnsi="Arial"/>
          <w:sz w:val="22"/>
          <w:szCs w:val="22"/>
          <w:b w:val="1"/>
          <w:bCs w:val="1"/>
          <w:color w:val="auto"/>
        </w:rPr>
        <w:t>CONDENSED CONSOLIDATED STATEMENTS OF COMPREHENSIVE INCOME FOR THE THREE- AND NINE-MONTHS ENDED SEPTEMBER 30, 2012 AND 2011 (In Thousands)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40" w:type="dxa"/>
            <w:vAlign w:val="bottom"/>
            <w:gridSpan w:val="5"/>
          </w:tcPr>
          <w:p>
            <w:pPr>
              <w:ind w:left="340"/>
              <w:spacing w:after="0"/>
              <w:rPr>
                <w:sz w:val="20"/>
                <w:szCs w:val="20"/>
                <w:color w:val="auto"/>
              </w:rPr>
            </w:pPr>
            <w:r>
              <w:rPr>
                <w:rFonts w:ascii="Arial" w:cs="Arial" w:eastAsia="Arial" w:hAnsi="Arial"/>
                <w:sz w:val="20"/>
                <w:szCs w:val="20"/>
                <w:color w:val="auto"/>
              </w:rPr>
              <w:t>Three-Months Ended</w:t>
            </w:r>
          </w:p>
        </w:tc>
        <w:tc>
          <w:tcPr>
            <w:tcW w:w="360" w:type="dxa"/>
            <w:vAlign w:val="bottom"/>
          </w:tcPr>
          <w:p>
            <w:pPr>
              <w:spacing w:after="0"/>
              <w:rPr>
                <w:sz w:val="19"/>
                <w:szCs w:val="19"/>
                <w:color w:val="auto"/>
              </w:rPr>
            </w:pPr>
          </w:p>
        </w:tc>
        <w:tc>
          <w:tcPr>
            <w:tcW w:w="2760" w:type="dxa"/>
            <w:vAlign w:val="bottom"/>
            <w:gridSpan w:val="4"/>
          </w:tcPr>
          <w:p>
            <w:pPr>
              <w:jc w:val="right"/>
              <w:ind w:right="721"/>
              <w:spacing w:after="0"/>
              <w:rPr>
                <w:sz w:val="20"/>
                <w:szCs w:val="20"/>
                <w:color w:val="auto"/>
              </w:rPr>
            </w:pPr>
            <w:r>
              <w:rPr>
                <w:rFonts w:ascii="Arial" w:cs="Arial" w:eastAsia="Arial" w:hAnsi="Arial"/>
                <w:sz w:val="20"/>
                <w:szCs w:val="20"/>
                <w:color w:val="auto"/>
              </w:rPr>
              <w:t>Nine-Months Ended</w:t>
            </w:r>
          </w:p>
        </w:tc>
      </w:tr>
      <w:tr>
        <w:trPr>
          <w:trHeight w:val="246"/>
        </w:trPr>
        <w:tc>
          <w:tcPr>
            <w:tcW w:w="49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gridSpan w:val="3"/>
          </w:tcPr>
          <w:p>
            <w:pPr>
              <w:jc w:val="right"/>
              <w:spacing w:after="0"/>
              <w:rPr>
                <w:sz w:val="20"/>
                <w:szCs w:val="20"/>
                <w:color w:val="auto"/>
              </w:rPr>
            </w:pPr>
            <w:r>
              <w:rPr>
                <w:rFonts w:ascii="Arial" w:cs="Arial" w:eastAsia="Arial" w:hAnsi="Arial"/>
                <w:sz w:val="20"/>
                <w:szCs w:val="20"/>
                <w:color w:val="auto"/>
              </w:rPr>
              <w:t>September 30,</w:t>
            </w:r>
          </w:p>
        </w:tc>
        <w:tc>
          <w:tcPr>
            <w:tcW w:w="1060" w:type="dxa"/>
            <w:vAlign w:val="bottom"/>
            <w:tcBorders>
              <w:bottom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20"/>
                <w:szCs w:val="20"/>
                <w:color w:val="auto"/>
              </w:rPr>
              <w:t>September 30,</w:t>
            </w:r>
          </w:p>
        </w:tc>
        <w:tc>
          <w:tcPr>
            <w:tcW w:w="1020" w:type="dxa"/>
            <w:vAlign w:val="bottom"/>
            <w:tcBorders>
              <w:bottom w:val="single" w:sz="8" w:color="auto"/>
            </w:tcBorders>
          </w:tcPr>
          <w:p>
            <w:pPr>
              <w:spacing w:after="0"/>
              <w:rPr>
                <w:sz w:val="21"/>
                <w:szCs w:val="21"/>
                <w:color w:val="auto"/>
              </w:rPr>
            </w:pPr>
          </w:p>
        </w:tc>
      </w:tr>
      <w:tr>
        <w:trPr>
          <w:trHeight w:val="223"/>
        </w:trPr>
        <w:tc>
          <w:tcPr>
            <w:tcW w:w="49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41"/>
              <w:spacing w:after="0" w:line="223" w:lineRule="exact"/>
              <w:rPr>
                <w:sz w:val="20"/>
                <w:szCs w:val="20"/>
                <w:color w:val="auto"/>
              </w:rPr>
            </w:pPr>
            <w:r>
              <w:rPr>
                <w:rFonts w:ascii="Arial" w:cs="Arial" w:eastAsia="Arial" w:hAnsi="Arial"/>
                <w:sz w:val="20"/>
                <w:szCs w:val="20"/>
                <w:color w:val="auto"/>
              </w:rPr>
              <w:t>2012</w:t>
            </w:r>
          </w:p>
        </w:tc>
        <w:tc>
          <w:tcPr>
            <w:tcW w:w="1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41"/>
              <w:spacing w:after="0" w:line="223" w:lineRule="exact"/>
              <w:rPr>
                <w:sz w:val="20"/>
                <w:szCs w:val="20"/>
                <w:color w:val="auto"/>
              </w:rPr>
            </w:pPr>
            <w:r>
              <w:rPr>
                <w:rFonts w:ascii="Arial" w:cs="Arial" w:eastAsia="Arial" w:hAnsi="Arial"/>
                <w:sz w:val="20"/>
                <w:szCs w:val="20"/>
                <w:color w:val="auto"/>
                <w:w w:val="89"/>
              </w:rPr>
              <w:t>2011</w:t>
            </w:r>
          </w:p>
        </w:tc>
        <w:tc>
          <w:tcPr>
            <w:tcW w:w="1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21"/>
              <w:spacing w:after="0" w:line="223" w:lineRule="exact"/>
              <w:rPr>
                <w:sz w:val="20"/>
                <w:szCs w:val="20"/>
                <w:color w:val="auto"/>
              </w:rPr>
            </w:pPr>
            <w:r>
              <w:rPr>
                <w:rFonts w:ascii="Arial" w:cs="Arial" w:eastAsia="Arial" w:hAnsi="Arial"/>
                <w:sz w:val="20"/>
                <w:szCs w:val="20"/>
                <w:color w:val="auto"/>
              </w:rPr>
              <w:t>2012</w:t>
            </w:r>
          </w:p>
        </w:tc>
        <w:tc>
          <w:tcPr>
            <w:tcW w:w="16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01"/>
              <w:spacing w:after="0" w:line="223" w:lineRule="exact"/>
              <w:rPr>
                <w:sz w:val="20"/>
                <w:szCs w:val="20"/>
                <w:color w:val="auto"/>
              </w:rPr>
            </w:pPr>
            <w:r>
              <w:rPr>
                <w:rFonts w:ascii="Arial" w:cs="Arial" w:eastAsia="Arial" w:hAnsi="Arial"/>
                <w:sz w:val="20"/>
                <w:szCs w:val="20"/>
                <w:color w:val="auto"/>
                <w:w w:val="89"/>
              </w:rPr>
              <w:t>2011</w:t>
            </w:r>
          </w:p>
        </w:tc>
      </w:tr>
      <w:tr>
        <w:trPr>
          <w:trHeight w:val="223"/>
        </w:trPr>
        <w:tc>
          <w:tcPr>
            <w:tcW w:w="4900" w:type="dxa"/>
            <w:vAlign w:val="bottom"/>
            <w:shd w:val="clear" w:color="auto" w:fill="CCEEFF"/>
          </w:tcPr>
          <w:p>
            <w:pPr>
              <w:spacing w:after="0" w:line="223" w:lineRule="exact"/>
              <w:rPr>
                <w:sz w:val="20"/>
                <w:szCs w:val="20"/>
                <w:color w:val="auto"/>
              </w:rPr>
            </w:pPr>
            <w:r>
              <w:rPr>
                <w:rFonts w:ascii="Arial" w:cs="Arial" w:eastAsia="Arial" w:hAnsi="Arial"/>
                <w:sz w:val="20"/>
                <w:szCs w:val="20"/>
                <w:color w:val="auto"/>
              </w:rPr>
              <w:t>Net income, as reported</w:t>
            </w:r>
          </w:p>
        </w:tc>
        <w:tc>
          <w:tcPr>
            <w:tcW w:w="360" w:type="dxa"/>
            <w:vAlign w:val="bottom"/>
            <w:shd w:val="clear" w:color="auto" w:fill="CCEEFF"/>
          </w:tcPr>
          <w:p>
            <w:pPr>
              <w:jc w:val="right"/>
              <w:ind w:right="21"/>
              <w:spacing w:after="0" w:line="223" w:lineRule="exact"/>
              <w:rPr>
                <w:sz w:val="20"/>
                <w:szCs w:val="20"/>
                <w:color w:val="auto"/>
              </w:rPr>
            </w:pPr>
            <w:r>
              <w:rPr>
                <w:rFonts w:ascii="Arial" w:cs="Arial" w:eastAsia="Arial" w:hAnsi="Arial"/>
                <w:sz w:val="20"/>
                <w:szCs w:val="20"/>
                <w:color w:val="auto"/>
              </w:rPr>
              <w:t>$</w:t>
            </w:r>
          </w:p>
        </w:tc>
        <w:tc>
          <w:tcPr>
            <w:tcW w:w="1160" w:type="dxa"/>
            <w:vAlign w:val="bottom"/>
            <w:shd w:val="clear" w:color="auto" w:fill="CCEEFF"/>
          </w:tcPr>
          <w:p>
            <w:pPr>
              <w:jc w:val="right"/>
              <w:ind w:right="41"/>
              <w:spacing w:after="0" w:line="223" w:lineRule="exact"/>
              <w:rPr>
                <w:sz w:val="20"/>
                <w:szCs w:val="20"/>
                <w:color w:val="auto"/>
              </w:rPr>
            </w:pPr>
            <w:r>
              <w:rPr>
                <w:rFonts w:ascii="Arial" w:cs="Arial" w:eastAsia="Arial" w:hAnsi="Arial"/>
                <w:sz w:val="20"/>
                <w:szCs w:val="20"/>
                <w:color w:val="auto"/>
              </w:rPr>
              <w:t>86,142</w:t>
            </w:r>
          </w:p>
        </w:tc>
        <w:tc>
          <w:tcPr>
            <w:tcW w:w="18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121"/>
              <w:spacing w:after="0" w:line="223" w:lineRule="exact"/>
              <w:rPr>
                <w:sz w:val="20"/>
                <w:szCs w:val="20"/>
                <w:color w:val="auto"/>
              </w:rPr>
            </w:pPr>
            <w:r>
              <w:rPr>
                <w:rFonts w:ascii="Arial" w:cs="Arial" w:eastAsia="Arial" w:hAnsi="Arial"/>
                <w:sz w:val="20"/>
                <w:szCs w:val="20"/>
                <w:color w:val="auto"/>
              </w:rPr>
              <w:t>$</w:t>
            </w:r>
          </w:p>
        </w:tc>
        <w:tc>
          <w:tcPr>
            <w:tcW w:w="1060" w:type="dxa"/>
            <w:vAlign w:val="bottom"/>
            <w:shd w:val="clear" w:color="auto" w:fill="CCEEFF"/>
          </w:tcPr>
          <w:p>
            <w:pPr>
              <w:jc w:val="right"/>
              <w:ind w:right="41"/>
              <w:spacing w:after="0" w:line="223" w:lineRule="exact"/>
              <w:rPr>
                <w:sz w:val="20"/>
                <w:szCs w:val="20"/>
                <w:color w:val="auto"/>
              </w:rPr>
            </w:pPr>
            <w:r>
              <w:rPr>
                <w:rFonts w:ascii="Arial" w:cs="Arial" w:eastAsia="Arial" w:hAnsi="Arial"/>
                <w:sz w:val="20"/>
                <w:szCs w:val="20"/>
                <w:color w:val="auto"/>
              </w:rPr>
              <w:t>82,392</w:t>
            </w: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21"/>
              <w:spacing w:after="0" w:line="223" w:lineRule="exact"/>
              <w:rPr>
                <w:sz w:val="20"/>
                <w:szCs w:val="20"/>
                <w:color w:val="auto"/>
              </w:rPr>
            </w:pPr>
            <w:r>
              <w:rPr>
                <w:rFonts w:ascii="Arial" w:cs="Arial" w:eastAsia="Arial" w:hAnsi="Arial"/>
                <w:sz w:val="20"/>
                <w:szCs w:val="20"/>
                <w:color w:val="auto"/>
              </w:rPr>
              <w:t>$</w:t>
            </w:r>
          </w:p>
        </w:tc>
        <w:tc>
          <w:tcPr>
            <w:tcW w:w="1140" w:type="dxa"/>
            <w:vAlign w:val="bottom"/>
            <w:shd w:val="clear" w:color="auto" w:fill="CCEEFF"/>
          </w:tcPr>
          <w:p>
            <w:pPr>
              <w:jc w:val="right"/>
              <w:ind w:right="41"/>
              <w:spacing w:after="0" w:line="223" w:lineRule="exact"/>
              <w:rPr>
                <w:sz w:val="20"/>
                <w:szCs w:val="20"/>
                <w:color w:val="auto"/>
              </w:rPr>
            </w:pPr>
            <w:r>
              <w:rPr>
                <w:rFonts w:ascii="Arial" w:cs="Arial" w:eastAsia="Arial" w:hAnsi="Arial"/>
                <w:sz w:val="20"/>
                <w:szCs w:val="20"/>
                <w:color w:val="auto"/>
              </w:rPr>
              <w:t>272,037</w:t>
            </w: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101"/>
              <w:spacing w:after="0" w:line="223" w:lineRule="exact"/>
              <w:rPr>
                <w:sz w:val="20"/>
                <w:szCs w:val="20"/>
                <w:color w:val="auto"/>
              </w:rPr>
            </w:pPr>
            <w:r>
              <w:rPr>
                <w:rFonts w:ascii="Arial" w:cs="Arial" w:eastAsia="Arial" w:hAnsi="Arial"/>
                <w:sz w:val="20"/>
                <w:szCs w:val="20"/>
                <w:color w:val="auto"/>
              </w:rPr>
              <w:t>$</w:t>
            </w:r>
          </w:p>
        </w:tc>
        <w:tc>
          <w:tcPr>
            <w:tcW w:w="1020" w:type="dxa"/>
            <w:vAlign w:val="bottom"/>
            <w:shd w:val="clear" w:color="auto" w:fill="CCEEFF"/>
          </w:tcPr>
          <w:p>
            <w:pPr>
              <w:jc w:val="right"/>
              <w:ind w:right="21"/>
              <w:spacing w:after="0" w:line="223" w:lineRule="exact"/>
              <w:rPr>
                <w:sz w:val="20"/>
                <w:szCs w:val="20"/>
                <w:color w:val="auto"/>
              </w:rPr>
            </w:pPr>
            <w:r>
              <w:rPr>
                <w:rFonts w:ascii="Arial" w:cs="Arial" w:eastAsia="Arial" w:hAnsi="Arial"/>
                <w:sz w:val="20"/>
                <w:szCs w:val="20"/>
                <w:color w:val="auto"/>
              </w:rPr>
              <w:t>221,683</w:t>
            </w:r>
          </w:p>
        </w:tc>
      </w:tr>
      <w:tr>
        <w:trPr>
          <w:trHeight w:val="230"/>
        </w:trPr>
        <w:tc>
          <w:tcPr>
            <w:tcW w:w="4900" w:type="dxa"/>
            <w:vAlign w:val="bottom"/>
          </w:tcPr>
          <w:p>
            <w:pPr>
              <w:spacing w:after="0"/>
              <w:rPr>
                <w:sz w:val="20"/>
                <w:szCs w:val="20"/>
                <w:color w:val="auto"/>
              </w:rPr>
            </w:pPr>
            <w:r>
              <w:rPr>
                <w:rFonts w:ascii="Arial" w:cs="Arial" w:eastAsia="Arial" w:hAnsi="Arial"/>
                <w:sz w:val="20"/>
                <w:szCs w:val="20"/>
                <w:color w:val="auto"/>
              </w:rPr>
              <w:t>Other comprehensive income:</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13"/>
        </w:trPr>
        <w:tc>
          <w:tcPr>
            <w:tcW w:w="4900" w:type="dxa"/>
            <w:vAlign w:val="bottom"/>
            <w:shd w:val="clear" w:color="auto" w:fill="CCEEFF"/>
          </w:tcPr>
          <w:p>
            <w:pPr>
              <w:ind w:left="180"/>
              <w:spacing w:after="0" w:line="213" w:lineRule="exact"/>
              <w:rPr>
                <w:sz w:val="20"/>
                <w:szCs w:val="20"/>
                <w:color w:val="auto"/>
              </w:rPr>
            </w:pPr>
            <w:r>
              <w:rPr>
                <w:rFonts w:ascii="Arial" w:cs="Arial" w:eastAsia="Arial" w:hAnsi="Arial"/>
                <w:sz w:val="20"/>
                <w:szCs w:val="20"/>
                <w:color w:val="auto"/>
              </w:rPr>
              <w:t>Change in unrealized gain on available-for-sale</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46"/>
        </w:trPr>
        <w:tc>
          <w:tcPr>
            <w:tcW w:w="4900" w:type="dxa"/>
            <w:vAlign w:val="bottom"/>
            <w:shd w:val="clear" w:color="auto" w:fill="CCEEFF"/>
          </w:tcPr>
          <w:p>
            <w:pPr>
              <w:ind w:left="360"/>
              <w:spacing w:after="0"/>
              <w:rPr>
                <w:sz w:val="20"/>
                <w:szCs w:val="20"/>
                <w:color w:val="auto"/>
              </w:rPr>
            </w:pPr>
            <w:r>
              <w:rPr>
                <w:rFonts w:ascii="Arial" w:cs="Arial" w:eastAsia="Arial" w:hAnsi="Arial"/>
                <w:sz w:val="20"/>
                <w:szCs w:val="20"/>
                <w:color w:val="auto"/>
              </w:rPr>
              <w:t>securities, net of tax</w:t>
            </w:r>
          </w:p>
        </w:tc>
        <w:tc>
          <w:tcPr>
            <w:tcW w:w="36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41"/>
              <w:spacing w:after="0"/>
              <w:rPr>
                <w:sz w:val="20"/>
                <w:szCs w:val="20"/>
                <w:color w:val="auto"/>
              </w:rPr>
            </w:pPr>
            <w:r>
              <w:rPr>
                <w:rFonts w:ascii="Arial" w:cs="Arial" w:eastAsia="Arial" w:hAnsi="Arial"/>
                <w:sz w:val="20"/>
                <w:szCs w:val="20"/>
                <w:color w:val="auto"/>
              </w:rPr>
              <w:t>-</w:t>
            </w:r>
          </w:p>
        </w:tc>
        <w:tc>
          <w:tcPr>
            <w:tcW w:w="18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41"/>
              <w:spacing w:after="0"/>
              <w:rPr>
                <w:sz w:val="20"/>
                <w:szCs w:val="20"/>
                <w:color w:val="auto"/>
              </w:rPr>
            </w:pPr>
            <w:r>
              <w:rPr>
                <w:rFonts w:ascii="Arial" w:cs="Arial" w:eastAsia="Arial" w:hAnsi="Arial"/>
                <w:sz w:val="20"/>
                <w:szCs w:val="20"/>
                <w:color w:val="auto"/>
              </w:rPr>
              <w:t>-</w:t>
            </w:r>
          </w:p>
        </w:tc>
        <w:tc>
          <w:tcPr>
            <w:tcW w:w="1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41"/>
              <w:spacing w:after="0"/>
              <w:rPr>
                <w:sz w:val="20"/>
                <w:szCs w:val="20"/>
                <w:color w:val="auto"/>
              </w:rPr>
            </w:pPr>
            <w:r>
              <w:rPr>
                <w:rFonts w:ascii="Arial" w:cs="Arial" w:eastAsia="Arial" w:hAnsi="Arial"/>
                <w:sz w:val="20"/>
                <w:szCs w:val="20"/>
                <w:color w:val="auto"/>
              </w:rPr>
              <w:t>-</w:t>
            </w:r>
          </w:p>
        </w:tc>
        <w:tc>
          <w:tcPr>
            <w:tcW w:w="16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1,478</w:t>
            </w:r>
          </w:p>
        </w:tc>
      </w:tr>
      <w:tr>
        <w:trPr>
          <w:trHeight w:val="230"/>
        </w:trPr>
        <w:tc>
          <w:tcPr>
            <w:tcW w:w="4900" w:type="dxa"/>
            <w:vAlign w:val="bottom"/>
            <w:tcBorders>
              <w:bottom w:val="single" w:sz="8" w:color="CCEEFF"/>
            </w:tcBorders>
          </w:tcPr>
          <w:p>
            <w:pPr>
              <w:ind w:left="180"/>
              <w:spacing w:after="0"/>
              <w:rPr>
                <w:sz w:val="20"/>
                <w:szCs w:val="20"/>
                <w:color w:val="auto"/>
              </w:rPr>
            </w:pPr>
            <w:r>
              <w:rPr>
                <w:rFonts w:ascii="Arial" w:cs="Arial" w:eastAsia="Arial" w:hAnsi="Arial"/>
                <w:sz w:val="20"/>
                <w:szCs w:val="20"/>
                <w:color w:val="auto"/>
              </w:rPr>
              <w:t>Foreign currency translation adjustments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2,725</w:t>
            </w:r>
          </w:p>
        </w:tc>
        <w:tc>
          <w:tcPr>
            <w:tcW w:w="1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(3,509)</w:t>
            </w:r>
          </w:p>
        </w:tc>
        <w:tc>
          <w:tcPr>
            <w:tcW w:w="1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2,452</w:t>
            </w:r>
          </w:p>
        </w:tc>
        <w:tc>
          <w:tcPr>
            <w:tcW w:w="16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(3,263)</w:t>
            </w:r>
          </w:p>
        </w:tc>
      </w:tr>
      <w:tr>
        <w:trPr>
          <w:trHeight w:val="223"/>
        </w:trPr>
        <w:tc>
          <w:tcPr>
            <w:tcW w:w="4900" w:type="dxa"/>
            <w:vAlign w:val="bottom"/>
            <w:tcBorders>
              <w:bottom w:val="single" w:sz="8" w:color="CCEEFF"/>
            </w:tcBorders>
            <w:shd w:val="clear" w:color="auto" w:fill="CCEEFF"/>
          </w:tcPr>
          <w:p>
            <w:pPr>
              <w:spacing w:after="0" w:line="223" w:lineRule="exact"/>
              <w:rPr>
                <w:sz w:val="20"/>
                <w:szCs w:val="20"/>
                <w:color w:val="auto"/>
              </w:rPr>
            </w:pPr>
            <w:r>
              <w:rPr>
                <w:rFonts w:ascii="Arial" w:cs="Arial" w:eastAsia="Arial" w:hAnsi="Arial"/>
                <w:sz w:val="20"/>
                <w:szCs w:val="20"/>
                <w:color w:val="auto"/>
              </w:rPr>
              <w:t>Comprehensive income</w:t>
            </w:r>
          </w:p>
        </w:tc>
        <w:tc>
          <w:tcPr>
            <w:tcW w:w="360" w:type="dxa"/>
            <w:vAlign w:val="bottom"/>
            <w:tcBorders>
              <w:bottom w:val="single" w:sz="8" w:color="auto"/>
            </w:tcBorders>
            <w:shd w:val="clear" w:color="auto" w:fill="CCEEFF"/>
          </w:tcPr>
          <w:p>
            <w:pPr>
              <w:jc w:val="right"/>
              <w:ind w:right="21"/>
              <w:spacing w:after="0" w:line="223" w:lineRule="exact"/>
              <w:rPr>
                <w:sz w:val="20"/>
                <w:szCs w:val="20"/>
                <w:color w:val="auto"/>
              </w:rPr>
            </w:pPr>
            <w:r>
              <w:rPr>
                <w:rFonts w:ascii="Arial" w:cs="Arial" w:eastAsia="Arial" w:hAnsi="Arial"/>
                <w:sz w:val="20"/>
                <w:szCs w:val="20"/>
                <w:color w:val="auto"/>
              </w:rPr>
              <w:t>$</w:t>
            </w:r>
          </w:p>
        </w:tc>
        <w:tc>
          <w:tcPr>
            <w:tcW w:w="1160" w:type="dxa"/>
            <w:vAlign w:val="bottom"/>
            <w:tcBorders>
              <w:bottom w:val="single" w:sz="8" w:color="auto"/>
            </w:tcBorders>
            <w:shd w:val="clear" w:color="auto" w:fill="CCEEFF"/>
          </w:tcPr>
          <w:p>
            <w:pPr>
              <w:jc w:val="right"/>
              <w:ind w:right="41"/>
              <w:spacing w:after="0" w:line="223" w:lineRule="exact"/>
              <w:rPr>
                <w:sz w:val="20"/>
                <w:szCs w:val="20"/>
                <w:color w:val="auto"/>
              </w:rPr>
            </w:pPr>
            <w:r>
              <w:rPr>
                <w:rFonts w:ascii="Arial" w:cs="Arial" w:eastAsia="Arial" w:hAnsi="Arial"/>
                <w:sz w:val="20"/>
                <w:szCs w:val="20"/>
                <w:color w:val="auto"/>
              </w:rPr>
              <w:t>88,867</w:t>
            </w:r>
          </w:p>
        </w:tc>
        <w:tc>
          <w:tcPr>
            <w:tcW w:w="18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121"/>
              <w:spacing w:after="0" w:line="223" w:lineRule="exact"/>
              <w:rPr>
                <w:sz w:val="20"/>
                <w:szCs w:val="20"/>
                <w:color w:val="auto"/>
              </w:rPr>
            </w:pPr>
            <w:r>
              <w:rPr>
                <w:rFonts w:ascii="Arial" w:cs="Arial" w:eastAsia="Arial" w:hAnsi="Arial"/>
                <w:sz w:val="20"/>
                <w:szCs w:val="20"/>
                <w:color w:val="auto"/>
              </w:rPr>
              <w:t>$</w:t>
            </w:r>
          </w:p>
        </w:tc>
        <w:tc>
          <w:tcPr>
            <w:tcW w:w="1060" w:type="dxa"/>
            <w:vAlign w:val="bottom"/>
            <w:tcBorders>
              <w:bottom w:val="single" w:sz="8" w:color="auto"/>
            </w:tcBorders>
            <w:shd w:val="clear" w:color="auto" w:fill="CCEEFF"/>
          </w:tcPr>
          <w:p>
            <w:pPr>
              <w:jc w:val="right"/>
              <w:ind w:right="41"/>
              <w:spacing w:after="0" w:line="223" w:lineRule="exact"/>
              <w:rPr>
                <w:sz w:val="20"/>
                <w:szCs w:val="20"/>
                <w:color w:val="auto"/>
              </w:rPr>
            </w:pPr>
            <w:r>
              <w:rPr>
                <w:rFonts w:ascii="Arial" w:cs="Arial" w:eastAsia="Arial" w:hAnsi="Arial"/>
                <w:sz w:val="20"/>
                <w:szCs w:val="20"/>
                <w:color w:val="auto"/>
              </w:rPr>
              <w:t>78,883</w:t>
            </w:r>
          </w:p>
        </w:tc>
        <w:tc>
          <w:tcPr>
            <w:tcW w:w="1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21"/>
              <w:spacing w:after="0" w:line="223" w:lineRule="exact"/>
              <w:rPr>
                <w:sz w:val="20"/>
                <w:szCs w:val="20"/>
                <w:color w:val="auto"/>
              </w:rPr>
            </w:pPr>
            <w:r>
              <w:rPr>
                <w:rFonts w:ascii="Arial" w:cs="Arial" w:eastAsia="Arial" w:hAnsi="Arial"/>
                <w:sz w:val="20"/>
                <w:szCs w:val="20"/>
                <w:color w:val="auto"/>
              </w:rPr>
              <w:t>$</w:t>
            </w:r>
          </w:p>
        </w:tc>
        <w:tc>
          <w:tcPr>
            <w:tcW w:w="1140" w:type="dxa"/>
            <w:vAlign w:val="bottom"/>
            <w:tcBorders>
              <w:bottom w:val="single" w:sz="8" w:color="auto"/>
            </w:tcBorders>
            <w:shd w:val="clear" w:color="auto" w:fill="CCEEFF"/>
          </w:tcPr>
          <w:p>
            <w:pPr>
              <w:jc w:val="right"/>
              <w:ind w:right="41"/>
              <w:spacing w:after="0" w:line="223" w:lineRule="exact"/>
              <w:rPr>
                <w:sz w:val="20"/>
                <w:szCs w:val="20"/>
                <w:color w:val="auto"/>
              </w:rPr>
            </w:pPr>
            <w:r>
              <w:rPr>
                <w:rFonts w:ascii="Arial" w:cs="Arial" w:eastAsia="Arial" w:hAnsi="Arial"/>
                <w:sz w:val="20"/>
                <w:szCs w:val="20"/>
                <w:color w:val="auto"/>
              </w:rPr>
              <w:t>274,489</w:t>
            </w:r>
          </w:p>
        </w:tc>
        <w:tc>
          <w:tcPr>
            <w:tcW w:w="16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101"/>
              <w:spacing w:after="0" w:line="223" w:lineRule="exact"/>
              <w:rPr>
                <w:sz w:val="20"/>
                <w:szCs w:val="20"/>
                <w:color w:val="auto"/>
              </w:rPr>
            </w:pPr>
            <w:r>
              <w:rPr>
                <w:rFonts w:ascii="Arial" w:cs="Arial" w:eastAsia="Arial" w:hAnsi="Arial"/>
                <w:sz w:val="20"/>
                <w:szCs w:val="20"/>
                <w:color w:val="auto"/>
              </w:rPr>
              <w:t>$</w:t>
            </w:r>
          </w:p>
        </w:tc>
        <w:tc>
          <w:tcPr>
            <w:tcW w:w="1020" w:type="dxa"/>
            <w:vAlign w:val="bottom"/>
            <w:tcBorders>
              <w:bottom w:val="single" w:sz="8" w:color="auto"/>
            </w:tcBorders>
            <w:shd w:val="clear" w:color="auto" w:fill="CCEEFF"/>
          </w:tcPr>
          <w:p>
            <w:pPr>
              <w:jc w:val="right"/>
              <w:ind w:right="21"/>
              <w:spacing w:after="0" w:line="223" w:lineRule="exact"/>
              <w:rPr>
                <w:sz w:val="20"/>
                <w:szCs w:val="20"/>
                <w:color w:val="auto"/>
              </w:rPr>
            </w:pPr>
            <w:r>
              <w:rPr>
                <w:rFonts w:ascii="Arial" w:cs="Arial" w:eastAsia="Arial" w:hAnsi="Arial"/>
                <w:sz w:val="20"/>
                <w:szCs w:val="20"/>
                <w:color w:val="auto"/>
              </w:rPr>
              <w:t>219,898</w:t>
            </w:r>
          </w:p>
        </w:tc>
      </w:tr>
      <w:tr>
        <w:trPr>
          <w:trHeight w:val="20"/>
        </w:trPr>
        <w:tc>
          <w:tcPr>
            <w:tcW w:w="49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4820"/>
        <w:spacing w:after="0" w:line="239" w:lineRule="auto"/>
        <w:rPr>
          <w:sz w:val="20"/>
          <w:szCs w:val="20"/>
          <w:color w:val="auto"/>
        </w:rPr>
      </w:pPr>
      <w:r>
        <w:rPr>
          <w:rFonts w:ascii="Arial" w:cs="Arial" w:eastAsia="Arial" w:hAnsi="Arial"/>
          <w:sz w:val="22"/>
          <w:szCs w:val="22"/>
          <w:b w:val="1"/>
          <w:bCs w:val="1"/>
          <w:color w:val="auto"/>
        </w:rPr>
        <w:t>MONSTER BEVERAGE CORPORATION AND SUBSIDIARIES CONDENSED CONSOLIDATED STATEMENTS OF CASH FLOWS FOR THE NINE-MONTHS ENDED SEPTEMBER 30, 2012 AND 2011 (In Thousands)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6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3"/>
          </w:tcPr>
          <w:p>
            <w:pPr>
              <w:ind w:left="960"/>
              <w:spacing w:after="0"/>
              <w:rPr>
                <w:sz w:val="20"/>
                <w:szCs w:val="20"/>
                <w:color w:val="auto"/>
              </w:rPr>
            </w:pPr>
            <w:r>
              <w:rPr>
                <w:rFonts w:ascii="Arial" w:cs="Arial" w:eastAsia="Arial" w:hAnsi="Arial"/>
                <w:sz w:val="14"/>
                <w:szCs w:val="14"/>
                <w:b w:val="1"/>
                <w:bCs w:val="1"/>
                <w:color w:val="auto"/>
              </w:rPr>
              <w:t>Nine-Months Ended</w:t>
            </w:r>
          </w:p>
        </w:tc>
        <w:tc>
          <w:tcPr>
            <w:tcW w:w="9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September 30, 2012</w:t>
            </w:r>
          </w:p>
        </w:tc>
        <w:tc>
          <w:tcPr>
            <w:tcW w:w="1680" w:type="dxa"/>
            <w:vAlign w:val="bottom"/>
            <w:gridSpan w:val="2"/>
          </w:tcPr>
          <w:p>
            <w:pPr>
              <w:ind w:left="180"/>
              <w:spacing w:after="0" w:line="142" w:lineRule="exact"/>
              <w:rPr>
                <w:sz w:val="20"/>
                <w:szCs w:val="20"/>
                <w:color w:val="auto"/>
              </w:rPr>
            </w:pPr>
            <w:r>
              <w:rPr>
                <w:rFonts w:ascii="Arial" w:cs="Arial" w:eastAsia="Arial" w:hAnsi="Arial"/>
                <w:sz w:val="14"/>
                <w:szCs w:val="14"/>
                <w:b w:val="1"/>
                <w:bCs w:val="1"/>
                <w:color w:val="auto"/>
              </w:rPr>
              <w:t>September 30, 2011</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64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4"/>
                <w:szCs w:val="14"/>
                <w:color w:val="auto"/>
              </w:rPr>
              <w:t>CASH FLOWS FROM OPERATING ACTIVITIES:</w:t>
            </w:r>
          </w:p>
        </w:tc>
        <w:tc>
          <w:tcPr>
            <w:tcW w:w="240" w:type="dxa"/>
            <w:vAlign w:val="bottom"/>
            <w:tcBorders>
              <w:top w:val="single" w:sz="8" w:color="auto"/>
            </w:tcBorders>
            <w:shd w:val="clear" w:color="auto" w:fill="CCEEFF"/>
          </w:tcPr>
          <w:p>
            <w:pPr>
              <w:spacing w:after="0"/>
              <w:rPr>
                <w:sz w:val="11"/>
                <w:szCs w:val="11"/>
                <w:color w:val="auto"/>
              </w:rPr>
            </w:pPr>
          </w:p>
        </w:tc>
        <w:tc>
          <w:tcPr>
            <w:tcW w:w="160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40" w:type="dxa"/>
            <w:vAlign w:val="bottom"/>
          </w:tcPr>
          <w:p>
            <w:pPr>
              <w:spacing w:after="0" w:line="149" w:lineRule="exact"/>
              <w:rPr>
                <w:sz w:val="20"/>
                <w:szCs w:val="20"/>
                <w:color w:val="auto"/>
              </w:rPr>
            </w:pPr>
            <w:r>
              <w:rPr>
                <w:rFonts w:ascii="Arial" w:cs="Arial" w:eastAsia="Arial" w:hAnsi="Arial"/>
                <w:sz w:val="14"/>
                <w:szCs w:val="14"/>
                <w:color w:val="auto"/>
              </w:rPr>
              <w:t>Net income</w:t>
            </w:r>
          </w:p>
        </w:tc>
        <w:tc>
          <w:tcPr>
            <w:tcW w:w="2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272,037</w:t>
            </w:r>
          </w:p>
        </w:tc>
        <w:tc>
          <w:tcPr>
            <w:tcW w:w="240" w:type="dxa"/>
            <w:vAlign w:val="bottom"/>
          </w:tcPr>
          <w:p>
            <w:pPr>
              <w:spacing w:after="0"/>
              <w:rPr>
                <w:sz w:val="12"/>
                <w:szCs w:val="12"/>
                <w:color w:val="auto"/>
              </w:rPr>
            </w:pPr>
          </w:p>
        </w:tc>
        <w:tc>
          <w:tcPr>
            <w:tcW w:w="700" w:type="dxa"/>
            <w:vAlign w:val="bottom"/>
          </w:tcPr>
          <w:p>
            <w:pPr>
              <w:ind w:left="160"/>
              <w:spacing w:after="0" w:line="149" w:lineRule="exact"/>
              <w:rPr>
                <w:sz w:val="20"/>
                <w:szCs w:val="20"/>
                <w:color w:val="auto"/>
              </w:rPr>
            </w:pPr>
            <w:r>
              <w:rPr>
                <w:rFonts w:ascii="Arial" w:cs="Arial" w:eastAsia="Arial" w:hAnsi="Arial"/>
                <w:sz w:val="14"/>
                <w:szCs w:val="14"/>
                <w:color w:val="auto"/>
              </w:rPr>
              <w:t>$</w:t>
            </w:r>
          </w:p>
        </w:tc>
        <w:tc>
          <w:tcPr>
            <w:tcW w:w="980" w:type="dxa"/>
            <w:vAlign w:val="bottom"/>
          </w:tcPr>
          <w:p>
            <w:pPr>
              <w:jc w:val="right"/>
              <w:ind w:right="68"/>
              <w:spacing w:after="0" w:line="149" w:lineRule="exact"/>
              <w:rPr>
                <w:sz w:val="20"/>
                <w:szCs w:val="20"/>
                <w:color w:val="auto"/>
              </w:rPr>
            </w:pPr>
            <w:r>
              <w:rPr>
                <w:rFonts w:ascii="Arial" w:cs="Arial" w:eastAsia="Arial" w:hAnsi="Arial"/>
                <w:sz w:val="14"/>
                <w:szCs w:val="14"/>
                <w:color w:val="auto"/>
              </w:rPr>
              <w:t>221,683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Adjustments to reconcile net income to net cash provided by operating activities:</w:t>
            </w:r>
          </w:p>
        </w:tc>
        <w:tc>
          <w:tcPr>
            <w:tcW w:w="24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40" w:type="dxa"/>
            <w:vAlign w:val="bottom"/>
          </w:tcPr>
          <w:p>
            <w:pPr>
              <w:ind w:left="160"/>
              <w:spacing w:after="0" w:line="149" w:lineRule="exact"/>
              <w:rPr>
                <w:sz w:val="20"/>
                <w:szCs w:val="20"/>
                <w:color w:val="auto"/>
              </w:rPr>
            </w:pPr>
            <w:r>
              <w:rPr>
                <w:rFonts w:ascii="Arial" w:cs="Arial" w:eastAsia="Arial" w:hAnsi="Arial"/>
                <w:sz w:val="14"/>
                <w:szCs w:val="14"/>
                <w:color w:val="auto"/>
              </w:rPr>
              <w:t>Amortization of trademark</w:t>
            </w:r>
          </w:p>
        </w:tc>
        <w:tc>
          <w:tcPr>
            <w:tcW w:w="240" w:type="dxa"/>
            <w:vAlign w:val="bottom"/>
          </w:tcPr>
          <w:p>
            <w:pPr>
              <w:spacing w:after="0"/>
              <w:rPr>
                <w:sz w:val="12"/>
                <w:szCs w:val="12"/>
                <w:color w:val="auto"/>
              </w:rPr>
            </w:pPr>
          </w:p>
        </w:tc>
        <w:tc>
          <w:tcPr>
            <w:tcW w:w="160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36</w:t>
            </w: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80" w:type="dxa"/>
            <w:vAlign w:val="bottom"/>
          </w:tcPr>
          <w:p>
            <w:pPr>
              <w:jc w:val="right"/>
              <w:ind w:right="68"/>
              <w:spacing w:after="0" w:line="149" w:lineRule="exact"/>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4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Depreciation and other amortization</w:t>
            </w:r>
          </w:p>
        </w:tc>
        <w:tc>
          <w:tcPr>
            <w:tcW w:w="240" w:type="dxa"/>
            <w:vAlign w:val="bottom"/>
            <w:shd w:val="clear" w:color="auto" w:fill="CCEEFF"/>
          </w:tcPr>
          <w:p>
            <w:pPr>
              <w:spacing w:after="0"/>
              <w:rPr>
                <w:sz w:val="12"/>
                <w:szCs w:val="12"/>
                <w:color w:val="auto"/>
              </w:rPr>
            </w:pPr>
          </w:p>
        </w:tc>
        <w:tc>
          <w:tcPr>
            <w:tcW w:w="160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15,228</w:t>
            </w: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12,152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40" w:type="dxa"/>
            <w:vAlign w:val="bottom"/>
          </w:tcPr>
          <w:p>
            <w:pPr>
              <w:ind w:left="160"/>
              <w:spacing w:after="0" w:line="149" w:lineRule="exact"/>
              <w:rPr>
                <w:sz w:val="20"/>
                <w:szCs w:val="20"/>
                <w:color w:val="auto"/>
              </w:rPr>
            </w:pPr>
            <w:r>
              <w:rPr>
                <w:rFonts w:ascii="Arial" w:cs="Arial" w:eastAsia="Arial" w:hAnsi="Arial"/>
                <w:sz w:val="14"/>
                <w:szCs w:val="14"/>
                <w:color w:val="auto"/>
              </w:rPr>
              <w:t>Gain on disposal of property and equipment</w:t>
            </w:r>
          </w:p>
        </w:tc>
        <w:tc>
          <w:tcPr>
            <w:tcW w:w="240" w:type="dxa"/>
            <w:vAlign w:val="bottom"/>
          </w:tcPr>
          <w:p>
            <w:pPr>
              <w:spacing w:after="0"/>
              <w:rPr>
                <w:sz w:val="12"/>
                <w:szCs w:val="12"/>
                <w:color w:val="auto"/>
              </w:rPr>
            </w:pPr>
          </w:p>
        </w:tc>
        <w:tc>
          <w:tcPr>
            <w:tcW w:w="1600" w:type="dxa"/>
            <w:vAlign w:val="bottom"/>
          </w:tcPr>
          <w:p>
            <w:pPr>
              <w:jc w:val="right"/>
              <w:ind w:right="48"/>
              <w:spacing w:after="0" w:line="149" w:lineRule="exact"/>
              <w:rPr>
                <w:sz w:val="20"/>
                <w:szCs w:val="20"/>
                <w:color w:val="auto"/>
              </w:rPr>
            </w:pPr>
            <w:r>
              <w:rPr>
                <w:rFonts w:ascii="Arial" w:cs="Arial" w:eastAsia="Arial" w:hAnsi="Arial"/>
                <w:sz w:val="14"/>
                <w:szCs w:val="14"/>
                <w:color w:val="auto"/>
              </w:rPr>
              <w:t>(52)</w:t>
            </w: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80" w:type="dxa"/>
            <w:vAlign w:val="bottom"/>
          </w:tcPr>
          <w:p>
            <w:pPr>
              <w:jc w:val="right"/>
              <w:ind w:right="8"/>
              <w:spacing w:after="0" w:line="149" w:lineRule="exact"/>
              <w:rPr>
                <w:sz w:val="20"/>
                <w:szCs w:val="20"/>
                <w:color w:val="auto"/>
              </w:rPr>
            </w:pPr>
            <w:r>
              <w:rPr>
                <w:rFonts w:ascii="Arial" w:cs="Arial" w:eastAsia="Arial" w:hAnsi="Arial"/>
                <w:sz w:val="14"/>
                <w:szCs w:val="14"/>
                <w:color w:val="auto"/>
              </w:rPr>
              <w:t>(93)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4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Stock-based compensation</w:t>
            </w:r>
          </w:p>
        </w:tc>
        <w:tc>
          <w:tcPr>
            <w:tcW w:w="240" w:type="dxa"/>
            <w:vAlign w:val="bottom"/>
            <w:shd w:val="clear" w:color="auto" w:fill="CCEEFF"/>
          </w:tcPr>
          <w:p>
            <w:pPr>
              <w:spacing w:after="0"/>
              <w:rPr>
                <w:sz w:val="12"/>
                <w:szCs w:val="12"/>
                <w:color w:val="auto"/>
              </w:rPr>
            </w:pPr>
          </w:p>
        </w:tc>
        <w:tc>
          <w:tcPr>
            <w:tcW w:w="160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21,581</w:t>
            </w: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12,722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40" w:type="dxa"/>
            <w:vAlign w:val="bottom"/>
          </w:tcPr>
          <w:p>
            <w:pPr>
              <w:ind w:left="160"/>
              <w:spacing w:after="0" w:line="149" w:lineRule="exact"/>
              <w:rPr>
                <w:sz w:val="20"/>
                <w:szCs w:val="20"/>
                <w:color w:val="auto"/>
              </w:rPr>
            </w:pPr>
            <w:r>
              <w:rPr>
                <w:rFonts w:ascii="Arial" w:cs="Arial" w:eastAsia="Arial" w:hAnsi="Arial"/>
                <w:sz w:val="14"/>
                <w:szCs w:val="14"/>
                <w:color w:val="auto"/>
              </w:rPr>
              <w:t>Loss (gain) on put option</w:t>
            </w:r>
          </w:p>
        </w:tc>
        <w:tc>
          <w:tcPr>
            <w:tcW w:w="240" w:type="dxa"/>
            <w:vAlign w:val="bottom"/>
          </w:tcPr>
          <w:p>
            <w:pPr>
              <w:spacing w:after="0"/>
              <w:rPr>
                <w:sz w:val="12"/>
                <w:szCs w:val="12"/>
                <w:color w:val="auto"/>
              </w:rPr>
            </w:pPr>
          </w:p>
        </w:tc>
        <w:tc>
          <w:tcPr>
            <w:tcW w:w="160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1,110</w:t>
            </w: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80" w:type="dxa"/>
            <w:vAlign w:val="bottom"/>
          </w:tcPr>
          <w:p>
            <w:pPr>
              <w:jc w:val="right"/>
              <w:ind w:right="8"/>
              <w:spacing w:after="0" w:line="149" w:lineRule="exact"/>
              <w:rPr>
                <w:sz w:val="20"/>
                <w:szCs w:val="20"/>
                <w:color w:val="auto"/>
              </w:rPr>
            </w:pPr>
            <w:r>
              <w:rPr>
                <w:rFonts w:ascii="Arial" w:cs="Arial" w:eastAsia="Arial" w:hAnsi="Arial"/>
                <w:sz w:val="14"/>
                <w:szCs w:val="14"/>
                <w:color w:val="auto"/>
              </w:rPr>
              <w:t>(3,671)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4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(Gain) loss on investments, net</w:t>
            </w:r>
          </w:p>
        </w:tc>
        <w:tc>
          <w:tcPr>
            <w:tcW w:w="240" w:type="dxa"/>
            <w:vAlign w:val="bottom"/>
            <w:shd w:val="clear" w:color="auto" w:fill="CCEEFF"/>
          </w:tcPr>
          <w:p>
            <w:pPr>
              <w:spacing w:after="0"/>
              <w:rPr>
                <w:sz w:val="12"/>
                <w:szCs w:val="12"/>
                <w:color w:val="auto"/>
              </w:rPr>
            </w:pPr>
          </w:p>
        </w:tc>
        <w:tc>
          <w:tcPr>
            <w:tcW w:w="16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(1,695)</w:t>
            </w: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259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40" w:type="dxa"/>
            <w:vAlign w:val="bottom"/>
          </w:tcPr>
          <w:p>
            <w:pPr>
              <w:ind w:left="160"/>
              <w:spacing w:after="0" w:line="149" w:lineRule="exact"/>
              <w:rPr>
                <w:sz w:val="20"/>
                <w:szCs w:val="20"/>
                <w:color w:val="auto"/>
              </w:rPr>
            </w:pPr>
            <w:r>
              <w:rPr>
                <w:rFonts w:ascii="Arial" w:cs="Arial" w:eastAsia="Arial" w:hAnsi="Arial"/>
                <w:sz w:val="14"/>
                <w:szCs w:val="14"/>
                <w:color w:val="auto"/>
              </w:rPr>
              <w:t>Deferred income taxes</w:t>
            </w:r>
          </w:p>
        </w:tc>
        <w:tc>
          <w:tcPr>
            <w:tcW w:w="240" w:type="dxa"/>
            <w:vAlign w:val="bottom"/>
          </w:tcPr>
          <w:p>
            <w:pPr>
              <w:spacing w:after="0"/>
              <w:rPr>
                <w:sz w:val="12"/>
                <w:szCs w:val="12"/>
                <w:color w:val="auto"/>
              </w:rPr>
            </w:pPr>
          </w:p>
        </w:tc>
        <w:tc>
          <w:tcPr>
            <w:tcW w:w="160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2,571</w:t>
            </w: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80" w:type="dxa"/>
            <w:vAlign w:val="bottom"/>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4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Tax benefit from exercise of stock options</w:t>
            </w:r>
          </w:p>
        </w:tc>
        <w:tc>
          <w:tcPr>
            <w:tcW w:w="240" w:type="dxa"/>
            <w:vAlign w:val="bottom"/>
            <w:shd w:val="clear" w:color="auto" w:fill="CCEEFF"/>
          </w:tcPr>
          <w:p>
            <w:pPr>
              <w:spacing w:after="0"/>
              <w:rPr>
                <w:sz w:val="12"/>
                <w:szCs w:val="12"/>
                <w:color w:val="auto"/>
              </w:rPr>
            </w:pPr>
          </w:p>
        </w:tc>
        <w:tc>
          <w:tcPr>
            <w:tcW w:w="16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(4,295)</w:t>
            </w: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(3,363)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40" w:type="dxa"/>
            <w:vAlign w:val="bottom"/>
          </w:tcPr>
          <w:p>
            <w:pPr>
              <w:ind w:left="160"/>
              <w:spacing w:after="0" w:line="149" w:lineRule="exact"/>
              <w:rPr>
                <w:sz w:val="20"/>
                <w:szCs w:val="20"/>
                <w:color w:val="auto"/>
              </w:rPr>
            </w:pPr>
            <w:r>
              <w:rPr>
                <w:rFonts w:ascii="Arial" w:cs="Arial" w:eastAsia="Arial" w:hAnsi="Arial"/>
                <w:sz w:val="14"/>
                <w:szCs w:val="14"/>
                <w:color w:val="auto"/>
              </w:rPr>
              <w:t>Effect on cash of changes in operating assets and liabilities:</w:t>
            </w:r>
          </w:p>
        </w:tc>
        <w:tc>
          <w:tcPr>
            <w:tcW w:w="2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40" w:type="dxa"/>
            <w:vAlign w:val="bottom"/>
            <w:shd w:val="clear" w:color="auto" w:fill="CCEEFF"/>
          </w:tcPr>
          <w:p>
            <w:pPr>
              <w:ind w:left="520"/>
              <w:spacing w:after="0" w:line="149" w:lineRule="exact"/>
              <w:rPr>
                <w:sz w:val="20"/>
                <w:szCs w:val="20"/>
                <w:color w:val="auto"/>
              </w:rPr>
            </w:pPr>
            <w:r>
              <w:rPr>
                <w:rFonts w:ascii="Arial" w:cs="Arial" w:eastAsia="Arial" w:hAnsi="Arial"/>
                <w:sz w:val="14"/>
                <w:szCs w:val="14"/>
                <w:color w:val="auto"/>
              </w:rPr>
              <w:t>Accounts receivable</w:t>
            </w:r>
          </w:p>
        </w:tc>
        <w:tc>
          <w:tcPr>
            <w:tcW w:w="240" w:type="dxa"/>
            <w:vAlign w:val="bottom"/>
            <w:shd w:val="clear" w:color="auto" w:fill="CCEEFF"/>
          </w:tcPr>
          <w:p>
            <w:pPr>
              <w:spacing w:after="0"/>
              <w:rPr>
                <w:sz w:val="12"/>
                <w:szCs w:val="12"/>
                <w:color w:val="auto"/>
              </w:rPr>
            </w:pPr>
          </w:p>
        </w:tc>
        <w:tc>
          <w:tcPr>
            <w:tcW w:w="16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(70,533)</w:t>
            </w: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(69,630)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40" w:type="dxa"/>
            <w:vAlign w:val="bottom"/>
          </w:tcPr>
          <w:p>
            <w:pPr>
              <w:ind w:left="520"/>
              <w:spacing w:after="0" w:line="149" w:lineRule="exact"/>
              <w:rPr>
                <w:sz w:val="20"/>
                <w:szCs w:val="20"/>
                <w:color w:val="auto"/>
              </w:rPr>
            </w:pPr>
            <w:r>
              <w:rPr>
                <w:rFonts w:ascii="Arial" w:cs="Arial" w:eastAsia="Arial" w:hAnsi="Arial"/>
                <w:sz w:val="14"/>
                <w:szCs w:val="14"/>
                <w:color w:val="auto"/>
              </w:rPr>
              <w:t>Distributor receivables</w:t>
            </w:r>
          </w:p>
        </w:tc>
        <w:tc>
          <w:tcPr>
            <w:tcW w:w="240" w:type="dxa"/>
            <w:vAlign w:val="bottom"/>
          </w:tcPr>
          <w:p>
            <w:pPr>
              <w:spacing w:after="0"/>
              <w:rPr>
                <w:sz w:val="12"/>
                <w:szCs w:val="12"/>
                <w:color w:val="auto"/>
              </w:rPr>
            </w:pPr>
          </w:p>
        </w:tc>
        <w:tc>
          <w:tcPr>
            <w:tcW w:w="160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80" w:type="dxa"/>
            <w:vAlign w:val="bottom"/>
          </w:tcPr>
          <w:p>
            <w:pPr>
              <w:jc w:val="right"/>
              <w:ind w:right="8"/>
              <w:spacing w:after="0" w:line="149" w:lineRule="exact"/>
              <w:rPr>
                <w:sz w:val="20"/>
                <w:szCs w:val="20"/>
                <w:color w:val="auto"/>
              </w:rPr>
            </w:pPr>
            <w:r>
              <w:rPr>
                <w:rFonts w:ascii="Arial" w:cs="Arial" w:eastAsia="Arial" w:hAnsi="Arial"/>
                <w:sz w:val="14"/>
                <w:szCs w:val="14"/>
                <w:color w:val="auto"/>
              </w:rPr>
              <w:t>(99)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40" w:type="dxa"/>
            <w:vAlign w:val="bottom"/>
            <w:shd w:val="clear" w:color="auto" w:fill="CCEEFF"/>
          </w:tcPr>
          <w:p>
            <w:pPr>
              <w:ind w:left="520"/>
              <w:spacing w:after="0" w:line="149" w:lineRule="exact"/>
              <w:rPr>
                <w:sz w:val="20"/>
                <w:szCs w:val="20"/>
                <w:color w:val="auto"/>
              </w:rPr>
            </w:pPr>
            <w:r>
              <w:rPr>
                <w:rFonts w:ascii="Arial" w:cs="Arial" w:eastAsia="Arial" w:hAnsi="Arial"/>
                <w:sz w:val="14"/>
                <w:szCs w:val="14"/>
                <w:color w:val="auto"/>
              </w:rPr>
              <w:t>Inventories</w:t>
            </w:r>
          </w:p>
        </w:tc>
        <w:tc>
          <w:tcPr>
            <w:tcW w:w="240" w:type="dxa"/>
            <w:vAlign w:val="bottom"/>
            <w:shd w:val="clear" w:color="auto" w:fill="CCEEFF"/>
          </w:tcPr>
          <w:p>
            <w:pPr>
              <w:spacing w:after="0"/>
              <w:rPr>
                <w:sz w:val="12"/>
                <w:szCs w:val="12"/>
                <w:color w:val="auto"/>
              </w:rPr>
            </w:pPr>
          </w:p>
        </w:tc>
        <w:tc>
          <w:tcPr>
            <w:tcW w:w="16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(38,646)</w:t>
            </w: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(11,833)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40" w:type="dxa"/>
            <w:vAlign w:val="bottom"/>
          </w:tcPr>
          <w:p>
            <w:pPr>
              <w:ind w:left="520"/>
              <w:spacing w:after="0" w:line="149" w:lineRule="exact"/>
              <w:rPr>
                <w:sz w:val="20"/>
                <w:szCs w:val="20"/>
                <w:color w:val="auto"/>
              </w:rPr>
            </w:pPr>
            <w:r>
              <w:rPr>
                <w:rFonts w:ascii="Arial" w:cs="Arial" w:eastAsia="Arial" w:hAnsi="Arial"/>
                <w:sz w:val="14"/>
                <w:szCs w:val="14"/>
                <w:color w:val="auto"/>
              </w:rPr>
              <w:t>Prepaid expenses and other current assets</w:t>
            </w:r>
          </w:p>
        </w:tc>
        <w:tc>
          <w:tcPr>
            <w:tcW w:w="240" w:type="dxa"/>
            <w:vAlign w:val="bottom"/>
          </w:tcPr>
          <w:p>
            <w:pPr>
              <w:spacing w:after="0"/>
              <w:rPr>
                <w:sz w:val="12"/>
                <w:szCs w:val="12"/>
                <w:color w:val="auto"/>
              </w:rPr>
            </w:pPr>
          </w:p>
        </w:tc>
        <w:tc>
          <w:tcPr>
            <w:tcW w:w="160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136</w:t>
            </w: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80" w:type="dxa"/>
            <w:vAlign w:val="bottom"/>
          </w:tcPr>
          <w:p>
            <w:pPr>
              <w:jc w:val="right"/>
              <w:ind w:right="68"/>
              <w:spacing w:after="0" w:line="149" w:lineRule="exact"/>
              <w:rPr>
                <w:sz w:val="20"/>
                <w:szCs w:val="20"/>
                <w:color w:val="auto"/>
              </w:rPr>
            </w:pPr>
            <w:r>
              <w:rPr>
                <w:rFonts w:ascii="Arial" w:cs="Arial" w:eastAsia="Arial" w:hAnsi="Arial"/>
                <w:sz w:val="14"/>
                <w:szCs w:val="14"/>
                <w:color w:val="auto"/>
              </w:rPr>
              <w:t>713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40" w:type="dxa"/>
            <w:vAlign w:val="bottom"/>
            <w:shd w:val="clear" w:color="auto" w:fill="CCEEFF"/>
          </w:tcPr>
          <w:p>
            <w:pPr>
              <w:ind w:left="520"/>
              <w:spacing w:after="0" w:line="149" w:lineRule="exact"/>
              <w:rPr>
                <w:sz w:val="20"/>
                <w:szCs w:val="20"/>
                <w:color w:val="auto"/>
              </w:rPr>
            </w:pPr>
            <w:r>
              <w:rPr>
                <w:rFonts w:ascii="Arial" w:cs="Arial" w:eastAsia="Arial" w:hAnsi="Arial"/>
                <w:sz w:val="14"/>
                <w:szCs w:val="14"/>
                <w:color w:val="auto"/>
              </w:rPr>
              <w:t>Prepaid income taxes</w:t>
            </w:r>
          </w:p>
        </w:tc>
        <w:tc>
          <w:tcPr>
            <w:tcW w:w="240" w:type="dxa"/>
            <w:vAlign w:val="bottom"/>
            <w:shd w:val="clear" w:color="auto" w:fill="CCEEFF"/>
          </w:tcPr>
          <w:p>
            <w:pPr>
              <w:spacing w:after="0"/>
              <w:rPr>
                <w:sz w:val="12"/>
                <w:szCs w:val="12"/>
                <w:color w:val="auto"/>
              </w:rPr>
            </w:pPr>
          </w:p>
        </w:tc>
        <w:tc>
          <w:tcPr>
            <w:tcW w:w="16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(17,974)</w:t>
            </w: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9,706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40" w:type="dxa"/>
            <w:vAlign w:val="bottom"/>
          </w:tcPr>
          <w:p>
            <w:pPr>
              <w:ind w:left="520"/>
              <w:spacing w:after="0" w:line="149" w:lineRule="exact"/>
              <w:rPr>
                <w:sz w:val="20"/>
                <w:szCs w:val="20"/>
                <w:color w:val="auto"/>
              </w:rPr>
            </w:pPr>
            <w:r>
              <w:rPr>
                <w:rFonts w:ascii="Arial" w:cs="Arial" w:eastAsia="Arial" w:hAnsi="Arial"/>
                <w:sz w:val="14"/>
                <w:szCs w:val="14"/>
                <w:color w:val="auto"/>
              </w:rPr>
              <w:t>Accounts payable</w:t>
            </w:r>
          </w:p>
        </w:tc>
        <w:tc>
          <w:tcPr>
            <w:tcW w:w="240" w:type="dxa"/>
            <w:vAlign w:val="bottom"/>
          </w:tcPr>
          <w:p>
            <w:pPr>
              <w:spacing w:after="0"/>
              <w:rPr>
                <w:sz w:val="12"/>
                <w:szCs w:val="12"/>
                <w:color w:val="auto"/>
              </w:rPr>
            </w:pPr>
          </w:p>
        </w:tc>
        <w:tc>
          <w:tcPr>
            <w:tcW w:w="160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27,814</w:t>
            </w: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80" w:type="dxa"/>
            <w:vAlign w:val="bottom"/>
          </w:tcPr>
          <w:p>
            <w:pPr>
              <w:jc w:val="right"/>
              <w:ind w:right="68"/>
              <w:spacing w:after="0" w:line="149" w:lineRule="exact"/>
              <w:rPr>
                <w:sz w:val="20"/>
                <w:szCs w:val="20"/>
                <w:color w:val="auto"/>
              </w:rPr>
            </w:pPr>
            <w:r>
              <w:rPr>
                <w:rFonts w:ascii="Arial" w:cs="Arial" w:eastAsia="Arial" w:hAnsi="Arial"/>
                <w:sz w:val="14"/>
                <w:szCs w:val="14"/>
                <w:color w:val="auto"/>
              </w:rPr>
              <w:t>55,306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40" w:type="dxa"/>
            <w:vAlign w:val="bottom"/>
            <w:shd w:val="clear" w:color="auto" w:fill="CCEEFF"/>
          </w:tcPr>
          <w:p>
            <w:pPr>
              <w:ind w:left="520"/>
              <w:spacing w:after="0" w:line="149" w:lineRule="exact"/>
              <w:rPr>
                <w:sz w:val="20"/>
                <w:szCs w:val="20"/>
                <w:color w:val="auto"/>
              </w:rPr>
            </w:pPr>
            <w:r>
              <w:rPr>
                <w:rFonts w:ascii="Arial" w:cs="Arial" w:eastAsia="Arial" w:hAnsi="Arial"/>
                <w:sz w:val="14"/>
                <w:szCs w:val="14"/>
                <w:color w:val="auto"/>
              </w:rPr>
              <w:t>Accrued liabilities</w:t>
            </w:r>
          </w:p>
        </w:tc>
        <w:tc>
          <w:tcPr>
            <w:tcW w:w="240" w:type="dxa"/>
            <w:vAlign w:val="bottom"/>
            <w:shd w:val="clear" w:color="auto" w:fill="CCEEFF"/>
          </w:tcPr>
          <w:p>
            <w:pPr>
              <w:spacing w:after="0"/>
              <w:rPr>
                <w:sz w:val="12"/>
                <w:szCs w:val="12"/>
                <w:color w:val="auto"/>
              </w:rPr>
            </w:pPr>
          </w:p>
        </w:tc>
        <w:tc>
          <w:tcPr>
            <w:tcW w:w="160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26,652</w:t>
            </w: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12,269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40" w:type="dxa"/>
            <w:vAlign w:val="bottom"/>
          </w:tcPr>
          <w:p>
            <w:pPr>
              <w:ind w:left="520"/>
              <w:spacing w:after="0" w:line="149" w:lineRule="exact"/>
              <w:rPr>
                <w:sz w:val="20"/>
                <w:szCs w:val="20"/>
                <w:color w:val="auto"/>
              </w:rPr>
            </w:pPr>
            <w:r>
              <w:rPr>
                <w:rFonts w:ascii="Arial" w:cs="Arial" w:eastAsia="Arial" w:hAnsi="Arial"/>
                <w:sz w:val="14"/>
                <w:szCs w:val="14"/>
                <w:color w:val="auto"/>
              </w:rPr>
              <w:t>Accrued promotional allowances</w:t>
            </w:r>
          </w:p>
        </w:tc>
        <w:tc>
          <w:tcPr>
            <w:tcW w:w="240" w:type="dxa"/>
            <w:vAlign w:val="bottom"/>
          </w:tcPr>
          <w:p>
            <w:pPr>
              <w:spacing w:after="0"/>
              <w:rPr>
                <w:sz w:val="12"/>
                <w:szCs w:val="12"/>
                <w:color w:val="auto"/>
              </w:rPr>
            </w:pPr>
          </w:p>
        </w:tc>
        <w:tc>
          <w:tcPr>
            <w:tcW w:w="1600" w:type="dxa"/>
            <w:vAlign w:val="bottom"/>
          </w:tcPr>
          <w:p>
            <w:pPr>
              <w:jc w:val="right"/>
              <w:ind w:right="48"/>
              <w:spacing w:after="0" w:line="149" w:lineRule="exact"/>
              <w:rPr>
                <w:sz w:val="20"/>
                <w:szCs w:val="20"/>
                <w:color w:val="auto"/>
              </w:rPr>
            </w:pPr>
            <w:r>
              <w:rPr>
                <w:rFonts w:ascii="Arial" w:cs="Arial" w:eastAsia="Arial" w:hAnsi="Arial"/>
                <w:sz w:val="14"/>
                <w:szCs w:val="14"/>
                <w:color w:val="auto"/>
              </w:rPr>
              <w:t>(9,306)</w:t>
            </w: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80" w:type="dxa"/>
            <w:vAlign w:val="bottom"/>
          </w:tcPr>
          <w:p>
            <w:pPr>
              <w:jc w:val="right"/>
              <w:ind w:right="8"/>
              <w:spacing w:after="0" w:line="149" w:lineRule="exact"/>
              <w:rPr>
                <w:sz w:val="20"/>
                <w:szCs w:val="20"/>
                <w:color w:val="auto"/>
              </w:rPr>
            </w:pPr>
            <w:r>
              <w:rPr>
                <w:rFonts w:ascii="Arial" w:cs="Arial" w:eastAsia="Arial" w:hAnsi="Arial"/>
                <w:sz w:val="14"/>
                <w:szCs w:val="14"/>
                <w:color w:val="auto"/>
              </w:rPr>
              <w:t>(6,195)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40" w:type="dxa"/>
            <w:vAlign w:val="bottom"/>
            <w:shd w:val="clear" w:color="auto" w:fill="CCEEFF"/>
          </w:tcPr>
          <w:p>
            <w:pPr>
              <w:ind w:left="520"/>
              <w:spacing w:after="0" w:line="149" w:lineRule="exact"/>
              <w:rPr>
                <w:sz w:val="20"/>
                <w:szCs w:val="20"/>
                <w:color w:val="auto"/>
              </w:rPr>
            </w:pPr>
            <w:r>
              <w:rPr>
                <w:rFonts w:ascii="Arial" w:cs="Arial" w:eastAsia="Arial" w:hAnsi="Arial"/>
                <w:sz w:val="14"/>
                <w:szCs w:val="14"/>
                <w:color w:val="auto"/>
              </w:rPr>
              <w:t>Accrued distributor terminations</w:t>
            </w:r>
          </w:p>
        </w:tc>
        <w:tc>
          <w:tcPr>
            <w:tcW w:w="240" w:type="dxa"/>
            <w:vAlign w:val="bottom"/>
            <w:shd w:val="clear" w:color="auto" w:fill="CCEEFF"/>
          </w:tcPr>
          <w:p>
            <w:pPr>
              <w:spacing w:after="0"/>
              <w:rPr>
                <w:sz w:val="12"/>
                <w:szCs w:val="12"/>
                <w:color w:val="auto"/>
              </w:rPr>
            </w:pPr>
          </w:p>
        </w:tc>
        <w:tc>
          <w:tcPr>
            <w:tcW w:w="16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(77)</w:t>
            </w: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(393)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40" w:type="dxa"/>
            <w:vAlign w:val="bottom"/>
          </w:tcPr>
          <w:p>
            <w:pPr>
              <w:ind w:left="520"/>
              <w:spacing w:after="0" w:line="149" w:lineRule="exact"/>
              <w:rPr>
                <w:sz w:val="20"/>
                <w:szCs w:val="20"/>
                <w:color w:val="auto"/>
              </w:rPr>
            </w:pPr>
            <w:r>
              <w:rPr>
                <w:rFonts w:ascii="Arial" w:cs="Arial" w:eastAsia="Arial" w:hAnsi="Arial"/>
                <w:sz w:val="14"/>
                <w:szCs w:val="14"/>
                <w:color w:val="auto"/>
              </w:rPr>
              <w:t>Accrued compensation</w:t>
            </w:r>
          </w:p>
        </w:tc>
        <w:tc>
          <w:tcPr>
            <w:tcW w:w="240" w:type="dxa"/>
            <w:vAlign w:val="bottom"/>
          </w:tcPr>
          <w:p>
            <w:pPr>
              <w:spacing w:after="0"/>
              <w:rPr>
                <w:sz w:val="12"/>
                <w:szCs w:val="12"/>
                <w:color w:val="auto"/>
              </w:rPr>
            </w:pPr>
          </w:p>
        </w:tc>
        <w:tc>
          <w:tcPr>
            <w:tcW w:w="160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1,463</w:t>
            </w: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80" w:type="dxa"/>
            <w:vAlign w:val="bottom"/>
          </w:tcPr>
          <w:p>
            <w:pPr>
              <w:jc w:val="right"/>
              <w:ind w:right="68"/>
              <w:spacing w:after="0" w:line="149" w:lineRule="exact"/>
              <w:rPr>
                <w:sz w:val="20"/>
                <w:szCs w:val="20"/>
                <w:color w:val="auto"/>
              </w:rPr>
            </w:pPr>
            <w:r>
              <w:rPr>
                <w:rFonts w:ascii="Arial" w:cs="Arial" w:eastAsia="Arial" w:hAnsi="Arial"/>
                <w:sz w:val="14"/>
                <w:szCs w:val="14"/>
                <w:color w:val="auto"/>
              </w:rPr>
              <w:t>1,497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40" w:type="dxa"/>
            <w:vAlign w:val="bottom"/>
            <w:shd w:val="clear" w:color="auto" w:fill="CCEEFF"/>
          </w:tcPr>
          <w:p>
            <w:pPr>
              <w:ind w:left="520"/>
              <w:spacing w:after="0" w:line="149" w:lineRule="exact"/>
              <w:rPr>
                <w:sz w:val="20"/>
                <w:szCs w:val="20"/>
                <w:color w:val="auto"/>
              </w:rPr>
            </w:pPr>
            <w:r>
              <w:rPr>
                <w:rFonts w:ascii="Arial" w:cs="Arial" w:eastAsia="Arial" w:hAnsi="Arial"/>
                <w:sz w:val="14"/>
                <w:szCs w:val="14"/>
                <w:color w:val="auto"/>
              </w:rPr>
              <w:t>Income taxes payable</w:t>
            </w:r>
          </w:p>
        </w:tc>
        <w:tc>
          <w:tcPr>
            <w:tcW w:w="240" w:type="dxa"/>
            <w:vAlign w:val="bottom"/>
            <w:shd w:val="clear" w:color="auto" w:fill="CCEEFF"/>
          </w:tcPr>
          <w:p>
            <w:pPr>
              <w:spacing w:after="0"/>
              <w:rPr>
                <w:sz w:val="12"/>
                <w:szCs w:val="12"/>
                <w:color w:val="auto"/>
              </w:rPr>
            </w:pPr>
          </w:p>
        </w:tc>
        <w:tc>
          <w:tcPr>
            <w:tcW w:w="16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(3,831)</w:t>
            </w: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5,563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40" w:type="dxa"/>
            <w:vAlign w:val="bottom"/>
            <w:tcBorders>
              <w:bottom w:val="single" w:sz="8" w:color="CCEEFF"/>
            </w:tcBorders>
          </w:tcPr>
          <w:p>
            <w:pPr>
              <w:ind w:left="520"/>
              <w:spacing w:after="0" w:line="149" w:lineRule="exact"/>
              <w:rPr>
                <w:sz w:val="20"/>
                <w:szCs w:val="20"/>
                <w:color w:val="auto"/>
              </w:rPr>
            </w:pPr>
            <w:r>
              <w:rPr>
                <w:rFonts w:ascii="Arial" w:cs="Arial" w:eastAsia="Arial" w:hAnsi="Arial"/>
                <w:sz w:val="14"/>
                <w:szCs w:val="14"/>
                <w:color w:val="auto"/>
              </w:rPr>
              <w:t>Deferred revenue</w:t>
            </w:r>
          </w:p>
        </w:tc>
        <w:tc>
          <w:tcPr>
            <w:tcW w:w="240" w:type="dxa"/>
            <w:vAlign w:val="bottom"/>
            <w:tcBorders>
              <w:bottom w:val="single" w:sz="8" w:color="auto"/>
            </w:tcBorders>
          </w:tcPr>
          <w:p>
            <w:pPr>
              <w:spacing w:after="0"/>
              <w:rPr>
                <w:sz w:val="12"/>
                <w:szCs w:val="12"/>
                <w:color w:val="auto"/>
              </w:rPr>
            </w:pPr>
          </w:p>
        </w:tc>
        <w:tc>
          <w:tcPr>
            <w:tcW w:w="1600" w:type="dxa"/>
            <w:vAlign w:val="bottom"/>
            <w:tcBorders>
              <w:bottom w:val="single" w:sz="8" w:color="auto"/>
            </w:tcBorders>
          </w:tcPr>
          <w:p>
            <w:pPr>
              <w:jc w:val="right"/>
              <w:ind w:right="48"/>
              <w:spacing w:after="0" w:line="149" w:lineRule="exact"/>
              <w:rPr>
                <w:sz w:val="20"/>
                <w:szCs w:val="20"/>
                <w:color w:val="auto"/>
              </w:rPr>
            </w:pPr>
            <w:r>
              <w:rPr>
                <w:rFonts w:ascii="Arial" w:cs="Arial" w:eastAsia="Arial" w:hAnsi="Arial"/>
                <w:sz w:val="14"/>
                <w:szCs w:val="14"/>
                <w:color w:val="auto"/>
              </w:rPr>
              <w:t>(4,170)</w:t>
            </w:r>
          </w:p>
        </w:tc>
        <w:tc>
          <w:tcPr>
            <w:tcW w:w="240" w:type="dxa"/>
            <w:vAlign w:val="bottom"/>
            <w:tcBorders>
              <w:bottom w:val="single" w:sz="8" w:color="CCEEFF"/>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8"/>
              <w:spacing w:after="0" w:line="149" w:lineRule="exact"/>
              <w:rPr>
                <w:sz w:val="20"/>
                <w:szCs w:val="20"/>
                <w:color w:val="auto"/>
              </w:rPr>
            </w:pPr>
            <w:r>
              <w:rPr>
                <w:rFonts w:ascii="Arial" w:cs="Arial" w:eastAsia="Arial" w:hAnsi="Arial"/>
                <w:sz w:val="14"/>
                <w:szCs w:val="14"/>
                <w:color w:val="auto"/>
              </w:rPr>
              <w:t>(3,629)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640" w:type="dxa"/>
            <w:vAlign w:val="bottom"/>
            <w:shd w:val="clear" w:color="auto" w:fill="CCEEFF"/>
          </w:tcPr>
          <w:p>
            <w:pPr>
              <w:ind w:left="700"/>
              <w:spacing w:after="0" w:line="142" w:lineRule="exact"/>
              <w:rPr>
                <w:sz w:val="20"/>
                <w:szCs w:val="20"/>
                <w:color w:val="auto"/>
              </w:rPr>
            </w:pPr>
            <w:r>
              <w:rPr>
                <w:rFonts w:ascii="Arial" w:cs="Arial" w:eastAsia="Arial" w:hAnsi="Arial"/>
                <w:sz w:val="14"/>
                <w:szCs w:val="14"/>
                <w:color w:val="auto"/>
              </w:rPr>
              <w:t>Net cash provided by operating activities</w:t>
            </w:r>
          </w:p>
        </w:tc>
        <w:tc>
          <w:tcPr>
            <w:tcW w:w="240" w:type="dxa"/>
            <w:vAlign w:val="bottom"/>
            <w:shd w:val="clear" w:color="auto" w:fill="CCEEFF"/>
          </w:tcPr>
          <w:p>
            <w:pPr>
              <w:spacing w:after="0"/>
              <w:rPr>
                <w:sz w:val="12"/>
                <w:szCs w:val="12"/>
                <w:color w:val="auto"/>
              </w:rPr>
            </w:pPr>
          </w:p>
        </w:tc>
        <w:tc>
          <w:tcPr>
            <w:tcW w:w="1600" w:type="dxa"/>
            <w:vAlign w:val="bottom"/>
            <w:shd w:val="clear" w:color="auto" w:fill="CCEEFF"/>
          </w:tcPr>
          <w:p>
            <w:pPr>
              <w:jc w:val="right"/>
              <w:ind w:right="108"/>
              <w:spacing w:after="0" w:line="142" w:lineRule="exact"/>
              <w:rPr>
                <w:sz w:val="20"/>
                <w:szCs w:val="20"/>
                <w:color w:val="auto"/>
              </w:rPr>
            </w:pPr>
            <w:r>
              <w:rPr>
                <w:rFonts w:ascii="Arial" w:cs="Arial" w:eastAsia="Arial" w:hAnsi="Arial"/>
                <w:sz w:val="14"/>
                <w:szCs w:val="14"/>
                <w:color w:val="auto"/>
              </w:rPr>
              <w:t>218,049</w:t>
            </w: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68"/>
              <w:spacing w:after="0" w:line="142" w:lineRule="exact"/>
              <w:rPr>
                <w:sz w:val="20"/>
                <w:szCs w:val="20"/>
                <w:color w:val="auto"/>
              </w:rPr>
            </w:pPr>
            <w:r>
              <w:rPr>
                <w:rFonts w:ascii="Arial" w:cs="Arial" w:eastAsia="Arial" w:hAnsi="Arial"/>
                <w:sz w:val="14"/>
                <w:szCs w:val="14"/>
                <w:color w:val="auto"/>
              </w:rPr>
              <w:t>233,003</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7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FLOWS FROM INVESTING ACTIVITIES:</w:t>
            </w:r>
          </w:p>
        </w:tc>
        <w:tc>
          <w:tcPr>
            <w:tcW w:w="24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40" w:type="dxa"/>
            <w:vAlign w:val="bottom"/>
          </w:tcPr>
          <w:p>
            <w:pPr>
              <w:spacing w:after="0" w:line="149" w:lineRule="exact"/>
              <w:rPr>
                <w:sz w:val="20"/>
                <w:szCs w:val="20"/>
                <w:color w:val="auto"/>
              </w:rPr>
            </w:pPr>
            <w:r>
              <w:rPr>
                <w:rFonts w:ascii="Arial" w:cs="Arial" w:eastAsia="Arial" w:hAnsi="Arial"/>
                <w:sz w:val="14"/>
                <w:szCs w:val="14"/>
                <w:color w:val="auto"/>
              </w:rPr>
              <w:t>Maturities of held-to-maturity investments</w:t>
            </w:r>
          </w:p>
        </w:tc>
        <w:tc>
          <w:tcPr>
            <w:tcW w:w="240" w:type="dxa"/>
            <w:vAlign w:val="bottom"/>
          </w:tcPr>
          <w:p>
            <w:pPr>
              <w:spacing w:after="0"/>
              <w:rPr>
                <w:sz w:val="12"/>
                <w:szCs w:val="12"/>
                <w:color w:val="auto"/>
              </w:rPr>
            </w:pPr>
          </w:p>
        </w:tc>
        <w:tc>
          <w:tcPr>
            <w:tcW w:w="160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596,587</w:t>
            </w: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80" w:type="dxa"/>
            <w:vAlign w:val="bottom"/>
          </w:tcPr>
          <w:p>
            <w:pPr>
              <w:jc w:val="right"/>
              <w:ind w:right="68"/>
              <w:spacing w:after="0" w:line="149" w:lineRule="exact"/>
              <w:rPr>
                <w:sz w:val="20"/>
                <w:szCs w:val="20"/>
                <w:color w:val="auto"/>
              </w:rPr>
            </w:pPr>
            <w:r>
              <w:rPr>
                <w:rFonts w:ascii="Arial" w:cs="Arial" w:eastAsia="Arial" w:hAnsi="Arial"/>
                <w:sz w:val="14"/>
                <w:szCs w:val="14"/>
                <w:color w:val="auto"/>
              </w:rPr>
              <w:t>280,839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Sales of available-for-sale investments</w:t>
            </w:r>
          </w:p>
        </w:tc>
        <w:tc>
          <w:tcPr>
            <w:tcW w:w="240" w:type="dxa"/>
            <w:vAlign w:val="bottom"/>
            <w:shd w:val="clear" w:color="auto" w:fill="CCEEFF"/>
          </w:tcPr>
          <w:p>
            <w:pPr>
              <w:spacing w:after="0"/>
              <w:rPr>
                <w:sz w:val="12"/>
                <w:szCs w:val="12"/>
                <w:color w:val="auto"/>
              </w:rPr>
            </w:pPr>
          </w:p>
        </w:tc>
        <w:tc>
          <w:tcPr>
            <w:tcW w:w="160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61,950</w:t>
            </w: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22,658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40" w:type="dxa"/>
            <w:vAlign w:val="bottom"/>
          </w:tcPr>
          <w:p>
            <w:pPr>
              <w:spacing w:after="0" w:line="149" w:lineRule="exact"/>
              <w:rPr>
                <w:sz w:val="20"/>
                <w:szCs w:val="20"/>
                <w:color w:val="auto"/>
              </w:rPr>
            </w:pPr>
            <w:r>
              <w:rPr>
                <w:rFonts w:ascii="Arial" w:cs="Arial" w:eastAsia="Arial" w:hAnsi="Arial"/>
                <w:sz w:val="14"/>
                <w:szCs w:val="14"/>
                <w:color w:val="auto"/>
              </w:rPr>
              <w:t>Sales of trading investments</w:t>
            </w:r>
          </w:p>
        </w:tc>
        <w:tc>
          <w:tcPr>
            <w:tcW w:w="240" w:type="dxa"/>
            <w:vAlign w:val="bottom"/>
          </w:tcPr>
          <w:p>
            <w:pPr>
              <w:spacing w:after="0"/>
              <w:rPr>
                <w:sz w:val="12"/>
                <w:szCs w:val="12"/>
                <w:color w:val="auto"/>
              </w:rPr>
            </w:pPr>
          </w:p>
        </w:tc>
        <w:tc>
          <w:tcPr>
            <w:tcW w:w="160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16,765</w:t>
            </w: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80" w:type="dxa"/>
            <w:vAlign w:val="bottom"/>
          </w:tcPr>
          <w:p>
            <w:pPr>
              <w:jc w:val="right"/>
              <w:ind w:right="68"/>
              <w:spacing w:after="0" w:line="149" w:lineRule="exact"/>
              <w:rPr>
                <w:sz w:val="20"/>
                <w:szCs w:val="20"/>
                <w:color w:val="auto"/>
              </w:rPr>
            </w:pPr>
            <w:r>
              <w:rPr>
                <w:rFonts w:ascii="Arial" w:cs="Arial" w:eastAsia="Arial" w:hAnsi="Arial"/>
                <w:sz w:val="14"/>
                <w:szCs w:val="14"/>
                <w:color w:val="auto"/>
              </w:rPr>
              <w:t>30,975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Purchases of held-to-maturity investments</w:t>
            </w:r>
          </w:p>
        </w:tc>
        <w:tc>
          <w:tcPr>
            <w:tcW w:w="240" w:type="dxa"/>
            <w:vAlign w:val="bottom"/>
            <w:shd w:val="clear" w:color="auto" w:fill="CCEEFF"/>
          </w:tcPr>
          <w:p>
            <w:pPr>
              <w:spacing w:after="0"/>
              <w:rPr>
                <w:sz w:val="12"/>
                <w:szCs w:val="12"/>
                <w:color w:val="auto"/>
              </w:rPr>
            </w:pPr>
          </w:p>
        </w:tc>
        <w:tc>
          <w:tcPr>
            <w:tcW w:w="16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(557,168)</w:t>
            </w: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(449,116)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40" w:type="dxa"/>
            <w:vAlign w:val="bottom"/>
          </w:tcPr>
          <w:p>
            <w:pPr>
              <w:spacing w:after="0" w:line="149" w:lineRule="exact"/>
              <w:rPr>
                <w:sz w:val="20"/>
                <w:szCs w:val="20"/>
                <w:color w:val="auto"/>
              </w:rPr>
            </w:pPr>
            <w:r>
              <w:rPr>
                <w:rFonts w:ascii="Arial" w:cs="Arial" w:eastAsia="Arial" w:hAnsi="Arial"/>
                <w:sz w:val="14"/>
                <w:szCs w:val="14"/>
                <w:color w:val="auto"/>
              </w:rPr>
              <w:t>Purchases of available-for-sale investments</w:t>
            </w:r>
          </w:p>
        </w:tc>
        <w:tc>
          <w:tcPr>
            <w:tcW w:w="240" w:type="dxa"/>
            <w:vAlign w:val="bottom"/>
          </w:tcPr>
          <w:p>
            <w:pPr>
              <w:spacing w:after="0"/>
              <w:rPr>
                <w:sz w:val="12"/>
                <w:szCs w:val="12"/>
                <w:color w:val="auto"/>
              </w:rPr>
            </w:pPr>
          </w:p>
        </w:tc>
        <w:tc>
          <w:tcPr>
            <w:tcW w:w="1600" w:type="dxa"/>
            <w:vAlign w:val="bottom"/>
          </w:tcPr>
          <w:p>
            <w:pPr>
              <w:jc w:val="right"/>
              <w:ind w:right="48"/>
              <w:spacing w:after="0" w:line="149" w:lineRule="exact"/>
              <w:rPr>
                <w:sz w:val="20"/>
                <w:szCs w:val="20"/>
                <w:color w:val="auto"/>
              </w:rPr>
            </w:pPr>
            <w:r>
              <w:rPr>
                <w:rFonts w:ascii="Arial" w:cs="Arial" w:eastAsia="Arial" w:hAnsi="Arial"/>
                <w:sz w:val="14"/>
                <w:szCs w:val="14"/>
                <w:color w:val="auto"/>
              </w:rPr>
              <w:t>(9,502)</w:t>
            </w: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80" w:type="dxa"/>
            <w:vAlign w:val="bottom"/>
          </w:tcPr>
          <w:p>
            <w:pPr>
              <w:jc w:val="right"/>
              <w:ind w:right="8"/>
              <w:spacing w:after="0" w:line="149" w:lineRule="exact"/>
              <w:rPr>
                <w:sz w:val="20"/>
                <w:szCs w:val="20"/>
                <w:color w:val="auto"/>
              </w:rPr>
            </w:pPr>
            <w:r>
              <w:rPr>
                <w:rFonts w:ascii="Arial" w:cs="Arial" w:eastAsia="Arial" w:hAnsi="Arial"/>
                <w:sz w:val="14"/>
                <w:szCs w:val="14"/>
                <w:color w:val="auto"/>
              </w:rPr>
              <w:t>(33,312)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Purchases of property and equipment</w:t>
            </w:r>
          </w:p>
        </w:tc>
        <w:tc>
          <w:tcPr>
            <w:tcW w:w="240" w:type="dxa"/>
            <w:vAlign w:val="bottom"/>
            <w:shd w:val="clear" w:color="auto" w:fill="CCEEFF"/>
          </w:tcPr>
          <w:p>
            <w:pPr>
              <w:spacing w:after="0"/>
              <w:rPr>
                <w:sz w:val="12"/>
                <w:szCs w:val="12"/>
                <w:color w:val="auto"/>
              </w:rPr>
            </w:pPr>
          </w:p>
        </w:tc>
        <w:tc>
          <w:tcPr>
            <w:tcW w:w="16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(25,813)</w:t>
            </w: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(19,926)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40" w:type="dxa"/>
            <w:vAlign w:val="bottom"/>
          </w:tcPr>
          <w:p>
            <w:pPr>
              <w:spacing w:after="0" w:line="149" w:lineRule="exact"/>
              <w:rPr>
                <w:sz w:val="20"/>
                <w:szCs w:val="20"/>
                <w:color w:val="auto"/>
              </w:rPr>
            </w:pPr>
            <w:r>
              <w:rPr>
                <w:rFonts w:ascii="Arial" w:cs="Arial" w:eastAsia="Arial" w:hAnsi="Arial"/>
                <w:sz w:val="14"/>
                <w:szCs w:val="14"/>
                <w:color w:val="auto"/>
              </w:rPr>
              <w:t>Proceeds from sale of property and equipment</w:t>
            </w:r>
          </w:p>
        </w:tc>
        <w:tc>
          <w:tcPr>
            <w:tcW w:w="240" w:type="dxa"/>
            <w:vAlign w:val="bottom"/>
          </w:tcPr>
          <w:p>
            <w:pPr>
              <w:spacing w:after="0"/>
              <w:rPr>
                <w:sz w:val="12"/>
                <w:szCs w:val="12"/>
                <w:color w:val="auto"/>
              </w:rPr>
            </w:pPr>
          </w:p>
        </w:tc>
        <w:tc>
          <w:tcPr>
            <w:tcW w:w="160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238</w:t>
            </w: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80" w:type="dxa"/>
            <w:vAlign w:val="bottom"/>
          </w:tcPr>
          <w:p>
            <w:pPr>
              <w:jc w:val="right"/>
              <w:ind w:right="68"/>
              <w:spacing w:after="0" w:line="149" w:lineRule="exact"/>
              <w:rPr>
                <w:sz w:val="20"/>
                <w:szCs w:val="20"/>
                <w:color w:val="auto"/>
              </w:rPr>
            </w:pPr>
            <w:r>
              <w:rPr>
                <w:rFonts w:ascii="Arial" w:cs="Arial" w:eastAsia="Arial" w:hAnsi="Arial"/>
                <w:sz w:val="14"/>
                <w:szCs w:val="14"/>
                <w:color w:val="auto"/>
              </w:rPr>
              <w:t>349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Additions to intangibles</w:t>
            </w:r>
          </w:p>
        </w:tc>
        <w:tc>
          <w:tcPr>
            <w:tcW w:w="240" w:type="dxa"/>
            <w:vAlign w:val="bottom"/>
            <w:shd w:val="clear" w:color="auto" w:fill="CCEEFF"/>
          </w:tcPr>
          <w:p>
            <w:pPr>
              <w:spacing w:after="0"/>
              <w:rPr>
                <w:sz w:val="12"/>
                <w:szCs w:val="12"/>
                <w:color w:val="auto"/>
              </w:rPr>
            </w:pPr>
          </w:p>
        </w:tc>
        <w:tc>
          <w:tcPr>
            <w:tcW w:w="16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(4,490)</w:t>
            </w: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(4,190)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40" w:type="dxa"/>
            <w:vAlign w:val="bottom"/>
            <w:tcBorders>
              <w:bottom w:val="single" w:sz="8" w:color="CCEEFF"/>
            </w:tcBorders>
          </w:tcPr>
          <w:p>
            <w:pPr>
              <w:spacing w:after="0" w:line="149" w:lineRule="exact"/>
              <w:rPr>
                <w:sz w:val="20"/>
                <w:szCs w:val="20"/>
                <w:color w:val="auto"/>
              </w:rPr>
            </w:pPr>
            <w:r>
              <w:rPr>
                <w:rFonts w:ascii="Arial" w:cs="Arial" w:eastAsia="Arial" w:hAnsi="Arial"/>
                <w:sz w:val="14"/>
                <w:szCs w:val="14"/>
                <w:color w:val="auto"/>
              </w:rPr>
              <w:t>Decrease in other assets</w:t>
            </w:r>
          </w:p>
        </w:tc>
        <w:tc>
          <w:tcPr>
            <w:tcW w:w="240" w:type="dxa"/>
            <w:vAlign w:val="bottom"/>
            <w:tcBorders>
              <w:bottom w:val="single" w:sz="8" w:color="auto"/>
            </w:tcBorders>
          </w:tcPr>
          <w:p>
            <w:pPr>
              <w:spacing w:after="0"/>
              <w:rPr>
                <w:sz w:val="12"/>
                <w:szCs w:val="12"/>
                <w:color w:val="auto"/>
              </w:rPr>
            </w:pPr>
          </w:p>
        </w:tc>
        <w:tc>
          <w:tcPr>
            <w:tcW w:w="1600" w:type="dxa"/>
            <w:vAlign w:val="bottom"/>
            <w:tcBorders>
              <w:bottom w:val="single" w:sz="8" w:color="auto"/>
            </w:tcBorders>
          </w:tcPr>
          <w:p>
            <w:pPr>
              <w:jc w:val="right"/>
              <w:ind w:right="108"/>
              <w:spacing w:after="0" w:line="149" w:lineRule="exact"/>
              <w:rPr>
                <w:sz w:val="20"/>
                <w:szCs w:val="20"/>
                <w:color w:val="auto"/>
              </w:rPr>
            </w:pPr>
            <w:r>
              <w:rPr>
                <w:rFonts w:ascii="Arial" w:cs="Arial" w:eastAsia="Arial" w:hAnsi="Arial"/>
                <w:sz w:val="14"/>
                <w:szCs w:val="14"/>
                <w:color w:val="auto"/>
              </w:rPr>
              <w:t>385</w:t>
            </w:r>
          </w:p>
        </w:tc>
        <w:tc>
          <w:tcPr>
            <w:tcW w:w="240" w:type="dxa"/>
            <w:vAlign w:val="bottom"/>
            <w:tcBorders>
              <w:bottom w:val="single" w:sz="8" w:color="CCEEFF"/>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68"/>
              <w:spacing w:after="0" w:line="149" w:lineRule="exact"/>
              <w:rPr>
                <w:sz w:val="20"/>
                <w:szCs w:val="20"/>
                <w:color w:val="auto"/>
              </w:rPr>
            </w:pPr>
            <w:r>
              <w:rPr>
                <w:rFonts w:ascii="Arial" w:cs="Arial" w:eastAsia="Arial" w:hAnsi="Arial"/>
                <w:sz w:val="14"/>
                <w:szCs w:val="14"/>
                <w:color w:val="auto"/>
              </w:rPr>
              <w:t>1,061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640" w:type="dxa"/>
            <w:vAlign w:val="bottom"/>
            <w:shd w:val="clear" w:color="auto" w:fill="CCEEFF"/>
          </w:tcPr>
          <w:p>
            <w:pPr>
              <w:ind w:left="700"/>
              <w:spacing w:after="0" w:line="142" w:lineRule="exact"/>
              <w:rPr>
                <w:sz w:val="20"/>
                <w:szCs w:val="20"/>
                <w:color w:val="auto"/>
              </w:rPr>
            </w:pPr>
            <w:r>
              <w:rPr>
                <w:rFonts w:ascii="Arial" w:cs="Arial" w:eastAsia="Arial" w:hAnsi="Arial"/>
                <w:sz w:val="14"/>
                <w:szCs w:val="14"/>
                <w:color w:val="auto"/>
              </w:rPr>
              <w:t>Net cash provided by (used in) investing activities</w:t>
            </w:r>
          </w:p>
        </w:tc>
        <w:tc>
          <w:tcPr>
            <w:tcW w:w="240" w:type="dxa"/>
            <w:vAlign w:val="bottom"/>
            <w:shd w:val="clear" w:color="auto" w:fill="CCEEFF"/>
          </w:tcPr>
          <w:p>
            <w:pPr>
              <w:spacing w:after="0"/>
              <w:rPr>
                <w:sz w:val="12"/>
                <w:szCs w:val="12"/>
                <w:color w:val="auto"/>
              </w:rPr>
            </w:pPr>
          </w:p>
        </w:tc>
        <w:tc>
          <w:tcPr>
            <w:tcW w:w="1600" w:type="dxa"/>
            <w:vAlign w:val="bottom"/>
            <w:shd w:val="clear" w:color="auto" w:fill="CCEEFF"/>
          </w:tcPr>
          <w:p>
            <w:pPr>
              <w:jc w:val="right"/>
              <w:ind w:right="108"/>
              <w:spacing w:after="0" w:line="142" w:lineRule="exact"/>
              <w:rPr>
                <w:sz w:val="20"/>
                <w:szCs w:val="20"/>
                <w:color w:val="auto"/>
              </w:rPr>
            </w:pPr>
            <w:r>
              <w:rPr>
                <w:rFonts w:ascii="Arial" w:cs="Arial" w:eastAsia="Arial" w:hAnsi="Arial"/>
                <w:sz w:val="14"/>
                <w:szCs w:val="14"/>
                <w:color w:val="auto"/>
              </w:rPr>
              <w:t>78,952</w:t>
            </w: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rPr>
              <w:t>(170,662)</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7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FLOWS FROM FINANCING ACTIVITIES:</w:t>
            </w:r>
          </w:p>
        </w:tc>
        <w:tc>
          <w:tcPr>
            <w:tcW w:w="24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40" w:type="dxa"/>
            <w:vAlign w:val="bottom"/>
          </w:tcPr>
          <w:p>
            <w:pPr>
              <w:spacing w:after="0" w:line="149" w:lineRule="exact"/>
              <w:rPr>
                <w:sz w:val="20"/>
                <w:szCs w:val="20"/>
                <w:color w:val="auto"/>
              </w:rPr>
            </w:pPr>
            <w:r>
              <w:rPr>
                <w:rFonts w:ascii="Arial" w:cs="Arial" w:eastAsia="Arial" w:hAnsi="Arial"/>
                <w:sz w:val="14"/>
                <w:szCs w:val="14"/>
                <w:color w:val="auto"/>
              </w:rPr>
              <w:t>Principal payments on debt</w:t>
            </w:r>
          </w:p>
        </w:tc>
        <w:tc>
          <w:tcPr>
            <w:tcW w:w="240" w:type="dxa"/>
            <w:vAlign w:val="bottom"/>
          </w:tcPr>
          <w:p>
            <w:pPr>
              <w:spacing w:after="0"/>
              <w:rPr>
                <w:sz w:val="12"/>
                <w:szCs w:val="12"/>
                <w:color w:val="auto"/>
              </w:rPr>
            </w:pPr>
          </w:p>
        </w:tc>
        <w:tc>
          <w:tcPr>
            <w:tcW w:w="1600" w:type="dxa"/>
            <w:vAlign w:val="bottom"/>
          </w:tcPr>
          <w:p>
            <w:pPr>
              <w:jc w:val="right"/>
              <w:ind w:right="48"/>
              <w:spacing w:after="0" w:line="149" w:lineRule="exact"/>
              <w:rPr>
                <w:sz w:val="20"/>
                <w:szCs w:val="20"/>
                <w:color w:val="auto"/>
              </w:rPr>
            </w:pPr>
            <w:r>
              <w:rPr>
                <w:rFonts w:ascii="Arial" w:cs="Arial" w:eastAsia="Arial" w:hAnsi="Arial"/>
                <w:sz w:val="14"/>
                <w:szCs w:val="14"/>
                <w:color w:val="auto"/>
              </w:rPr>
              <w:t>(1,622)</w:t>
            </w: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80" w:type="dxa"/>
            <w:vAlign w:val="bottom"/>
          </w:tcPr>
          <w:p>
            <w:pPr>
              <w:jc w:val="right"/>
              <w:ind w:right="8"/>
              <w:spacing w:after="0" w:line="149" w:lineRule="exact"/>
              <w:rPr>
                <w:sz w:val="20"/>
                <w:szCs w:val="20"/>
                <w:color w:val="auto"/>
              </w:rPr>
            </w:pPr>
            <w:r>
              <w:rPr>
                <w:rFonts w:ascii="Arial" w:cs="Arial" w:eastAsia="Arial" w:hAnsi="Arial"/>
                <w:sz w:val="14"/>
                <w:szCs w:val="14"/>
                <w:color w:val="auto"/>
              </w:rPr>
              <w:t>(1,178)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Tax benefit from exercise of stock options</w:t>
            </w:r>
          </w:p>
        </w:tc>
        <w:tc>
          <w:tcPr>
            <w:tcW w:w="240" w:type="dxa"/>
            <w:vAlign w:val="bottom"/>
            <w:shd w:val="clear" w:color="auto" w:fill="CCEEFF"/>
          </w:tcPr>
          <w:p>
            <w:pPr>
              <w:spacing w:after="0"/>
              <w:rPr>
                <w:sz w:val="12"/>
                <w:szCs w:val="12"/>
                <w:color w:val="auto"/>
              </w:rPr>
            </w:pPr>
          </w:p>
        </w:tc>
        <w:tc>
          <w:tcPr>
            <w:tcW w:w="160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4,295</w:t>
            </w: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3,363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40" w:type="dxa"/>
            <w:vAlign w:val="bottom"/>
          </w:tcPr>
          <w:p>
            <w:pPr>
              <w:spacing w:after="0" w:line="149" w:lineRule="exact"/>
              <w:rPr>
                <w:sz w:val="20"/>
                <w:szCs w:val="20"/>
                <w:color w:val="auto"/>
              </w:rPr>
            </w:pPr>
            <w:r>
              <w:rPr>
                <w:rFonts w:ascii="Arial" w:cs="Arial" w:eastAsia="Arial" w:hAnsi="Arial"/>
                <w:sz w:val="14"/>
                <w:szCs w:val="14"/>
                <w:color w:val="auto"/>
              </w:rPr>
              <w:t>Issuance of common stock</w:t>
            </w:r>
          </w:p>
        </w:tc>
        <w:tc>
          <w:tcPr>
            <w:tcW w:w="240" w:type="dxa"/>
            <w:vAlign w:val="bottom"/>
          </w:tcPr>
          <w:p>
            <w:pPr>
              <w:spacing w:after="0"/>
              <w:rPr>
                <w:sz w:val="12"/>
                <w:szCs w:val="12"/>
                <w:color w:val="auto"/>
              </w:rPr>
            </w:pPr>
          </w:p>
        </w:tc>
        <w:tc>
          <w:tcPr>
            <w:tcW w:w="160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8,368</w:t>
            </w: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80" w:type="dxa"/>
            <w:vAlign w:val="bottom"/>
          </w:tcPr>
          <w:p>
            <w:pPr>
              <w:jc w:val="right"/>
              <w:ind w:right="68"/>
              <w:spacing w:after="0" w:line="149" w:lineRule="exact"/>
              <w:rPr>
                <w:sz w:val="20"/>
                <w:szCs w:val="20"/>
                <w:color w:val="auto"/>
              </w:rPr>
            </w:pPr>
            <w:r>
              <w:rPr>
                <w:rFonts w:ascii="Arial" w:cs="Arial" w:eastAsia="Arial" w:hAnsi="Arial"/>
                <w:sz w:val="14"/>
                <w:szCs w:val="14"/>
                <w:color w:val="auto"/>
              </w:rPr>
              <w:t>17,794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Purchases of common stock held in treasury</w:t>
            </w:r>
          </w:p>
        </w:tc>
        <w:tc>
          <w:tcPr>
            <w:tcW w:w="240" w:type="dxa"/>
            <w:vAlign w:val="bottom"/>
            <w:tcBorders>
              <w:bottom w:val="single" w:sz="8" w:color="auto"/>
            </w:tcBorders>
            <w:shd w:val="clear" w:color="auto" w:fill="CCEEFF"/>
          </w:tcPr>
          <w:p>
            <w:pPr>
              <w:spacing w:after="0"/>
              <w:rPr>
                <w:sz w:val="12"/>
                <w:szCs w:val="12"/>
                <w:color w:val="auto"/>
              </w:rPr>
            </w:pPr>
          </w:p>
        </w:tc>
        <w:tc>
          <w:tcPr>
            <w:tcW w:w="160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(386,776)</w:t>
            </w:r>
          </w:p>
        </w:tc>
        <w:tc>
          <w:tcPr>
            <w:tcW w:w="240" w:type="dxa"/>
            <w:vAlign w:val="bottom"/>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(149,043)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640" w:type="dxa"/>
            <w:vAlign w:val="bottom"/>
            <w:tcBorders>
              <w:bottom w:val="single" w:sz="8" w:color="CCEEFF"/>
            </w:tcBorders>
          </w:tcPr>
          <w:p>
            <w:pPr>
              <w:ind w:left="700"/>
              <w:spacing w:after="0" w:line="142" w:lineRule="exact"/>
              <w:rPr>
                <w:sz w:val="20"/>
                <w:szCs w:val="20"/>
                <w:color w:val="auto"/>
              </w:rPr>
            </w:pPr>
            <w:r>
              <w:rPr>
                <w:rFonts w:ascii="Arial" w:cs="Arial" w:eastAsia="Arial" w:hAnsi="Arial"/>
                <w:sz w:val="14"/>
                <w:szCs w:val="14"/>
                <w:color w:val="auto"/>
              </w:rPr>
              <w:t>Net cash used in financing activities</w:t>
            </w:r>
          </w:p>
        </w:tc>
        <w:tc>
          <w:tcPr>
            <w:tcW w:w="240" w:type="dxa"/>
            <w:vAlign w:val="bottom"/>
            <w:tcBorders>
              <w:bottom w:val="single" w:sz="8" w:color="auto"/>
            </w:tcBorders>
          </w:tcPr>
          <w:p>
            <w:pPr>
              <w:spacing w:after="0"/>
              <w:rPr>
                <w:sz w:val="12"/>
                <w:szCs w:val="12"/>
                <w:color w:val="auto"/>
              </w:rPr>
            </w:pPr>
          </w:p>
        </w:tc>
        <w:tc>
          <w:tcPr>
            <w:tcW w:w="1600" w:type="dxa"/>
            <w:vAlign w:val="bottom"/>
            <w:tcBorders>
              <w:bottom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rPr>
              <w:t>(375,735)</w:t>
            </w:r>
          </w:p>
        </w:tc>
        <w:tc>
          <w:tcPr>
            <w:tcW w:w="240" w:type="dxa"/>
            <w:vAlign w:val="bottom"/>
            <w:tcBorders>
              <w:bottom w:val="single" w:sz="8" w:color="CCEEFF"/>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8"/>
              <w:spacing w:after="0" w:line="142" w:lineRule="exact"/>
              <w:rPr>
                <w:sz w:val="20"/>
                <w:szCs w:val="20"/>
                <w:color w:val="auto"/>
              </w:rPr>
            </w:pPr>
            <w:r>
              <w:rPr>
                <w:rFonts w:ascii="Arial" w:cs="Arial" w:eastAsia="Arial" w:hAnsi="Arial"/>
                <w:sz w:val="14"/>
                <w:szCs w:val="14"/>
                <w:color w:val="auto"/>
              </w:rPr>
              <w:t>(129,064)</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7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640" w:type="dxa"/>
            <w:vAlign w:val="bottom"/>
          </w:tcPr>
          <w:p>
            <w:pPr>
              <w:spacing w:after="0" w:line="149" w:lineRule="exact"/>
              <w:rPr>
                <w:sz w:val="20"/>
                <w:szCs w:val="20"/>
                <w:color w:val="auto"/>
              </w:rPr>
            </w:pPr>
            <w:r>
              <w:rPr>
                <w:rFonts w:ascii="Arial" w:cs="Arial" w:eastAsia="Arial" w:hAnsi="Arial"/>
                <w:sz w:val="14"/>
                <w:szCs w:val="14"/>
                <w:color w:val="auto"/>
              </w:rPr>
              <w:t>Effect of exchange rate changes on cash and cash equivalents</w:t>
            </w:r>
          </w:p>
        </w:tc>
        <w:tc>
          <w:tcPr>
            <w:tcW w:w="240" w:type="dxa"/>
            <w:vAlign w:val="bottom"/>
          </w:tcPr>
          <w:p>
            <w:pPr>
              <w:spacing w:after="0"/>
              <w:rPr>
                <w:sz w:val="12"/>
                <w:szCs w:val="12"/>
                <w:color w:val="auto"/>
              </w:rPr>
            </w:pPr>
          </w:p>
        </w:tc>
        <w:tc>
          <w:tcPr>
            <w:tcW w:w="160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2,457</w:t>
            </w: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80" w:type="dxa"/>
            <w:vAlign w:val="bottom"/>
          </w:tcPr>
          <w:p>
            <w:pPr>
              <w:jc w:val="right"/>
              <w:ind w:right="8"/>
              <w:spacing w:after="0" w:line="149" w:lineRule="exact"/>
              <w:rPr>
                <w:sz w:val="20"/>
                <w:szCs w:val="20"/>
                <w:color w:val="auto"/>
              </w:rPr>
            </w:pPr>
            <w:r>
              <w:rPr>
                <w:rFonts w:ascii="Arial" w:cs="Arial" w:eastAsia="Arial" w:hAnsi="Arial"/>
                <w:sz w:val="14"/>
                <w:szCs w:val="14"/>
                <w:color w:val="auto"/>
              </w:rPr>
              <w:t>(962)</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7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640" w:type="dxa"/>
            <w:vAlign w:val="bottom"/>
          </w:tcPr>
          <w:p>
            <w:pPr>
              <w:spacing w:after="0" w:line="149" w:lineRule="exact"/>
              <w:rPr>
                <w:sz w:val="20"/>
                <w:szCs w:val="20"/>
                <w:color w:val="auto"/>
              </w:rPr>
            </w:pPr>
            <w:r>
              <w:rPr>
                <w:rFonts w:ascii="Arial" w:cs="Arial" w:eastAsia="Arial" w:hAnsi="Arial"/>
                <w:sz w:val="14"/>
                <w:szCs w:val="14"/>
                <w:color w:val="auto"/>
              </w:rPr>
              <w:t>NET DECREASE IN CASH AND CASH EQUIVALENTS</w:t>
            </w:r>
          </w:p>
        </w:tc>
        <w:tc>
          <w:tcPr>
            <w:tcW w:w="240" w:type="dxa"/>
            <w:vAlign w:val="bottom"/>
          </w:tcPr>
          <w:p>
            <w:pPr>
              <w:spacing w:after="0"/>
              <w:rPr>
                <w:sz w:val="12"/>
                <w:szCs w:val="12"/>
                <w:color w:val="auto"/>
              </w:rPr>
            </w:pPr>
          </w:p>
        </w:tc>
        <w:tc>
          <w:tcPr>
            <w:tcW w:w="1600" w:type="dxa"/>
            <w:vAlign w:val="bottom"/>
          </w:tcPr>
          <w:p>
            <w:pPr>
              <w:jc w:val="right"/>
              <w:ind w:right="48"/>
              <w:spacing w:after="0" w:line="149" w:lineRule="exact"/>
              <w:rPr>
                <w:sz w:val="20"/>
                <w:szCs w:val="20"/>
                <w:color w:val="auto"/>
              </w:rPr>
            </w:pPr>
            <w:r>
              <w:rPr>
                <w:rFonts w:ascii="Arial" w:cs="Arial" w:eastAsia="Arial" w:hAnsi="Arial"/>
                <w:sz w:val="14"/>
                <w:szCs w:val="14"/>
                <w:color w:val="auto"/>
              </w:rPr>
              <w:t>(76,277)</w:t>
            </w: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80" w:type="dxa"/>
            <w:vAlign w:val="bottom"/>
          </w:tcPr>
          <w:p>
            <w:pPr>
              <w:jc w:val="right"/>
              <w:ind w:right="8"/>
              <w:spacing w:after="0" w:line="149" w:lineRule="exact"/>
              <w:rPr>
                <w:sz w:val="20"/>
                <w:szCs w:val="20"/>
                <w:color w:val="auto"/>
              </w:rPr>
            </w:pPr>
            <w:r>
              <w:rPr>
                <w:rFonts w:ascii="Arial" w:cs="Arial" w:eastAsia="Arial" w:hAnsi="Arial"/>
                <w:sz w:val="14"/>
                <w:szCs w:val="14"/>
                <w:color w:val="auto"/>
              </w:rPr>
              <w:t>(67,685)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AND CASH EQUIVALENTS, beginning of period</w:t>
            </w:r>
          </w:p>
        </w:tc>
        <w:tc>
          <w:tcPr>
            <w:tcW w:w="240" w:type="dxa"/>
            <w:vAlign w:val="bottom"/>
            <w:tcBorders>
              <w:bottom w:val="single" w:sz="8" w:color="auto"/>
            </w:tcBorders>
            <w:shd w:val="clear" w:color="auto" w:fill="CCEEFF"/>
          </w:tcPr>
          <w:p>
            <w:pPr>
              <w:spacing w:after="0"/>
              <w:rPr>
                <w:sz w:val="12"/>
                <w:szCs w:val="12"/>
                <w:color w:val="auto"/>
              </w:rPr>
            </w:pPr>
          </w:p>
        </w:tc>
        <w:tc>
          <w:tcPr>
            <w:tcW w:w="1600" w:type="dxa"/>
            <w:vAlign w:val="bottom"/>
            <w:tcBorders>
              <w:bottom w:val="single" w:sz="8" w:color="auto"/>
            </w:tcBorders>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359,331</w:t>
            </w:r>
          </w:p>
        </w:tc>
        <w:tc>
          <w:tcPr>
            <w:tcW w:w="240" w:type="dxa"/>
            <w:vAlign w:val="bottom"/>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354,842</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64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color w:val="auto"/>
              </w:rPr>
              <w:t>CASH AND CASH EQUIVALENTS, end of period</w:t>
            </w:r>
          </w:p>
        </w:tc>
        <w:tc>
          <w:tcPr>
            <w:tcW w:w="2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600" w:type="dxa"/>
            <w:vAlign w:val="bottom"/>
            <w:tcBorders>
              <w:bottom w:val="single" w:sz="8" w:color="auto"/>
            </w:tcBorders>
          </w:tcPr>
          <w:p>
            <w:pPr>
              <w:jc w:val="right"/>
              <w:ind w:right="108"/>
              <w:spacing w:after="0" w:line="142" w:lineRule="exact"/>
              <w:rPr>
                <w:sz w:val="20"/>
                <w:szCs w:val="20"/>
                <w:color w:val="auto"/>
              </w:rPr>
            </w:pPr>
            <w:r>
              <w:rPr>
                <w:rFonts w:ascii="Arial" w:cs="Arial" w:eastAsia="Arial" w:hAnsi="Arial"/>
                <w:sz w:val="14"/>
                <w:szCs w:val="14"/>
                <w:color w:val="auto"/>
              </w:rPr>
              <w:t>283,054</w:t>
            </w:r>
          </w:p>
        </w:tc>
        <w:tc>
          <w:tcPr>
            <w:tcW w:w="24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tcPr>
          <w:p>
            <w:pPr>
              <w:ind w:left="160"/>
              <w:spacing w:after="0" w:line="142" w:lineRule="exact"/>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68"/>
              <w:spacing w:after="0" w:line="142" w:lineRule="exact"/>
              <w:rPr>
                <w:sz w:val="20"/>
                <w:szCs w:val="20"/>
                <w:color w:val="auto"/>
              </w:rPr>
            </w:pPr>
            <w:r>
              <w:rPr>
                <w:rFonts w:ascii="Arial" w:cs="Arial" w:eastAsia="Arial" w:hAnsi="Arial"/>
                <w:sz w:val="14"/>
                <w:szCs w:val="14"/>
                <w:color w:val="auto"/>
              </w:rPr>
              <w:t>287,157</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76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640" w:type="dxa"/>
            <w:vAlign w:val="bottom"/>
          </w:tcPr>
          <w:p>
            <w:pPr>
              <w:spacing w:after="0" w:line="149" w:lineRule="exact"/>
              <w:rPr>
                <w:sz w:val="20"/>
                <w:szCs w:val="20"/>
                <w:color w:val="auto"/>
              </w:rPr>
            </w:pPr>
            <w:r>
              <w:rPr>
                <w:rFonts w:ascii="Arial" w:cs="Arial" w:eastAsia="Arial" w:hAnsi="Arial"/>
                <w:sz w:val="14"/>
                <w:szCs w:val="14"/>
                <w:color w:val="auto"/>
              </w:rPr>
              <w:t>SUPPLEMENTAL INFORMATION:</w:t>
            </w:r>
          </w:p>
        </w:tc>
        <w:tc>
          <w:tcPr>
            <w:tcW w:w="2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4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Cash paid during the period for:</w:t>
            </w:r>
          </w:p>
        </w:tc>
        <w:tc>
          <w:tcPr>
            <w:tcW w:w="24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640" w:type="dxa"/>
            <w:vAlign w:val="bottom"/>
            <w:tcBorders>
              <w:bottom w:val="single" w:sz="8" w:color="CCEEFF"/>
            </w:tcBorders>
          </w:tcPr>
          <w:p>
            <w:pPr>
              <w:ind w:left="160"/>
              <w:spacing w:after="0" w:line="149" w:lineRule="exact"/>
              <w:rPr>
                <w:sz w:val="20"/>
                <w:szCs w:val="20"/>
                <w:color w:val="auto"/>
              </w:rPr>
            </w:pPr>
            <w:r>
              <w:rPr>
                <w:rFonts w:ascii="Arial" w:cs="Arial" w:eastAsia="Arial" w:hAnsi="Arial"/>
                <w:sz w:val="14"/>
                <w:szCs w:val="14"/>
                <w:color w:val="auto"/>
              </w:rPr>
              <w:t>Interest</w:t>
            </w:r>
          </w:p>
        </w:tc>
        <w:tc>
          <w:tcPr>
            <w:tcW w:w="2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600" w:type="dxa"/>
            <w:vAlign w:val="bottom"/>
            <w:tcBorders>
              <w:bottom w:val="single" w:sz="8" w:color="auto"/>
            </w:tcBorders>
          </w:tcPr>
          <w:p>
            <w:pPr>
              <w:jc w:val="right"/>
              <w:ind w:right="108"/>
              <w:spacing w:after="0" w:line="149" w:lineRule="exact"/>
              <w:rPr>
                <w:sz w:val="20"/>
                <w:szCs w:val="20"/>
                <w:color w:val="auto"/>
              </w:rPr>
            </w:pPr>
            <w:r>
              <w:rPr>
                <w:rFonts w:ascii="Arial" w:cs="Arial" w:eastAsia="Arial" w:hAnsi="Arial"/>
                <w:sz w:val="14"/>
                <w:szCs w:val="14"/>
                <w:color w:val="auto"/>
              </w:rPr>
              <w:t>40</w:t>
            </w:r>
          </w:p>
        </w:tc>
        <w:tc>
          <w:tcPr>
            <w:tcW w:w="240" w:type="dxa"/>
            <w:vAlign w:val="bottom"/>
            <w:tcBorders>
              <w:bottom w:val="single" w:sz="8" w:color="CCEEFF"/>
            </w:tcBorders>
          </w:tcPr>
          <w:p>
            <w:pPr>
              <w:spacing w:after="0"/>
              <w:rPr>
                <w:sz w:val="16"/>
                <w:szCs w:val="16"/>
                <w:color w:val="auto"/>
              </w:rPr>
            </w:pPr>
          </w:p>
        </w:tc>
        <w:tc>
          <w:tcPr>
            <w:tcW w:w="700" w:type="dxa"/>
            <w:vAlign w:val="bottom"/>
            <w:tcBorders>
              <w:bottom w:val="single" w:sz="8" w:color="auto"/>
            </w:tcBorders>
          </w:tcPr>
          <w:p>
            <w:pPr>
              <w:ind w:left="160"/>
              <w:spacing w:after="0" w:line="149" w:lineRule="exact"/>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68"/>
              <w:spacing w:after="0" w:line="149" w:lineRule="exact"/>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640" w:type="dxa"/>
            <w:vAlign w:val="bottom"/>
            <w:tcBorders>
              <w:bottom w:val="single" w:sz="8" w:color="CCEEFF"/>
            </w:tcBorders>
            <w:shd w:val="clear" w:color="auto" w:fill="CCEEFF"/>
          </w:tcPr>
          <w:p>
            <w:pPr>
              <w:ind w:left="160"/>
              <w:spacing w:after="0" w:line="129" w:lineRule="exact"/>
              <w:rPr>
                <w:sz w:val="20"/>
                <w:szCs w:val="20"/>
                <w:color w:val="auto"/>
              </w:rPr>
            </w:pPr>
            <w:r>
              <w:rPr>
                <w:rFonts w:ascii="Arial" w:cs="Arial" w:eastAsia="Arial" w:hAnsi="Arial"/>
                <w:sz w:val="14"/>
                <w:szCs w:val="14"/>
                <w:color w:val="auto"/>
              </w:rPr>
              <w:t>Income taxes</w:t>
            </w:r>
          </w:p>
        </w:tc>
        <w:tc>
          <w:tcPr>
            <w:tcW w:w="2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w:t>
            </w:r>
          </w:p>
        </w:tc>
        <w:tc>
          <w:tcPr>
            <w:tcW w:w="1600" w:type="dxa"/>
            <w:vAlign w:val="bottom"/>
            <w:tcBorders>
              <w:bottom w:val="single" w:sz="8" w:color="auto"/>
            </w:tcBorders>
            <w:shd w:val="clear" w:color="auto" w:fill="CCEEFF"/>
          </w:tcPr>
          <w:p>
            <w:pPr>
              <w:jc w:val="right"/>
              <w:ind w:right="108"/>
              <w:spacing w:after="0" w:line="129" w:lineRule="exact"/>
              <w:rPr>
                <w:sz w:val="20"/>
                <w:szCs w:val="20"/>
                <w:color w:val="auto"/>
              </w:rPr>
            </w:pPr>
            <w:r>
              <w:rPr>
                <w:rFonts w:ascii="Arial" w:cs="Arial" w:eastAsia="Arial" w:hAnsi="Arial"/>
                <w:sz w:val="14"/>
                <w:szCs w:val="14"/>
                <w:color w:val="auto"/>
              </w:rPr>
              <w:t>184,451</w:t>
            </w:r>
          </w:p>
        </w:tc>
        <w:tc>
          <w:tcPr>
            <w:tcW w:w="24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ind w:left="160"/>
              <w:spacing w:after="0" w:line="129" w:lineRule="exact"/>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68"/>
              <w:spacing w:after="0" w:line="129" w:lineRule="exact"/>
              <w:rPr>
                <w:sz w:val="20"/>
                <w:szCs w:val="20"/>
                <w:color w:val="auto"/>
              </w:rPr>
            </w:pPr>
            <w:r>
              <w:rPr>
                <w:rFonts w:ascii="Arial" w:cs="Arial" w:eastAsia="Arial" w:hAnsi="Arial"/>
                <w:sz w:val="14"/>
                <w:szCs w:val="14"/>
                <w:color w:val="auto"/>
              </w:rPr>
              <w:t>115,701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84" w:orient="portrait"/>
          <w:cols w:equalWidth="0" w:num="1">
            <w:col w:w="11420"/>
          </w:cols>
          <w:pgMar w:left="240" w:top="341" w:right="239" w:bottom="0" w:gutter="0" w:footer="0" w:header="0"/>
        </w:sectPr>
      </w:pPr>
    </w:p>
    <w:bookmarkStart w:id="4" w:name="page5"/>
    <w:bookmarkEnd w:id="4"/>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4820"/>
        <w:spacing w:after="0" w:line="239" w:lineRule="auto"/>
        <w:rPr>
          <w:sz w:val="20"/>
          <w:szCs w:val="20"/>
          <w:color w:val="auto"/>
        </w:rPr>
      </w:pPr>
      <w:r>
        <w:rPr>
          <w:rFonts w:ascii="Arial" w:cs="Arial" w:eastAsia="Arial" w:hAnsi="Arial"/>
          <w:sz w:val="22"/>
          <w:szCs w:val="22"/>
          <w:b w:val="1"/>
          <w:bCs w:val="1"/>
          <w:color w:val="auto"/>
        </w:rPr>
        <w:t>MONSTER BEVERAGE CORPORATION AND SUBSIDIARIES CONDENSED CONSOLIDATED STATEMENTS OF CASH FLOWS FOR THE NINE-MONTHS ENDED SEPTEMBER 30, 2012 AND 2011 (In Thousands) (Unaudited)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color w:val="auto"/>
        </w:rPr>
        <w:t>SUPPLEMENTAL DISCLOSURE OF NON-CASH ITEMS</w:t>
      </w:r>
    </w:p>
    <w:p>
      <w:pPr>
        <w:spacing w:after="0" w:line="211" w:lineRule="exact"/>
        <w:rPr>
          <w:sz w:val="20"/>
          <w:szCs w:val="20"/>
          <w:color w:val="auto"/>
        </w:rPr>
      </w:pPr>
    </w:p>
    <w:p>
      <w:pPr>
        <w:ind w:firstLine="648"/>
        <w:spacing w:after="0" w:line="251" w:lineRule="auto"/>
        <w:rPr>
          <w:sz w:val="20"/>
          <w:szCs w:val="20"/>
          <w:color w:val="auto"/>
        </w:rPr>
      </w:pPr>
      <w:r>
        <w:rPr>
          <w:rFonts w:ascii="Arial" w:cs="Arial" w:eastAsia="Arial" w:hAnsi="Arial"/>
          <w:sz w:val="22"/>
          <w:szCs w:val="22"/>
          <w:color w:val="auto"/>
        </w:rPr>
        <w:t>The Company entered into capital leases for the acquisition of promotional vehicles of $1.4 million and $2.1 million for the nine-months ended September 30, 2012 and 2011, respectively.</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Included in accounts payable as of September 30, 2012 are treasury stock purchases of $10.7 million.</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MONSTER BEVERAGE CORPORATION AND SUBSIDIARIES</w:t>
      </w:r>
    </w:p>
    <w:p>
      <w:pPr>
        <w:spacing w:after="0" w:line="14" w:lineRule="exact"/>
        <w:rPr>
          <w:sz w:val="20"/>
          <w:szCs w:val="20"/>
          <w:color w:val="auto"/>
        </w:rPr>
      </w:pPr>
    </w:p>
    <w:p>
      <w:pPr>
        <w:ind w:right="4340"/>
        <w:spacing w:after="0" w:line="308"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85" w:lineRule="exact"/>
        <w:rPr>
          <w:sz w:val="20"/>
          <w:szCs w:val="20"/>
          <w:color w:val="auto"/>
        </w:rPr>
      </w:pPr>
    </w:p>
    <w:p>
      <w:pPr>
        <w:ind w:left="660" w:hanging="652"/>
        <w:spacing w:after="0"/>
        <w:tabs>
          <w:tab w:leader="none" w:pos="660" w:val="left"/>
        </w:tabs>
        <w:numPr>
          <w:ilvl w:val="0"/>
          <w:numId w:val="1"/>
        </w:numPr>
        <w:rPr>
          <w:rFonts w:ascii="Arial" w:cs="Arial" w:eastAsia="Arial" w:hAnsi="Arial"/>
          <w:sz w:val="22"/>
          <w:szCs w:val="22"/>
          <w:color w:val="auto"/>
        </w:rPr>
      </w:pPr>
      <w:r>
        <w:rPr>
          <w:rFonts w:ascii="Arial" w:cs="Arial" w:eastAsia="Arial" w:hAnsi="Arial"/>
          <w:sz w:val="22"/>
          <w:szCs w:val="22"/>
          <w:color w:val="auto"/>
        </w:rPr>
        <w:t>BASIS OF PRESENTATION</w:t>
      </w:r>
    </w:p>
    <w:p>
      <w:pPr>
        <w:spacing w:after="0" w:line="233"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Reference is made to the Notes to Consolidated Financial Statements, in Monster Beverage Corporation and Subsidiaries (the “Company” or, in reference to the Company’s former name, “Hansen Natural Corporation”) Annual Report on Form 10-K for the year ended December 31, 2011 (“Form 10-K”) for a summary of significant accounting policies utilized by the Company and its consolidated subsidiaries and other disclosures, which should be read in conjunction with this Quarterly Report on Form 10-Q (“Form 10-Q”).</w:t>
      </w:r>
    </w:p>
    <w:p>
      <w:pPr>
        <w:spacing w:after="0" w:line="21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9"/>
          <w:szCs w:val="19"/>
          <w:color w:val="auto"/>
        </w:rPr>
        <w:t>The Company’s condensed consolidated financial statements included in this Form 10-Q have been prepared in accordance with accounting principles generally accepted in the United States of America (“GAAP”) and Securities and Exchange Commission (“SEC”) rules and regulations applicable to interim financial reporting. They do not include all the information and footnote disclosures normally included in annual financial statements prepared in accordance with GAAP. The information set forth in these interim condensed consolidated financial statements for the three- and nine-months ended September 30, 2012 and 2011 is unaudited and reflects all adjustments, which include only normal recurring adjustments and which in the opinion of management are necessary to make the interim condensed consolidated financial statements not misleading. Results of operations for periods covered by this report may not necessarily be indicative of results of operations for the full year.</w:t>
      </w:r>
    </w:p>
    <w:p>
      <w:pPr>
        <w:spacing w:after="0" w:line="185"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The preparation of financial statements in conformity with GAAP necessarily requires management to make estimates and assumptions that affect the reported amount of assets and liabilities and disclosure of contingent assets and liabilities at the date of the financial statements and the reported amounts of revenues and expenses during the reporting periods. Actual results could differ from these estimates.</w:t>
      </w:r>
    </w:p>
    <w:p>
      <w:pPr>
        <w:spacing w:after="0" w:line="21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9"/>
          <w:szCs w:val="19"/>
          <w:color w:val="auto"/>
        </w:rPr>
        <w:t>As disclosed in the Company’s Form 10-K, management concluded that its presentation of accounts receivable, net of certain promotional allowances as of December 31, 2010, should be adjusted to present such receivables and accrued expenses on a gross basis with regard to those customers for which the Company does not allow net settlement. Such adjustment did not change total net cash provided by operating activities in the condensed consolidated statement of cash flows for the nine-months ended September 30, 2011. However, the following line items within net cash flows from operating activities were adjusted for the nine-months ended September 30, 2011 (cash used in operating activities in parentheses); (i) accounts receivable by ($30.5) million;</w:t>
      </w:r>
    </w:p>
    <w:p>
      <w:pPr>
        <w:spacing w:after="0" w:line="2" w:lineRule="exact"/>
        <w:rPr>
          <w:sz w:val="20"/>
          <w:szCs w:val="20"/>
          <w:color w:val="auto"/>
        </w:rPr>
      </w:pPr>
    </w:p>
    <w:p>
      <w:pPr>
        <w:jc w:val="both"/>
        <w:ind w:firstLine="8"/>
        <w:spacing w:after="0" w:line="234" w:lineRule="auto"/>
        <w:tabs>
          <w:tab w:leader="none" w:pos="331" w:val="left"/>
        </w:tabs>
        <w:numPr>
          <w:ilvl w:val="0"/>
          <w:numId w:val="2"/>
        </w:numPr>
        <w:rPr>
          <w:rFonts w:ascii="Arial" w:cs="Arial" w:eastAsia="Arial" w:hAnsi="Arial"/>
          <w:sz w:val="22"/>
          <w:szCs w:val="22"/>
          <w:color w:val="auto"/>
        </w:rPr>
      </w:pPr>
      <w:r>
        <w:rPr>
          <w:rFonts w:ascii="Arial" w:cs="Arial" w:eastAsia="Arial" w:hAnsi="Arial"/>
          <w:sz w:val="22"/>
          <w:szCs w:val="22"/>
          <w:color w:val="auto"/>
        </w:rPr>
        <w:t>accounts payable by $32.8 million; (iii) accrued liabilities by $3.9 million; and (iv) accrued promotional allowances by ($6.2) million. (See Item 2, “Management’s Discussion and Analysis of Financial Condition and Results of Operations – Results of Operations” for additional discussion of the Company’s promotional allowances).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ectPr>
          <w:pgSz w:w="11900" w:h="16838" w:orient="portrait"/>
          <w:cols w:equalWidth="0" w:num="1">
            <w:col w:w="11420"/>
          </w:cols>
          <w:pgMar w:left="240" w:top="341" w:right="239" w:bottom="0" w:gutter="0" w:footer="0" w:header="0"/>
        </w:sectPr>
      </w:pPr>
    </w:p>
    <w:bookmarkStart w:id="5" w:name="page6"/>
    <w:bookmarkEnd w:id="5"/>
    <w:p>
      <w:pPr>
        <w:spacing w:after="0" w:line="6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MONSTER BEVERAGE CORPORATION AND SUBSIDIARIES</w:t>
      </w:r>
    </w:p>
    <w:p>
      <w:pPr>
        <w:spacing w:after="0" w:line="15" w:lineRule="exact"/>
        <w:rPr>
          <w:sz w:val="20"/>
          <w:szCs w:val="20"/>
          <w:color w:val="auto"/>
        </w:rPr>
      </w:pPr>
    </w:p>
    <w:p>
      <w:pPr>
        <w:ind w:right="4340"/>
        <w:spacing w:after="0" w:line="308"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44" w:lineRule="exact"/>
        <w:rPr>
          <w:sz w:val="20"/>
          <w:szCs w:val="20"/>
          <w:color w:val="auto"/>
        </w:rPr>
      </w:pPr>
    </w:p>
    <w:p>
      <w:pPr>
        <w:ind w:left="660" w:hanging="652"/>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22"/>
          <w:szCs w:val="22"/>
          <w:color w:val="auto"/>
        </w:rPr>
        <w:t>RECENT ACCOUNTING PRONOUNCEMENTS</w:t>
      </w:r>
    </w:p>
    <w:p>
      <w:pPr>
        <w:spacing w:after="0" w:line="233"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9"/>
          <w:szCs w:val="19"/>
          <w:color w:val="auto"/>
        </w:rPr>
        <w:t>In July 2012, the Financial Accounting Standards Board (the “FASB”) issued Accounting Standards Update (“ASU”) No. 2012-02, “Intangibles-Goodwill and Other (Topic 350): Testing Indefinite-Lived Intangible Assets for Impairment.” ASU 2012-02 permits entities to assess qualitative factors first in determining whether the existence of events and circumstances indicates that it is more likely than not that the indefinite-lived intangible asset is impaired. If, after assessing the totality of events and circumstances, an entity concludes that it is not more likely than not that the indefinite-lived intangible asset is impaired, no further analysis would be required. The guidance is effective for annual and interim impairment tests performed for fiscal years beginning after September 15, 2012, with early adoption permitted. The adoption of ASU 2012-02 will not have a material impact on the Company’s financial position, results of operations or liquidity.</w:t>
      </w:r>
    </w:p>
    <w:p>
      <w:pPr>
        <w:spacing w:after="0" w:line="185"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1"/>
          <w:szCs w:val="21"/>
          <w:color w:val="auto"/>
        </w:rPr>
        <w:t>In June 2011, the FASB issued ASU No. 2011-05, “Presentation of Comprehensive Income.” ASU 2011-05 eliminates the option to report other comprehensive income and its components in the statement of changes in stockholders’ equity and requires an entity to present the total of comprehensive income, the components of net income and the components of other comprehensive income either in a single continuous statement or in two separate but consecutive statements. ASU 2011-05 became effective for the Company on January 1, 2012. The adoption of ASU 2011-05 did not have any impact on the Company’s financial position, results of operations or liquidity.</w:t>
      </w:r>
    </w:p>
    <w:p>
      <w:pPr>
        <w:spacing w:after="0" w:line="20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9"/>
          <w:szCs w:val="19"/>
          <w:color w:val="auto"/>
        </w:rPr>
        <w:t>In May 2011, the FASB issued ASU No. 2011-04, “Amendments to Achieve Common Fair Value Measurement and Disclosure Requirements in U.S. GAAP and IFRS.” This pronouncement was issued to provide a consistent definition of fair value and ensure that the fair value measurement and disclosure requirements are similar between U.S. GAAP and International Financial Reporting Standards (“IFRS”). ASU 2011-04 changes certain fair value measurement principles and enhances the disclosure requirements particularly for level 3 fair value measurements. ASU 2011-04 became effective for the Company on January 1, 2012. The adoption of ASU 2011-04 did not have any impact on the Company’s financial position, results of operations or liquidity.</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MONSTER BEVERAGE CORPORATION AND SUBSIDIARIES</w:t>
      </w:r>
    </w:p>
    <w:p>
      <w:pPr>
        <w:spacing w:after="0" w:line="14" w:lineRule="exact"/>
        <w:rPr>
          <w:sz w:val="20"/>
          <w:szCs w:val="20"/>
          <w:color w:val="auto"/>
        </w:rPr>
      </w:pPr>
    </w:p>
    <w:p>
      <w:pPr>
        <w:ind w:right="4340"/>
        <w:spacing w:after="0" w:line="308"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58" w:lineRule="exact"/>
        <w:rPr>
          <w:sz w:val="20"/>
          <w:szCs w:val="20"/>
          <w:color w:val="auto"/>
        </w:rPr>
      </w:pPr>
    </w:p>
    <w:p>
      <w:pPr>
        <w:ind w:left="660" w:hanging="652"/>
        <w:spacing w:after="0"/>
        <w:tabs>
          <w:tab w:leader="none" w:pos="660" w:val="left"/>
        </w:tabs>
        <w:numPr>
          <w:ilvl w:val="0"/>
          <w:numId w:val="4"/>
        </w:numPr>
        <w:rPr>
          <w:rFonts w:ascii="Arial" w:cs="Arial" w:eastAsia="Arial" w:hAnsi="Arial"/>
          <w:sz w:val="22"/>
          <w:szCs w:val="22"/>
          <w:color w:val="auto"/>
        </w:rPr>
      </w:pPr>
      <w:r>
        <w:rPr>
          <w:rFonts w:ascii="Arial" w:cs="Arial" w:eastAsia="Arial" w:hAnsi="Arial"/>
          <w:sz w:val="22"/>
          <w:szCs w:val="22"/>
          <w:color w:val="auto"/>
        </w:rPr>
        <w:t>INVESTMENTS</w:t>
      </w:r>
    </w:p>
    <w:p>
      <w:pPr>
        <w:spacing w:after="0" w:line="206" w:lineRule="exact"/>
        <w:rPr>
          <w:rFonts w:ascii="Arial" w:cs="Arial" w:eastAsia="Arial" w:hAnsi="Arial"/>
          <w:sz w:val="22"/>
          <w:szCs w:val="22"/>
          <w:color w:val="auto"/>
        </w:rPr>
      </w:pPr>
    </w:p>
    <w:p>
      <w:pPr>
        <w:ind w:left="660"/>
        <w:spacing w:after="0"/>
        <w:rPr>
          <w:rFonts w:ascii="Arial" w:cs="Arial" w:eastAsia="Arial" w:hAnsi="Arial"/>
          <w:sz w:val="22"/>
          <w:szCs w:val="22"/>
          <w:color w:val="auto"/>
        </w:rPr>
      </w:pPr>
      <w:r>
        <w:rPr>
          <w:rFonts w:ascii="Arial" w:cs="Arial" w:eastAsia="Arial" w:hAnsi="Arial"/>
          <w:sz w:val="22"/>
          <w:szCs w:val="22"/>
          <w:color w:val="auto"/>
        </w:rPr>
        <w:t>The following table summarizes the Company’s investments at:</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jc w:val="center"/>
              <w:ind w:left="83"/>
              <w:spacing w:after="0"/>
              <w:rPr>
                <w:sz w:val="20"/>
                <w:szCs w:val="20"/>
                <w:color w:val="auto"/>
              </w:rPr>
            </w:pPr>
            <w:r>
              <w:rPr>
                <w:rFonts w:ascii="Arial" w:cs="Arial" w:eastAsia="Arial" w:hAnsi="Arial"/>
                <w:sz w:val="15"/>
                <w:szCs w:val="15"/>
                <w:color w:val="auto"/>
                <w:w w:val="94"/>
              </w:rPr>
              <w:t>Continuous</w:t>
            </w: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jc w:val="center"/>
              <w:ind w:left="23"/>
              <w:spacing w:after="0"/>
              <w:rPr>
                <w:sz w:val="20"/>
                <w:szCs w:val="20"/>
                <w:color w:val="auto"/>
              </w:rPr>
            </w:pPr>
            <w:r>
              <w:rPr>
                <w:rFonts w:ascii="Arial" w:cs="Arial" w:eastAsia="Arial" w:hAnsi="Arial"/>
                <w:sz w:val="15"/>
                <w:szCs w:val="15"/>
                <w:color w:val="auto"/>
                <w:w w:val="92"/>
              </w:rPr>
              <w:t>Continuous</w:t>
            </w: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jc w:val="center"/>
              <w:ind w:right="480"/>
              <w:spacing w:after="0" w:line="162" w:lineRule="exact"/>
              <w:rPr>
                <w:sz w:val="20"/>
                <w:szCs w:val="20"/>
                <w:color w:val="auto"/>
              </w:rPr>
            </w:pPr>
            <w:r>
              <w:rPr>
                <w:rFonts w:ascii="Arial" w:cs="Arial" w:eastAsia="Arial" w:hAnsi="Arial"/>
                <w:sz w:val="15"/>
                <w:szCs w:val="15"/>
                <w:color w:val="auto"/>
                <w:w w:val="89"/>
              </w:rPr>
              <w:t>Gross</w:t>
            </w:r>
          </w:p>
        </w:tc>
        <w:tc>
          <w:tcPr>
            <w:tcW w:w="160" w:type="dxa"/>
            <w:vAlign w:val="bottom"/>
          </w:tcPr>
          <w:p>
            <w:pPr>
              <w:spacing w:after="0"/>
              <w:rPr>
                <w:sz w:val="14"/>
                <w:szCs w:val="14"/>
                <w:color w:val="auto"/>
              </w:rPr>
            </w:pPr>
          </w:p>
        </w:tc>
        <w:tc>
          <w:tcPr>
            <w:tcW w:w="1160" w:type="dxa"/>
            <w:vAlign w:val="bottom"/>
            <w:gridSpan w:val="2"/>
          </w:tcPr>
          <w:p>
            <w:pPr>
              <w:jc w:val="center"/>
              <w:ind w:right="480"/>
              <w:spacing w:after="0" w:line="162" w:lineRule="exact"/>
              <w:rPr>
                <w:sz w:val="20"/>
                <w:szCs w:val="20"/>
                <w:color w:val="auto"/>
              </w:rPr>
            </w:pPr>
            <w:r>
              <w:rPr>
                <w:rFonts w:ascii="Arial" w:cs="Arial" w:eastAsia="Arial" w:hAnsi="Arial"/>
                <w:sz w:val="15"/>
                <w:szCs w:val="15"/>
                <w:color w:val="auto"/>
                <w:w w:val="89"/>
              </w:rPr>
              <w:t>Gross</w:t>
            </w: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center"/>
              <w:ind w:left="83"/>
              <w:spacing w:after="0" w:line="162" w:lineRule="exact"/>
              <w:rPr>
                <w:sz w:val="20"/>
                <w:szCs w:val="20"/>
                <w:color w:val="auto"/>
              </w:rPr>
            </w:pPr>
            <w:r>
              <w:rPr>
                <w:rFonts w:ascii="Arial" w:cs="Arial" w:eastAsia="Arial" w:hAnsi="Arial"/>
                <w:sz w:val="15"/>
                <w:szCs w:val="15"/>
                <w:color w:val="auto"/>
                <w:w w:val="94"/>
              </w:rPr>
              <w:t>Unrealized</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jc w:val="center"/>
              <w:ind w:left="3"/>
              <w:spacing w:after="0" w:line="162" w:lineRule="exact"/>
              <w:rPr>
                <w:sz w:val="20"/>
                <w:szCs w:val="20"/>
                <w:color w:val="auto"/>
              </w:rPr>
            </w:pPr>
            <w:r>
              <w:rPr>
                <w:rFonts w:ascii="Arial" w:cs="Arial" w:eastAsia="Arial" w:hAnsi="Arial"/>
                <w:sz w:val="15"/>
                <w:szCs w:val="15"/>
                <w:color w:val="auto"/>
                <w:w w:val="94"/>
              </w:rPr>
              <w:t>Unrealized</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jc w:val="center"/>
              <w:ind w:right="460"/>
              <w:spacing w:after="0" w:line="162" w:lineRule="exact"/>
              <w:rPr>
                <w:sz w:val="20"/>
                <w:szCs w:val="20"/>
                <w:color w:val="auto"/>
              </w:rPr>
            </w:pPr>
            <w:r>
              <w:rPr>
                <w:rFonts w:ascii="Arial" w:cs="Arial" w:eastAsia="Arial" w:hAnsi="Arial"/>
                <w:sz w:val="15"/>
                <w:szCs w:val="15"/>
                <w:color w:val="auto"/>
                <w:w w:val="91"/>
              </w:rPr>
              <w:t>Unrealized</w:t>
            </w:r>
          </w:p>
        </w:tc>
        <w:tc>
          <w:tcPr>
            <w:tcW w:w="160" w:type="dxa"/>
            <w:vAlign w:val="bottom"/>
          </w:tcPr>
          <w:p>
            <w:pPr>
              <w:spacing w:after="0"/>
              <w:rPr>
                <w:sz w:val="14"/>
                <w:szCs w:val="14"/>
                <w:color w:val="auto"/>
              </w:rPr>
            </w:pPr>
          </w:p>
        </w:tc>
        <w:tc>
          <w:tcPr>
            <w:tcW w:w="1160" w:type="dxa"/>
            <w:vAlign w:val="bottom"/>
            <w:gridSpan w:val="2"/>
          </w:tcPr>
          <w:p>
            <w:pPr>
              <w:jc w:val="center"/>
              <w:ind w:right="480"/>
              <w:spacing w:after="0" w:line="162" w:lineRule="exact"/>
              <w:rPr>
                <w:sz w:val="20"/>
                <w:szCs w:val="20"/>
                <w:color w:val="auto"/>
              </w:rPr>
            </w:pPr>
            <w:r>
              <w:rPr>
                <w:rFonts w:ascii="Arial" w:cs="Arial" w:eastAsia="Arial" w:hAnsi="Arial"/>
                <w:sz w:val="15"/>
                <w:szCs w:val="15"/>
                <w:color w:val="auto"/>
                <w:w w:val="94"/>
              </w:rPr>
              <w:t>Unrealized</w:t>
            </w: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center"/>
              <w:ind w:left="83"/>
              <w:spacing w:after="0" w:line="162" w:lineRule="exact"/>
              <w:rPr>
                <w:sz w:val="20"/>
                <w:szCs w:val="20"/>
                <w:color w:val="auto"/>
              </w:rPr>
            </w:pPr>
            <w:r>
              <w:rPr>
                <w:rFonts w:ascii="Arial" w:cs="Arial" w:eastAsia="Arial" w:hAnsi="Arial"/>
                <w:sz w:val="15"/>
                <w:szCs w:val="15"/>
                <w:color w:val="auto"/>
                <w:w w:val="94"/>
              </w:rPr>
              <w:t>Loss Position</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jc w:val="center"/>
              <w:ind w:left="3"/>
              <w:spacing w:after="0" w:line="162" w:lineRule="exact"/>
              <w:rPr>
                <w:sz w:val="20"/>
                <w:szCs w:val="20"/>
                <w:color w:val="auto"/>
              </w:rPr>
            </w:pPr>
            <w:r>
              <w:rPr>
                <w:rFonts w:ascii="Arial" w:cs="Arial" w:eastAsia="Arial" w:hAnsi="Arial"/>
                <w:sz w:val="15"/>
                <w:szCs w:val="15"/>
                <w:color w:val="auto"/>
                <w:w w:val="94"/>
              </w:rPr>
              <w:t>Loss Position</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center"/>
              <w:ind w:right="460"/>
              <w:spacing w:after="0" w:line="162" w:lineRule="exact"/>
              <w:rPr>
                <w:sz w:val="20"/>
                <w:szCs w:val="20"/>
                <w:color w:val="auto"/>
              </w:rPr>
            </w:pPr>
            <w:r>
              <w:rPr>
                <w:rFonts w:ascii="Arial" w:cs="Arial" w:eastAsia="Arial" w:hAnsi="Arial"/>
                <w:sz w:val="15"/>
                <w:szCs w:val="15"/>
                <w:color w:val="auto"/>
                <w:w w:val="94"/>
              </w:rPr>
              <w:t>Amortized</w:t>
            </w:r>
          </w:p>
        </w:tc>
        <w:tc>
          <w:tcPr>
            <w:tcW w:w="160" w:type="dxa"/>
            <w:vAlign w:val="bottom"/>
          </w:tcPr>
          <w:p>
            <w:pPr>
              <w:spacing w:after="0"/>
              <w:rPr>
                <w:sz w:val="14"/>
                <w:szCs w:val="14"/>
                <w:color w:val="auto"/>
              </w:rPr>
            </w:pPr>
          </w:p>
        </w:tc>
        <w:tc>
          <w:tcPr>
            <w:tcW w:w="1160" w:type="dxa"/>
            <w:vAlign w:val="bottom"/>
            <w:gridSpan w:val="2"/>
          </w:tcPr>
          <w:p>
            <w:pPr>
              <w:jc w:val="center"/>
              <w:ind w:right="460"/>
              <w:spacing w:after="0" w:line="162" w:lineRule="exact"/>
              <w:rPr>
                <w:sz w:val="20"/>
                <w:szCs w:val="20"/>
                <w:color w:val="auto"/>
              </w:rPr>
            </w:pPr>
            <w:r>
              <w:rPr>
                <w:rFonts w:ascii="Arial" w:cs="Arial" w:eastAsia="Arial" w:hAnsi="Arial"/>
                <w:sz w:val="15"/>
                <w:szCs w:val="15"/>
                <w:color w:val="auto"/>
                <w:w w:val="98"/>
              </w:rPr>
              <w:t>Holding</w:t>
            </w:r>
          </w:p>
        </w:tc>
        <w:tc>
          <w:tcPr>
            <w:tcW w:w="160" w:type="dxa"/>
            <w:vAlign w:val="bottom"/>
          </w:tcPr>
          <w:p>
            <w:pPr>
              <w:spacing w:after="0"/>
              <w:rPr>
                <w:sz w:val="14"/>
                <w:szCs w:val="14"/>
                <w:color w:val="auto"/>
              </w:rPr>
            </w:pPr>
          </w:p>
        </w:tc>
        <w:tc>
          <w:tcPr>
            <w:tcW w:w="1160" w:type="dxa"/>
            <w:vAlign w:val="bottom"/>
            <w:gridSpan w:val="2"/>
          </w:tcPr>
          <w:p>
            <w:pPr>
              <w:jc w:val="center"/>
              <w:ind w:right="460"/>
              <w:spacing w:after="0" w:line="162" w:lineRule="exact"/>
              <w:rPr>
                <w:sz w:val="20"/>
                <w:szCs w:val="20"/>
                <w:color w:val="auto"/>
              </w:rPr>
            </w:pPr>
            <w:r>
              <w:rPr>
                <w:rFonts w:ascii="Arial" w:cs="Arial" w:eastAsia="Arial" w:hAnsi="Arial"/>
                <w:sz w:val="15"/>
                <w:szCs w:val="15"/>
                <w:color w:val="auto"/>
                <w:w w:val="98"/>
              </w:rPr>
              <w:t>Holding</w:t>
            </w:r>
          </w:p>
        </w:tc>
        <w:tc>
          <w:tcPr>
            <w:tcW w:w="240" w:type="dxa"/>
            <w:vAlign w:val="bottom"/>
          </w:tcPr>
          <w:p>
            <w:pPr>
              <w:spacing w:after="0"/>
              <w:rPr>
                <w:sz w:val="14"/>
                <w:szCs w:val="14"/>
                <w:color w:val="auto"/>
              </w:rPr>
            </w:pPr>
          </w:p>
        </w:tc>
        <w:tc>
          <w:tcPr>
            <w:tcW w:w="920" w:type="dxa"/>
            <w:vAlign w:val="bottom"/>
          </w:tcPr>
          <w:p>
            <w:pPr>
              <w:jc w:val="center"/>
              <w:ind w:right="303"/>
              <w:spacing w:after="0" w:line="162" w:lineRule="exact"/>
              <w:rPr>
                <w:sz w:val="20"/>
                <w:szCs w:val="20"/>
                <w:color w:val="auto"/>
              </w:rPr>
            </w:pPr>
            <w:r>
              <w:rPr>
                <w:rFonts w:ascii="Arial" w:cs="Arial" w:eastAsia="Arial" w:hAnsi="Arial"/>
                <w:sz w:val="15"/>
                <w:szCs w:val="15"/>
                <w:color w:val="auto"/>
              </w:rPr>
              <w:t>Fair</w:t>
            </w:r>
          </w:p>
        </w:tc>
        <w:tc>
          <w:tcPr>
            <w:tcW w:w="160" w:type="dxa"/>
            <w:vAlign w:val="bottom"/>
          </w:tcPr>
          <w:p>
            <w:pPr>
              <w:spacing w:after="0"/>
              <w:rPr>
                <w:sz w:val="14"/>
                <w:szCs w:val="14"/>
                <w:color w:val="auto"/>
              </w:rPr>
            </w:pPr>
          </w:p>
        </w:tc>
        <w:tc>
          <w:tcPr>
            <w:tcW w:w="1000" w:type="dxa"/>
            <w:vAlign w:val="bottom"/>
          </w:tcPr>
          <w:p>
            <w:pPr>
              <w:jc w:val="center"/>
              <w:ind w:left="83"/>
              <w:spacing w:after="0" w:line="162" w:lineRule="exact"/>
              <w:rPr>
                <w:sz w:val="20"/>
                <w:szCs w:val="20"/>
                <w:color w:val="auto"/>
              </w:rPr>
            </w:pPr>
            <w:r>
              <w:rPr>
                <w:rFonts w:ascii="Arial" w:cs="Arial" w:eastAsia="Arial" w:hAnsi="Arial"/>
                <w:sz w:val="15"/>
                <w:szCs w:val="15"/>
                <w:color w:val="auto"/>
                <w:w w:val="88"/>
              </w:rPr>
              <w:t>less than 12</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jc w:val="center"/>
              <w:ind w:left="3"/>
              <w:spacing w:after="0" w:line="162" w:lineRule="exact"/>
              <w:rPr>
                <w:sz w:val="20"/>
                <w:szCs w:val="20"/>
                <w:color w:val="auto"/>
              </w:rPr>
            </w:pPr>
            <w:r>
              <w:rPr>
                <w:rFonts w:ascii="Arial" w:cs="Arial" w:eastAsia="Arial" w:hAnsi="Arial"/>
                <w:sz w:val="15"/>
                <w:szCs w:val="15"/>
                <w:color w:val="auto"/>
                <w:w w:val="90"/>
              </w:rPr>
              <w:t>greater than 12</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38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September 30, 2012</w:t>
            </w: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2"/>
          </w:tcPr>
          <w:p>
            <w:pPr>
              <w:jc w:val="center"/>
              <w:ind w:right="460"/>
              <w:spacing w:after="0"/>
              <w:rPr>
                <w:sz w:val="20"/>
                <w:szCs w:val="20"/>
                <w:color w:val="auto"/>
              </w:rPr>
            </w:pPr>
            <w:r>
              <w:rPr>
                <w:rFonts w:ascii="Arial" w:cs="Arial" w:eastAsia="Arial" w:hAnsi="Arial"/>
                <w:sz w:val="15"/>
                <w:szCs w:val="15"/>
                <w:color w:val="auto"/>
                <w:w w:val="90"/>
              </w:rPr>
              <w:t>Cost</w:t>
            </w: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2"/>
          </w:tcPr>
          <w:p>
            <w:pPr>
              <w:jc w:val="center"/>
              <w:ind w:right="480"/>
              <w:spacing w:after="0"/>
              <w:rPr>
                <w:sz w:val="20"/>
                <w:szCs w:val="20"/>
                <w:color w:val="auto"/>
              </w:rPr>
            </w:pPr>
            <w:r>
              <w:rPr>
                <w:rFonts w:ascii="Arial" w:cs="Arial" w:eastAsia="Arial" w:hAnsi="Arial"/>
                <w:sz w:val="15"/>
                <w:szCs w:val="15"/>
                <w:color w:val="auto"/>
                <w:w w:val="91"/>
              </w:rPr>
              <w:t>Gains</w:t>
            </w: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2"/>
          </w:tcPr>
          <w:p>
            <w:pPr>
              <w:jc w:val="center"/>
              <w:ind w:right="460"/>
              <w:spacing w:after="0"/>
              <w:rPr>
                <w:sz w:val="20"/>
                <w:szCs w:val="20"/>
                <w:color w:val="auto"/>
              </w:rPr>
            </w:pPr>
            <w:r>
              <w:rPr>
                <w:rFonts w:ascii="Arial" w:cs="Arial" w:eastAsia="Arial" w:hAnsi="Arial"/>
                <w:sz w:val="15"/>
                <w:szCs w:val="15"/>
                <w:color w:val="auto"/>
                <w:w w:val="88"/>
              </w:rPr>
              <w:t>Losses</w:t>
            </w: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center"/>
              <w:ind w:right="303"/>
              <w:spacing w:after="0"/>
              <w:rPr>
                <w:sz w:val="20"/>
                <w:szCs w:val="20"/>
                <w:color w:val="auto"/>
              </w:rPr>
            </w:pPr>
            <w:r>
              <w:rPr>
                <w:rFonts w:ascii="Arial" w:cs="Arial" w:eastAsia="Arial" w:hAnsi="Arial"/>
                <w:sz w:val="15"/>
                <w:szCs w:val="15"/>
                <w:color w:val="auto"/>
                <w:w w:val="88"/>
              </w:rPr>
              <w:t>Value</w:t>
            </w:r>
          </w:p>
        </w:tc>
        <w:tc>
          <w:tcPr>
            <w:tcW w:w="1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left="83"/>
              <w:spacing w:after="0"/>
              <w:rPr>
                <w:sz w:val="20"/>
                <w:szCs w:val="20"/>
                <w:color w:val="auto"/>
              </w:rPr>
            </w:pPr>
            <w:r>
              <w:rPr>
                <w:rFonts w:ascii="Arial" w:cs="Arial" w:eastAsia="Arial" w:hAnsi="Arial"/>
                <w:sz w:val="15"/>
                <w:szCs w:val="15"/>
                <w:color w:val="auto"/>
                <w:w w:val="97"/>
              </w:rPr>
              <w:t>Months</w:t>
            </w:r>
          </w:p>
        </w:tc>
        <w:tc>
          <w:tcPr>
            <w:tcW w:w="3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left="23"/>
              <w:spacing w:after="0"/>
              <w:rPr>
                <w:sz w:val="20"/>
                <w:szCs w:val="20"/>
                <w:color w:val="auto"/>
              </w:rPr>
            </w:pPr>
            <w:r>
              <w:rPr>
                <w:rFonts w:ascii="Arial" w:cs="Arial" w:eastAsia="Arial" w:hAnsi="Arial"/>
                <w:sz w:val="15"/>
                <w:szCs w:val="15"/>
                <w:color w:val="auto"/>
                <w:w w:val="93"/>
              </w:rPr>
              <w:t>Months</w:t>
            </w:r>
          </w:p>
        </w:tc>
        <w:tc>
          <w:tcPr>
            <w:tcW w:w="2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3380" w:type="dxa"/>
            <w:vAlign w:val="bottom"/>
            <w:shd w:val="clear" w:color="auto" w:fill="CCEEFF"/>
          </w:tcPr>
          <w:p>
            <w:pPr>
              <w:spacing w:after="0" w:line="162" w:lineRule="exact"/>
              <w:rPr>
                <w:sz w:val="20"/>
                <w:szCs w:val="20"/>
                <w:color w:val="auto"/>
              </w:rPr>
            </w:pPr>
            <w:r>
              <w:rPr>
                <w:rFonts w:ascii="Arial" w:cs="Arial" w:eastAsia="Arial" w:hAnsi="Arial"/>
                <w:sz w:val="15"/>
                <w:szCs w:val="15"/>
                <w:b w:val="1"/>
                <w:bCs w:val="1"/>
                <w:color w:val="auto"/>
              </w:rPr>
              <w:t>Held-to-Maturity</w:t>
            </w: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80" w:type="dxa"/>
            <w:vAlign w:val="bottom"/>
          </w:tcPr>
          <w:p>
            <w:pPr>
              <w:spacing w:after="0" w:line="162" w:lineRule="exact"/>
              <w:rPr>
                <w:sz w:val="20"/>
                <w:szCs w:val="20"/>
                <w:color w:val="auto"/>
              </w:rPr>
            </w:pPr>
            <w:r>
              <w:rPr>
                <w:rFonts w:ascii="Arial" w:cs="Arial" w:eastAsia="Arial" w:hAnsi="Arial"/>
                <w:sz w:val="15"/>
                <w:szCs w:val="15"/>
                <w:color w:val="auto"/>
              </w:rPr>
              <w:t>Short-term:</w:t>
            </w: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80" w:type="dxa"/>
            <w:vAlign w:val="bottom"/>
            <w:shd w:val="clear" w:color="auto" w:fill="CCEEFF"/>
          </w:tcPr>
          <w:p>
            <w:pPr>
              <w:ind w:left="180"/>
              <w:spacing w:after="0" w:line="162" w:lineRule="exact"/>
              <w:rPr>
                <w:sz w:val="20"/>
                <w:szCs w:val="20"/>
                <w:color w:val="auto"/>
              </w:rPr>
            </w:pPr>
            <w:r>
              <w:rPr>
                <w:rFonts w:ascii="Arial" w:cs="Arial" w:eastAsia="Arial" w:hAnsi="Arial"/>
                <w:sz w:val="15"/>
                <w:szCs w:val="15"/>
                <w:color w:val="auto"/>
              </w:rPr>
              <w:t>Certificates of deposit</w:t>
            </w:r>
          </w:p>
        </w:tc>
        <w:tc>
          <w:tcPr>
            <w:tcW w:w="1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980" w:type="dxa"/>
            <w:vAlign w:val="bottom"/>
            <w:shd w:val="clear" w:color="auto" w:fill="CCEEFF"/>
          </w:tcPr>
          <w:p>
            <w:pPr>
              <w:jc w:val="right"/>
              <w:ind w:right="63"/>
              <w:spacing w:after="0" w:line="162" w:lineRule="exact"/>
              <w:rPr>
                <w:sz w:val="20"/>
                <w:szCs w:val="20"/>
                <w:color w:val="auto"/>
              </w:rPr>
            </w:pPr>
            <w:r>
              <w:rPr>
                <w:rFonts w:ascii="Arial" w:cs="Arial" w:eastAsia="Arial" w:hAnsi="Arial"/>
                <w:sz w:val="15"/>
                <w:szCs w:val="15"/>
                <w:color w:val="auto"/>
              </w:rPr>
              <w:t>17,015</w:t>
            </w: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980" w:type="dxa"/>
            <w:vAlign w:val="bottom"/>
            <w:shd w:val="clear" w:color="auto" w:fill="CCEEFF"/>
          </w:tcPr>
          <w:p>
            <w:pPr>
              <w:jc w:val="right"/>
              <w:ind w:right="43"/>
              <w:spacing w:after="0" w:line="162" w:lineRule="exact"/>
              <w:rPr>
                <w:sz w:val="20"/>
                <w:szCs w:val="20"/>
                <w:color w:val="auto"/>
              </w:rPr>
            </w:pPr>
            <w:r>
              <w:rPr>
                <w:rFonts w:ascii="Arial" w:cs="Arial" w:eastAsia="Arial" w:hAnsi="Arial"/>
                <w:sz w:val="15"/>
                <w:szCs w:val="15"/>
                <w:color w:val="auto"/>
              </w:rPr>
              <w:t>2</w:t>
            </w: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1000" w:type="dxa"/>
            <w:vAlign w:val="bottom"/>
            <w:shd w:val="clear" w:color="auto" w:fill="CCEEFF"/>
          </w:tcPr>
          <w:p>
            <w:pPr>
              <w:jc w:val="right"/>
              <w:ind w:right="63"/>
              <w:spacing w:after="0" w:line="162" w:lineRule="exact"/>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23"/>
              <w:spacing w:after="0" w:line="162" w:lineRule="exact"/>
              <w:rPr>
                <w:sz w:val="20"/>
                <w:szCs w:val="20"/>
                <w:color w:val="auto"/>
              </w:rPr>
            </w:pPr>
            <w:r>
              <w:rPr>
                <w:rFonts w:ascii="Arial" w:cs="Arial" w:eastAsia="Arial" w:hAnsi="Arial"/>
                <w:sz w:val="15"/>
                <w:szCs w:val="15"/>
                <w:color w:val="auto"/>
              </w:rPr>
              <w:t>$</w:t>
            </w:r>
          </w:p>
        </w:tc>
        <w:tc>
          <w:tcPr>
            <w:tcW w:w="920" w:type="dxa"/>
            <w:vAlign w:val="bottom"/>
            <w:shd w:val="clear" w:color="auto" w:fill="CCEEFF"/>
          </w:tcPr>
          <w:p>
            <w:pPr>
              <w:jc w:val="right"/>
              <w:ind w:right="63"/>
              <w:spacing w:after="0" w:line="162" w:lineRule="exact"/>
              <w:rPr>
                <w:sz w:val="20"/>
                <w:szCs w:val="20"/>
                <w:color w:val="auto"/>
              </w:rPr>
            </w:pPr>
            <w:r>
              <w:rPr>
                <w:rFonts w:ascii="Arial" w:cs="Arial" w:eastAsia="Arial" w:hAnsi="Arial"/>
                <w:sz w:val="15"/>
                <w:szCs w:val="15"/>
                <w:color w:val="auto"/>
              </w:rPr>
              <w:t>17,017</w:t>
            </w:r>
          </w:p>
        </w:tc>
        <w:tc>
          <w:tcPr>
            <w:tcW w:w="1160" w:type="dxa"/>
            <w:vAlign w:val="bottom"/>
            <w:gridSpan w:val="2"/>
            <w:shd w:val="clear" w:color="auto" w:fill="CCEEFF"/>
          </w:tcPr>
          <w:p>
            <w:pPr>
              <w:jc w:val="right"/>
              <w:ind w:right="783"/>
              <w:spacing w:after="0" w:line="162" w:lineRule="exact"/>
              <w:rPr>
                <w:sz w:val="20"/>
                <w:szCs w:val="20"/>
                <w:color w:val="auto"/>
              </w:rPr>
            </w:pPr>
            <w:r>
              <w:rPr>
                <w:rFonts w:ascii="Arial" w:cs="Arial" w:eastAsia="Arial" w:hAnsi="Arial"/>
                <w:sz w:val="15"/>
                <w:szCs w:val="15"/>
                <w:color w:val="auto"/>
              </w:rPr>
              <w:t>$</w:t>
            </w:r>
          </w:p>
        </w:tc>
        <w:tc>
          <w:tcPr>
            <w:tcW w:w="300" w:type="dxa"/>
            <w:vAlign w:val="bottom"/>
            <w:shd w:val="clear" w:color="auto" w:fill="CCEEFF"/>
          </w:tcPr>
          <w:p>
            <w:pPr>
              <w:jc w:val="right"/>
              <w:ind w:right="63"/>
              <w:spacing w:after="0" w:line="162" w:lineRule="exact"/>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863"/>
              <w:spacing w:after="0" w:line="162" w:lineRule="exact"/>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jc w:val="right"/>
              <w:ind w:right="63"/>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3380" w:type="dxa"/>
            <w:vAlign w:val="bottom"/>
          </w:tcPr>
          <w:p>
            <w:pPr>
              <w:ind w:left="180"/>
              <w:spacing w:after="0" w:line="162" w:lineRule="exact"/>
              <w:rPr>
                <w:sz w:val="20"/>
                <w:szCs w:val="20"/>
                <w:color w:val="auto"/>
              </w:rPr>
            </w:pPr>
            <w:r>
              <w:rPr>
                <w:rFonts w:ascii="Arial" w:cs="Arial" w:eastAsia="Arial" w:hAnsi="Arial"/>
                <w:sz w:val="15"/>
                <w:szCs w:val="15"/>
                <w:color w:val="auto"/>
              </w:rPr>
              <w:t>Municipal securities</w:t>
            </w:r>
          </w:p>
        </w:tc>
        <w:tc>
          <w:tcPr>
            <w:tcW w:w="160" w:type="dxa"/>
            <w:vAlign w:val="bottom"/>
          </w:tcPr>
          <w:p>
            <w:pPr>
              <w:spacing w:after="0"/>
              <w:rPr>
                <w:sz w:val="14"/>
                <w:szCs w:val="14"/>
                <w:color w:val="auto"/>
              </w:rPr>
            </w:pPr>
          </w:p>
        </w:tc>
        <w:tc>
          <w:tcPr>
            <w:tcW w:w="980" w:type="dxa"/>
            <w:vAlign w:val="bottom"/>
          </w:tcPr>
          <w:p>
            <w:pPr>
              <w:jc w:val="right"/>
              <w:ind w:right="63"/>
              <w:spacing w:after="0" w:line="162" w:lineRule="exact"/>
              <w:rPr>
                <w:sz w:val="20"/>
                <w:szCs w:val="20"/>
                <w:color w:val="auto"/>
              </w:rPr>
            </w:pPr>
            <w:r>
              <w:rPr>
                <w:rFonts w:ascii="Arial" w:cs="Arial" w:eastAsia="Arial" w:hAnsi="Arial"/>
                <w:sz w:val="15"/>
                <w:szCs w:val="15"/>
                <w:color w:val="auto"/>
              </w:rPr>
              <w:t>253,283</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ind w:right="43"/>
              <w:spacing w:after="0" w:line="162" w:lineRule="exact"/>
              <w:rPr>
                <w:sz w:val="20"/>
                <w:szCs w:val="20"/>
                <w:color w:val="auto"/>
              </w:rPr>
            </w:pPr>
            <w:r>
              <w:rPr>
                <w:rFonts w:ascii="Arial" w:cs="Arial" w:eastAsia="Arial" w:hAnsi="Arial"/>
                <w:sz w:val="15"/>
                <w:szCs w:val="15"/>
                <w:color w:val="auto"/>
              </w:rPr>
              <w:t>-</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right"/>
              <w:ind w:right="63"/>
              <w:spacing w:after="0" w:line="162" w:lineRule="exact"/>
              <w:rPr>
                <w:sz w:val="20"/>
                <w:szCs w:val="20"/>
                <w:color w:val="auto"/>
              </w:rPr>
            </w:pPr>
            <w:r>
              <w:rPr>
                <w:rFonts w:ascii="Arial" w:cs="Arial" w:eastAsia="Arial" w:hAnsi="Arial"/>
                <w:sz w:val="15"/>
                <w:szCs w:val="15"/>
                <w:color w:val="auto"/>
              </w:rPr>
              <w:t>46</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jc w:val="right"/>
              <w:ind w:right="63"/>
              <w:spacing w:after="0" w:line="162" w:lineRule="exact"/>
              <w:rPr>
                <w:sz w:val="20"/>
                <w:szCs w:val="20"/>
                <w:color w:val="auto"/>
              </w:rPr>
            </w:pPr>
            <w:r>
              <w:rPr>
                <w:rFonts w:ascii="Arial" w:cs="Arial" w:eastAsia="Arial" w:hAnsi="Arial"/>
                <w:sz w:val="15"/>
                <w:szCs w:val="15"/>
                <w:color w:val="auto"/>
              </w:rPr>
              <w:t>253,237</w:t>
            </w: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jc w:val="right"/>
              <w:ind w:right="63"/>
              <w:spacing w:after="0" w:line="162" w:lineRule="exact"/>
              <w:rPr>
                <w:sz w:val="20"/>
                <w:szCs w:val="20"/>
                <w:color w:val="auto"/>
              </w:rPr>
            </w:pPr>
            <w:r>
              <w:rPr>
                <w:rFonts w:ascii="Arial" w:cs="Arial" w:eastAsia="Arial" w:hAnsi="Arial"/>
                <w:sz w:val="15"/>
                <w:szCs w:val="15"/>
                <w:color w:val="auto"/>
                <w:w w:val="83"/>
              </w:rPr>
              <w:t>46</w:t>
            </w: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jc w:val="right"/>
              <w:ind w:right="63"/>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3380" w:type="dxa"/>
            <w:vAlign w:val="bottom"/>
            <w:shd w:val="clear" w:color="auto" w:fill="CCEEFF"/>
          </w:tcPr>
          <w:p>
            <w:pPr>
              <w:ind w:left="180"/>
              <w:spacing w:after="0" w:line="162" w:lineRule="exact"/>
              <w:rPr>
                <w:sz w:val="20"/>
                <w:szCs w:val="20"/>
                <w:color w:val="auto"/>
              </w:rPr>
            </w:pPr>
            <w:r>
              <w:rPr>
                <w:rFonts w:ascii="Arial" w:cs="Arial" w:eastAsia="Arial" w:hAnsi="Arial"/>
                <w:sz w:val="15"/>
                <w:szCs w:val="15"/>
                <w:color w:val="auto"/>
              </w:rPr>
              <w:t>U.S. government agency securities</w:t>
            </w: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63"/>
              <w:spacing w:after="0" w:line="162" w:lineRule="exact"/>
              <w:rPr>
                <w:sz w:val="20"/>
                <w:szCs w:val="20"/>
                <w:color w:val="auto"/>
              </w:rPr>
            </w:pPr>
            <w:r>
              <w:rPr>
                <w:rFonts w:ascii="Arial" w:cs="Arial" w:eastAsia="Arial" w:hAnsi="Arial"/>
                <w:sz w:val="15"/>
                <w:szCs w:val="15"/>
                <w:color w:val="auto"/>
              </w:rPr>
              <w:t>29,982</w:t>
            </w: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43"/>
              <w:spacing w:after="0" w:line="162" w:lineRule="exact"/>
              <w:rPr>
                <w:sz w:val="20"/>
                <w:szCs w:val="20"/>
                <w:color w:val="auto"/>
              </w:rPr>
            </w:pPr>
            <w:r>
              <w:rPr>
                <w:rFonts w:ascii="Arial" w:cs="Arial" w:eastAsia="Arial" w:hAnsi="Arial"/>
                <w:sz w:val="15"/>
                <w:szCs w:val="15"/>
                <w:color w:val="auto"/>
              </w:rPr>
              <w:t>3</w:t>
            </w: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63"/>
              <w:spacing w:after="0" w:line="162" w:lineRule="exact"/>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63"/>
              <w:spacing w:after="0" w:line="162" w:lineRule="exact"/>
              <w:rPr>
                <w:sz w:val="20"/>
                <w:szCs w:val="20"/>
                <w:color w:val="auto"/>
              </w:rPr>
            </w:pPr>
            <w:r>
              <w:rPr>
                <w:rFonts w:ascii="Arial" w:cs="Arial" w:eastAsia="Arial" w:hAnsi="Arial"/>
                <w:sz w:val="15"/>
                <w:szCs w:val="15"/>
                <w:color w:val="auto"/>
              </w:rPr>
              <w:t>29,985</w:t>
            </w: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63"/>
              <w:spacing w:after="0" w:line="162" w:lineRule="exact"/>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63"/>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3380" w:type="dxa"/>
            <w:vAlign w:val="bottom"/>
          </w:tcPr>
          <w:p>
            <w:pPr>
              <w:spacing w:after="0" w:line="162" w:lineRule="exact"/>
              <w:rPr>
                <w:sz w:val="20"/>
                <w:szCs w:val="20"/>
                <w:color w:val="auto"/>
              </w:rPr>
            </w:pPr>
            <w:r>
              <w:rPr>
                <w:rFonts w:ascii="Arial" w:cs="Arial" w:eastAsia="Arial" w:hAnsi="Arial"/>
                <w:sz w:val="15"/>
                <w:szCs w:val="15"/>
                <w:b w:val="1"/>
                <w:bCs w:val="1"/>
                <w:color w:val="auto"/>
              </w:rPr>
              <w:t>Available-for-sale</w:t>
            </w: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8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Short-term:</w:t>
            </w: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80" w:type="dxa"/>
            <w:vAlign w:val="bottom"/>
          </w:tcPr>
          <w:p>
            <w:pPr>
              <w:ind w:left="180"/>
              <w:spacing w:after="0" w:line="162" w:lineRule="exact"/>
              <w:rPr>
                <w:sz w:val="20"/>
                <w:szCs w:val="20"/>
                <w:color w:val="auto"/>
              </w:rPr>
            </w:pPr>
            <w:r>
              <w:rPr>
                <w:rFonts w:ascii="Arial" w:cs="Arial" w:eastAsia="Arial" w:hAnsi="Arial"/>
                <w:sz w:val="15"/>
                <w:szCs w:val="15"/>
                <w:color w:val="auto"/>
              </w:rPr>
              <w:t>Variable rate demand notes</w:t>
            </w:r>
          </w:p>
        </w:tc>
        <w:tc>
          <w:tcPr>
            <w:tcW w:w="160" w:type="dxa"/>
            <w:vAlign w:val="bottom"/>
          </w:tcPr>
          <w:p>
            <w:pPr>
              <w:spacing w:after="0"/>
              <w:rPr>
                <w:sz w:val="14"/>
                <w:szCs w:val="14"/>
                <w:color w:val="auto"/>
              </w:rPr>
            </w:pPr>
          </w:p>
        </w:tc>
        <w:tc>
          <w:tcPr>
            <w:tcW w:w="980" w:type="dxa"/>
            <w:vAlign w:val="bottom"/>
          </w:tcPr>
          <w:p>
            <w:pPr>
              <w:jc w:val="right"/>
              <w:ind w:right="63"/>
              <w:spacing w:after="0" w:line="162" w:lineRule="exact"/>
              <w:rPr>
                <w:sz w:val="20"/>
                <w:szCs w:val="20"/>
                <w:color w:val="auto"/>
              </w:rPr>
            </w:pPr>
            <w:r>
              <w:rPr>
                <w:rFonts w:ascii="Arial" w:cs="Arial" w:eastAsia="Arial" w:hAnsi="Arial"/>
                <w:sz w:val="15"/>
                <w:szCs w:val="15"/>
                <w:color w:val="auto"/>
              </w:rPr>
              <w:t>6,501</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ind w:right="43"/>
              <w:spacing w:after="0" w:line="162" w:lineRule="exact"/>
              <w:rPr>
                <w:sz w:val="20"/>
                <w:szCs w:val="20"/>
                <w:color w:val="auto"/>
              </w:rPr>
            </w:pPr>
            <w:r>
              <w:rPr>
                <w:rFonts w:ascii="Arial" w:cs="Arial" w:eastAsia="Arial" w:hAnsi="Arial"/>
                <w:sz w:val="15"/>
                <w:szCs w:val="15"/>
                <w:color w:val="auto"/>
              </w:rPr>
              <w:t>-</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right"/>
              <w:ind w:right="63"/>
              <w:spacing w:after="0" w:line="162" w:lineRule="exact"/>
              <w:rPr>
                <w:sz w:val="20"/>
                <w:szCs w:val="20"/>
                <w:color w:val="auto"/>
              </w:rPr>
            </w:pPr>
            <w:r>
              <w:rPr>
                <w:rFonts w:ascii="Arial" w:cs="Arial" w:eastAsia="Arial" w:hAnsi="Arial"/>
                <w:sz w:val="15"/>
                <w:szCs w:val="15"/>
                <w:color w:val="auto"/>
              </w:rPr>
              <w:t>-</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jc w:val="right"/>
              <w:ind w:right="63"/>
              <w:spacing w:after="0" w:line="162" w:lineRule="exact"/>
              <w:rPr>
                <w:sz w:val="20"/>
                <w:szCs w:val="20"/>
                <w:color w:val="auto"/>
              </w:rPr>
            </w:pPr>
            <w:r>
              <w:rPr>
                <w:rFonts w:ascii="Arial" w:cs="Arial" w:eastAsia="Arial" w:hAnsi="Arial"/>
                <w:sz w:val="15"/>
                <w:szCs w:val="15"/>
                <w:color w:val="auto"/>
              </w:rPr>
              <w:t>6,501</w:t>
            </w: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jc w:val="right"/>
              <w:ind w:right="63"/>
              <w:spacing w:after="0" w:line="162" w:lineRule="exact"/>
              <w:rPr>
                <w:sz w:val="20"/>
                <w:szCs w:val="20"/>
                <w:color w:val="auto"/>
              </w:rPr>
            </w:pPr>
            <w:r>
              <w:rPr>
                <w:rFonts w:ascii="Arial" w:cs="Arial" w:eastAsia="Arial" w:hAnsi="Arial"/>
                <w:sz w:val="15"/>
                <w:szCs w:val="15"/>
                <w:color w:val="auto"/>
              </w:rPr>
              <w:t>-</w:t>
            </w: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jc w:val="right"/>
              <w:ind w:right="63"/>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338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Long-term:</w:t>
            </w: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80" w:type="dxa"/>
            <w:vAlign w:val="bottom"/>
            <w:tcBorders>
              <w:bottom w:val="single" w:sz="8" w:color="CCEEFF"/>
            </w:tcBorders>
          </w:tcPr>
          <w:p>
            <w:pPr>
              <w:ind w:left="180"/>
              <w:spacing w:after="0" w:line="162" w:lineRule="exact"/>
              <w:rPr>
                <w:sz w:val="20"/>
                <w:szCs w:val="20"/>
                <w:color w:val="auto"/>
              </w:rPr>
            </w:pPr>
            <w:r>
              <w:rPr>
                <w:rFonts w:ascii="Arial" w:cs="Arial" w:eastAsia="Arial" w:hAnsi="Arial"/>
                <w:sz w:val="15"/>
                <w:szCs w:val="15"/>
                <w:color w:val="auto"/>
              </w:rPr>
              <w:t>Auction rate securities</w:t>
            </w: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63"/>
              <w:spacing w:after="0" w:line="162" w:lineRule="exact"/>
              <w:rPr>
                <w:sz w:val="20"/>
                <w:szCs w:val="20"/>
                <w:color w:val="auto"/>
              </w:rPr>
            </w:pPr>
            <w:r>
              <w:rPr>
                <w:rFonts w:ascii="Arial" w:cs="Arial" w:eastAsia="Arial" w:hAnsi="Arial"/>
                <w:sz w:val="15"/>
                <w:szCs w:val="15"/>
                <w:color w:val="auto"/>
              </w:rPr>
              <w:t>3,310</w:t>
            </w:r>
          </w:p>
        </w:tc>
        <w:tc>
          <w:tcPr>
            <w:tcW w:w="1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3"/>
              <w:spacing w:after="0" w:line="162" w:lineRule="exact"/>
              <w:rPr>
                <w:sz w:val="20"/>
                <w:szCs w:val="20"/>
                <w:color w:val="auto"/>
              </w:rPr>
            </w:pPr>
            <w:r>
              <w:rPr>
                <w:rFonts w:ascii="Arial" w:cs="Arial" w:eastAsia="Arial" w:hAnsi="Arial"/>
                <w:sz w:val="15"/>
                <w:szCs w:val="15"/>
                <w:color w:val="auto"/>
              </w:rPr>
              <w:t>-</w:t>
            </w:r>
          </w:p>
        </w:tc>
        <w:tc>
          <w:tcPr>
            <w:tcW w:w="1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63"/>
              <w:spacing w:after="0" w:line="162" w:lineRule="exact"/>
              <w:rPr>
                <w:sz w:val="20"/>
                <w:szCs w:val="20"/>
                <w:color w:val="auto"/>
              </w:rPr>
            </w:pPr>
            <w:r>
              <w:rPr>
                <w:rFonts w:ascii="Arial" w:cs="Arial" w:eastAsia="Arial" w:hAnsi="Arial"/>
                <w:sz w:val="15"/>
                <w:szCs w:val="15"/>
                <w:color w:val="auto"/>
              </w:rPr>
              <w:t>-</w:t>
            </w:r>
          </w:p>
        </w:tc>
        <w:tc>
          <w:tcPr>
            <w:tcW w:w="16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63"/>
              <w:spacing w:after="0" w:line="162" w:lineRule="exact"/>
              <w:rPr>
                <w:sz w:val="20"/>
                <w:szCs w:val="20"/>
                <w:color w:val="auto"/>
              </w:rPr>
            </w:pPr>
            <w:r>
              <w:rPr>
                <w:rFonts w:ascii="Arial" w:cs="Arial" w:eastAsia="Arial" w:hAnsi="Arial"/>
                <w:sz w:val="15"/>
                <w:szCs w:val="15"/>
                <w:color w:val="auto"/>
              </w:rPr>
              <w:t>3,310</w:t>
            </w:r>
          </w:p>
        </w:tc>
        <w:tc>
          <w:tcPr>
            <w:tcW w:w="16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jc w:val="right"/>
              <w:ind w:right="63"/>
              <w:spacing w:after="0" w:line="162" w:lineRule="exact"/>
              <w:rPr>
                <w:sz w:val="20"/>
                <w:szCs w:val="20"/>
                <w:color w:val="auto"/>
              </w:rPr>
            </w:pPr>
            <w:r>
              <w:rPr>
                <w:rFonts w:ascii="Arial" w:cs="Arial" w:eastAsia="Arial" w:hAnsi="Arial"/>
                <w:sz w:val="15"/>
                <w:szCs w:val="15"/>
                <w:color w:val="auto"/>
              </w:rPr>
              <w:t>-</w:t>
            </w:r>
          </w:p>
        </w:tc>
        <w:tc>
          <w:tcPr>
            <w:tcW w:w="160" w:type="dxa"/>
            <w:vAlign w:val="bottom"/>
            <w:tcBorders>
              <w:bottom w:val="single" w:sz="8" w:color="CCEEFF"/>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jc w:val="right"/>
              <w:ind w:right="63"/>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56"/>
        </w:trPr>
        <w:tc>
          <w:tcPr>
            <w:tcW w:w="3380" w:type="dxa"/>
            <w:vAlign w:val="bottom"/>
            <w:tcBorders>
              <w:bottom w:val="single" w:sz="8" w:color="CCEEFF"/>
            </w:tcBorders>
            <w:shd w:val="clear" w:color="auto" w:fill="CCEEFF"/>
          </w:tcPr>
          <w:p>
            <w:pPr>
              <w:ind w:left="360"/>
              <w:spacing w:after="0" w:line="156" w:lineRule="exact"/>
              <w:rPr>
                <w:sz w:val="20"/>
                <w:szCs w:val="20"/>
                <w:color w:val="auto"/>
              </w:rPr>
            </w:pPr>
            <w:r>
              <w:rPr>
                <w:rFonts w:ascii="Arial" w:cs="Arial" w:eastAsia="Arial" w:hAnsi="Arial"/>
                <w:sz w:val="15"/>
                <w:szCs w:val="15"/>
                <w:color w:val="auto"/>
              </w:rPr>
              <w:t>Total</w:t>
            </w:r>
          </w:p>
        </w:tc>
        <w:tc>
          <w:tcPr>
            <w:tcW w:w="16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w:t>
            </w:r>
          </w:p>
        </w:tc>
        <w:tc>
          <w:tcPr>
            <w:tcW w:w="980" w:type="dxa"/>
            <w:vAlign w:val="bottom"/>
            <w:tcBorders>
              <w:bottom w:val="single" w:sz="8" w:color="auto"/>
            </w:tcBorders>
            <w:shd w:val="clear" w:color="auto" w:fill="CCEEFF"/>
          </w:tcPr>
          <w:p>
            <w:pPr>
              <w:jc w:val="right"/>
              <w:ind w:right="63"/>
              <w:spacing w:after="0" w:line="156" w:lineRule="exact"/>
              <w:rPr>
                <w:sz w:val="20"/>
                <w:szCs w:val="20"/>
                <w:color w:val="auto"/>
              </w:rPr>
            </w:pPr>
            <w:r>
              <w:rPr>
                <w:rFonts w:ascii="Arial" w:cs="Arial" w:eastAsia="Arial" w:hAnsi="Arial"/>
                <w:sz w:val="15"/>
                <w:szCs w:val="15"/>
                <w:color w:val="auto"/>
              </w:rPr>
              <w:t>310,091</w:t>
            </w:r>
          </w:p>
        </w:tc>
        <w:tc>
          <w:tcPr>
            <w:tcW w:w="16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w:t>
            </w:r>
          </w:p>
        </w:tc>
        <w:tc>
          <w:tcPr>
            <w:tcW w:w="980" w:type="dxa"/>
            <w:vAlign w:val="bottom"/>
            <w:tcBorders>
              <w:bottom w:val="single" w:sz="8" w:color="auto"/>
            </w:tcBorders>
            <w:shd w:val="clear" w:color="auto" w:fill="CCEEFF"/>
          </w:tcPr>
          <w:p>
            <w:pPr>
              <w:jc w:val="right"/>
              <w:ind w:right="43"/>
              <w:spacing w:after="0" w:line="156" w:lineRule="exact"/>
              <w:rPr>
                <w:sz w:val="20"/>
                <w:szCs w:val="20"/>
                <w:color w:val="auto"/>
              </w:rPr>
            </w:pPr>
            <w:r>
              <w:rPr>
                <w:rFonts w:ascii="Arial" w:cs="Arial" w:eastAsia="Arial" w:hAnsi="Arial"/>
                <w:sz w:val="15"/>
                <w:szCs w:val="15"/>
                <w:color w:val="auto"/>
              </w:rPr>
              <w:t>5</w:t>
            </w:r>
          </w:p>
        </w:tc>
        <w:tc>
          <w:tcPr>
            <w:tcW w:w="18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w:t>
            </w:r>
          </w:p>
        </w:tc>
        <w:tc>
          <w:tcPr>
            <w:tcW w:w="1000" w:type="dxa"/>
            <w:vAlign w:val="bottom"/>
            <w:tcBorders>
              <w:bottom w:val="single" w:sz="8" w:color="auto"/>
            </w:tcBorders>
            <w:shd w:val="clear" w:color="auto" w:fill="CCEEFF"/>
          </w:tcPr>
          <w:p>
            <w:pPr>
              <w:jc w:val="right"/>
              <w:ind w:right="63"/>
              <w:spacing w:after="0" w:line="156" w:lineRule="exact"/>
              <w:rPr>
                <w:sz w:val="20"/>
                <w:szCs w:val="20"/>
                <w:color w:val="auto"/>
              </w:rPr>
            </w:pPr>
            <w:r>
              <w:rPr>
                <w:rFonts w:ascii="Arial" w:cs="Arial" w:eastAsia="Arial" w:hAnsi="Arial"/>
                <w:sz w:val="15"/>
                <w:szCs w:val="15"/>
                <w:color w:val="auto"/>
              </w:rPr>
              <w:t>46</w:t>
            </w:r>
          </w:p>
        </w:tc>
        <w:tc>
          <w:tcPr>
            <w:tcW w:w="16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920" w:type="dxa"/>
            <w:vAlign w:val="bottom"/>
            <w:tcBorders>
              <w:bottom w:val="single" w:sz="8" w:color="CCEEFF"/>
            </w:tcBorders>
            <w:shd w:val="clear" w:color="auto" w:fill="CCEEFF"/>
          </w:tcPr>
          <w:p>
            <w:pPr>
              <w:jc w:val="right"/>
              <w:ind w:right="63"/>
              <w:spacing w:after="0" w:line="156" w:lineRule="exact"/>
              <w:rPr>
                <w:sz w:val="20"/>
                <w:szCs w:val="20"/>
                <w:color w:val="auto"/>
              </w:rPr>
            </w:pPr>
            <w:r>
              <w:rPr>
                <w:rFonts w:ascii="Arial" w:cs="Arial" w:eastAsia="Arial" w:hAnsi="Arial"/>
                <w:sz w:val="15"/>
                <w:szCs w:val="15"/>
                <w:color w:val="auto"/>
              </w:rPr>
              <w:t>310,050</w:t>
            </w:r>
          </w:p>
        </w:tc>
        <w:tc>
          <w:tcPr>
            <w:tcW w:w="160" w:type="dxa"/>
            <w:vAlign w:val="bottom"/>
            <w:tcBorders>
              <w:bottom w:val="single" w:sz="8" w:color="CCEEFF"/>
            </w:tcBorders>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jc w:val="right"/>
              <w:ind w:right="783"/>
              <w:spacing w:after="0" w:line="156" w:lineRule="exact"/>
              <w:rPr>
                <w:sz w:val="20"/>
                <w:szCs w:val="20"/>
                <w:color w:val="auto"/>
              </w:rPr>
            </w:pPr>
            <w:r>
              <w:rPr>
                <w:rFonts w:ascii="Arial" w:cs="Arial" w:eastAsia="Arial" w:hAnsi="Arial"/>
                <w:sz w:val="15"/>
                <w:szCs w:val="15"/>
                <w:color w:val="auto"/>
              </w:rPr>
              <w:t>$</w:t>
            </w:r>
          </w:p>
        </w:tc>
        <w:tc>
          <w:tcPr>
            <w:tcW w:w="300" w:type="dxa"/>
            <w:vAlign w:val="bottom"/>
            <w:tcBorders>
              <w:bottom w:val="single" w:sz="8" w:color="auto"/>
            </w:tcBorders>
            <w:shd w:val="clear" w:color="auto" w:fill="CCEEFF"/>
          </w:tcPr>
          <w:p>
            <w:pPr>
              <w:jc w:val="right"/>
              <w:ind w:right="63"/>
              <w:spacing w:after="0" w:line="156" w:lineRule="exact"/>
              <w:rPr>
                <w:sz w:val="20"/>
                <w:szCs w:val="20"/>
                <w:color w:val="auto"/>
              </w:rPr>
            </w:pPr>
            <w:r>
              <w:rPr>
                <w:rFonts w:ascii="Arial" w:cs="Arial" w:eastAsia="Arial" w:hAnsi="Arial"/>
                <w:sz w:val="15"/>
                <w:szCs w:val="15"/>
                <w:color w:val="auto"/>
                <w:w w:val="83"/>
              </w:rPr>
              <w:t>46</w:t>
            </w:r>
          </w:p>
        </w:tc>
        <w:tc>
          <w:tcPr>
            <w:tcW w:w="160" w:type="dxa"/>
            <w:vAlign w:val="bottom"/>
            <w:tcBorders>
              <w:bottom w:val="single" w:sz="8" w:color="CCEEFF"/>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ind w:right="863"/>
              <w:spacing w:after="0" w:line="156" w:lineRule="exact"/>
              <w:rPr>
                <w:sz w:val="20"/>
                <w:szCs w:val="20"/>
                <w:color w:val="auto"/>
              </w:rPr>
            </w:pPr>
            <w:r>
              <w:rPr>
                <w:rFonts w:ascii="Arial" w:cs="Arial" w:eastAsia="Arial" w:hAnsi="Arial"/>
                <w:sz w:val="15"/>
                <w:szCs w:val="15"/>
                <w:color w:val="auto"/>
              </w:rPr>
              <w:t>$</w:t>
            </w:r>
          </w:p>
        </w:tc>
        <w:tc>
          <w:tcPr>
            <w:tcW w:w="240" w:type="dxa"/>
            <w:vAlign w:val="bottom"/>
            <w:tcBorders>
              <w:bottom w:val="single" w:sz="8" w:color="auto"/>
            </w:tcBorders>
            <w:shd w:val="clear" w:color="auto" w:fill="CCEEFF"/>
          </w:tcPr>
          <w:p>
            <w:pPr>
              <w:jc w:val="right"/>
              <w:ind w:right="63"/>
              <w:spacing w:after="0" w:line="156"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3380" w:type="dxa"/>
            <w:vAlign w:val="bottom"/>
            <w:vMerge w:val="restart"/>
          </w:tcPr>
          <w:p>
            <w:pPr>
              <w:spacing w:after="0" w:line="156" w:lineRule="exact"/>
              <w:rPr>
                <w:sz w:val="20"/>
                <w:szCs w:val="20"/>
                <w:color w:val="auto"/>
              </w:rPr>
            </w:pPr>
            <w:r>
              <w:rPr>
                <w:rFonts w:ascii="Arial" w:cs="Arial" w:eastAsia="Arial" w:hAnsi="Arial"/>
                <w:sz w:val="15"/>
                <w:szCs w:val="15"/>
                <w:b w:val="1"/>
                <w:bCs w:val="1"/>
                <w:color w:val="auto"/>
              </w:rPr>
              <w:t>Trading</w:t>
            </w: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338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338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Short-term:</w:t>
            </w: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80" w:type="dxa"/>
            <w:vAlign w:val="bottom"/>
          </w:tcPr>
          <w:p>
            <w:pPr>
              <w:ind w:left="180"/>
              <w:spacing w:after="0" w:line="162" w:lineRule="exact"/>
              <w:rPr>
                <w:sz w:val="20"/>
                <w:szCs w:val="20"/>
                <w:color w:val="auto"/>
              </w:rPr>
            </w:pPr>
            <w:r>
              <w:rPr>
                <w:rFonts w:ascii="Arial" w:cs="Arial" w:eastAsia="Arial" w:hAnsi="Arial"/>
                <w:sz w:val="15"/>
                <w:szCs w:val="15"/>
                <w:color w:val="auto"/>
              </w:rPr>
              <w:t>Auction rate securities</w:t>
            </w: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jc w:val="right"/>
              <w:ind w:right="63"/>
              <w:spacing w:after="0" w:line="162" w:lineRule="exact"/>
              <w:rPr>
                <w:sz w:val="20"/>
                <w:szCs w:val="20"/>
                <w:color w:val="auto"/>
              </w:rPr>
            </w:pPr>
            <w:r>
              <w:rPr>
                <w:rFonts w:ascii="Arial" w:cs="Arial" w:eastAsia="Arial" w:hAnsi="Arial"/>
                <w:sz w:val="15"/>
                <w:szCs w:val="15"/>
                <w:color w:val="auto"/>
              </w:rPr>
              <w:t>873</w:t>
            </w: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8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Long-term:</w:t>
            </w: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80" w:type="dxa"/>
            <w:vAlign w:val="bottom"/>
            <w:tcBorders>
              <w:bottom w:val="single" w:sz="8" w:color="CCEEFF"/>
            </w:tcBorders>
          </w:tcPr>
          <w:p>
            <w:pPr>
              <w:ind w:left="180"/>
              <w:spacing w:after="0" w:line="162" w:lineRule="exact"/>
              <w:rPr>
                <w:sz w:val="20"/>
                <w:szCs w:val="20"/>
                <w:color w:val="auto"/>
              </w:rPr>
            </w:pPr>
            <w:r>
              <w:rPr>
                <w:rFonts w:ascii="Arial" w:cs="Arial" w:eastAsia="Arial" w:hAnsi="Arial"/>
                <w:sz w:val="15"/>
                <w:szCs w:val="15"/>
                <w:color w:val="auto"/>
              </w:rPr>
              <w:t>Auction rate securities</w:t>
            </w:r>
          </w:p>
        </w:tc>
        <w:tc>
          <w:tcPr>
            <w:tcW w:w="160" w:type="dxa"/>
            <w:vAlign w:val="bottom"/>
            <w:tcBorders>
              <w:bottom w:val="single" w:sz="8" w:color="CCEEFF"/>
            </w:tcBorders>
          </w:tcPr>
          <w:p>
            <w:pPr>
              <w:spacing w:after="0"/>
              <w:rPr>
                <w:sz w:val="14"/>
                <w:szCs w:val="14"/>
                <w:color w:val="auto"/>
              </w:rPr>
            </w:pPr>
          </w:p>
        </w:tc>
        <w:tc>
          <w:tcPr>
            <w:tcW w:w="98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98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00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63"/>
              <w:spacing w:after="0" w:line="162" w:lineRule="exact"/>
              <w:rPr>
                <w:sz w:val="20"/>
                <w:szCs w:val="20"/>
                <w:color w:val="auto"/>
              </w:rPr>
            </w:pPr>
            <w:r>
              <w:rPr>
                <w:rFonts w:ascii="Arial" w:cs="Arial" w:eastAsia="Arial" w:hAnsi="Arial"/>
                <w:sz w:val="15"/>
                <w:szCs w:val="15"/>
                <w:color w:val="auto"/>
              </w:rPr>
              <w:t>16,572</w:t>
            </w:r>
          </w:p>
        </w:tc>
        <w:tc>
          <w:tcPr>
            <w:tcW w:w="160" w:type="dxa"/>
            <w:vAlign w:val="bottom"/>
            <w:tcBorders>
              <w:bottom w:val="single" w:sz="8" w:color="CCEEFF"/>
            </w:tcBorders>
          </w:tcPr>
          <w:p>
            <w:pPr>
              <w:spacing w:after="0"/>
              <w:rPr>
                <w:sz w:val="14"/>
                <w:szCs w:val="14"/>
                <w:color w:val="auto"/>
              </w:rPr>
            </w:pPr>
          </w:p>
        </w:tc>
        <w:tc>
          <w:tcPr>
            <w:tcW w:w="100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08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380" w:type="dxa"/>
            <w:vAlign w:val="bottom"/>
            <w:tcBorders>
              <w:bottom w:val="single" w:sz="8" w:color="CCEEFF"/>
            </w:tcBorders>
            <w:shd w:val="clear" w:color="auto" w:fill="CCEEFF"/>
          </w:tcPr>
          <w:p>
            <w:pPr>
              <w:ind w:left="360"/>
              <w:spacing w:after="0" w:line="156" w:lineRule="exact"/>
              <w:rPr>
                <w:sz w:val="20"/>
                <w:szCs w:val="20"/>
                <w:color w:val="auto"/>
              </w:rPr>
            </w:pPr>
            <w:r>
              <w:rPr>
                <w:rFonts w:ascii="Arial" w:cs="Arial" w:eastAsia="Arial" w:hAnsi="Arial"/>
                <w:sz w:val="15"/>
                <w:szCs w:val="15"/>
                <w:color w:val="auto"/>
              </w:rPr>
              <w:t>Total</w:t>
            </w:r>
          </w:p>
        </w:tc>
        <w:tc>
          <w:tcPr>
            <w:tcW w:w="160" w:type="dxa"/>
            <w:vAlign w:val="bottom"/>
            <w:tcBorders>
              <w:bottom w:val="single" w:sz="8" w:color="CCEEFF"/>
            </w:tcBorders>
            <w:shd w:val="clear" w:color="auto" w:fill="CCEEFF"/>
          </w:tcPr>
          <w:p>
            <w:pPr>
              <w:spacing w:after="0"/>
              <w:rPr>
                <w:sz w:val="13"/>
                <w:szCs w:val="13"/>
                <w:color w:val="auto"/>
              </w:rPr>
            </w:pPr>
          </w:p>
        </w:tc>
        <w:tc>
          <w:tcPr>
            <w:tcW w:w="98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98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100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jc w:val="right"/>
              <w:ind w:right="23"/>
              <w:spacing w:after="0" w:line="156" w:lineRule="exact"/>
              <w:rPr>
                <w:sz w:val="20"/>
                <w:szCs w:val="20"/>
                <w:color w:val="auto"/>
              </w:rPr>
            </w:pPr>
            <w:r>
              <w:rPr>
                <w:rFonts w:ascii="Arial" w:cs="Arial" w:eastAsia="Arial" w:hAnsi="Arial"/>
                <w:sz w:val="15"/>
                <w:szCs w:val="15"/>
                <w:color w:val="auto"/>
              </w:rPr>
              <w:t>$</w:t>
            </w:r>
          </w:p>
        </w:tc>
        <w:tc>
          <w:tcPr>
            <w:tcW w:w="920" w:type="dxa"/>
            <w:vAlign w:val="bottom"/>
            <w:tcBorders>
              <w:bottom w:val="single" w:sz="8" w:color="auto"/>
            </w:tcBorders>
            <w:shd w:val="clear" w:color="auto" w:fill="CCEEFF"/>
          </w:tcPr>
          <w:p>
            <w:pPr>
              <w:jc w:val="right"/>
              <w:ind w:right="63"/>
              <w:spacing w:after="0" w:line="156" w:lineRule="exact"/>
              <w:rPr>
                <w:sz w:val="20"/>
                <w:szCs w:val="20"/>
                <w:color w:val="auto"/>
              </w:rPr>
            </w:pPr>
            <w:r>
              <w:rPr>
                <w:rFonts w:ascii="Arial" w:cs="Arial" w:eastAsia="Arial" w:hAnsi="Arial"/>
                <w:sz w:val="15"/>
                <w:szCs w:val="15"/>
                <w:color w:val="auto"/>
              </w:rPr>
              <w:t>327,495</w:t>
            </w:r>
          </w:p>
        </w:tc>
        <w:tc>
          <w:tcPr>
            <w:tcW w:w="160" w:type="dxa"/>
            <w:vAlign w:val="bottom"/>
            <w:tcBorders>
              <w:bottom w:val="single" w:sz="8" w:color="CCEEFF"/>
            </w:tcBorders>
            <w:shd w:val="clear" w:color="auto" w:fill="CCEEFF"/>
          </w:tcPr>
          <w:p>
            <w:pPr>
              <w:spacing w:after="0"/>
              <w:rPr>
                <w:sz w:val="13"/>
                <w:szCs w:val="13"/>
                <w:color w:val="auto"/>
              </w:rPr>
            </w:pPr>
          </w:p>
        </w:tc>
        <w:tc>
          <w:tcPr>
            <w:tcW w:w="100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108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vMerge w:val="restart"/>
          </w:tcPr>
          <w:p>
            <w:pPr>
              <w:jc w:val="center"/>
              <w:ind w:left="103"/>
              <w:spacing w:after="0"/>
              <w:rPr>
                <w:sz w:val="20"/>
                <w:szCs w:val="20"/>
                <w:color w:val="auto"/>
              </w:rPr>
            </w:pPr>
            <w:r>
              <w:rPr>
                <w:rFonts w:ascii="Arial" w:cs="Arial" w:eastAsia="Arial" w:hAnsi="Arial"/>
                <w:sz w:val="15"/>
                <w:szCs w:val="15"/>
                <w:color w:val="auto"/>
                <w:w w:val="92"/>
              </w:rPr>
              <w:t>Continuous</w:t>
            </w: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vMerge w:val="restart"/>
          </w:tcPr>
          <w:p>
            <w:pPr>
              <w:jc w:val="center"/>
              <w:ind w:left="23"/>
              <w:spacing w:after="0"/>
              <w:rPr>
                <w:sz w:val="20"/>
                <w:szCs w:val="20"/>
                <w:color w:val="auto"/>
              </w:rPr>
            </w:pPr>
            <w:r>
              <w:rPr>
                <w:rFonts w:ascii="Arial" w:cs="Arial" w:eastAsia="Arial" w:hAnsi="Arial"/>
                <w:sz w:val="15"/>
                <w:szCs w:val="15"/>
                <w:color w:val="auto"/>
                <w:w w:val="92"/>
              </w:rPr>
              <w:t>Continuous</w:t>
            </w: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3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jc w:val="center"/>
              <w:ind w:right="440"/>
              <w:spacing w:after="0" w:line="162" w:lineRule="exact"/>
              <w:rPr>
                <w:sz w:val="20"/>
                <w:szCs w:val="20"/>
                <w:color w:val="auto"/>
              </w:rPr>
            </w:pPr>
            <w:r>
              <w:rPr>
                <w:rFonts w:ascii="Arial" w:cs="Arial" w:eastAsia="Arial" w:hAnsi="Arial"/>
                <w:sz w:val="15"/>
                <w:szCs w:val="15"/>
                <w:color w:val="auto"/>
                <w:w w:val="89"/>
              </w:rPr>
              <w:t>Gross</w:t>
            </w:r>
          </w:p>
        </w:tc>
        <w:tc>
          <w:tcPr>
            <w:tcW w:w="160" w:type="dxa"/>
            <w:vAlign w:val="bottom"/>
          </w:tcPr>
          <w:p>
            <w:pPr>
              <w:spacing w:after="0"/>
              <w:rPr>
                <w:sz w:val="14"/>
                <w:szCs w:val="14"/>
                <w:color w:val="auto"/>
              </w:rPr>
            </w:pPr>
          </w:p>
        </w:tc>
        <w:tc>
          <w:tcPr>
            <w:tcW w:w="1160" w:type="dxa"/>
            <w:vAlign w:val="bottom"/>
            <w:gridSpan w:val="2"/>
          </w:tcPr>
          <w:p>
            <w:pPr>
              <w:jc w:val="center"/>
              <w:ind w:right="440"/>
              <w:spacing w:after="0" w:line="162" w:lineRule="exact"/>
              <w:rPr>
                <w:sz w:val="20"/>
                <w:szCs w:val="20"/>
                <w:color w:val="auto"/>
              </w:rPr>
            </w:pPr>
            <w:r>
              <w:rPr>
                <w:rFonts w:ascii="Arial" w:cs="Arial" w:eastAsia="Arial" w:hAnsi="Arial"/>
                <w:sz w:val="15"/>
                <w:szCs w:val="15"/>
                <w:color w:val="auto"/>
                <w:w w:val="89"/>
              </w:rPr>
              <w:t>Gross</w:t>
            </w: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center"/>
              <w:ind w:left="103"/>
              <w:spacing w:after="0" w:line="162" w:lineRule="exact"/>
              <w:rPr>
                <w:sz w:val="20"/>
                <w:szCs w:val="20"/>
                <w:color w:val="auto"/>
              </w:rPr>
            </w:pPr>
            <w:r>
              <w:rPr>
                <w:rFonts w:ascii="Arial" w:cs="Arial" w:eastAsia="Arial" w:hAnsi="Arial"/>
                <w:sz w:val="15"/>
                <w:szCs w:val="15"/>
                <w:color w:val="auto"/>
                <w:w w:val="91"/>
              </w:rPr>
              <w:t>Unrealized</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jc w:val="center"/>
              <w:ind w:left="23"/>
              <w:spacing w:after="0" w:line="162" w:lineRule="exact"/>
              <w:rPr>
                <w:sz w:val="20"/>
                <w:szCs w:val="20"/>
                <w:color w:val="auto"/>
              </w:rPr>
            </w:pPr>
            <w:r>
              <w:rPr>
                <w:rFonts w:ascii="Arial" w:cs="Arial" w:eastAsia="Arial" w:hAnsi="Arial"/>
                <w:sz w:val="15"/>
                <w:szCs w:val="15"/>
                <w:color w:val="auto"/>
                <w:w w:val="91"/>
              </w:rPr>
              <w:t>Unrealized</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jc w:val="center"/>
              <w:ind w:right="460"/>
              <w:spacing w:after="0" w:line="162" w:lineRule="exact"/>
              <w:rPr>
                <w:sz w:val="20"/>
                <w:szCs w:val="20"/>
                <w:color w:val="auto"/>
              </w:rPr>
            </w:pPr>
            <w:r>
              <w:rPr>
                <w:rFonts w:ascii="Arial" w:cs="Arial" w:eastAsia="Arial" w:hAnsi="Arial"/>
                <w:sz w:val="15"/>
                <w:szCs w:val="15"/>
                <w:color w:val="auto"/>
                <w:w w:val="91"/>
              </w:rPr>
              <w:t>Unrealized</w:t>
            </w:r>
          </w:p>
        </w:tc>
        <w:tc>
          <w:tcPr>
            <w:tcW w:w="160" w:type="dxa"/>
            <w:vAlign w:val="bottom"/>
          </w:tcPr>
          <w:p>
            <w:pPr>
              <w:spacing w:after="0"/>
              <w:rPr>
                <w:sz w:val="14"/>
                <w:szCs w:val="14"/>
                <w:color w:val="auto"/>
              </w:rPr>
            </w:pPr>
          </w:p>
        </w:tc>
        <w:tc>
          <w:tcPr>
            <w:tcW w:w="1160" w:type="dxa"/>
            <w:vAlign w:val="bottom"/>
            <w:gridSpan w:val="2"/>
          </w:tcPr>
          <w:p>
            <w:pPr>
              <w:jc w:val="center"/>
              <w:ind w:right="440"/>
              <w:spacing w:after="0" w:line="162" w:lineRule="exact"/>
              <w:rPr>
                <w:sz w:val="20"/>
                <w:szCs w:val="20"/>
                <w:color w:val="auto"/>
              </w:rPr>
            </w:pPr>
            <w:r>
              <w:rPr>
                <w:rFonts w:ascii="Arial" w:cs="Arial" w:eastAsia="Arial" w:hAnsi="Arial"/>
                <w:sz w:val="15"/>
                <w:szCs w:val="15"/>
                <w:color w:val="auto"/>
                <w:w w:val="94"/>
              </w:rPr>
              <w:t>Unrealized</w:t>
            </w: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center"/>
              <w:ind w:left="103"/>
              <w:spacing w:after="0" w:line="162" w:lineRule="exact"/>
              <w:rPr>
                <w:sz w:val="20"/>
                <w:szCs w:val="20"/>
                <w:color w:val="auto"/>
              </w:rPr>
            </w:pPr>
            <w:r>
              <w:rPr>
                <w:rFonts w:ascii="Arial" w:cs="Arial" w:eastAsia="Arial" w:hAnsi="Arial"/>
                <w:sz w:val="15"/>
                <w:szCs w:val="15"/>
                <w:color w:val="auto"/>
                <w:w w:val="91"/>
              </w:rPr>
              <w:t>Loss Position</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jc w:val="center"/>
              <w:ind w:left="23"/>
              <w:spacing w:after="0" w:line="162" w:lineRule="exact"/>
              <w:rPr>
                <w:sz w:val="20"/>
                <w:szCs w:val="20"/>
                <w:color w:val="auto"/>
              </w:rPr>
            </w:pPr>
            <w:r>
              <w:rPr>
                <w:rFonts w:ascii="Arial" w:cs="Arial" w:eastAsia="Arial" w:hAnsi="Arial"/>
                <w:sz w:val="15"/>
                <w:szCs w:val="15"/>
                <w:color w:val="auto"/>
                <w:w w:val="91"/>
              </w:rPr>
              <w:t>Loss Position</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center"/>
              <w:ind w:right="460"/>
              <w:spacing w:after="0" w:line="162" w:lineRule="exact"/>
              <w:rPr>
                <w:sz w:val="20"/>
                <w:szCs w:val="20"/>
                <w:color w:val="auto"/>
              </w:rPr>
            </w:pPr>
            <w:r>
              <w:rPr>
                <w:rFonts w:ascii="Arial" w:cs="Arial" w:eastAsia="Arial" w:hAnsi="Arial"/>
                <w:sz w:val="15"/>
                <w:szCs w:val="15"/>
                <w:color w:val="auto"/>
                <w:w w:val="94"/>
              </w:rPr>
              <w:t>Amortized</w:t>
            </w:r>
          </w:p>
        </w:tc>
        <w:tc>
          <w:tcPr>
            <w:tcW w:w="160" w:type="dxa"/>
            <w:vAlign w:val="bottom"/>
          </w:tcPr>
          <w:p>
            <w:pPr>
              <w:spacing w:after="0"/>
              <w:rPr>
                <w:sz w:val="14"/>
                <w:szCs w:val="14"/>
                <w:color w:val="auto"/>
              </w:rPr>
            </w:pPr>
          </w:p>
        </w:tc>
        <w:tc>
          <w:tcPr>
            <w:tcW w:w="1160" w:type="dxa"/>
            <w:vAlign w:val="bottom"/>
            <w:gridSpan w:val="2"/>
          </w:tcPr>
          <w:p>
            <w:pPr>
              <w:jc w:val="center"/>
              <w:ind w:right="460"/>
              <w:spacing w:after="0" w:line="162" w:lineRule="exact"/>
              <w:rPr>
                <w:sz w:val="20"/>
                <w:szCs w:val="20"/>
                <w:color w:val="auto"/>
              </w:rPr>
            </w:pPr>
            <w:r>
              <w:rPr>
                <w:rFonts w:ascii="Arial" w:cs="Arial" w:eastAsia="Arial" w:hAnsi="Arial"/>
                <w:sz w:val="15"/>
                <w:szCs w:val="15"/>
                <w:color w:val="auto"/>
                <w:w w:val="98"/>
              </w:rPr>
              <w:t>Holding</w:t>
            </w:r>
          </w:p>
        </w:tc>
        <w:tc>
          <w:tcPr>
            <w:tcW w:w="160" w:type="dxa"/>
            <w:vAlign w:val="bottom"/>
          </w:tcPr>
          <w:p>
            <w:pPr>
              <w:spacing w:after="0"/>
              <w:rPr>
                <w:sz w:val="14"/>
                <w:szCs w:val="14"/>
                <w:color w:val="auto"/>
              </w:rPr>
            </w:pPr>
          </w:p>
        </w:tc>
        <w:tc>
          <w:tcPr>
            <w:tcW w:w="1160" w:type="dxa"/>
            <w:vAlign w:val="bottom"/>
            <w:gridSpan w:val="2"/>
          </w:tcPr>
          <w:p>
            <w:pPr>
              <w:jc w:val="center"/>
              <w:ind w:right="460"/>
              <w:spacing w:after="0" w:line="162" w:lineRule="exact"/>
              <w:rPr>
                <w:sz w:val="20"/>
                <w:szCs w:val="20"/>
                <w:color w:val="auto"/>
              </w:rPr>
            </w:pPr>
            <w:r>
              <w:rPr>
                <w:rFonts w:ascii="Arial" w:cs="Arial" w:eastAsia="Arial" w:hAnsi="Arial"/>
                <w:sz w:val="15"/>
                <w:szCs w:val="15"/>
                <w:color w:val="auto"/>
                <w:w w:val="98"/>
              </w:rPr>
              <w:t>Holding</w:t>
            </w:r>
          </w:p>
        </w:tc>
        <w:tc>
          <w:tcPr>
            <w:tcW w:w="240" w:type="dxa"/>
            <w:vAlign w:val="bottom"/>
          </w:tcPr>
          <w:p>
            <w:pPr>
              <w:spacing w:after="0"/>
              <w:rPr>
                <w:sz w:val="14"/>
                <w:szCs w:val="14"/>
                <w:color w:val="auto"/>
              </w:rPr>
            </w:pPr>
          </w:p>
        </w:tc>
        <w:tc>
          <w:tcPr>
            <w:tcW w:w="920" w:type="dxa"/>
            <w:vAlign w:val="bottom"/>
          </w:tcPr>
          <w:p>
            <w:pPr>
              <w:jc w:val="center"/>
              <w:ind w:right="283"/>
              <w:spacing w:after="0" w:line="162" w:lineRule="exact"/>
              <w:rPr>
                <w:sz w:val="20"/>
                <w:szCs w:val="20"/>
                <w:color w:val="auto"/>
              </w:rPr>
            </w:pPr>
            <w:r>
              <w:rPr>
                <w:rFonts w:ascii="Arial" w:cs="Arial" w:eastAsia="Arial" w:hAnsi="Arial"/>
                <w:sz w:val="15"/>
                <w:szCs w:val="15"/>
                <w:color w:val="auto"/>
                <w:w w:val="92"/>
              </w:rPr>
              <w:t>Fair</w:t>
            </w:r>
          </w:p>
        </w:tc>
        <w:tc>
          <w:tcPr>
            <w:tcW w:w="160" w:type="dxa"/>
            <w:vAlign w:val="bottom"/>
          </w:tcPr>
          <w:p>
            <w:pPr>
              <w:spacing w:after="0"/>
              <w:rPr>
                <w:sz w:val="14"/>
                <w:szCs w:val="14"/>
                <w:color w:val="auto"/>
              </w:rPr>
            </w:pPr>
          </w:p>
        </w:tc>
        <w:tc>
          <w:tcPr>
            <w:tcW w:w="1000" w:type="dxa"/>
            <w:vAlign w:val="bottom"/>
          </w:tcPr>
          <w:p>
            <w:pPr>
              <w:jc w:val="center"/>
              <w:ind w:left="123"/>
              <w:spacing w:after="0" w:line="162" w:lineRule="exact"/>
              <w:rPr>
                <w:sz w:val="20"/>
                <w:szCs w:val="20"/>
                <w:color w:val="auto"/>
              </w:rPr>
            </w:pPr>
            <w:r>
              <w:rPr>
                <w:rFonts w:ascii="Arial" w:cs="Arial" w:eastAsia="Arial" w:hAnsi="Arial"/>
                <w:sz w:val="15"/>
                <w:szCs w:val="15"/>
                <w:color w:val="auto"/>
                <w:w w:val="88"/>
              </w:rPr>
              <w:t>less than 12</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jc w:val="center"/>
              <w:ind w:left="23"/>
              <w:spacing w:after="0" w:line="162" w:lineRule="exact"/>
              <w:rPr>
                <w:sz w:val="20"/>
                <w:szCs w:val="20"/>
                <w:color w:val="auto"/>
              </w:rPr>
            </w:pPr>
            <w:r>
              <w:rPr>
                <w:rFonts w:ascii="Arial" w:cs="Arial" w:eastAsia="Arial" w:hAnsi="Arial"/>
                <w:sz w:val="15"/>
                <w:szCs w:val="15"/>
                <w:color w:val="auto"/>
                <w:w w:val="88"/>
              </w:rPr>
              <w:t>greater than 12</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38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December 31, 2011</w:t>
            </w: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2"/>
          </w:tcPr>
          <w:p>
            <w:pPr>
              <w:jc w:val="center"/>
              <w:ind w:right="460"/>
              <w:spacing w:after="0"/>
              <w:rPr>
                <w:sz w:val="20"/>
                <w:szCs w:val="20"/>
                <w:color w:val="auto"/>
              </w:rPr>
            </w:pPr>
            <w:r>
              <w:rPr>
                <w:rFonts w:ascii="Arial" w:cs="Arial" w:eastAsia="Arial" w:hAnsi="Arial"/>
                <w:sz w:val="15"/>
                <w:szCs w:val="15"/>
                <w:color w:val="auto"/>
                <w:w w:val="90"/>
              </w:rPr>
              <w:t>Cost</w:t>
            </w: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5"/>
                <w:szCs w:val="15"/>
                <w:color w:val="auto"/>
                <w:w w:val="91"/>
              </w:rPr>
              <w:t>Gains</w:t>
            </w: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2"/>
          </w:tcPr>
          <w:p>
            <w:pPr>
              <w:jc w:val="center"/>
              <w:ind w:right="460"/>
              <w:spacing w:after="0"/>
              <w:rPr>
                <w:sz w:val="20"/>
                <w:szCs w:val="20"/>
                <w:color w:val="auto"/>
              </w:rPr>
            </w:pPr>
            <w:r>
              <w:rPr>
                <w:rFonts w:ascii="Arial" w:cs="Arial" w:eastAsia="Arial" w:hAnsi="Arial"/>
                <w:sz w:val="15"/>
                <w:szCs w:val="15"/>
                <w:color w:val="auto"/>
                <w:w w:val="88"/>
              </w:rPr>
              <w:t>Losses</w:t>
            </w: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center"/>
              <w:ind w:right="283"/>
              <w:spacing w:after="0"/>
              <w:rPr>
                <w:sz w:val="20"/>
                <w:szCs w:val="20"/>
                <w:color w:val="auto"/>
              </w:rPr>
            </w:pPr>
            <w:r>
              <w:rPr>
                <w:rFonts w:ascii="Arial" w:cs="Arial" w:eastAsia="Arial" w:hAnsi="Arial"/>
                <w:sz w:val="15"/>
                <w:szCs w:val="15"/>
                <w:color w:val="auto"/>
                <w:w w:val="93"/>
              </w:rPr>
              <w:t>Value</w:t>
            </w:r>
          </w:p>
        </w:tc>
        <w:tc>
          <w:tcPr>
            <w:tcW w:w="1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left="103"/>
              <w:spacing w:after="0"/>
              <w:rPr>
                <w:sz w:val="20"/>
                <w:szCs w:val="20"/>
                <w:color w:val="auto"/>
              </w:rPr>
            </w:pPr>
            <w:r>
              <w:rPr>
                <w:rFonts w:ascii="Arial" w:cs="Arial" w:eastAsia="Arial" w:hAnsi="Arial"/>
                <w:sz w:val="15"/>
                <w:szCs w:val="15"/>
                <w:color w:val="auto"/>
                <w:w w:val="93"/>
              </w:rPr>
              <w:t>Months</w:t>
            </w:r>
          </w:p>
        </w:tc>
        <w:tc>
          <w:tcPr>
            <w:tcW w:w="3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left="23"/>
              <w:spacing w:after="0"/>
              <w:rPr>
                <w:sz w:val="20"/>
                <w:szCs w:val="20"/>
                <w:color w:val="auto"/>
              </w:rPr>
            </w:pPr>
            <w:r>
              <w:rPr>
                <w:rFonts w:ascii="Arial" w:cs="Arial" w:eastAsia="Arial" w:hAnsi="Arial"/>
                <w:sz w:val="15"/>
                <w:szCs w:val="15"/>
                <w:color w:val="auto"/>
                <w:w w:val="93"/>
              </w:rPr>
              <w:t>Months</w:t>
            </w:r>
          </w:p>
        </w:tc>
        <w:tc>
          <w:tcPr>
            <w:tcW w:w="2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3380" w:type="dxa"/>
            <w:vAlign w:val="bottom"/>
            <w:shd w:val="clear" w:color="auto" w:fill="CCEEFF"/>
          </w:tcPr>
          <w:p>
            <w:pPr>
              <w:spacing w:after="0" w:line="162" w:lineRule="exact"/>
              <w:rPr>
                <w:sz w:val="20"/>
                <w:szCs w:val="20"/>
                <w:color w:val="auto"/>
              </w:rPr>
            </w:pPr>
            <w:r>
              <w:rPr>
                <w:rFonts w:ascii="Arial" w:cs="Arial" w:eastAsia="Arial" w:hAnsi="Arial"/>
                <w:sz w:val="15"/>
                <w:szCs w:val="15"/>
                <w:b w:val="1"/>
                <w:bCs w:val="1"/>
                <w:color w:val="auto"/>
              </w:rPr>
              <w:t>Held-to-Maturity</w:t>
            </w: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80" w:type="dxa"/>
            <w:vAlign w:val="bottom"/>
          </w:tcPr>
          <w:p>
            <w:pPr>
              <w:spacing w:after="0" w:line="162" w:lineRule="exact"/>
              <w:rPr>
                <w:sz w:val="20"/>
                <w:szCs w:val="20"/>
                <w:color w:val="auto"/>
              </w:rPr>
            </w:pPr>
            <w:r>
              <w:rPr>
                <w:rFonts w:ascii="Arial" w:cs="Arial" w:eastAsia="Arial" w:hAnsi="Arial"/>
                <w:sz w:val="15"/>
                <w:szCs w:val="15"/>
                <w:color w:val="auto"/>
              </w:rPr>
              <w:t>Short-term:</w:t>
            </w: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80" w:type="dxa"/>
            <w:vAlign w:val="bottom"/>
            <w:shd w:val="clear" w:color="auto" w:fill="CCEEFF"/>
          </w:tcPr>
          <w:p>
            <w:pPr>
              <w:ind w:left="180"/>
              <w:spacing w:after="0" w:line="162" w:lineRule="exact"/>
              <w:rPr>
                <w:sz w:val="20"/>
                <w:szCs w:val="20"/>
                <w:color w:val="auto"/>
              </w:rPr>
            </w:pPr>
            <w:r>
              <w:rPr>
                <w:rFonts w:ascii="Arial" w:cs="Arial" w:eastAsia="Arial" w:hAnsi="Arial"/>
                <w:sz w:val="15"/>
                <w:szCs w:val="15"/>
                <w:color w:val="auto"/>
              </w:rPr>
              <w:t>U.S. Treasuries</w:t>
            </w:r>
          </w:p>
        </w:tc>
        <w:tc>
          <w:tcPr>
            <w:tcW w:w="1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980" w:type="dxa"/>
            <w:vAlign w:val="bottom"/>
            <w:shd w:val="clear" w:color="auto" w:fill="CCEEFF"/>
          </w:tcPr>
          <w:p>
            <w:pPr>
              <w:jc w:val="right"/>
              <w:ind w:right="63"/>
              <w:spacing w:after="0" w:line="162" w:lineRule="exact"/>
              <w:rPr>
                <w:sz w:val="20"/>
                <w:szCs w:val="20"/>
                <w:color w:val="auto"/>
              </w:rPr>
            </w:pPr>
            <w:r>
              <w:rPr>
                <w:rFonts w:ascii="Arial" w:cs="Arial" w:eastAsia="Arial" w:hAnsi="Arial"/>
                <w:sz w:val="15"/>
                <w:szCs w:val="15"/>
                <w:color w:val="auto"/>
              </w:rPr>
              <w:t>8,034</w:t>
            </w: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980" w:type="dxa"/>
            <w:vAlign w:val="bottom"/>
            <w:shd w:val="clear" w:color="auto" w:fill="CCEEFF"/>
          </w:tcPr>
          <w:p>
            <w:pPr>
              <w:jc w:val="right"/>
              <w:ind w:right="43"/>
              <w:spacing w:after="0" w:line="162" w:lineRule="exact"/>
              <w:rPr>
                <w:sz w:val="20"/>
                <w:szCs w:val="20"/>
                <w:color w:val="auto"/>
              </w:rPr>
            </w:pPr>
            <w:r>
              <w:rPr>
                <w:rFonts w:ascii="Arial" w:cs="Arial" w:eastAsia="Arial" w:hAnsi="Arial"/>
                <w:sz w:val="15"/>
                <w:szCs w:val="15"/>
                <w:color w:val="auto"/>
              </w:rPr>
              <w:t>5</w:t>
            </w: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1000" w:type="dxa"/>
            <w:vAlign w:val="bottom"/>
            <w:shd w:val="clear" w:color="auto" w:fill="CCEEFF"/>
          </w:tcPr>
          <w:p>
            <w:pPr>
              <w:jc w:val="right"/>
              <w:ind w:right="43"/>
              <w:spacing w:after="0" w:line="162" w:lineRule="exact"/>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23"/>
              <w:spacing w:after="0" w:line="162" w:lineRule="exact"/>
              <w:rPr>
                <w:sz w:val="20"/>
                <w:szCs w:val="20"/>
                <w:color w:val="auto"/>
              </w:rPr>
            </w:pPr>
            <w:r>
              <w:rPr>
                <w:rFonts w:ascii="Arial" w:cs="Arial" w:eastAsia="Arial" w:hAnsi="Arial"/>
                <w:sz w:val="15"/>
                <w:szCs w:val="15"/>
                <w:color w:val="auto"/>
              </w:rPr>
              <w:t>$</w:t>
            </w:r>
          </w:p>
        </w:tc>
        <w:tc>
          <w:tcPr>
            <w:tcW w:w="920" w:type="dxa"/>
            <w:vAlign w:val="bottom"/>
            <w:shd w:val="clear" w:color="auto" w:fill="CCEEFF"/>
          </w:tcPr>
          <w:p>
            <w:pPr>
              <w:jc w:val="right"/>
              <w:ind w:right="43"/>
              <w:spacing w:after="0" w:line="162" w:lineRule="exact"/>
              <w:rPr>
                <w:sz w:val="20"/>
                <w:szCs w:val="20"/>
                <w:color w:val="auto"/>
              </w:rPr>
            </w:pPr>
            <w:r>
              <w:rPr>
                <w:rFonts w:ascii="Arial" w:cs="Arial" w:eastAsia="Arial" w:hAnsi="Arial"/>
                <w:sz w:val="15"/>
                <w:szCs w:val="15"/>
                <w:color w:val="auto"/>
              </w:rPr>
              <w:t>8,039</w:t>
            </w:r>
          </w:p>
        </w:tc>
        <w:tc>
          <w:tcPr>
            <w:tcW w:w="1160" w:type="dxa"/>
            <w:vAlign w:val="bottom"/>
            <w:gridSpan w:val="2"/>
            <w:shd w:val="clear" w:color="auto" w:fill="CCEEFF"/>
          </w:tcPr>
          <w:p>
            <w:pPr>
              <w:jc w:val="right"/>
              <w:ind w:right="763"/>
              <w:spacing w:after="0" w:line="162" w:lineRule="exact"/>
              <w:rPr>
                <w:sz w:val="20"/>
                <w:szCs w:val="20"/>
                <w:color w:val="auto"/>
              </w:rPr>
            </w:pPr>
            <w:r>
              <w:rPr>
                <w:rFonts w:ascii="Arial" w:cs="Arial" w:eastAsia="Arial" w:hAnsi="Arial"/>
                <w:sz w:val="15"/>
                <w:szCs w:val="15"/>
                <w:color w:val="auto"/>
              </w:rPr>
              <w:t>$</w:t>
            </w:r>
          </w:p>
        </w:tc>
        <w:tc>
          <w:tcPr>
            <w:tcW w:w="300" w:type="dxa"/>
            <w:vAlign w:val="bottom"/>
            <w:shd w:val="clear" w:color="auto" w:fill="CCEEFF"/>
          </w:tcPr>
          <w:p>
            <w:pPr>
              <w:jc w:val="right"/>
              <w:ind w:right="43"/>
              <w:spacing w:after="0" w:line="162" w:lineRule="exact"/>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843"/>
              <w:spacing w:after="0" w:line="162" w:lineRule="exact"/>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jc w:val="right"/>
              <w:ind w:right="63"/>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3380" w:type="dxa"/>
            <w:vAlign w:val="bottom"/>
          </w:tcPr>
          <w:p>
            <w:pPr>
              <w:ind w:left="180"/>
              <w:spacing w:after="0" w:line="162" w:lineRule="exact"/>
              <w:rPr>
                <w:sz w:val="20"/>
                <w:szCs w:val="20"/>
                <w:color w:val="auto"/>
              </w:rPr>
            </w:pPr>
            <w:r>
              <w:rPr>
                <w:rFonts w:ascii="Arial" w:cs="Arial" w:eastAsia="Arial" w:hAnsi="Arial"/>
                <w:sz w:val="15"/>
                <w:szCs w:val="15"/>
                <w:color w:val="auto"/>
              </w:rPr>
              <w:t>Certificates of deposit</w:t>
            </w:r>
          </w:p>
        </w:tc>
        <w:tc>
          <w:tcPr>
            <w:tcW w:w="160" w:type="dxa"/>
            <w:vAlign w:val="bottom"/>
          </w:tcPr>
          <w:p>
            <w:pPr>
              <w:spacing w:after="0"/>
              <w:rPr>
                <w:sz w:val="14"/>
                <w:szCs w:val="14"/>
                <w:color w:val="auto"/>
              </w:rPr>
            </w:pPr>
          </w:p>
        </w:tc>
        <w:tc>
          <w:tcPr>
            <w:tcW w:w="980" w:type="dxa"/>
            <w:vAlign w:val="bottom"/>
          </w:tcPr>
          <w:p>
            <w:pPr>
              <w:jc w:val="right"/>
              <w:ind w:right="63"/>
              <w:spacing w:after="0" w:line="162" w:lineRule="exact"/>
              <w:rPr>
                <w:sz w:val="20"/>
                <w:szCs w:val="20"/>
                <w:color w:val="auto"/>
              </w:rPr>
            </w:pPr>
            <w:r>
              <w:rPr>
                <w:rFonts w:ascii="Arial" w:cs="Arial" w:eastAsia="Arial" w:hAnsi="Arial"/>
                <w:sz w:val="15"/>
                <w:szCs w:val="15"/>
                <w:color w:val="auto"/>
              </w:rPr>
              <w:t>29,034</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ind w:right="43"/>
              <w:spacing w:after="0" w:line="162" w:lineRule="exact"/>
              <w:rPr>
                <w:sz w:val="20"/>
                <w:szCs w:val="20"/>
                <w:color w:val="auto"/>
              </w:rPr>
            </w:pPr>
            <w:r>
              <w:rPr>
                <w:rFonts w:ascii="Arial" w:cs="Arial" w:eastAsia="Arial" w:hAnsi="Arial"/>
                <w:sz w:val="15"/>
                <w:szCs w:val="15"/>
                <w:color w:val="auto"/>
              </w:rPr>
              <w:t>1</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right"/>
              <w:ind w:right="43"/>
              <w:spacing w:after="0" w:line="162" w:lineRule="exact"/>
              <w:rPr>
                <w:sz w:val="20"/>
                <w:szCs w:val="20"/>
                <w:color w:val="auto"/>
              </w:rPr>
            </w:pPr>
            <w:r>
              <w:rPr>
                <w:rFonts w:ascii="Arial" w:cs="Arial" w:eastAsia="Arial" w:hAnsi="Arial"/>
                <w:sz w:val="15"/>
                <w:szCs w:val="15"/>
                <w:color w:val="auto"/>
              </w:rPr>
              <w:t>-</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jc w:val="right"/>
              <w:ind w:right="43"/>
              <w:spacing w:after="0" w:line="162" w:lineRule="exact"/>
              <w:rPr>
                <w:sz w:val="20"/>
                <w:szCs w:val="20"/>
                <w:color w:val="auto"/>
              </w:rPr>
            </w:pPr>
            <w:r>
              <w:rPr>
                <w:rFonts w:ascii="Arial" w:cs="Arial" w:eastAsia="Arial" w:hAnsi="Arial"/>
                <w:sz w:val="15"/>
                <w:szCs w:val="15"/>
                <w:color w:val="auto"/>
              </w:rPr>
              <w:t>29,035</w:t>
            </w: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jc w:val="right"/>
              <w:ind w:right="43"/>
              <w:spacing w:after="0" w:line="162" w:lineRule="exact"/>
              <w:rPr>
                <w:sz w:val="20"/>
                <w:szCs w:val="20"/>
                <w:color w:val="auto"/>
              </w:rPr>
            </w:pPr>
            <w:r>
              <w:rPr>
                <w:rFonts w:ascii="Arial" w:cs="Arial" w:eastAsia="Arial" w:hAnsi="Arial"/>
                <w:sz w:val="15"/>
                <w:szCs w:val="15"/>
                <w:color w:val="auto"/>
              </w:rPr>
              <w:t>-</w:t>
            </w: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jc w:val="right"/>
              <w:ind w:right="63"/>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3380" w:type="dxa"/>
            <w:vAlign w:val="bottom"/>
            <w:shd w:val="clear" w:color="auto" w:fill="CCEEFF"/>
          </w:tcPr>
          <w:p>
            <w:pPr>
              <w:ind w:left="180"/>
              <w:spacing w:after="0" w:line="162" w:lineRule="exact"/>
              <w:rPr>
                <w:sz w:val="20"/>
                <w:szCs w:val="20"/>
                <w:color w:val="auto"/>
              </w:rPr>
            </w:pPr>
            <w:r>
              <w:rPr>
                <w:rFonts w:ascii="Arial" w:cs="Arial" w:eastAsia="Arial" w:hAnsi="Arial"/>
                <w:sz w:val="15"/>
                <w:szCs w:val="15"/>
                <w:color w:val="auto"/>
              </w:rPr>
              <w:t>Corporate bonds</w:t>
            </w: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63"/>
              <w:spacing w:after="0" w:line="162" w:lineRule="exact"/>
              <w:rPr>
                <w:sz w:val="20"/>
                <w:szCs w:val="20"/>
                <w:color w:val="auto"/>
              </w:rPr>
            </w:pPr>
            <w:r>
              <w:rPr>
                <w:rFonts w:ascii="Arial" w:cs="Arial" w:eastAsia="Arial" w:hAnsi="Arial"/>
                <w:sz w:val="15"/>
                <w:szCs w:val="15"/>
                <w:color w:val="auto"/>
              </w:rPr>
              <w:t>2,022</w:t>
            </w: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43"/>
              <w:spacing w:after="0" w:line="162" w:lineRule="exact"/>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43"/>
              <w:spacing w:after="0" w:line="162" w:lineRule="exact"/>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43"/>
              <w:spacing w:after="0" w:line="162" w:lineRule="exact"/>
              <w:rPr>
                <w:sz w:val="20"/>
                <w:szCs w:val="20"/>
                <w:color w:val="auto"/>
              </w:rPr>
            </w:pPr>
            <w:r>
              <w:rPr>
                <w:rFonts w:ascii="Arial" w:cs="Arial" w:eastAsia="Arial" w:hAnsi="Arial"/>
                <w:sz w:val="15"/>
                <w:szCs w:val="15"/>
                <w:color w:val="auto"/>
              </w:rPr>
              <w:t>2,022</w:t>
            </w: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43"/>
              <w:spacing w:after="0" w:line="162" w:lineRule="exact"/>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63"/>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3380" w:type="dxa"/>
            <w:vAlign w:val="bottom"/>
          </w:tcPr>
          <w:p>
            <w:pPr>
              <w:ind w:left="180"/>
              <w:spacing w:after="0" w:line="162" w:lineRule="exact"/>
              <w:rPr>
                <w:sz w:val="20"/>
                <w:szCs w:val="20"/>
                <w:color w:val="auto"/>
              </w:rPr>
            </w:pPr>
            <w:r>
              <w:rPr>
                <w:rFonts w:ascii="Arial" w:cs="Arial" w:eastAsia="Arial" w:hAnsi="Arial"/>
                <w:sz w:val="15"/>
                <w:szCs w:val="15"/>
                <w:color w:val="auto"/>
              </w:rPr>
              <w:t>Municipal securities</w:t>
            </w:r>
          </w:p>
        </w:tc>
        <w:tc>
          <w:tcPr>
            <w:tcW w:w="160" w:type="dxa"/>
            <w:vAlign w:val="bottom"/>
          </w:tcPr>
          <w:p>
            <w:pPr>
              <w:spacing w:after="0"/>
              <w:rPr>
                <w:sz w:val="14"/>
                <w:szCs w:val="14"/>
                <w:color w:val="auto"/>
              </w:rPr>
            </w:pPr>
          </w:p>
        </w:tc>
        <w:tc>
          <w:tcPr>
            <w:tcW w:w="980" w:type="dxa"/>
            <w:vAlign w:val="bottom"/>
          </w:tcPr>
          <w:p>
            <w:pPr>
              <w:jc w:val="right"/>
              <w:ind w:right="63"/>
              <w:spacing w:after="0" w:line="162" w:lineRule="exact"/>
              <w:rPr>
                <w:sz w:val="20"/>
                <w:szCs w:val="20"/>
                <w:color w:val="auto"/>
              </w:rPr>
            </w:pPr>
            <w:r>
              <w:rPr>
                <w:rFonts w:ascii="Arial" w:cs="Arial" w:eastAsia="Arial" w:hAnsi="Arial"/>
                <w:sz w:val="15"/>
                <w:szCs w:val="15"/>
                <w:color w:val="auto"/>
              </w:rPr>
              <w:t>284,605</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ind w:right="43"/>
              <w:spacing w:after="0" w:line="162" w:lineRule="exact"/>
              <w:rPr>
                <w:sz w:val="20"/>
                <w:szCs w:val="20"/>
                <w:color w:val="auto"/>
              </w:rPr>
            </w:pPr>
            <w:r>
              <w:rPr>
                <w:rFonts w:ascii="Arial" w:cs="Arial" w:eastAsia="Arial" w:hAnsi="Arial"/>
                <w:sz w:val="15"/>
                <w:szCs w:val="15"/>
                <w:color w:val="auto"/>
              </w:rPr>
              <w:t>-</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right"/>
              <w:ind w:right="43"/>
              <w:spacing w:after="0" w:line="162" w:lineRule="exact"/>
              <w:rPr>
                <w:sz w:val="20"/>
                <w:szCs w:val="20"/>
                <w:color w:val="auto"/>
              </w:rPr>
            </w:pPr>
            <w:r>
              <w:rPr>
                <w:rFonts w:ascii="Arial" w:cs="Arial" w:eastAsia="Arial" w:hAnsi="Arial"/>
                <w:sz w:val="15"/>
                <w:szCs w:val="15"/>
                <w:color w:val="auto"/>
              </w:rPr>
              <w:t>64</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jc w:val="right"/>
              <w:ind w:right="43"/>
              <w:spacing w:after="0" w:line="162" w:lineRule="exact"/>
              <w:rPr>
                <w:sz w:val="20"/>
                <w:szCs w:val="20"/>
                <w:color w:val="auto"/>
              </w:rPr>
            </w:pPr>
            <w:r>
              <w:rPr>
                <w:rFonts w:ascii="Arial" w:cs="Arial" w:eastAsia="Arial" w:hAnsi="Arial"/>
                <w:sz w:val="15"/>
                <w:szCs w:val="15"/>
                <w:color w:val="auto"/>
              </w:rPr>
              <w:t>284,541</w:t>
            </w: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jc w:val="right"/>
              <w:ind w:right="43"/>
              <w:spacing w:after="0" w:line="162" w:lineRule="exact"/>
              <w:rPr>
                <w:sz w:val="20"/>
                <w:szCs w:val="20"/>
                <w:color w:val="auto"/>
              </w:rPr>
            </w:pPr>
            <w:r>
              <w:rPr>
                <w:rFonts w:ascii="Arial" w:cs="Arial" w:eastAsia="Arial" w:hAnsi="Arial"/>
                <w:sz w:val="15"/>
                <w:szCs w:val="15"/>
                <w:color w:val="auto"/>
                <w:w w:val="95"/>
              </w:rPr>
              <w:t>64</w:t>
            </w: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jc w:val="right"/>
              <w:ind w:right="63"/>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3380" w:type="dxa"/>
            <w:vAlign w:val="bottom"/>
            <w:shd w:val="clear" w:color="auto" w:fill="CCEEFF"/>
          </w:tcPr>
          <w:p>
            <w:pPr>
              <w:ind w:left="180"/>
              <w:spacing w:after="0" w:line="162" w:lineRule="exact"/>
              <w:rPr>
                <w:sz w:val="20"/>
                <w:szCs w:val="20"/>
                <w:color w:val="auto"/>
              </w:rPr>
            </w:pPr>
            <w:r>
              <w:rPr>
                <w:rFonts w:ascii="Arial" w:cs="Arial" w:eastAsia="Arial" w:hAnsi="Arial"/>
                <w:sz w:val="15"/>
                <w:szCs w:val="15"/>
                <w:color w:val="auto"/>
              </w:rPr>
              <w:t>U.S. government agency securities</w:t>
            </w: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63"/>
              <w:spacing w:after="0" w:line="162" w:lineRule="exact"/>
              <w:rPr>
                <w:sz w:val="20"/>
                <w:szCs w:val="20"/>
                <w:color w:val="auto"/>
              </w:rPr>
            </w:pPr>
            <w:r>
              <w:rPr>
                <w:rFonts w:ascii="Arial" w:cs="Arial" w:eastAsia="Arial" w:hAnsi="Arial"/>
                <w:sz w:val="15"/>
                <w:szCs w:val="15"/>
                <w:color w:val="auto"/>
              </w:rPr>
              <w:t>16,005</w:t>
            </w: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43"/>
              <w:spacing w:after="0" w:line="162" w:lineRule="exact"/>
              <w:rPr>
                <w:sz w:val="20"/>
                <w:szCs w:val="20"/>
                <w:color w:val="auto"/>
              </w:rPr>
            </w:pPr>
            <w:r>
              <w:rPr>
                <w:rFonts w:ascii="Arial" w:cs="Arial" w:eastAsia="Arial" w:hAnsi="Arial"/>
                <w:sz w:val="15"/>
                <w:szCs w:val="15"/>
                <w:color w:val="auto"/>
              </w:rPr>
              <w:t>2</w:t>
            </w: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43"/>
              <w:spacing w:after="0" w:line="162" w:lineRule="exact"/>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43"/>
              <w:spacing w:after="0" w:line="162" w:lineRule="exact"/>
              <w:rPr>
                <w:sz w:val="20"/>
                <w:szCs w:val="20"/>
                <w:color w:val="auto"/>
              </w:rPr>
            </w:pPr>
            <w:r>
              <w:rPr>
                <w:rFonts w:ascii="Arial" w:cs="Arial" w:eastAsia="Arial" w:hAnsi="Arial"/>
                <w:sz w:val="15"/>
                <w:szCs w:val="15"/>
                <w:color w:val="auto"/>
              </w:rPr>
              <w:t>16,007</w:t>
            </w: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43"/>
              <w:spacing w:after="0" w:line="162" w:lineRule="exact"/>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63"/>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3380" w:type="dxa"/>
            <w:vAlign w:val="bottom"/>
          </w:tcPr>
          <w:p>
            <w:pPr>
              <w:spacing w:after="0" w:line="162" w:lineRule="exact"/>
              <w:rPr>
                <w:sz w:val="20"/>
                <w:szCs w:val="20"/>
                <w:color w:val="auto"/>
              </w:rPr>
            </w:pPr>
            <w:r>
              <w:rPr>
                <w:rFonts w:ascii="Arial" w:cs="Arial" w:eastAsia="Arial" w:hAnsi="Arial"/>
                <w:sz w:val="15"/>
                <w:szCs w:val="15"/>
                <w:b w:val="1"/>
                <w:bCs w:val="1"/>
                <w:color w:val="auto"/>
              </w:rPr>
              <w:t>Available-for-sale</w:t>
            </w: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8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Short-term:</w:t>
            </w: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80" w:type="dxa"/>
            <w:vAlign w:val="bottom"/>
          </w:tcPr>
          <w:p>
            <w:pPr>
              <w:ind w:left="180"/>
              <w:spacing w:after="0" w:line="162" w:lineRule="exact"/>
              <w:rPr>
                <w:sz w:val="20"/>
                <w:szCs w:val="20"/>
                <w:color w:val="auto"/>
              </w:rPr>
            </w:pPr>
            <w:r>
              <w:rPr>
                <w:rFonts w:ascii="Arial" w:cs="Arial" w:eastAsia="Arial" w:hAnsi="Arial"/>
                <w:sz w:val="15"/>
                <w:szCs w:val="15"/>
                <w:color w:val="auto"/>
              </w:rPr>
              <w:t>Variable rate demand notes</w:t>
            </w:r>
          </w:p>
        </w:tc>
        <w:tc>
          <w:tcPr>
            <w:tcW w:w="160" w:type="dxa"/>
            <w:vAlign w:val="bottom"/>
          </w:tcPr>
          <w:p>
            <w:pPr>
              <w:spacing w:after="0"/>
              <w:rPr>
                <w:sz w:val="14"/>
                <w:szCs w:val="14"/>
                <w:color w:val="auto"/>
              </w:rPr>
            </w:pPr>
          </w:p>
        </w:tc>
        <w:tc>
          <w:tcPr>
            <w:tcW w:w="980" w:type="dxa"/>
            <w:vAlign w:val="bottom"/>
          </w:tcPr>
          <w:p>
            <w:pPr>
              <w:jc w:val="right"/>
              <w:ind w:right="63"/>
              <w:spacing w:after="0" w:line="162" w:lineRule="exact"/>
              <w:rPr>
                <w:sz w:val="20"/>
                <w:szCs w:val="20"/>
                <w:color w:val="auto"/>
              </w:rPr>
            </w:pPr>
            <w:r>
              <w:rPr>
                <w:rFonts w:ascii="Arial" w:cs="Arial" w:eastAsia="Arial" w:hAnsi="Arial"/>
                <w:sz w:val="15"/>
                <w:szCs w:val="15"/>
                <w:color w:val="auto"/>
              </w:rPr>
              <w:t>58,924</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ind w:right="43"/>
              <w:spacing w:after="0" w:line="162" w:lineRule="exact"/>
              <w:rPr>
                <w:sz w:val="20"/>
                <w:szCs w:val="20"/>
                <w:color w:val="auto"/>
              </w:rPr>
            </w:pPr>
            <w:r>
              <w:rPr>
                <w:rFonts w:ascii="Arial" w:cs="Arial" w:eastAsia="Arial" w:hAnsi="Arial"/>
                <w:sz w:val="15"/>
                <w:szCs w:val="15"/>
                <w:color w:val="auto"/>
              </w:rPr>
              <w:t>-</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right"/>
              <w:ind w:right="43"/>
              <w:spacing w:after="0" w:line="162" w:lineRule="exact"/>
              <w:rPr>
                <w:sz w:val="20"/>
                <w:szCs w:val="20"/>
                <w:color w:val="auto"/>
              </w:rPr>
            </w:pPr>
            <w:r>
              <w:rPr>
                <w:rFonts w:ascii="Arial" w:cs="Arial" w:eastAsia="Arial" w:hAnsi="Arial"/>
                <w:sz w:val="15"/>
                <w:szCs w:val="15"/>
                <w:color w:val="auto"/>
              </w:rPr>
              <w:t>-</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jc w:val="right"/>
              <w:ind w:right="43"/>
              <w:spacing w:after="0" w:line="162" w:lineRule="exact"/>
              <w:rPr>
                <w:sz w:val="20"/>
                <w:szCs w:val="20"/>
                <w:color w:val="auto"/>
              </w:rPr>
            </w:pPr>
            <w:r>
              <w:rPr>
                <w:rFonts w:ascii="Arial" w:cs="Arial" w:eastAsia="Arial" w:hAnsi="Arial"/>
                <w:sz w:val="15"/>
                <w:szCs w:val="15"/>
                <w:color w:val="auto"/>
              </w:rPr>
              <w:t>58,924</w:t>
            </w: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jc w:val="right"/>
              <w:ind w:right="43"/>
              <w:spacing w:after="0" w:line="162" w:lineRule="exact"/>
              <w:rPr>
                <w:sz w:val="20"/>
                <w:szCs w:val="20"/>
                <w:color w:val="auto"/>
              </w:rPr>
            </w:pPr>
            <w:r>
              <w:rPr>
                <w:rFonts w:ascii="Arial" w:cs="Arial" w:eastAsia="Arial" w:hAnsi="Arial"/>
                <w:sz w:val="15"/>
                <w:szCs w:val="15"/>
                <w:color w:val="auto"/>
              </w:rPr>
              <w:t>-</w:t>
            </w: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jc w:val="right"/>
              <w:ind w:right="63"/>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84"/>
        </w:trPr>
        <w:tc>
          <w:tcPr>
            <w:tcW w:w="33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9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9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0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00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08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11" w:right="239" w:bottom="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380" w:type="dxa"/>
            <w:vAlign w:val="bottom"/>
            <w:shd w:val="clear" w:color="auto" w:fill="CCEEFF"/>
          </w:tcPr>
          <w:p>
            <w:pPr>
              <w:spacing w:after="0"/>
              <w:rPr>
                <w:sz w:val="20"/>
                <w:szCs w:val="20"/>
                <w:color w:val="auto"/>
              </w:rPr>
            </w:pPr>
            <w:r>
              <w:rPr>
                <w:rFonts w:ascii="Arial" w:cs="Arial" w:eastAsia="Arial" w:hAnsi="Arial"/>
                <w:sz w:val="15"/>
                <w:szCs w:val="15"/>
                <w:color w:val="auto"/>
              </w:rPr>
              <w:t>Long-term:</w:t>
            </w:r>
          </w:p>
        </w:tc>
        <w:tc>
          <w:tcPr>
            <w:tcW w:w="3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80" w:type="dxa"/>
            <w:vAlign w:val="bottom"/>
            <w:tcBorders>
              <w:bottom w:val="single" w:sz="8" w:color="CCEEFF"/>
            </w:tcBorders>
          </w:tcPr>
          <w:p>
            <w:pPr>
              <w:ind w:left="180"/>
              <w:spacing w:after="0" w:line="162" w:lineRule="exact"/>
              <w:rPr>
                <w:sz w:val="20"/>
                <w:szCs w:val="20"/>
                <w:color w:val="auto"/>
              </w:rPr>
            </w:pPr>
            <w:r>
              <w:rPr>
                <w:rFonts w:ascii="Arial" w:cs="Arial" w:eastAsia="Arial" w:hAnsi="Arial"/>
                <w:sz w:val="15"/>
                <w:szCs w:val="15"/>
                <w:color w:val="auto"/>
              </w:rPr>
              <w:t>Auction rate securities</w:t>
            </w:r>
          </w:p>
        </w:tc>
        <w:tc>
          <w:tcPr>
            <w:tcW w:w="3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63"/>
              <w:spacing w:after="0" w:line="162" w:lineRule="exact"/>
              <w:rPr>
                <w:sz w:val="20"/>
                <w:szCs w:val="20"/>
                <w:color w:val="auto"/>
              </w:rPr>
            </w:pPr>
            <w:r>
              <w:rPr>
                <w:rFonts w:ascii="Arial" w:cs="Arial" w:eastAsia="Arial" w:hAnsi="Arial"/>
                <w:sz w:val="15"/>
                <w:szCs w:val="15"/>
                <w:color w:val="auto"/>
              </w:rPr>
              <w:t>3,320</w:t>
            </w:r>
          </w:p>
        </w:tc>
        <w:tc>
          <w:tcPr>
            <w:tcW w:w="16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63"/>
              <w:spacing w:after="0" w:line="162" w:lineRule="exact"/>
              <w:rPr>
                <w:sz w:val="20"/>
                <w:szCs w:val="20"/>
                <w:color w:val="auto"/>
              </w:rPr>
            </w:pPr>
            <w:r>
              <w:rPr>
                <w:rFonts w:ascii="Arial" w:cs="Arial" w:eastAsia="Arial" w:hAnsi="Arial"/>
                <w:sz w:val="15"/>
                <w:szCs w:val="15"/>
                <w:color w:val="auto"/>
              </w:rPr>
              <w:t>-</w:t>
            </w:r>
          </w:p>
        </w:tc>
        <w:tc>
          <w:tcPr>
            <w:tcW w:w="16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43"/>
              <w:spacing w:after="0" w:line="162" w:lineRule="exact"/>
              <w:rPr>
                <w:sz w:val="20"/>
                <w:szCs w:val="20"/>
                <w:color w:val="auto"/>
              </w:rPr>
            </w:pPr>
            <w:r>
              <w:rPr>
                <w:rFonts w:ascii="Arial" w:cs="Arial" w:eastAsia="Arial" w:hAnsi="Arial"/>
                <w:sz w:val="15"/>
                <w:szCs w:val="15"/>
                <w:color w:val="auto"/>
              </w:rPr>
              <w:t>-</w:t>
            </w:r>
          </w:p>
        </w:tc>
        <w:tc>
          <w:tcPr>
            <w:tcW w:w="16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43"/>
              <w:spacing w:after="0" w:line="162" w:lineRule="exact"/>
              <w:rPr>
                <w:sz w:val="20"/>
                <w:szCs w:val="20"/>
                <w:color w:val="auto"/>
              </w:rPr>
            </w:pPr>
            <w:r>
              <w:rPr>
                <w:rFonts w:ascii="Arial" w:cs="Arial" w:eastAsia="Arial" w:hAnsi="Arial"/>
                <w:sz w:val="15"/>
                <w:szCs w:val="15"/>
                <w:color w:val="auto"/>
              </w:rPr>
              <w:t>3,320</w:t>
            </w:r>
          </w:p>
        </w:tc>
        <w:tc>
          <w:tcPr>
            <w:tcW w:w="18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43"/>
              <w:spacing w:after="0" w:line="162" w:lineRule="exact"/>
              <w:rPr>
                <w:sz w:val="20"/>
                <w:szCs w:val="20"/>
                <w:color w:val="auto"/>
              </w:rPr>
            </w:pPr>
            <w:r>
              <w:rPr>
                <w:rFonts w:ascii="Arial" w:cs="Arial" w:eastAsia="Arial" w:hAnsi="Arial"/>
                <w:sz w:val="15"/>
                <w:szCs w:val="15"/>
                <w:color w:val="auto"/>
              </w:rPr>
              <w:t>-</w:t>
            </w:r>
          </w:p>
        </w:tc>
        <w:tc>
          <w:tcPr>
            <w:tcW w:w="16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63"/>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56"/>
        </w:trPr>
        <w:tc>
          <w:tcPr>
            <w:tcW w:w="3380" w:type="dxa"/>
            <w:vAlign w:val="bottom"/>
            <w:tcBorders>
              <w:bottom w:val="single" w:sz="8" w:color="CCEEFF"/>
            </w:tcBorders>
            <w:shd w:val="clear" w:color="auto" w:fill="CCEEFF"/>
          </w:tcPr>
          <w:p>
            <w:pPr>
              <w:ind w:left="360"/>
              <w:spacing w:after="0" w:line="156" w:lineRule="exact"/>
              <w:rPr>
                <w:sz w:val="20"/>
                <w:szCs w:val="20"/>
                <w:color w:val="auto"/>
              </w:rPr>
            </w:pPr>
            <w:r>
              <w:rPr>
                <w:rFonts w:ascii="Arial" w:cs="Arial" w:eastAsia="Arial" w:hAnsi="Arial"/>
                <w:sz w:val="15"/>
                <w:szCs w:val="15"/>
                <w:color w:val="auto"/>
              </w:rPr>
              <w:t>Total</w:t>
            </w:r>
          </w:p>
        </w:tc>
        <w:tc>
          <w:tcPr>
            <w:tcW w:w="320" w:type="dxa"/>
            <w:vAlign w:val="bottom"/>
            <w:tcBorders>
              <w:bottom w:val="single" w:sz="8" w:color="auto"/>
            </w:tcBorders>
            <w:shd w:val="clear" w:color="auto" w:fill="CCEEFF"/>
          </w:tcPr>
          <w:p>
            <w:pPr>
              <w:jc w:val="right"/>
              <w:ind w:right="103"/>
              <w:spacing w:after="0" w:line="156" w:lineRule="exact"/>
              <w:rPr>
                <w:sz w:val="20"/>
                <w:szCs w:val="20"/>
                <w:color w:val="auto"/>
              </w:rPr>
            </w:pPr>
            <w:r>
              <w:rPr>
                <w:rFonts w:ascii="Arial" w:cs="Arial" w:eastAsia="Arial" w:hAnsi="Arial"/>
                <w:sz w:val="15"/>
                <w:szCs w:val="15"/>
                <w:color w:val="auto"/>
              </w:rPr>
              <w:t>$</w:t>
            </w:r>
          </w:p>
        </w:tc>
        <w:tc>
          <w:tcPr>
            <w:tcW w:w="820" w:type="dxa"/>
            <w:vAlign w:val="bottom"/>
            <w:tcBorders>
              <w:bottom w:val="single" w:sz="8" w:color="auto"/>
            </w:tcBorders>
            <w:shd w:val="clear" w:color="auto" w:fill="CCEEFF"/>
          </w:tcPr>
          <w:p>
            <w:pPr>
              <w:jc w:val="right"/>
              <w:ind w:right="63"/>
              <w:spacing w:after="0" w:line="156" w:lineRule="exact"/>
              <w:rPr>
                <w:sz w:val="20"/>
                <w:szCs w:val="20"/>
                <w:color w:val="auto"/>
              </w:rPr>
            </w:pPr>
            <w:r>
              <w:rPr>
                <w:rFonts w:ascii="Arial" w:cs="Arial" w:eastAsia="Arial" w:hAnsi="Arial"/>
                <w:sz w:val="15"/>
                <w:szCs w:val="15"/>
                <w:color w:val="auto"/>
              </w:rPr>
              <w:t>401,944</w:t>
            </w:r>
          </w:p>
        </w:tc>
        <w:tc>
          <w:tcPr>
            <w:tcW w:w="16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ind w:right="323"/>
              <w:spacing w:after="0" w:line="156" w:lineRule="exact"/>
              <w:rPr>
                <w:sz w:val="20"/>
                <w:szCs w:val="20"/>
                <w:color w:val="auto"/>
              </w:rPr>
            </w:pPr>
            <w:r>
              <w:rPr>
                <w:rFonts w:ascii="Arial" w:cs="Arial" w:eastAsia="Arial" w:hAnsi="Arial"/>
                <w:sz w:val="15"/>
                <w:szCs w:val="15"/>
                <w:color w:val="auto"/>
              </w:rPr>
              <w:t>$</w:t>
            </w:r>
          </w:p>
        </w:tc>
        <w:tc>
          <w:tcPr>
            <w:tcW w:w="620" w:type="dxa"/>
            <w:vAlign w:val="bottom"/>
            <w:tcBorders>
              <w:bottom w:val="single" w:sz="8" w:color="auto"/>
            </w:tcBorders>
            <w:shd w:val="clear" w:color="auto" w:fill="CCEEFF"/>
          </w:tcPr>
          <w:p>
            <w:pPr>
              <w:jc w:val="right"/>
              <w:ind w:right="63"/>
              <w:spacing w:after="0" w:line="156" w:lineRule="exact"/>
              <w:rPr>
                <w:sz w:val="20"/>
                <w:szCs w:val="20"/>
                <w:color w:val="auto"/>
              </w:rPr>
            </w:pPr>
            <w:r>
              <w:rPr>
                <w:rFonts w:ascii="Arial" w:cs="Arial" w:eastAsia="Arial" w:hAnsi="Arial"/>
                <w:sz w:val="15"/>
                <w:szCs w:val="15"/>
                <w:color w:val="auto"/>
              </w:rPr>
              <w:t>8</w:t>
            </w:r>
          </w:p>
        </w:tc>
        <w:tc>
          <w:tcPr>
            <w:tcW w:w="16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ind w:right="303"/>
              <w:spacing w:after="0" w:line="156" w:lineRule="exact"/>
              <w:rPr>
                <w:sz w:val="20"/>
                <w:szCs w:val="20"/>
                <w:color w:val="auto"/>
              </w:rPr>
            </w:pPr>
            <w:r>
              <w:rPr>
                <w:rFonts w:ascii="Arial" w:cs="Arial" w:eastAsia="Arial" w:hAnsi="Arial"/>
                <w:sz w:val="15"/>
                <w:szCs w:val="15"/>
                <w:color w:val="auto"/>
              </w:rPr>
              <w:t>$</w:t>
            </w:r>
          </w:p>
        </w:tc>
        <w:tc>
          <w:tcPr>
            <w:tcW w:w="640" w:type="dxa"/>
            <w:vAlign w:val="bottom"/>
            <w:tcBorders>
              <w:bottom w:val="single" w:sz="8" w:color="auto"/>
            </w:tcBorders>
            <w:shd w:val="clear" w:color="auto" w:fill="CCEEFF"/>
          </w:tcPr>
          <w:p>
            <w:pPr>
              <w:jc w:val="right"/>
              <w:ind w:right="43"/>
              <w:spacing w:after="0" w:line="156" w:lineRule="exact"/>
              <w:rPr>
                <w:sz w:val="20"/>
                <w:szCs w:val="20"/>
                <w:color w:val="auto"/>
              </w:rPr>
            </w:pPr>
            <w:r>
              <w:rPr>
                <w:rFonts w:ascii="Arial" w:cs="Arial" w:eastAsia="Arial" w:hAnsi="Arial"/>
                <w:sz w:val="15"/>
                <w:szCs w:val="15"/>
                <w:color w:val="auto"/>
              </w:rPr>
              <w:t>64</w:t>
            </w:r>
          </w:p>
        </w:tc>
        <w:tc>
          <w:tcPr>
            <w:tcW w:w="16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jc w:val="right"/>
              <w:ind w:right="43"/>
              <w:spacing w:after="0" w:line="156" w:lineRule="exact"/>
              <w:rPr>
                <w:sz w:val="20"/>
                <w:szCs w:val="20"/>
                <w:color w:val="auto"/>
              </w:rPr>
            </w:pPr>
            <w:r>
              <w:rPr>
                <w:rFonts w:ascii="Arial" w:cs="Arial" w:eastAsia="Arial" w:hAnsi="Arial"/>
                <w:sz w:val="15"/>
                <w:szCs w:val="15"/>
                <w:color w:val="auto"/>
              </w:rPr>
              <w:t>401,888</w:t>
            </w:r>
          </w:p>
        </w:tc>
        <w:tc>
          <w:tcPr>
            <w:tcW w:w="18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jc w:val="right"/>
              <w:ind w:right="343"/>
              <w:spacing w:after="0" w:line="156" w:lineRule="exact"/>
              <w:rPr>
                <w:sz w:val="20"/>
                <w:szCs w:val="20"/>
                <w:color w:val="auto"/>
              </w:rPr>
            </w:pPr>
            <w:r>
              <w:rPr>
                <w:rFonts w:ascii="Arial" w:cs="Arial" w:eastAsia="Arial" w:hAnsi="Arial"/>
                <w:sz w:val="15"/>
                <w:szCs w:val="15"/>
                <w:color w:val="auto"/>
              </w:rPr>
              <w:t>$</w:t>
            </w:r>
          </w:p>
        </w:tc>
        <w:tc>
          <w:tcPr>
            <w:tcW w:w="720" w:type="dxa"/>
            <w:vAlign w:val="bottom"/>
            <w:tcBorders>
              <w:bottom w:val="single" w:sz="8" w:color="auto"/>
            </w:tcBorders>
            <w:shd w:val="clear" w:color="auto" w:fill="CCEEFF"/>
          </w:tcPr>
          <w:p>
            <w:pPr>
              <w:jc w:val="right"/>
              <w:ind w:right="43"/>
              <w:spacing w:after="0" w:line="156" w:lineRule="exact"/>
              <w:rPr>
                <w:sz w:val="20"/>
                <w:szCs w:val="20"/>
                <w:color w:val="auto"/>
              </w:rPr>
            </w:pPr>
            <w:r>
              <w:rPr>
                <w:rFonts w:ascii="Arial" w:cs="Arial" w:eastAsia="Arial" w:hAnsi="Arial"/>
                <w:sz w:val="15"/>
                <w:szCs w:val="15"/>
                <w:color w:val="auto"/>
              </w:rPr>
              <w:t>64</w:t>
            </w:r>
          </w:p>
        </w:tc>
        <w:tc>
          <w:tcPr>
            <w:tcW w:w="16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jc w:val="right"/>
              <w:ind w:right="403"/>
              <w:spacing w:after="0" w:line="156" w:lineRule="exact"/>
              <w:rPr>
                <w:sz w:val="20"/>
                <w:szCs w:val="20"/>
                <w:color w:val="auto"/>
              </w:rPr>
            </w:pPr>
            <w:r>
              <w:rPr>
                <w:rFonts w:ascii="Arial" w:cs="Arial" w:eastAsia="Arial" w:hAnsi="Arial"/>
                <w:sz w:val="15"/>
                <w:szCs w:val="15"/>
                <w:color w:val="auto"/>
              </w:rPr>
              <w:t>$</w:t>
            </w:r>
          </w:p>
        </w:tc>
        <w:tc>
          <w:tcPr>
            <w:tcW w:w="680" w:type="dxa"/>
            <w:vAlign w:val="bottom"/>
            <w:tcBorders>
              <w:bottom w:val="single" w:sz="8" w:color="auto"/>
            </w:tcBorders>
            <w:shd w:val="clear" w:color="auto" w:fill="CCEEFF"/>
          </w:tcPr>
          <w:p>
            <w:pPr>
              <w:jc w:val="right"/>
              <w:ind w:right="63"/>
              <w:spacing w:after="0" w:line="156"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3380" w:type="dxa"/>
            <w:vAlign w:val="bottom"/>
            <w:vMerge w:val="restart"/>
          </w:tcPr>
          <w:p>
            <w:pPr>
              <w:spacing w:after="0" w:line="156" w:lineRule="exact"/>
              <w:rPr>
                <w:sz w:val="20"/>
                <w:szCs w:val="20"/>
                <w:color w:val="auto"/>
              </w:rPr>
            </w:pPr>
            <w:r>
              <w:rPr>
                <w:rFonts w:ascii="Arial" w:cs="Arial" w:eastAsia="Arial" w:hAnsi="Arial"/>
                <w:sz w:val="15"/>
                <w:szCs w:val="15"/>
                <w:b w:val="1"/>
                <w:bCs w:val="1"/>
                <w:color w:val="auto"/>
              </w:rPr>
              <w:t>Trading</w:t>
            </w: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338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338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Short-term:</w:t>
            </w:r>
          </w:p>
        </w:tc>
        <w:tc>
          <w:tcPr>
            <w:tcW w:w="3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80" w:type="dxa"/>
            <w:vAlign w:val="bottom"/>
          </w:tcPr>
          <w:p>
            <w:pPr>
              <w:ind w:left="180"/>
              <w:spacing w:after="0" w:line="162" w:lineRule="exact"/>
              <w:rPr>
                <w:sz w:val="20"/>
                <w:szCs w:val="20"/>
                <w:color w:val="auto"/>
              </w:rPr>
            </w:pPr>
            <w:r>
              <w:rPr>
                <w:rFonts w:ascii="Arial" w:cs="Arial" w:eastAsia="Arial" w:hAnsi="Arial"/>
                <w:sz w:val="15"/>
                <w:szCs w:val="15"/>
                <w:color w:val="auto"/>
              </w:rPr>
              <w:t>Auction rate securities</w:t>
            </w: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jc w:val="right"/>
              <w:ind w:right="43"/>
              <w:spacing w:after="0" w:line="162" w:lineRule="exact"/>
              <w:rPr>
                <w:sz w:val="20"/>
                <w:szCs w:val="20"/>
                <w:color w:val="auto"/>
              </w:rPr>
            </w:pPr>
            <w:r>
              <w:rPr>
                <w:rFonts w:ascii="Arial" w:cs="Arial" w:eastAsia="Arial" w:hAnsi="Arial"/>
                <w:sz w:val="15"/>
                <w:szCs w:val="15"/>
                <w:color w:val="auto"/>
              </w:rPr>
              <w:t>12,658</w:t>
            </w: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8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Long-term:</w:t>
            </w:r>
          </w:p>
        </w:tc>
        <w:tc>
          <w:tcPr>
            <w:tcW w:w="3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80" w:type="dxa"/>
            <w:vAlign w:val="bottom"/>
            <w:tcBorders>
              <w:bottom w:val="single" w:sz="8" w:color="CCEEFF"/>
            </w:tcBorders>
          </w:tcPr>
          <w:p>
            <w:pPr>
              <w:ind w:left="180"/>
              <w:spacing w:after="0" w:line="162" w:lineRule="exact"/>
              <w:rPr>
                <w:sz w:val="20"/>
                <w:szCs w:val="20"/>
                <w:color w:val="auto"/>
              </w:rPr>
            </w:pPr>
            <w:r>
              <w:rPr>
                <w:rFonts w:ascii="Arial" w:cs="Arial" w:eastAsia="Arial" w:hAnsi="Arial"/>
                <w:sz w:val="15"/>
                <w:szCs w:val="15"/>
                <w:color w:val="auto"/>
              </w:rPr>
              <w:t>Auction rate securities</w:t>
            </w:r>
          </w:p>
        </w:tc>
        <w:tc>
          <w:tcPr>
            <w:tcW w:w="320" w:type="dxa"/>
            <w:vAlign w:val="bottom"/>
            <w:tcBorders>
              <w:bottom w:val="single" w:sz="8" w:color="CCEEFF"/>
            </w:tcBorders>
          </w:tcPr>
          <w:p>
            <w:pPr>
              <w:spacing w:after="0"/>
              <w:rPr>
                <w:sz w:val="14"/>
                <w:szCs w:val="14"/>
                <w:color w:val="auto"/>
              </w:rPr>
            </w:pPr>
          </w:p>
        </w:tc>
        <w:tc>
          <w:tcPr>
            <w:tcW w:w="82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540" w:type="dxa"/>
            <w:vAlign w:val="bottom"/>
            <w:tcBorders>
              <w:bottom w:val="single" w:sz="8" w:color="CCEEFF"/>
            </w:tcBorders>
          </w:tcPr>
          <w:p>
            <w:pPr>
              <w:spacing w:after="0"/>
              <w:rPr>
                <w:sz w:val="14"/>
                <w:szCs w:val="14"/>
                <w:color w:val="auto"/>
              </w:rPr>
            </w:pPr>
          </w:p>
        </w:tc>
        <w:tc>
          <w:tcPr>
            <w:tcW w:w="62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64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43"/>
              <w:spacing w:after="0" w:line="162" w:lineRule="exact"/>
              <w:rPr>
                <w:sz w:val="20"/>
                <w:szCs w:val="20"/>
                <w:color w:val="auto"/>
              </w:rPr>
            </w:pPr>
            <w:r>
              <w:rPr>
                <w:rFonts w:ascii="Arial" w:cs="Arial" w:eastAsia="Arial" w:hAnsi="Arial"/>
                <w:sz w:val="15"/>
                <w:szCs w:val="15"/>
                <w:color w:val="auto"/>
              </w:rPr>
              <w:t>19,874</w:t>
            </w:r>
          </w:p>
        </w:tc>
        <w:tc>
          <w:tcPr>
            <w:tcW w:w="180" w:type="dxa"/>
            <w:vAlign w:val="bottom"/>
            <w:tcBorders>
              <w:bottom w:val="single" w:sz="8" w:color="CCEEFF"/>
            </w:tcBorders>
          </w:tcPr>
          <w:p>
            <w:pPr>
              <w:spacing w:after="0"/>
              <w:rPr>
                <w:sz w:val="14"/>
                <w:szCs w:val="14"/>
                <w:color w:val="auto"/>
              </w:rPr>
            </w:pPr>
          </w:p>
        </w:tc>
        <w:tc>
          <w:tcPr>
            <w:tcW w:w="560" w:type="dxa"/>
            <w:vAlign w:val="bottom"/>
            <w:tcBorders>
              <w:bottom w:val="single" w:sz="8" w:color="CCEEFF"/>
            </w:tcBorders>
          </w:tcPr>
          <w:p>
            <w:pPr>
              <w:spacing w:after="0"/>
              <w:rPr>
                <w:sz w:val="14"/>
                <w:szCs w:val="14"/>
                <w:color w:val="auto"/>
              </w:rPr>
            </w:pPr>
          </w:p>
        </w:tc>
        <w:tc>
          <w:tcPr>
            <w:tcW w:w="72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640" w:type="dxa"/>
            <w:vAlign w:val="bottom"/>
            <w:tcBorders>
              <w:bottom w:val="single" w:sz="8" w:color="CCEEFF"/>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380" w:type="dxa"/>
            <w:vAlign w:val="bottom"/>
            <w:tcBorders>
              <w:bottom w:val="single" w:sz="8" w:color="CCEEFF"/>
            </w:tcBorders>
            <w:shd w:val="clear" w:color="auto" w:fill="CCEEFF"/>
          </w:tcPr>
          <w:p>
            <w:pPr>
              <w:ind w:left="360"/>
              <w:spacing w:after="0" w:line="156" w:lineRule="exact"/>
              <w:rPr>
                <w:sz w:val="20"/>
                <w:szCs w:val="20"/>
                <w:color w:val="auto"/>
              </w:rPr>
            </w:pPr>
            <w:r>
              <w:rPr>
                <w:rFonts w:ascii="Arial" w:cs="Arial" w:eastAsia="Arial" w:hAnsi="Arial"/>
                <w:sz w:val="15"/>
                <w:szCs w:val="15"/>
                <w:color w:val="auto"/>
              </w:rPr>
              <w:t>Total</w:t>
            </w:r>
          </w:p>
        </w:tc>
        <w:tc>
          <w:tcPr>
            <w:tcW w:w="32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jc w:val="right"/>
              <w:ind w:right="123"/>
              <w:spacing w:after="0" w:line="156" w:lineRule="exact"/>
              <w:rPr>
                <w:sz w:val="20"/>
                <w:szCs w:val="20"/>
                <w:color w:val="auto"/>
              </w:rPr>
            </w:pPr>
            <w:r>
              <w:rPr>
                <w:rFonts w:ascii="Arial" w:cs="Arial" w:eastAsia="Arial" w:hAnsi="Arial"/>
                <w:sz w:val="15"/>
                <w:szCs w:val="15"/>
                <w:color w:val="auto"/>
              </w:rPr>
              <w:t>$</w:t>
            </w:r>
          </w:p>
        </w:tc>
        <w:tc>
          <w:tcPr>
            <w:tcW w:w="820" w:type="dxa"/>
            <w:vAlign w:val="bottom"/>
            <w:tcBorders>
              <w:bottom w:val="single" w:sz="8" w:color="auto"/>
            </w:tcBorders>
            <w:shd w:val="clear" w:color="auto" w:fill="CCEEFF"/>
          </w:tcPr>
          <w:p>
            <w:pPr>
              <w:jc w:val="right"/>
              <w:ind w:right="43"/>
              <w:spacing w:after="0" w:line="156" w:lineRule="exact"/>
              <w:rPr>
                <w:sz w:val="20"/>
                <w:szCs w:val="20"/>
                <w:color w:val="auto"/>
              </w:rPr>
            </w:pPr>
            <w:r>
              <w:rPr>
                <w:rFonts w:ascii="Arial" w:cs="Arial" w:eastAsia="Arial" w:hAnsi="Arial"/>
                <w:sz w:val="15"/>
                <w:szCs w:val="15"/>
                <w:color w:val="auto"/>
              </w:rPr>
              <w:t>434,420</w:t>
            </w:r>
          </w:p>
        </w:tc>
        <w:tc>
          <w:tcPr>
            <w:tcW w:w="18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jc w:val="both"/>
        <w:ind w:right="60" w:firstLine="648"/>
        <w:spacing w:after="0" w:line="251" w:lineRule="auto"/>
        <w:rPr>
          <w:sz w:val="20"/>
          <w:szCs w:val="20"/>
          <w:color w:val="auto"/>
        </w:rPr>
      </w:pPr>
      <w:r>
        <w:rPr>
          <w:rFonts w:ascii="Arial" w:cs="Arial" w:eastAsia="Arial" w:hAnsi="Arial"/>
          <w:sz w:val="22"/>
          <w:szCs w:val="22"/>
          <w:color w:val="auto"/>
        </w:rPr>
        <w:t>During the three- and nine-months ended September 30, 2012 and the year ended December 31, 2011, realized gains or losses recognized on the sale of investments were not significant.</w:t>
      </w:r>
    </w:p>
    <w:p>
      <w:pPr>
        <w:spacing w:after="0" w:line="18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MONSTER BEVERAGE CORPORATION AND SUBSIDIARIES</w:t>
      </w:r>
    </w:p>
    <w:p>
      <w:pPr>
        <w:spacing w:after="0" w:line="14" w:lineRule="exact"/>
        <w:rPr>
          <w:sz w:val="20"/>
          <w:szCs w:val="20"/>
          <w:color w:val="auto"/>
        </w:rPr>
      </w:pPr>
    </w:p>
    <w:p>
      <w:pPr>
        <w:ind w:right="4380"/>
        <w:spacing w:after="0" w:line="308"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Company recognized a net gain (loss) through earnings on its trading securities as follows: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860" w:type="dxa"/>
            <w:vAlign w:val="bottom"/>
          </w:tcPr>
          <w:p>
            <w:pPr>
              <w:spacing w:after="0"/>
              <w:rPr>
                <w:sz w:val="21"/>
                <w:szCs w:val="21"/>
                <w:color w:val="auto"/>
              </w:rPr>
            </w:pPr>
          </w:p>
        </w:tc>
        <w:tc>
          <w:tcPr>
            <w:tcW w:w="3420" w:type="dxa"/>
            <w:vAlign w:val="bottom"/>
            <w:gridSpan w:val="6"/>
          </w:tcPr>
          <w:p>
            <w:pPr>
              <w:jc w:val="center"/>
              <w:ind w:right="160"/>
              <w:spacing w:after="0"/>
              <w:rPr>
                <w:sz w:val="20"/>
                <w:szCs w:val="20"/>
                <w:color w:val="auto"/>
              </w:rPr>
            </w:pPr>
            <w:r>
              <w:rPr>
                <w:rFonts w:ascii="Arial" w:cs="Arial" w:eastAsia="Arial" w:hAnsi="Arial"/>
                <w:sz w:val="22"/>
                <w:szCs w:val="22"/>
                <w:color w:val="auto"/>
                <w:w w:val="89"/>
              </w:rPr>
              <w:t>Three-Months Ended</w:t>
            </w:r>
          </w:p>
        </w:tc>
        <w:tc>
          <w:tcPr>
            <w:tcW w:w="300" w:type="dxa"/>
            <w:vAlign w:val="bottom"/>
          </w:tcPr>
          <w:p>
            <w:pPr>
              <w:spacing w:after="0"/>
              <w:rPr>
                <w:sz w:val="21"/>
                <w:szCs w:val="21"/>
                <w:color w:val="auto"/>
              </w:rPr>
            </w:pPr>
          </w:p>
        </w:tc>
        <w:tc>
          <w:tcPr>
            <w:tcW w:w="2840" w:type="dxa"/>
            <w:vAlign w:val="bottom"/>
            <w:gridSpan w:val="4"/>
          </w:tcPr>
          <w:p>
            <w:pPr>
              <w:jc w:val="right"/>
              <w:ind w:right="592"/>
              <w:spacing w:after="0"/>
              <w:rPr>
                <w:sz w:val="20"/>
                <w:szCs w:val="20"/>
                <w:color w:val="auto"/>
              </w:rPr>
            </w:pPr>
            <w:r>
              <w:rPr>
                <w:rFonts w:ascii="Arial" w:cs="Arial" w:eastAsia="Arial" w:hAnsi="Arial"/>
                <w:sz w:val="22"/>
                <w:szCs w:val="22"/>
                <w:color w:val="auto"/>
              </w:rPr>
              <w:t>Nine-Months Ended</w:t>
            </w:r>
          </w:p>
        </w:tc>
      </w:tr>
      <w:tr>
        <w:trPr>
          <w:trHeight w:val="265"/>
        </w:trPr>
        <w:tc>
          <w:tcPr>
            <w:tcW w:w="48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460" w:type="dxa"/>
            <w:vAlign w:val="bottom"/>
            <w:gridSpan w:val="5"/>
          </w:tcPr>
          <w:p>
            <w:pPr>
              <w:jc w:val="center"/>
              <w:ind w:right="1120"/>
              <w:spacing w:after="0"/>
              <w:rPr>
                <w:sz w:val="20"/>
                <w:szCs w:val="20"/>
                <w:color w:val="auto"/>
              </w:rPr>
            </w:pPr>
            <w:r>
              <w:rPr>
                <w:rFonts w:ascii="Arial" w:cs="Arial" w:eastAsia="Arial" w:hAnsi="Arial"/>
                <w:sz w:val="22"/>
                <w:szCs w:val="22"/>
                <w:color w:val="auto"/>
                <w:w w:val="87"/>
              </w:rPr>
              <w:t>September 30,</w:t>
            </w:r>
          </w:p>
        </w:tc>
        <w:tc>
          <w:tcPr>
            <w:tcW w:w="300" w:type="dxa"/>
            <w:vAlign w:val="bottom"/>
          </w:tcPr>
          <w:p>
            <w:pPr>
              <w:spacing w:after="0"/>
              <w:rPr>
                <w:sz w:val="23"/>
                <w:szCs w:val="23"/>
                <w:color w:val="auto"/>
              </w:rPr>
            </w:pPr>
          </w:p>
        </w:tc>
        <w:tc>
          <w:tcPr>
            <w:tcW w:w="2840" w:type="dxa"/>
            <w:vAlign w:val="bottom"/>
            <w:gridSpan w:val="4"/>
          </w:tcPr>
          <w:p>
            <w:pPr>
              <w:jc w:val="right"/>
              <w:ind w:right="832"/>
              <w:spacing w:after="0"/>
              <w:rPr>
                <w:sz w:val="20"/>
                <w:szCs w:val="20"/>
                <w:color w:val="auto"/>
              </w:rPr>
            </w:pPr>
            <w:r>
              <w:rPr>
                <w:rFonts w:ascii="Arial" w:cs="Arial" w:eastAsia="Arial" w:hAnsi="Arial"/>
                <w:sz w:val="22"/>
                <w:szCs w:val="22"/>
                <w:color w:val="auto"/>
              </w:rPr>
              <w:t>September 30,</w:t>
            </w:r>
          </w:p>
        </w:tc>
      </w:tr>
      <w:tr>
        <w:trPr>
          <w:trHeight w:val="237"/>
        </w:trPr>
        <w:tc>
          <w:tcPr>
            <w:tcW w:w="4860" w:type="dxa"/>
            <w:vAlign w:val="bottom"/>
            <w:tcBorders>
              <w:bottom w:val="single" w:sz="8" w:color="CCEEFF"/>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line="237" w:lineRule="exact"/>
              <w:rPr>
                <w:sz w:val="20"/>
                <w:szCs w:val="20"/>
                <w:color w:val="auto"/>
              </w:rPr>
            </w:pPr>
            <w:r>
              <w:rPr>
                <w:rFonts w:ascii="Arial" w:cs="Arial" w:eastAsia="Arial" w:hAnsi="Arial"/>
                <w:sz w:val="22"/>
                <w:szCs w:val="22"/>
                <w:color w:val="auto"/>
              </w:rPr>
              <w:t>2012</w:t>
            </w:r>
          </w:p>
        </w:tc>
        <w:tc>
          <w:tcPr>
            <w:tcW w:w="580" w:type="dxa"/>
            <w:vAlign w:val="bottom"/>
            <w:tcBorders>
              <w:top w:val="single" w:sz="8" w:color="auto"/>
              <w:bottom w:val="single" w:sz="8" w:color="auto"/>
            </w:tcBorders>
          </w:tcPr>
          <w:p>
            <w:pPr>
              <w:spacing w:after="0"/>
              <w:rPr>
                <w:sz w:val="20"/>
                <w:szCs w:val="20"/>
                <w:color w:val="auto"/>
              </w:rPr>
            </w:pPr>
          </w:p>
        </w:tc>
        <w:tc>
          <w:tcPr>
            <w:tcW w:w="180" w:type="dxa"/>
            <w:vAlign w:val="bottom"/>
            <w:tcBorders>
              <w:top w:val="single" w:sz="8" w:color="auto"/>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ind w:right="532"/>
              <w:spacing w:after="0" w:line="237" w:lineRule="exact"/>
              <w:rPr>
                <w:sz w:val="20"/>
                <w:szCs w:val="20"/>
                <w:color w:val="auto"/>
              </w:rPr>
            </w:pPr>
            <w:r>
              <w:rPr>
                <w:rFonts w:ascii="Arial" w:cs="Arial" w:eastAsia="Arial" w:hAnsi="Arial"/>
                <w:sz w:val="22"/>
                <w:szCs w:val="22"/>
                <w:color w:val="auto"/>
              </w:rPr>
              <w:t>2011</w:t>
            </w:r>
          </w:p>
        </w:tc>
        <w:tc>
          <w:tcPr>
            <w:tcW w:w="160" w:type="dxa"/>
            <w:vAlign w:val="bottom"/>
            <w:tcBorders>
              <w:bottom w:val="single" w:sz="8" w:color="CCEEFF"/>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ind w:right="512"/>
              <w:spacing w:after="0" w:line="237" w:lineRule="exact"/>
              <w:rPr>
                <w:sz w:val="20"/>
                <w:szCs w:val="20"/>
                <w:color w:val="auto"/>
              </w:rPr>
            </w:pPr>
            <w:r>
              <w:rPr>
                <w:rFonts w:ascii="Arial" w:cs="Arial" w:eastAsia="Arial" w:hAnsi="Arial"/>
                <w:sz w:val="22"/>
                <w:szCs w:val="22"/>
                <w:color w:val="auto"/>
              </w:rPr>
              <w:t>2012</w:t>
            </w:r>
          </w:p>
        </w:tc>
        <w:tc>
          <w:tcPr>
            <w:tcW w:w="160" w:type="dxa"/>
            <w:vAlign w:val="bottom"/>
            <w:tcBorders>
              <w:top w:val="single" w:sz="8" w:color="auto"/>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ind w:right="472"/>
              <w:spacing w:after="0" w:line="237" w:lineRule="exact"/>
              <w:rPr>
                <w:sz w:val="20"/>
                <w:szCs w:val="20"/>
                <w:color w:val="auto"/>
              </w:rPr>
            </w:pPr>
            <w:r>
              <w:rPr>
                <w:rFonts w:ascii="Arial" w:cs="Arial" w:eastAsia="Arial" w:hAnsi="Arial"/>
                <w:sz w:val="22"/>
                <w:szCs w:val="22"/>
                <w:color w:val="auto"/>
              </w:rPr>
              <w:t>2011</w:t>
            </w:r>
          </w:p>
        </w:tc>
      </w:tr>
      <w:tr>
        <w:trPr>
          <w:trHeight w:val="237"/>
        </w:trPr>
        <w:tc>
          <w:tcPr>
            <w:tcW w:w="4860" w:type="dxa"/>
            <w:vAlign w:val="bottom"/>
            <w:shd w:val="clear" w:color="auto" w:fill="CCEEFF"/>
          </w:tcPr>
          <w:p>
            <w:pPr>
              <w:spacing w:after="0" w:line="237" w:lineRule="exact"/>
              <w:rPr>
                <w:sz w:val="20"/>
                <w:szCs w:val="20"/>
                <w:color w:val="auto"/>
              </w:rPr>
            </w:pPr>
            <w:r>
              <w:rPr>
                <w:rFonts w:ascii="Arial" w:cs="Arial" w:eastAsia="Arial" w:hAnsi="Arial"/>
                <w:sz w:val="22"/>
                <w:szCs w:val="22"/>
                <w:color w:val="auto"/>
                <w:w w:val="97"/>
              </w:rPr>
              <w:t>(Loss) on transfer from available-for-sale to trading</w:t>
            </w:r>
          </w:p>
        </w:tc>
        <w:tc>
          <w:tcPr>
            <w:tcW w:w="960" w:type="dxa"/>
            <w:vAlign w:val="bottom"/>
            <w:shd w:val="clear" w:color="auto" w:fill="CCEEFF"/>
          </w:tcPr>
          <w:p>
            <w:pPr>
              <w:jc w:val="right"/>
              <w:ind w:right="672"/>
              <w:spacing w:after="0" w:line="237" w:lineRule="exact"/>
              <w:rPr>
                <w:sz w:val="20"/>
                <w:szCs w:val="20"/>
                <w:color w:val="auto"/>
              </w:rPr>
            </w:pPr>
            <w:r>
              <w:rPr>
                <w:rFonts w:ascii="Arial" w:cs="Arial" w:eastAsia="Arial" w:hAnsi="Arial"/>
                <w:sz w:val="22"/>
                <w:szCs w:val="22"/>
                <w:color w:val="auto"/>
              </w:rPr>
              <w:t>$</w:t>
            </w:r>
          </w:p>
        </w:tc>
        <w:tc>
          <w:tcPr>
            <w:tcW w:w="580" w:type="dxa"/>
            <w:vAlign w:val="bottom"/>
            <w:shd w:val="clear" w:color="auto" w:fill="CCEEFF"/>
          </w:tcPr>
          <w:p>
            <w:pPr>
              <w:jc w:val="right"/>
              <w:ind w:right="32"/>
              <w:spacing w:after="0" w:line="237" w:lineRule="exact"/>
              <w:rPr>
                <w:sz w:val="20"/>
                <w:szCs w:val="20"/>
                <w:color w:val="auto"/>
              </w:rPr>
            </w:pPr>
            <w:r>
              <w:rPr>
                <w:rFonts w:ascii="Arial" w:cs="Arial" w:eastAsia="Arial" w:hAnsi="Arial"/>
                <w:sz w:val="22"/>
                <w:szCs w:val="22"/>
                <w:color w:val="auto"/>
              </w:rPr>
              <w:t>-</w:t>
            </w:r>
          </w:p>
        </w:tc>
        <w:tc>
          <w:tcPr>
            <w:tcW w:w="18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32"/>
              <w:spacing w:after="0" w:line="237" w:lineRule="exact"/>
              <w:rPr>
                <w:sz w:val="20"/>
                <w:szCs w:val="20"/>
                <w:color w:val="auto"/>
              </w:rPr>
            </w:pPr>
            <w:r>
              <w:rPr>
                <w:rFonts w:ascii="Arial" w:cs="Arial" w:eastAsia="Arial" w:hAnsi="Arial"/>
                <w:sz w:val="22"/>
                <w:szCs w:val="22"/>
                <w:color w:val="auto"/>
              </w:rPr>
              <w:t>$</w:t>
            </w:r>
          </w:p>
        </w:tc>
        <w:tc>
          <w:tcPr>
            <w:tcW w:w="1220" w:type="dxa"/>
            <w:vAlign w:val="bottom"/>
            <w:shd w:val="clear" w:color="auto" w:fill="CCEEFF"/>
          </w:tcPr>
          <w:p>
            <w:pPr>
              <w:jc w:val="right"/>
              <w:ind w:right="52"/>
              <w:spacing w:after="0" w:line="237" w:lineRule="exact"/>
              <w:rPr>
                <w:sz w:val="20"/>
                <w:szCs w:val="20"/>
                <w:color w:val="auto"/>
              </w:rPr>
            </w:pPr>
            <w:r>
              <w:rPr>
                <w:rFonts w:ascii="Arial" w:cs="Arial" w:eastAsia="Arial" w:hAnsi="Arial"/>
                <w:sz w:val="22"/>
                <w:szCs w:val="22"/>
                <w:color w:val="auto"/>
              </w:rPr>
              <w:t>-</w:t>
            </w:r>
          </w:p>
        </w:tc>
        <w:tc>
          <w:tcPr>
            <w:tcW w:w="16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32"/>
              <w:spacing w:after="0" w:line="237" w:lineRule="exact"/>
              <w:rPr>
                <w:sz w:val="20"/>
                <w:szCs w:val="20"/>
                <w:color w:val="auto"/>
              </w:rPr>
            </w:pPr>
            <w:r>
              <w:rPr>
                <w:rFonts w:ascii="Arial" w:cs="Arial" w:eastAsia="Arial" w:hAnsi="Arial"/>
                <w:sz w:val="22"/>
                <w:szCs w:val="22"/>
                <w:color w:val="auto"/>
              </w:rPr>
              <w:t>$</w:t>
            </w:r>
          </w:p>
        </w:tc>
        <w:tc>
          <w:tcPr>
            <w:tcW w:w="1200" w:type="dxa"/>
            <w:vAlign w:val="bottom"/>
            <w:shd w:val="clear" w:color="auto" w:fill="CCEEFF"/>
          </w:tcPr>
          <w:p>
            <w:pPr>
              <w:jc w:val="right"/>
              <w:ind w:right="52"/>
              <w:spacing w:after="0" w:line="237" w:lineRule="exact"/>
              <w:rPr>
                <w:sz w:val="20"/>
                <w:szCs w:val="20"/>
                <w:color w:val="auto"/>
              </w:rPr>
            </w:pPr>
            <w:r>
              <w:rPr>
                <w:rFonts w:ascii="Arial" w:cs="Arial" w:eastAsia="Arial" w:hAnsi="Arial"/>
                <w:sz w:val="22"/>
                <w:szCs w:val="22"/>
                <w:color w:val="auto"/>
              </w:rPr>
              <w:t>-</w:t>
            </w:r>
          </w:p>
        </w:tc>
        <w:tc>
          <w:tcPr>
            <w:tcW w:w="16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32"/>
              <w:spacing w:after="0" w:line="237" w:lineRule="exact"/>
              <w:rPr>
                <w:sz w:val="20"/>
                <w:szCs w:val="20"/>
                <w:color w:val="auto"/>
              </w:rPr>
            </w:pPr>
            <w:r>
              <w:rPr>
                <w:rFonts w:ascii="Arial" w:cs="Arial" w:eastAsia="Arial" w:hAnsi="Arial"/>
                <w:sz w:val="22"/>
                <w:szCs w:val="22"/>
                <w:color w:val="auto"/>
              </w:rPr>
              <w:t>$</w:t>
            </w:r>
          </w:p>
        </w:tc>
        <w:tc>
          <w:tcPr>
            <w:tcW w:w="1160" w:type="dxa"/>
            <w:vAlign w:val="bottom"/>
            <w:shd w:val="clear" w:color="auto" w:fill="CCEEFF"/>
          </w:tcPr>
          <w:p>
            <w:pPr>
              <w:jc w:val="right"/>
              <w:spacing w:after="0" w:line="237" w:lineRule="exact"/>
              <w:rPr>
                <w:sz w:val="20"/>
                <w:szCs w:val="20"/>
                <w:color w:val="auto"/>
              </w:rPr>
            </w:pPr>
            <w:r>
              <w:rPr>
                <w:rFonts w:ascii="Arial" w:cs="Arial" w:eastAsia="Arial" w:hAnsi="Arial"/>
                <w:sz w:val="22"/>
                <w:szCs w:val="22"/>
                <w:color w:val="auto"/>
              </w:rPr>
              <w:t>(2,439)</w:t>
            </w:r>
          </w:p>
        </w:tc>
      </w:tr>
      <w:tr>
        <w:trPr>
          <w:trHeight w:val="243"/>
        </w:trPr>
        <w:tc>
          <w:tcPr>
            <w:tcW w:w="4860" w:type="dxa"/>
            <w:vAlign w:val="bottom"/>
          </w:tcPr>
          <w:p>
            <w:pPr>
              <w:spacing w:after="0" w:line="243" w:lineRule="exact"/>
              <w:rPr>
                <w:sz w:val="20"/>
                <w:szCs w:val="20"/>
                <w:color w:val="auto"/>
              </w:rPr>
            </w:pPr>
            <w:r>
              <w:rPr>
                <w:rFonts w:ascii="Arial" w:cs="Arial" w:eastAsia="Arial" w:hAnsi="Arial"/>
                <w:sz w:val="22"/>
                <w:szCs w:val="22"/>
                <w:color w:val="auto"/>
              </w:rPr>
              <w:t>Gain on trading securities sold</w:t>
            </w:r>
          </w:p>
        </w:tc>
        <w:tc>
          <w:tcPr>
            <w:tcW w:w="960" w:type="dxa"/>
            <w:vAlign w:val="bottom"/>
          </w:tcPr>
          <w:p>
            <w:pPr>
              <w:spacing w:after="0"/>
              <w:rPr>
                <w:sz w:val="21"/>
                <w:szCs w:val="21"/>
                <w:color w:val="auto"/>
              </w:rPr>
            </w:pPr>
          </w:p>
        </w:tc>
        <w:tc>
          <w:tcPr>
            <w:tcW w:w="580" w:type="dxa"/>
            <w:vAlign w:val="bottom"/>
          </w:tcPr>
          <w:p>
            <w:pPr>
              <w:jc w:val="right"/>
              <w:ind w:right="32"/>
              <w:spacing w:after="0" w:line="243" w:lineRule="exact"/>
              <w:rPr>
                <w:sz w:val="20"/>
                <w:szCs w:val="20"/>
                <w:color w:val="auto"/>
              </w:rPr>
            </w:pPr>
            <w:r>
              <w:rPr>
                <w:rFonts w:ascii="Arial" w:cs="Arial" w:eastAsia="Arial" w:hAnsi="Arial"/>
                <w:sz w:val="22"/>
                <w:szCs w:val="22"/>
                <w:color w:val="auto"/>
              </w:rPr>
              <w:t>27</w:t>
            </w: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jc w:val="right"/>
              <w:ind w:right="52"/>
              <w:spacing w:after="0" w:line="243" w:lineRule="exact"/>
              <w:rPr>
                <w:sz w:val="20"/>
                <w:szCs w:val="20"/>
                <w:color w:val="auto"/>
              </w:rPr>
            </w:pPr>
            <w:r>
              <w:rPr>
                <w:rFonts w:ascii="Arial" w:cs="Arial" w:eastAsia="Arial" w:hAnsi="Arial"/>
                <w:sz w:val="22"/>
                <w:szCs w:val="22"/>
                <w:color w:val="auto"/>
              </w:rPr>
              <w:t>1,335</w:t>
            </w: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ind w:right="52"/>
              <w:spacing w:after="0" w:line="243" w:lineRule="exact"/>
              <w:rPr>
                <w:sz w:val="20"/>
                <w:szCs w:val="20"/>
                <w:color w:val="auto"/>
              </w:rPr>
            </w:pPr>
            <w:r>
              <w:rPr>
                <w:rFonts w:ascii="Arial" w:cs="Arial" w:eastAsia="Arial" w:hAnsi="Arial"/>
                <w:sz w:val="22"/>
                <w:szCs w:val="22"/>
                <w:color w:val="auto"/>
              </w:rPr>
              <w:t>1,100</w:t>
            </w: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2"/>
              <w:spacing w:after="0" w:line="243" w:lineRule="exact"/>
              <w:rPr>
                <w:sz w:val="20"/>
                <w:szCs w:val="20"/>
                <w:color w:val="auto"/>
              </w:rPr>
            </w:pPr>
            <w:r>
              <w:rPr>
                <w:rFonts w:ascii="Arial" w:cs="Arial" w:eastAsia="Arial" w:hAnsi="Arial"/>
                <w:sz w:val="22"/>
                <w:szCs w:val="22"/>
                <w:color w:val="auto"/>
              </w:rPr>
              <w:t>3,351</w:t>
            </w:r>
          </w:p>
        </w:tc>
      </w:tr>
      <w:tr>
        <w:trPr>
          <w:trHeight w:val="243"/>
        </w:trPr>
        <w:tc>
          <w:tcPr>
            <w:tcW w:w="486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Gain (loss) on trading securities held</w:t>
            </w:r>
          </w:p>
        </w:tc>
        <w:tc>
          <w:tcPr>
            <w:tcW w:w="96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2"/>
              <w:spacing w:after="0" w:line="243" w:lineRule="exact"/>
              <w:rPr>
                <w:sz w:val="20"/>
                <w:szCs w:val="20"/>
                <w:color w:val="auto"/>
              </w:rPr>
            </w:pPr>
            <w:r>
              <w:rPr>
                <w:rFonts w:ascii="Arial" w:cs="Arial" w:eastAsia="Arial" w:hAnsi="Arial"/>
                <w:sz w:val="22"/>
                <w:szCs w:val="22"/>
                <w:color w:val="auto"/>
              </w:rPr>
              <w:t>80</w:t>
            </w:r>
          </w:p>
        </w:tc>
        <w:tc>
          <w:tcPr>
            <w:tcW w:w="18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line="243" w:lineRule="exact"/>
              <w:rPr>
                <w:sz w:val="20"/>
                <w:szCs w:val="20"/>
                <w:color w:val="auto"/>
              </w:rPr>
            </w:pPr>
            <w:r>
              <w:rPr>
                <w:rFonts w:ascii="Arial" w:cs="Arial" w:eastAsia="Arial" w:hAnsi="Arial"/>
                <w:sz w:val="22"/>
                <w:szCs w:val="22"/>
                <w:color w:val="auto"/>
              </w:rPr>
              <w:t>(1,220)</w:t>
            </w:r>
          </w:p>
        </w:tc>
        <w:tc>
          <w:tcPr>
            <w:tcW w:w="16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52"/>
              <w:spacing w:after="0" w:line="243" w:lineRule="exact"/>
              <w:rPr>
                <w:sz w:val="20"/>
                <w:szCs w:val="20"/>
                <w:color w:val="auto"/>
              </w:rPr>
            </w:pPr>
            <w:r>
              <w:rPr>
                <w:rFonts w:ascii="Arial" w:cs="Arial" w:eastAsia="Arial" w:hAnsi="Arial"/>
                <w:sz w:val="22"/>
                <w:szCs w:val="22"/>
                <w:color w:val="auto"/>
              </w:rPr>
              <w:t>579</w:t>
            </w:r>
          </w:p>
        </w:tc>
        <w:tc>
          <w:tcPr>
            <w:tcW w:w="16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line="243" w:lineRule="exact"/>
              <w:rPr>
                <w:sz w:val="20"/>
                <w:szCs w:val="20"/>
                <w:color w:val="auto"/>
              </w:rPr>
            </w:pPr>
            <w:r>
              <w:rPr>
                <w:rFonts w:ascii="Arial" w:cs="Arial" w:eastAsia="Arial" w:hAnsi="Arial"/>
                <w:sz w:val="22"/>
                <w:szCs w:val="22"/>
                <w:color w:val="auto"/>
              </w:rPr>
              <w:t>(1,201)</w:t>
            </w:r>
          </w:p>
        </w:tc>
      </w:tr>
      <w:tr>
        <w:trPr>
          <w:trHeight w:val="237"/>
        </w:trPr>
        <w:tc>
          <w:tcPr>
            <w:tcW w:w="4860" w:type="dxa"/>
            <w:vAlign w:val="bottom"/>
          </w:tcPr>
          <w:p>
            <w:pPr>
              <w:spacing w:after="0" w:line="237" w:lineRule="exact"/>
              <w:rPr>
                <w:sz w:val="20"/>
                <w:szCs w:val="20"/>
                <w:color w:val="auto"/>
              </w:rPr>
            </w:pPr>
            <w:r>
              <w:rPr>
                <w:rFonts w:ascii="Arial" w:cs="Arial" w:eastAsia="Arial" w:hAnsi="Arial"/>
                <w:sz w:val="22"/>
                <w:szCs w:val="22"/>
                <w:color w:val="auto"/>
              </w:rPr>
              <w:t>Gain (loss) on trading securites</w:t>
            </w:r>
          </w:p>
        </w:tc>
        <w:tc>
          <w:tcPr>
            <w:tcW w:w="960" w:type="dxa"/>
            <w:vAlign w:val="bottom"/>
            <w:tcBorders>
              <w:bottom w:val="single" w:sz="8" w:color="auto"/>
            </w:tcBorders>
          </w:tcPr>
          <w:p>
            <w:pPr>
              <w:jc w:val="right"/>
              <w:ind w:right="672"/>
              <w:spacing w:after="0" w:line="237" w:lineRule="exact"/>
              <w:rPr>
                <w:sz w:val="20"/>
                <w:szCs w:val="20"/>
                <w:color w:val="auto"/>
              </w:rPr>
            </w:pPr>
            <w:r>
              <w:rPr>
                <w:rFonts w:ascii="Arial" w:cs="Arial" w:eastAsia="Arial" w:hAnsi="Arial"/>
                <w:sz w:val="22"/>
                <w:szCs w:val="22"/>
                <w:color w:val="auto"/>
              </w:rPr>
              <w:t>$</w:t>
            </w:r>
          </w:p>
        </w:tc>
        <w:tc>
          <w:tcPr>
            <w:tcW w:w="580" w:type="dxa"/>
            <w:vAlign w:val="bottom"/>
            <w:tcBorders>
              <w:bottom w:val="single" w:sz="8" w:color="auto"/>
            </w:tcBorders>
          </w:tcPr>
          <w:p>
            <w:pPr>
              <w:jc w:val="right"/>
              <w:ind w:right="32"/>
              <w:spacing w:after="0" w:line="237" w:lineRule="exact"/>
              <w:rPr>
                <w:sz w:val="20"/>
                <w:szCs w:val="20"/>
                <w:color w:val="auto"/>
              </w:rPr>
            </w:pPr>
            <w:r>
              <w:rPr>
                <w:rFonts w:ascii="Arial" w:cs="Arial" w:eastAsia="Arial" w:hAnsi="Arial"/>
                <w:sz w:val="22"/>
                <w:szCs w:val="22"/>
                <w:color w:val="auto"/>
              </w:rPr>
              <w:t>107</w:t>
            </w:r>
          </w:p>
        </w:tc>
        <w:tc>
          <w:tcPr>
            <w:tcW w:w="180" w:type="dxa"/>
            <w:vAlign w:val="bottom"/>
          </w:tcPr>
          <w:p>
            <w:pPr>
              <w:spacing w:after="0"/>
              <w:rPr>
                <w:sz w:val="20"/>
                <w:szCs w:val="20"/>
                <w:color w:val="auto"/>
              </w:rPr>
            </w:pPr>
          </w:p>
        </w:tc>
        <w:tc>
          <w:tcPr>
            <w:tcW w:w="320" w:type="dxa"/>
            <w:vAlign w:val="bottom"/>
            <w:tcBorders>
              <w:bottom w:val="single" w:sz="8" w:color="auto"/>
            </w:tcBorders>
          </w:tcPr>
          <w:p>
            <w:pPr>
              <w:jc w:val="right"/>
              <w:ind w:right="32"/>
              <w:spacing w:after="0" w:line="237" w:lineRule="exact"/>
              <w:rPr>
                <w:sz w:val="20"/>
                <w:szCs w:val="20"/>
                <w:color w:val="auto"/>
              </w:rPr>
            </w:pPr>
            <w:r>
              <w:rPr>
                <w:rFonts w:ascii="Arial" w:cs="Arial" w:eastAsia="Arial" w:hAnsi="Arial"/>
                <w:sz w:val="22"/>
                <w:szCs w:val="22"/>
                <w:color w:val="auto"/>
              </w:rPr>
              <w:t>$</w:t>
            </w:r>
          </w:p>
        </w:tc>
        <w:tc>
          <w:tcPr>
            <w:tcW w:w="1220" w:type="dxa"/>
            <w:vAlign w:val="bottom"/>
            <w:tcBorders>
              <w:bottom w:val="single" w:sz="8" w:color="auto"/>
            </w:tcBorders>
          </w:tcPr>
          <w:p>
            <w:pPr>
              <w:jc w:val="right"/>
              <w:ind w:right="52"/>
              <w:spacing w:after="0" w:line="237" w:lineRule="exact"/>
              <w:rPr>
                <w:sz w:val="20"/>
                <w:szCs w:val="20"/>
                <w:color w:val="auto"/>
              </w:rPr>
            </w:pPr>
            <w:r>
              <w:rPr>
                <w:rFonts w:ascii="Arial" w:cs="Arial" w:eastAsia="Arial" w:hAnsi="Arial"/>
                <w:sz w:val="22"/>
                <w:szCs w:val="22"/>
                <w:color w:val="auto"/>
              </w:rPr>
              <w:t>115</w:t>
            </w:r>
          </w:p>
        </w:tc>
        <w:tc>
          <w:tcPr>
            <w:tcW w:w="160" w:type="dxa"/>
            <w:vAlign w:val="bottom"/>
          </w:tcPr>
          <w:p>
            <w:pPr>
              <w:spacing w:after="0"/>
              <w:rPr>
                <w:sz w:val="20"/>
                <w:szCs w:val="20"/>
                <w:color w:val="auto"/>
              </w:rPr>
            </w:pPr>
          </w:p>
        </w:tc>
        <w:tc>
          <w:tcPr>
            <w:tcW w:w="300" w:type="dxa"/>
            <w:vAlign w:val="bottom"/>
            <w:tcBorders>
              <w:bottom w:val="single" w:sz="8" w:color="auto"/>
            </w:tcBorders>
          </w:tcPr>
          <w:p>
            <w:pPr>
              <w:jc w:val="right"/>
              <w:ind w:right="32"/>
              <w:spacing w:after="0" w:line="237" w:lineRule="exact"/>
              <w:rPr>
                <w:sz w:val="20"/>
                <w:szCs w:val="20"/>
                <w:color w:val="auto"/>
              </w:rPr>
            </w:pPr>
            <w:r>
              <w:rPr>
                <w:rFonts w:ascii="Arial" w:cs="Arial" w:eastAsia="Arial" w:hAnsi="Arial"/>
                <w:sz w:val="22"/>
                <w:szCs w:val="22"/>
                <w:color w:val="auto"/>
              </w:rPr>
              <w:t>$</w:t>
            </w:r>
          </w:p>
        </w:tc>
        <w:tc>
          <w:tcPr>
            <w:tcW w:w="1200" w:type="dxa"/>
            <w:vAlign w:val="bottom"/>
            <w:tcBorders>
              <w:bottom w:val="single" w:sz="8" w:color="auto"/>
            </w:tcBorders>
          </w:tcPr>
          <w:p>
            <w:pPr>
              <w:jc w:val="right"/>
              <w:ind w:right="52"/>
              <w:spacing w:after="0" w:line="237" w:lineRule="exact"/>
              <w:rPr>
                <w:sz w:val="20"/>
                <w:szCs w:val="20"/>
                <w:color w:val="auto"/>
              </w:rPr>
            </w:pPr>
            <w:r>
              <w:rPr>
                <w:rFonts w:ascii="Arial" w:cs="Arial" w:eastAsia="Arial" w:hAnsi="Arial"/>
                <w:sz w:val="22"/>
                <w:szCs w:val="22"/>
                <w:color w:val="auto"/>
              </w:rPr>
              <w:t>1,679</w:t>
            </w:r>
          </w:p>
        </w:tc>
        <w:tc>
          <w:tcPr>
            <w:tcW w:w="160" w:type="dxa"/>
            <w:vAlign w:val="bottom"/>
          </w:tcPr>
          <w:p>
            <w:pPr>
              <w:spacing w:after="0"/>
              <w:rPr>
                <w:sz w:val="20"/>
                <w:szCs w:val="20"/>
                <w:color w:val="auto"/>
              </w:rPr>
            </w:pPr>
          </w:p>
        </w:tc>
        <w:tc>
          <w:tcPr>
            <w:tcW w:w="320" w:type="dxa"/>
            <w:vAlign w:val="bottom"/>
            <w:tcBorders>
              <w:bottom w:val="single" w:sz="8" w:color="auto"/>
            </w:tcBorders>
          </w:tcPr>
          <w:p>
            <w:pPr>
              <w:jc w:val="right"/>
              <w:ind w:right="32"/>
              <w:spacing w:after="0" w:line="237" w:lineRule="exact"/>
              <w:rPr>
                <w:sz w:val="20"/>
                <w:szCs w:val="20"/>
                <w:color w:val="auto"/>
              </w:rPr>
            </w:pPr>
            <w:r>
              <w:rPr>
                <w:rFonts w:ascii="Arial" w:cs="Arial" w:eastAsia="Arial" w:hAnsi="Arial"/>
                <w:sz w:val="22"/>
                <w:szCs w:val="22"/>
                <w:color w:val="auto"/>
              </w:rPr>
              <w:t>$</w:t>
            </w:r>
          </w:p>
        </w:tc>
        <w:tc>
          <w:tcPr>
            <w:tcW w:w="116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2"/>
                <w:szCs w:val="22"/>
                <w:color w:val="auto"/>
              </w:rPr>
              <w:t>(289)</w:t>
            </w:r>
          </w:p>
        </w:tc>
      </w:tr>
      <w:tr>
        <w:trPr>
          <w:trHeight w:val="20"/>
        </w:trPr>
        <w:tc>
          <w:tcPr>
            <w:tcW w:w="48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95" w:lineRule="exact"/>
        <w:rPr>
          <w:sz w:val="20"/>
          <w:szCs w:val="20"/>
          <w:color w:val="auto"/>
        </w:rPr>
      </w:pPr>
    </w:p>
    <w:p>
      <w:pPr>
        <w:jc w:val="both"/>
        <w:ind w:right="40" w:firstLine="648"/>
        <w:spacing w:after="0" w:line="234" w:lineRule="auto"/>
        <w:rPr>
          <w:sz w:val="20"/>
          <w:szCs w:val="20"/>
          <w:color w:val="auto"/>
        </w:rPr>
      </w:pPr>
      <w:r>
        <w:rPr>
          <w:rFonts w:ascii="Arial" w:cs="Arial" w:eastAsia="Arial" w:hAnsi="Arial"/>
          <w:sz w:val="22"/>
          <w:szCs w:val="22"/>
          <w:color w:val="auto"/>
        </w:rPr>
        <w:t>The Company’s investments at September 30, 2012 and December 31, 2011 in U.S. Treasuries, certificates of deposit, corporate bonds, municipal securities, U.S. government agency securities and variable rate demand notes (“VRDNs”) carried investment grade credit ratings. VRDNs are floating rate municipal bonds with embedded put options that allow the bondholder to sell the security at par plus accrued interest. All of the put options are secured by a pledged liquidity source. While they are classified as marketable investment securities, the put option allows the VRDNs to be liquidated at par on a same day, or more generally on a seven day, settlement basis. A portion of the Company’s investments at September 30, 2012 and December 31, 2011 in municipal, educational or other public body securities with an auction reset feature (“auction rate securities”) also carried investment grade credit ratings.</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following table summarizes the underlying contractual maturities of the Company’s investments at:</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140" w:type="dxa"/>
            <w:vAlign w:val="bottom"/>
            <w:tcBorders>
              <w:bottom w:val="single" w:sz="8" w:color="auto"/>
            </w:tcBorders>
            <w:gridSpan w:val="4"/>
          </w:tcPr>
          <w:p>
            <w:pPr>
              <w:jc w:val="right"/>
              <w:ind w:right="805"/>
              <w:spacing w:after="0"/>
              <w:rPr>
                <w:sz w:val="20"/>
                <w:szCs w:val="20"/>
                <w:color w:val="auto"/>
              </w:rPr>
            </w:pPr>
            <w:r>
              <w:rPr>
                <w:rFonts w:ascii="Arial" w:cs="Arial" w:eastAsia="Arial" w:hAnsi="Arial"/>
                <w:sz w:val="19"/>
                <w:szCs w:val="19"/>
                <w:color w:val="auto"/>
              </w:rPr>
              <w:t>September 30, 2012</w:t>
            </w:r>
          </w:p>
        </w:tc>
        <w:tc>
          <w:tcPr>
            <w:tcW w:w="18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4"/>
          </w:tcPr>
          <w:p>
            <w:pPr>
              <w:jc w:val="right"/>
              <w:ind w:right="785"/>
              <w:spacing w:after="0"/>
              <w:rPr>
                <w:sz w:val="20"/>
                <w:szCs w:val="20"/>
                <w:color w:val="auto"/>
              </w:rPr>
            </w:pPr>
            <w:r>
              <w:rPr>
                <w:rFonts w:ascii="Arial" w:cs="Arial" w:eastAsia="Arial" w:hAnsi="Arial"/>
                <w:sz w:val="19"/>
                <w:szCs w:val="19"/>
                <w:color w:val="auto"/>
              </w:rPr>
              <w:t>December 31, 2011</w:t>
            </w:r>
          </w:p>
        </w:tc>
        <w:tc>
          <w:tcPr>
            <w:tcW w:w="100" w:type="dxa"/>
            <w:vAlign w:val="bottom"/>
          </w:tcPr>
          <w:p>
            <w:pPr>
              <w:spacing w:after="0"/>
              <w:rPr>
                <w:sz w:val="20"/>
                <w:szCs w:val="20"/>
                <w:color w:val="auto"/>
              </w:rPr>
            </w:pPr>
          </w:p>
        </w:tc>
      </w:tr>
      <w:tr>
        <w:trPr>
          <w:trHeight w:val="426"/>
        </w:trPr>
        <w:tc>
          <w:tcPr>
            <w:tcW w:w="34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gridSpan w:val="2"/>
          </w:tcPr>
          <w:p>
            <w:pPr>
              <w:ind w:left="40"/>
              <w:spacing w:after="0"/>
              <w:rPr>
                <w:sz w:val="20"/>
                <w:szCs w:val="20"/>
                <w:color w:val="auto"/>
              </w:rPr>
            </w:pPr>
            <w:r>
              <w:rPr>
                <w:rFonts w:ascii="Arial" w:cs="Arial" w:eastAsia="Arial" w:hAnsi="Arial"/>
                <w:sz w:val="19"/>
                <w:szCs w:val="19"/>
                <w:color w:val="auto"/>
              </w:rPr>
              <w:t>Amortized Cost</w:t>
            </w:r>
          </w:p>
        </w:tc>
        <w:tc>
          <w:tcPr>
            <w:tcW w:w="220" w:type="dxa"/>
            <w:vAlign w:val="bottom"/>
          </w:tcPr>
          <w:p>
            <w:pPr>
              <w:spacing w:after="0"/>
              <w:rPr>
                <w:sz w:val="24"/>
                <w:szCs w:val="24"/>
                <w:color w:val="auto"/>
              </w:rPr>
            </w:pPr>
          </w:p>
        </w:tc>
        <w:tc>
          <w:tcPr>
            <w:tcW w:w="1460" w:type="dxa"/>
            <w:vAlign w:val="bottom"/>
            <w:gridSpan w:val="2"/>
          </w:tcPr>
          <w:p>
            <w:pPr>
              <w:ind w:left="80"/>
              <w:spacing w:after="0"/>
              <w:rPr>
                <w:sz w:val="20"/>
                <w:szCs w:val="20"/>
                <w:color w:val="auto"/>
              </w:rPr>
            </w:pPr>
            <w:r>
              <w:rPr>
                <w:rFonts w:ascii="Arial" w:cs="Arial" w:eastAsia="Arial" w:hAnsi="Arial"/>
                <w:sz w:val="19"/>
                <w:szCs w:val="19"/>
                <w:color w:val="auto"/>
              </w:rPr>
              <w:t>Fair Value</w:t>
            </w:r>
          </w:p>
        </w:tc>
        <w:tc>
          <w:tcPr>
            <w:tcW w:w="1740" w:type="dxa"/>
            <w:vAlign w:val="bottom"/>
            <w:gridSpan w:val="3"/>
          </w:tcPr>
          <w:p>
            <w:pPr>
              <w:ind w:left="120"/>
              <w:spacing w:after="0"/>
              <w:rPr>
                <w:sz w:val="20"/>
                <w:szCs w:val="20"/>
                <w:color w:val="auto"/>
              </w:rPr>
            </w:pPr>
            <w:r>
              <w:rPr>
                <w:rFonts w:ascii="Arial" w:cs="Arial" w:eastAsia="Arial" w:hAnsi="Arial"/>
                <w:sz w:val="19"/>
                <w:szCs w:val="19"/>
                <w:color w:val="auto"/>
              </w:rPr>
              <w:t>Amortized Cost</w:t>
            </w:r>
          </w:p>
        </w:tc>
        <w:tc>
          <w:tcPr>
            <w:tcW w:w="240" w:type="dxa"/>
            <w:vAlign w:val="bottom"/>
          </w:tcPr>
          <w:p>
            <w:pPr>
              <w:spacing w:after="0"/>
              <w:rPr>
                <w:sz w:val="24"/>
                <w:szCs w:val="24"/>
                <w:color w:val="auto"/>
              </w:rPr>
            </w:pPr>
          </w:p>
        </w:tc>
        <w:tc>
          <w:tcPr>
            <w:tcW w:w="1260" w:type="dxa"/>
            <w:vAlign w:val="bottom"/>
          </w:tcPr>
          <w:p>
            <w:pPr>
              <w:jc w:val="right"/>
              <w:ind w:right="325"/>
              <w:spacing w:after="0"/>
              <w:rPr>
                <w:sz w:val="20"/>
                <w:szCs w:val="20"/>
                <w:color w:val="auto"/>
              </w:rPr>
            </w:pPr>
            <w:r>
              <w:rPr>
                <w:rFonts w:ascii="Arial" w:cs="Arial" w:eastAsia="Arial" w:hAnsi="Arial"/>
                <w:sz w:val="19"/>
                <w:szCs w:val="19"/>
                <w:color w:val="auto"/>
                <w:w w:val="94"/>
              </w:rPr>
              <w:t>Fair Value</w:t>
            </w:r>
          </w:p>
        </w:tc>
        <w:tc>
          <w:tcPr>
            <w:tcW w:w="100" w:type="dxa"/>
            <w:vAlign w:val="bottom"/>
          </w:tcPr>
          <w:p>
            <w:pPr>
              <w:spacing w:after="0"/>
              <w:rPr>
                <w:sz w:val="24"/>
                <w:szCs w:val="24"/>
                <w:color w:val="auto"/>
              </w:rPr>
            </w:pPr>
          </w:p>
        </w:tc>
      </w:tr>
      <w:tr>
        <w:trPr>
          <w:trHeight w:val="196"/>
        </w:trPr>
        <w:tc>
          <w:tcPr>
            <w:tcW w:w="340" w:type="dxa"/>
            <w:vAlign w:val="bottom"/>
          </w:tcPr>
          <w:p>
            <w:pPr>
              <w:spacing w:after="0"/>
              <w:rPr>
                <w:sz w:val="17"/>
                <w:szCs w:val="17"/>
                <w:color w:val="auto"/>
              </w:rPr>
            </w:pPr>
          </w:p>
        </w:tc>
        <w:tc>
          <w:tcPr>
            <w:tcW w:w="42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9"/>
                <w:szCs w:val="19"/>
                <w:color w:val="auto"/>
              </w:rPr>
              <w:t>Less than 1 year:</w:t>
            </w:r>
          </w:p>
        </w:tc>
        <w:tc>
          <w:tcPr>
            <w:tcW w:w="180" w:type="dxa"/>
            <w:vAlign w:val="bottom"/>
            <w:tcBorders>
              <w:top w:val="single" w:sz="8" w:color="auto"/>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340" w:type="dxa"/>
            <w:vAlign w:val="bottom"/>
          </w:tcPr>
          <w:p>
            <w:pPr>
              <w:spacing w:after="0"/>
              <w:rPr>
                <w:sz w:val="18"/>
                <w:szCs w:val="18"/>
                <w:color w:val="auto"/>
              </w:rPr>
            </w:pPr>
          </w:p>
        </w:tc>
        <w:tc>
          <w:tcPr>
            <w:tcW w:w="4280" w:type="dxa"/>
            <w:vAlign w:val="bottom"/>
          </w:tcPr>
          <w:p>
            <w:pPr>
              <w:ind w:left="360"/>
              <w:spacing w:after="0" w:line="216" w:lineRule="exact"/>
              <w:rPr>
                <w:sz w:val="20"/>
                <w:szCs w:val="20"/>
                <w:color w:val="auto"/>
              </w:rPr>
            </w:pPr>
            <w:r>
              <w:rPr>
                <w:rFonts w:ascii="Arial" w:cs="Arial" w:eastAsia="Arial" w:hAnsi="Arial"/>
                <w:sz w:val="19"/>
                <w:szCs w:val="19"/>
                <w:color w:val="auto"/>
              </w:rPr>
              <w:t>U.S. Treasuries</w:t>
            </w:r>
          </w:p>
        </w:tc>
        <w:tc>
          <w:tcPr>
            <w:tcW w:w="180" w:type="dxa"/>
            <w:vAlign w:val="bottom"/>
          </w:tcPr>
          <w:p>
            <w:pPr>
              <w:jc w:val="right"/>
              <w:spacing w:after="0" w:line="216" w:lineRule="exact"/>
              <w:rPr>
                <w:sz w:val="20"/>
                <w:szCs w:val="20"/>
                <w:color w:val="auto"/>
              </w:rPr>
            </w:pPr>
            <w:r>
              <w:rPr>
                <w:rFonts w:ascii="Arial" w:cs="Arial" w:eastAsia="Arial" w:hAnsi="Arial"/>
                <w:sz w:val="19"/>
                <w:szCs w:val="19"/>
                <w:color w:val="auto"/>
              </w:rPr>
              <w:t>$</w:t>
            </w:r>
          </w:p>
        </w:tc>
        <w:tc>
          <w:tcPr>
            <w:tcW w:w="1460" w:type="dxa"/>
            <w:vAlign w:val="bottom"/>
          </w:tcPr>
          <w:p>
            <w:pPr>
              <w:jc w:val="right"/>
              <w:ind w:right="46"/>
              <w:spacing w:after="0" w:line="216" w:lineRule="exact"/>
              <w:rPr>
                <w:sz w:val="20"/>
                <w:szCs w:val="20"/>
                <w:color w:val="auto"/>
              </w:rPr>
            </w:pPr>
            <w:r>
              <w:rPr>
                <w:rFonts w:ascii="Arial" w:cs="Arial" w:eastAsia="Arial" w:hAnsi="Arial"/>
                <w:sz w:val="19"/>
                <w:szCs w:val="19"/>
                <w:color w:val="auto"/>
              </w:rPr>
              <w:t>-</w:t>
            </w:r>
          </w:p>
        </w:tc>
        <w:tc>
          <w:tcPr>
            <w:tcW w:w="180" w:type="dxa"/>
            <w:vAlign w:val="bottom"/>
          </w:tcPr>
          <w:p>
            <w:pPr>
              <w:spacing w:after="0"/>
              <w:rPr>
                <w:sz w:val="18"/>
                <w:szCs w:val="18"/>
                <w:color w:val="auto"/>
              </w:rPr>
            </w:pPr>
          </w:p>
        </w:tc>
        <w:tc>
          <w:tcPr>
            <w:tcW w:w="220" w:type="dxa"/>
            <w:vAlign w:val="bottom"/>
          </w:tcPr>
          <w:p>
            <w:pPr>
              <w:jc w:val="right"/>
              <w:spacing w:after="0" w:line="216" w:lineRule="exact"/>
              <w:rPr>
                <w:sz w:val="20"/>
                <w:szCs w:val="20"/>
                <w:color w:val="auto"/>
              </w:rPr>
            </w:pPr>
            <w:r>
              <w:rPr>
                <w:rFonts w:ascii="Arial" w:cs="Arial" w:eastAsia="Arial" w:hAnsi="Arial"/>
                <w:sz w:val="19"/>
                <w:szCs w:val="19"/>
                <w:color w:val="auto"/>
              </w:rPr>
              <w:t>$</w:t>
            </w:r>
          </w:p>
        </w:tc>
        <w:tc>
          <w:tcPr>
            <w:tcW w:w="1280" w:type="dxa"/>
            <w:vAlign w:val="bottom"/>
          </w:tcPr>
          <w:p>
            <w:pPr>
              <w:jc w:val="right"/>
              <w:ind w:right="25"/>
              <w:spacing w:after="0" w:line="216" w:lineRule="exact"/>
              <w:rPr>
                <w:sz w:val="20"/>
                <w:szCs w:val="20"/>
                <w:color w:val="auto"/>
              </w:rPr>
            </w:pPr>
            <w:r>
              <w:rPr>
                <w:rFonts w:ascii="Arial" w:cs="Arial" w:eastAsia="Arial" w:hAnsi="Arial"/>
                <w:sz w:val="19"/>
                <w:szCs w:val="19"/>
                <w:color w:val="auto"/>
              </w:rPr>
              <w:t>-</w:t>
            </w:r>
          </w:p>
        </w:tc>
        <w:tc>
          <w:tcPr>
            <w:tcW w:w="180" w:type="dxa"/>
            <w:vAlign w:val="bottom"/>
          </w:tcPr>
          <w:p>
            <w:pPr>
              <w:spacing w:after="0"/>
              <w:rPr>
                <w:sz w:val="18"/>
                <w:szCs w:val="18"/>
                <w:color w:val="auto"/>
              </w:rPr>
            </w:pPr>
          </w:p>
        </w:tc>
        <w:tc>
          <w:tcPr>
            <w:tcW w:w="500" w:type="dxa"/>
            <w:vAlign w:val="bottom"/>
          </w:tcPr>
          <w:p>
            <w:pPr>
              <w:jc w:val="right"/>
              <w:ind w:right="245"/>
              <w:spacing w:after="0" w:line="216" w:lineRule="exact"/>
              <w:rPr>
                <w:sz w:val="20"/>
                <w:szCs w:val="20"/>
                <w:color w:val="auto"/>
              </w:rPr>
            </w:pPr>
            <w:r>
              <w:rPr>
                <w:rFonts w:ascii="Arial" w:cs="Arial" w:eastAsia="Arial" w:hAnsi="Arial"/>
                <w:sz w:val="19"/>
                <w:szCs w:val="19"/>
                <w:color w:val="auto"/>
              </w:rPr>
              <w:t>$</w:t>
            </w:r>
          </w:p>
        </w:tc>
        <w:tc>
          <w:tcPr>
            <w:tcW w:w="1080" w:type="dxa"/>
            <w:vAlign w:val="bottom"/>
          </w:tcPr>
          <w:p>
            <w:pPr>
              <w:jc w:val="right"/>
              <w:ind w:right="45"/>
              <w:spacing w:after="0" w:line="216" w:lineRule="exact"/>
              <w:rPr>
                <w:sz w:val="20"/>
                <w:szCs w:val="20"/>
                <w:color w:val="auto"/>
              </w:rPr>
            </w:pPr>
            <w:r>
              <w:rPr>
                <w:rFonts w:ascii="Arial" w:cs="Arial" w:eastAsia="Arial" w:hAnsi="Arial"/>
                <w:sz w:val="19"/>
                <w:szCs w:val="19"/>
                <w:color w:val="auto"/>
              </w:rPr>
              <w:t>8,034</w:t>
            </w:r>
          </w:p>
        </w:tc>
        <w:tc>
          <w:tcPr>
            <w:tcW w:w="160" w:type="dxa"/>
            <w:vAlign w:val="bottom"/>
          </w:tcPr>
          <w:p>
            <w:pPr>
              <w:spacing w:after="0"/>
              <w:rPr>
                <w:sz w:val="18"/>
                <w:szCs w:val="18"/>
                <w:color w:val="auto"/>
              </w:rPr>
            </w:pPr>
          </w:p>
        </w:tc>
        <w:tc>
          <w:tcPr>
            <w:tcW w:w="240" w:type="dxa"/>
            <w:vAlign w:val="bottom"/>
          </w:tcPr>
          <w:p>
            <w:pPr>
              <w:jc w:val="right"/>
              <w:spacing w:after="0" w:line="216" w:lineRule="exact"/>
              <w:rPr>
                <w:sz w:val="20"/>
                <w:szCs w:val="20"/>
                <w:color w:val="auto"/>
              </w:rPr>
            </w:pPr>
            <w:r>
              <w:rPr>
                <w:rFonts w:ascii="Arial" w:cs="Arial" w:eastAsia="Arial" w:hAnsi="Arial"/>
                <w:sz w:val="19"/>
                <w:szCs w:val="19"/>
                <w:color w:val="auto"/>
              </w:rPr>
              <w:t>$</w:t>
            </w:r>
          </w:p>
        </w:tc>
        <w:tc>
          <w:tcPr>
            <w:tcW w:w="1260" w:type="dxa"/>
            <w:vAlign w:val="bottom"/>
          </w:tcPr>
          <w:p>
            <w:pPr>
              <w:jc w:val="right"/>
              <w:ind w:right="25"/>
              <w:spacing w:after="0" w:line="216" w:lineRule="exact"/>
              <w:rPr>
                <w:sz w:val="20"/>
                <w:szCs w:val="20"/>
                <w:color w:val="auto"/>
              </w:rPr>
            </w:pPr>
            <w:r>
              <w:rPr>
                <w:rFonts w:ascii="Arial" w:cs="Arial" w:eastAsia="Arial" w:hAnsi="Arial"/>
                <w:sz w:val="19"/>
                <w:szCs w:val="19"/>
                <w:color w:val="auto"/>
              </w:rPr>
              <w:t>8,039</w:t>
            </w:r>
          </w:p>
        </w:tc>
        <w:tc>
          <w:tcPr>
            <w:tcW w:w="1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280" w:type="dxa"/>
            <w:vAlign w:val="bottom"/>
            <w:shd w:val="clear" w:color="auto" w:fill="CCEEFF"/>
          </w:tcPr>
          <w:p>
            <w:pPr>
              <w:ind w:left="360"/>
              <w:spacing w:after="0" w:line="216" w:lineRule="exact"/>
              <w:rPr>
                <w:sz w:val="20"/>
                <w:szCs w:val="20"/>
                <w:color w:val="auto"/>
              </w:rPr>
            </w:pPr>
            <w:r>
              <w:rPr>
                <w:rFonts w:ascii="Arial" w:cs="Arial" w:eastAsia="Arial" w:hAnsi="Arial"/>
                <w:sz w:val="19"/>
                <w:szCs w:val="19"/>
                <w:color w:val="auto"/>
              </w:rPr>
              <w:t>Certificates of deposit</w:t>
            </w: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46"/>
              <w:spacing w:after="0" w:line="216" w:lineRule="exact"/>
              <w:rPr>
                <w:sz w:val="20"/>
                <w:szCs w:val="20"/>
                <w:color w:val="auto"/>
              </w:rPr>
            </w:pPr>
            <w:r>
              <w:rPr>
                <w:rFonts w:ascii="Arial" w:cs="Arial" w:eastAsia="Arial" w:hAnsi="Arial"/>
                <w:sz w:val="19"/>
                <w:szCs w:val="19"/>
                <w:color w:val="auto"/>
              </w:rPr>
              <w:t>17,015</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25"/>
              <w:spacing w:after="0" w:line="216" w:lineRule="exact"/>
              <w:rPr>
                <w:sz w:val="20"/>
                <w:szCs w:val="20"/>
                <w:color w:val="auto"/>
              </w:rPr>
            </w:pPr>
            <w:r>
              <w:rPr>
                <w:rFonts w:ascii="Arial" w:cs="Arial" w:eastAsia="Arial" w:hAnsi="Arial"/>
                <w:sz w:val="19"/>
                <w:szCs w:val="19"/>
                <w:color w:val="auto"/>
              </w:rPr>
              <w:t>17,017</w:t>
            </w: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45"/>
              <w:spacing w:after="0" w:line="216" w:lineRule="exact"/>
              <w:rPr>
                <w:sz w:val="20"/>
                <w:szCs w:val="20"/>
                <w:color w:val="auto"/>
              </w:rPr>
            </w:pPr>
            <w:r>
              <w:rPr>
                <w:rFonts w:ascii="Arial" w:cs="Arial" w:eastAsia="Arial" w:hAnsi="Arial"/>
                <w:sz w:val="19"/>
                <w:szCs w:val="19"/>
                <w:color w:val="auto"/>
              </w:rPr>
              <w:t>29,034</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5"/>
              <w:spacing w:after="0" w:line="216" w:lineRule="exact"/>
              <w:rPr>
                <w:sz w:val="20"/>
                <w:szCs w:val="20"/>
                <w:color w:val="auto"/>
              </w:rPr>
            </w:pPr>
            <w:r>
              <w:rPr>
                <w:rFonts w:ascii="Arial" w:cs="Arial" w:eastAsia="Arial" w:hAnsi="Arial"/>
                <w:sz w:val="19"/>
                <w:szCs w:val="19"/>
                <w:color w:val="auto"/>
              </w:rPr>
              <w:t>29,035</w:t>
            </w:r>
          </w:p>
        </w:tc>
        <w:tc>
          <w:tcPr>
            <w:tcW w:w="1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280" w:type="dxa"/>
            <w:vAlign w:val="bottom"/>
          </w:tcPr>
          <w:p>
            <w:pPr>
              <w:ind w:left="360"/>
              <w:spacing w:after="0" w:line="216" w:lineRule="exact"/>
              <w:rPr>
                <w:sz w:val="20"/>
                <w:szCs w:val="20"/>
                <w:color w:val="auto"/>
              </w:rPr>
            </w:pPr>
            <w:r>
              <w:rPr>
                <w:rFonts w:ascii="Arial" w:cs="Arial" w:eastAsia="Arial" w:hAnsi="Arial"/>
                <w:sz w:val="19"/>
                <w:szCs w:val="19"/>
                <w:color w:val="auto"/>
              </w:rPr>
              <w:t>Corporate bonds</w:t>
            </w:r>
          </w:p>
        </w:tc>
        <w:tc>
          <w:tcPr>
            <w:tcW w:w="180" w:type="dxa"/>
            <w:vAlign w:val="bottom"/>
          </w:tcPr>
          <w:p>
            <w:pPr>
              <w:spacing w:after="0"/>
              <w:rPr>
                <w:sz w:val="18"/>
                <w:szCs w:val="18"/>
                <w:color w:val="auto"/>
              </w:rPr>
            </w:pPr>
          </w:p>
        </w:tc>
        <w:tc>
          <w:tcPr>
            <w:tcW w:w="1460" w:type="dxa"/>
            <w:vAlign w:val="bottom"/>
          </w:tcPr>
          <w:p>
            <w:pPr>
              <w:jc w:val="right"/>
              <w:ind w:right="46"/>
              <w:spacing w:after="0" w:line="216" w:lineRule="exact"/>
              <w:rPr>
                <w:sz w:val="20"/>
                <w:szCs w:val="20"/>
                <w:color w:val="auto"/>
              </w:rPr>
            </w:pPr>
            <w:r>
              <w:rPr>
                <w:rFonts w:ascii="Arial" w:cs="Arial" w:eastAsia="Arial" w:hAnsi="Arial"/>
                <w:sz w:val="19"/>
                <w:szCs w:val="19"/>
                <w:color w:val="auto"/>
              </w:rPr>
              <w:t>-</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ind w:right="25"/>
              <w:spacing w:after="0" w:line="216" w:lineRule="exact"/>
              <w:rPr>
                <w:sz w:val="20"/>
                <w:szCs w:val="20"/>
                <w:color w:val="auto"/>
              </w:rPr>
            </w:pPr>
            <w:r>
              <w:rPr>
                <w:rFonts w:ascii="Arial" w:cs="Arial" w:eastAsia="Arial" w:hAnsi="Arial"/>
                <w:sz w:val="19"/>
                <w:szCs w:val="19"/>
                <w:color w:val="auto"/>
              </w:rPr>
              <w:t>-</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tcPr>
          <w:p>
            <w:pPr>
              <w:jc w:val="right"/>
              <w:ind w:right="45"/>
              <w:spacing w:after="0" w:line="216" w:lineRule="exact"/>
              <w:rPr>
                <w:sz w:val="20"/>
                <w:szCs w:val="20"/>
                <w:color w:val="auto"/>
              </w:rPr>
            </w:pPr>
            <w:r>
              <w:rPr>
                <w:rFonts w:ascii="Arial" w:cs="Arial" w:eastAsia="Arial" w:hAnsi="Arial"/>
                <w:sz w:val="19"/>
                <w:szCs w:val="19"/>
                <w:color w:val="auto"/>
              </w:rPr>
              <w:t>2,022</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ind w:right="25"/>
              <w:spacing w:after="0" w:line="216" w:lineRule="exact"/>
              <w:rPr>
                <w:sz w:val="20"/>
                <w:szCs w:val="20"/>
                <w:color w:val="auto"/>
              </w:rPr>
            </w:pPr>
            <w:r>
              <w:rPr>
                <w:rFonts w:ascii="Arial" w:cs="Arial" w:eastAsia="Arial" w:hAnsi="Arial"/>
                <w:sz w:val="19"/>
                <w:szCs w:val="19"/>
                <w:color w:val="auto"/>
              </w:rPr>
              <w:t>2,022</w:t>
            </w:r>
          </w:p>
        </w:tc>
        <w:tc>
          <w:tcPr>
            <w:tcW w:w="1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280" w:type="dxa"/>
            <w:vAlign w:val="bottom"/>
            <w:shd w:val="clear" w:color="auto" w:fill="CCEEFF"/>
          </w:tcPr>
          <w:p>
            <w:pPr>
              <w:ind w:left="360"/>
              <w:spacing w:after="0" w:line="216" w:lineRule="exact"/>
              <w:rPr>
                <w:sz w:val="20"/>
                <w:szCs w:val="20"/>
                <w:color w:val="auto"/>
              </w:rPr>
            </w:pPr>
            <w:r>
              <w:rPr>
                <w:rFonts w:ascii="Arial" w:cs="Arial" w:eastAsia="Arial" w:hAnsi="Arial"/>
                <w:sz w:val="19"/>
                <w:szCs w:val="19"/>
                <w:color w:val="auto"/>
              </w:rPr>
              <w:t>Municipal securities</w:t>
            </w: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46"/>
              <w:spacing w:after="0" w:line="216" w:lineRule="exact"/>
              <w:rPr>
                <w:sz w:val="20"/>
                <w:szCs w:val="20"/>
                <w:color w:val="auto"/>
              </w:rPr>
            </w:pPr>
            <w:r>
              <w:rPr>
                <w:rFonts w:ascii="Arial" w:cs="Arial" w:eastAsia="Arial" w:hAnsi="Arial"/>
                <w:sz w:val="19"/>
                <w:szCs w:val="19"/>
                <w:color w:val="auto"/>
              </w:rPr>
              <w:t>253,283</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25"/>
              <w:spacing w:after="0" w:line="216" w:lineRule="exact"/>
              <w:rPr>
                <w:sz w:val="20"/>
                <w:szCs w:val="20"/>
                <w:color w:val="auto"/>
              </w:rPr>
            </w:pPr>
            <w:r>
              <w:rPr>
                <w:rFonts w:ascii="Arial" w:cs="Arial" w:eastAsia="Arial" w:hAnsi="Arial"/>
                <w:sz w:val="19"/>
                <w:szCs w:val="19"/>
                <w:color w:val="auto"/>
              </w:rPr>
              <w:t>253,237</w:t>
            </w: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45"/>
              <w:spacing w:after="0" w:line="216" w:lineRule="exact"/>
              <w:rPr>
                <w:sz w:val="20"/>
                <w:szCs w:val="20"/>
                <w:color w:val="auto"/>
              </w:rPr>
            </w:pPr>
            <w:r>
              <w:rPr>
                <w:rFonts w:ascii="Arial" w:cs="Arial" w:eastAsia="Arial" w:hAnsi="Arial"/>
                <w:sz w:val="19"/>
                <w:szCs w:val="19"/>
                <w:color w:val="auto"/>
              </w:rPr>
              <w:t>284,605</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5"/>
              <w:spacing w:after="0" w:line="216" w:lineRule="exact"/>
              <w:rPr>
                <w:sz w:val="20"/>
                <w:szCs w:val="20"/>
                <w:color w:val="auto"/>
              </w:rPr>
            </w:pPr>
            <w:r>
              <w:rPr>
                <w:rFonts w:ascii="Arial" w:cs="Arial" w:eastAsia="Arial" w:hAnsi="Arial"/>
                <w:sz w:val="19"/>
                <w:szCs w:val="19"/>
                <w:color w:val="auto"/>
              </w:rPr>
              <w:t>284,541</w:t>
            </w:r>
          </w:p>
        </w:tc>
        <w:tc>
          <w:tcPr>
            <w:tcW w:w="1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280" w:type="dxa"/>
            <w:vAlign w:val="bottom"/>
          </w:tcPr>
          <w:p>
            <w:pPr>
              <w:ind w:left="360"/>
              <w:spacing w:after="0" w:line="216" w:lineRule="exact"/>
              <w:rPr>
                <w:sz w:val="20"/>
                <w:szCs w:val="20"/>
                <w:color w:val="auto"/>
              </w:rPr>
            </w:pPr>
            <w:r>
              <w:rPr>
                <w:rFonts w:ascii="Arial" w:cs="Arial" w:eastAsia="Arial" w:hAnsi="Arial"/>
                <w:sz w:val="19"/>
                <w:szCs w:val="19"/>
                <w:color w:val="auto"/>
              </w:rPr>
              <w:t>U.S. government agency securities</w:t>
            </w:r>
          </w:p>
        </w:tc>
        <w:tc>
          <w:tcPr>
            <w:tcW w:w="180" w:type="dxa"/>
            <w:vAlign w:val="bottom"/>
          </w:tcPr>
          <w:p>
            <w:pPr>
              <w:spacing w:after="0"/>
              <w:rPr>
                <w:sz w:val="18"/>
                <w:szCs w:val="18"/>
                <w:color w:val="auto"/>
              </w:rPr>
            </w:pPr>
          </w:p>
        </w:tc>
        <w:tc>
          <w:tcPr>
            <w:tcW w:w="1460" w:type="dxa"/>
            <w:vAlign w:val="bottom"/>
          </w:tcPr>
          <w:p>
            <w:pPr>
              <w:jc w:val="right"/>
              <w:ind w:right="46"/>
              <w:spacing w:after="0" w:line="216" w:lineRule="exact"/>
              <w:rPr>
                <w:sz w:val="20"/>
                <w:szCs w:val="20"/>
                <w:color w:val="auto"/>
              </w:rPr>
            </w:pPr>
            <w:r>
              <w:rPr>
                <w:rFonts w:ascii="Arial" w:cs="Arial" w:eastAsia="Arial" w:hAnsi="Arial"/>
                <w:sz w:val="19"/>
                <w:szCs w:val="19"/>
                <w:color w:val="auto"/>
              </w:rPr>
              <w:t>29,982</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ind w:right="25"/>
              <w:spacing w:after="0" w:line="216" w:lineRule="exact"/>
              <w:rPr>
                <w:sz w:val="20"/>
                <w:szCs w:val="20"/>
                <w:color w:val="auto"/>
              </w:rPr>
            </w:pPr>
            <w:r>
              <w:rPr>
                <w:rFonts w:ascii="Arial" w:cs="Arial" w:eastAsia="Arial" w:hAnsi="Arial"/>
                <w:sz w:val="19"/>
                <w:szCs w:val="19"/>
                <w:color w:val="auto"/>
              </w:rPr>
              <w:t>29,985</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tcPr>
          <w:p>
            <w:pPr>
              <w:jc w:val="right"/>
              <w:ind w:right="45"/>
              <w:spacing w:after="0" w:line="216" w:lineRule="exact"/>
              <w:rPr>
                <w:sz w:val="20"/>
                <w:szCs w:val="20"/>
                <w:color w:val="auto"/>
              </w:rPr>
            </w:pPr>
            <w:r>
              <w:rPr>
                <w:rFonts w:ascii="Arial" w:cs="Arial" w:eastAsia="Arial" w:hAnsi="Arial"/>
                <w:sz w:val="19"/>
                <w:szCs w:val="19"/>
                <w:color w:val="auto"/>
              </w:rPr>
              <w:t>16,005</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ind w:right="25"/>
              <w:spacing w:after="0" w:line="216" w:lineRule="exact"/>
              <w:rPr>
                <w:sz w:val="20"/>
                <w:szCs w:val="20"/>
                <w:color w:val="auto"/>
              </w:rPr>
            </w:pPr>
            <w:r>
              <w:rPr>
                <w:rFonts w:ascii="Arial" w:cs="Arial" w:eastAsia="Arial" w:hAnsi="Arial"/>
                <w:sz w:val="19"/>
                <w:szCs w:val="19"/>
                <w:color w:val="auto"/>
              </w:rPr>
              <w:t>16,007</w:t>
            </w:r>
          </w:p>
        </w:tc>
        <w:tc>
          <w:tcPr>
            <w:tcW w:w="1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280" w:type="dxa"/>
            <w:vAlign w:val="bottom"/>
            <w:shd w:val="clear" w:color="auto" w:fill="CCEEFF"/>
          </w:tcPr>
          <w:p>
            <w:pPr>
              <w:spacing w:after="0" w:line="216" w:lineRule="exact"/>
              <w:rPr>
                <w:sz w:val="20"/>
                <w:szCs w:val="20"/>
                <w:color w:val="auto"/>
              </w:rPr>
            </w:pPr>
            <w:r>
              <w:rPr>
                <w:rFonts w:ascii="Arial" w:cs="Arial" w:eastAsia="Arial" w:hAnsi="Arial"/>
                <w:sz w:val="19"/>
                <w:szCs w:val="19"/>
                <w:color w:val="auto"/>
              </w:rPr>
              <w:t>Due 1 - 10 years:</w:t>
            </w: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280" w:type="dxa"/>
            <w:vAlign w:val="bottom"/>
          </w:tcPr>
          <w:p>
            <w:pPr>
              <w:ind w:left="360"/>
              <w:spacing w:after="0" w:line="216" w:lineRule="exact"/>
              <w:rPr>
                <w:sz w:val="20"/>
                <w:szCs w:val="20"/>
                <w:color w:val="auto"/>
              </w:rPr>
            </w:pPr>
            <w:r>
              <w:rPr>
                <w:rFonts w:ascii="Arial" w:cs="Arial" w:eastAsia="Arial" w:hAnsi="Arial"/>
                <w:sz w:val="19"/>
                <w:szCs w:val="19"/>
                <w:color w:val="auto"/>
              </w:rPr>
              <w:t>Variable rate demand notes</w:t>
            </w:r>
          </w:p>
        </w:tc>
        <w:tc>
          <w:tcPr>
            <w:tcW w:w="180" w:type="dxa"/>
            <w:vAlign w:val="bottom"/>
          </w:tcPr>
          <w:p>
            <w:pPr>
              <w:spacing w:after="0"/>
              <w:rPr>
                <w:sz w:val="18"/>
                <w:szCs w:val="18"/>
                <w:color w:val="auto"/>
              </w:rPr>
            </w:pPr>
          </w:p>
        </w:tc>
        <w:tc>
          <w:tcPr>
            <w:tcW w:w="1460" w:type="dxa"/>
            <w:vAlign w:val="bottom"/>
          </w:tcPr>
          <w:p>
            <w:pPr>
              <w:jc w:val="right"/>
              <w:ind w:right="46"/>
              <w:spacing w:after="0" w:line="216" w:lineRule="exact"/>
              <w:rPr>
                <w:sz w:val="20"/>
                <w:szCs w:val="20"/>
                <w:color w:val="auto"/>
              </w:rPr>
            </w:pPr>
            <w:r>
              <w:rPr>
                <w:rFonts w:ascii="Arial" w:cs="Arial" w:eastAsia="Arial" w:hAnsi="Arial"/>
                <w:sz w:val="19"/>
                <w:szCs w:val="19"/>
                <w:color w:val="auto"/>
              </w:rPr>
              <w:t>-</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ind w:right="25"/>
              <w:spacing w:after="0" w:line="216" w:lineRule="exact"/>
              <w:rPr>
                <w:sz w:val="20"/>
                <w:szCs w:val="20"/>
                <w:color w:val="auto"/>
              </w:rPr>
            </w:pPr>
            <w:r>
              <w:rPr>
                <w:rFonts w:ascii="Arial" w:cs="Arial" w:eastAsia="Arial" w:hAnsi="Arial"/>
                <w:sz w:val="19"/>
                <w:szCs w:val="19"/>
                <w:color w:val="auto"/>
              </w:rPr>
              <w:t>-</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tcPr>
          <w:p>
            <w:pPr>
              <w:jc w:val="right"/>
              <w:ind w:right="45"/>
              <w:spacing w:after="0" w:line="216" w:lineRule="exact"/>
              <w:rPr>
                <w:sz w:val="20"/>
                <w:szCs w:val="20"/>
                <w:color w:val="auto"/>
              </w:rPr>
            </w:pPr>
            <w:r>
              <w:rPr>
                <w:rFonts w:ascii="Arial" w:cs="Arial" w:eastAsia="Arial" w:hAnsi="Arial"/>
                <w:sz w:val="19"/>
                <w:szCs w:val="19"/>
                <w:color w:val="auto"/>
              </w:rPr>
              <w:t>5,775</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ind w:right="25"/>
              <w:spacing w:after="0" w:line="216" w:lineRule="exact"/>
              <w:rPr>
                <w:sz w:val="20"/>
                <w:szCs w:val="20"/>
                <w:color w:val="auto"/>
              </w:rPr>
            </w:pPr>
            <w:r>
              <w:rPr>
                <w:rFonts w:ascii="Arial" w:cs="Arial" w:eastAsia="Arial" w:hAnsi="Arial"/>
                <w:sz w:val="19"/>
                <w:szCs w:val="19"/>
                <w:color w:val="auto"/>
              </w:rPr>
              <w:t>5,775</w:t>
            </w:r>
          </w:p>
        </w:tc>
        <w:tc>
          <w:tcPr>
            <w:tcW w:w="1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280" w:type="dxa"/>
            <w:vAlign w:val="bottom"/>
            <w:shd w:val="clear" w:color="auto" w:fill="CCEEFF"/>
          </w:tcPr>
          <w:p>
            <w:pPr>
              <w:spacing w:after="0" w:line="216" w:lineRule="exact"/>
              <w:rPr>
                <w:sz w:val="20"/>
                <w:szCs w:val="20"/>
                <w:color w:val="auto"/>
              </w:rPr>
            </w:pPr>
            <w:r>
              <w:rPr>
                <w:rFonts w:ascii="Arial" w:cs="Arial" w:eastAsia="Arial" w:hAnsi="Arial"/>
                <w:sz w:val="19"/>
                <w:szCs w:val="19"/>
                <w:color w:val="auto"/>
              </w:rPr>
              <w:t>Due 11 - 20 years:</w:t>
            </w: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280" w:type="dxa"/>
            <w:vAlign w:val="bottom"/>
          </w:tcPr>
          <w:p>
            <w:pPr>
              <w:ind w:left="360"/>
              <w:spacing w:after="0" w:line="216" w:lineRule="exact"/>
              <w:rPr>
                <w:sz w:val="20"/>
                <w:szCs w:val="20"/>
                <w:color w:val="auto"/>
              </w:rPr>
            </w:pPr>
            <w:r>
              <w:rPr>
                <w:rFonts w:ascii="Arial" w:cs="Arial" w:eastAsia="Arial" w:hAnsi="Arial"/>
                <w:sz w:val="19"/>
                <w:szCs w:val="19"/>
                <w:color w:val="auto"/>
              </w:rPr>
              <w:t>Variable rate demand notes</w:t>
            </w:r>
          </w:p>
        </w:tc>
        <w:tc>
          <w:tcPr>
            <w:tcW w:w="180" w:type="dxa"/>
            <w:vAlign w:val="bottom"/>
          </w:tcPr>
          <w:p>
            <w:pPr>
              <w:spacing w:after="0"/>
              <w:rPr>
                <w:sz w:val="18"/>
                <w:szCs w:val="18"/>
                <w:color w:val="auto"/>
              </w:rPr>
            </w:pPr>
          </w:p>
        </w:tc>
        <w:tc>
          <w:tcPr>
            <w:tcW w:w="1460" w:type="dxa"/>
            <w:vAlign w:val="bottom"/>
          </w:tcPr>
          <w:p>
            <w:pPr>
              <w:jc w:val="right"/>
              <w:ind w:right="46"/>
              <w:spacing w:after="0" w:line="216" w:lineRule="exact"/>
              <w:rPr>
                <w:sz w:val="20"/>
                <w:szCs w:val="20"/>
                <w:color w:val="auto"/>
              </w:rPr>
            </w:pPr>
            <w:r>
              <w:rPr>
                <w:rFonts w:ascii="Arial" w:cs="Arial" w:eastAsia="Arial" w:hAnsi="Arial"/>
                <w:sz w:val="19"/>
                <w:szCs w:val="19"/>
                <w:color w:val="auto"/>
              </w:rPr>
              <w:t>3,000</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ind w:right="25"/>
              <w:spacing w:after="0" w:line="216" w:lineRule="exact"/>
              <w:rPr>
                <w:sz w:val="20"/>
                <w:szCs w:val="20"/>
                <w:color w:val="auto"/>
              </w:rPr>
            </w:pPr>
            <w:r>
              <w:rPr>
                <w:rFonts w:ascii="Arial" w:cs="Arial" w:eastAsia="Arial" w:hAnsi="Arial"/>
                <w:sz w:val="19"/>
                <w:szCs w:val="19"/>
                <w:color w:val="auto"/>
              </w:rPr>
              <w:t>3,000</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tcPr>
          <w:p>
            <w:pPr>
              <w:jc w:val="right"/>
              <w:ind w:right="45"/>
              <w:spacing w:after="0" w:line="216" w:lineRule="exact"/>
              <w:rPr>
                <w:sz w:val="20"/>
                <w:szCs w:val="20"/>
                <w:color w:val="auto"/>
              </w:rPr>
            </w:pPr>
            <w:r>
              <w:rPr>
                <w:rFonts w:ascii="Arial" w:cs="Arial" w:eastAsia="Arial" w:hAnsi="Arial"/>
                <w:sz w:val="19"/>
                <w:szCs w:val="19"/>
                <w:color w:val="auto"/>
              </w:rPr>
              <w:t>12,716</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ind w:right="25"/>
              <w:spacing w:after="0" w:line="216" w:lineRule="exact"/>
              <w:rPr>
                <w:sz w:val="20"/>
                <w:szCs w:val="20"/>
                <w:color w:val="auto"/>
              </w:rPr>
            </w:pPr>
            <w:r>
              <w:rPr>
                <w:rFonts w:ascii="Arial" w:cs="Arial" w:eastAsia="Arial" w:hAnsi="Arial"/>
                <w:sz w:val="19"/>
                <w:szCs w:val="19"/>
                <w:color w:val="auto"/>
              </w:rPr>
              <w:t>12,716</w:t>
            </w:r>
          </w:p>
        </w:tc>
        <w:tc>
          <w:tcPr>
            <w:tcW w:w="1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280" w:type="dxa"/>
            <w:vAlign w:val="bottom"/>
            <w:shd w:val="clear" w:color="auto" w:fill="CCEEFF"/>
          </w:tcPr>
          <w:p>
            <w:pPr>
              <w:ind w:left="360"/>
              <w:spacing w:after="0" w:line="216" w:lineRule="exact"/>
              <w:rPr>
                <w:sz w:val="20"/>
                <w:szCs w:val="20"/>
                <w:color w:val="auto"/>
              </w:rPr>
            </w:pPr>
            <w:r>
              <w:rPr>
                <w:rFonts w:ascii="Arial" w:cs="Arial" w:eastAsia="Arial" w:hAnsi="Arial"/>
                <w:sz w:val="19"/>
                <w:szCs w:val="19"/>
                <w:color w:val="auto"/>
              </w:rPr>
              <w:t>Auction rate securities</w:t>
            </w: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46"/>
              <w:spacing w:after="0" w:line="216" w:lineRule="exact"/>
              <w:rPr>
                <w:sz w:val="20"/>
                <w:szCs w:val="20"/>
                <w:color w:val="auto"/>
              </w:rPr>
            </w:pPr>
            <w:r>
              <w:rPr>
                <w:rFonts w:ascii="Arial" w:cs="Arial" w:eastAsia="Arial" w:hAnsi="Arial"/>
                <w:sz w:val="19"/>
                <w:szCs w:val="19"/>
                <w:color w:val="auto"/>
              </w:rPr>
              <w:t>10,896</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25"/>
              <w:spacing w:after="0" w:line="216" w:lineRule="exact"/>
              <w:rPr>
                <w:sz w:val="20"/>
                <w:szCs w:val="20"/>
                <w:color w:val="auto"/>
              </w:rPr>
            </w:pPr>
            <w:r>
              <w:rPr>
                <w:rFonts w:ascii="Arial" w:cs="Arial" w:eastAsia="Arial" w:hAnsi="Arial"/>
                <w:sz w:val="19"/>
                <w:szCs w:val="19"/>
                <w:color w:val="auto"/>
              </w:rPr>
              <w:t>10,896</w:t>
            </w: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45"/>
              <w:spacing w:after="0" w:line="216" w:lineRule="exact"/>
              <w:rPr>
                <w:sz w:val="20"/>
                <w:szCs w:val="20"/>
                <w:color w:val="auto"/>
              </w:rPr>
            </w:pPr>
            <w:r>
              <w:rPr>
                <w:rFonts w:ascii="Arial" w:cs="Arial" w:eastAsia="Arial" w:hAnsi="Arial"/>
                <w:sz w:val="19"/>
                <w:szCs w:val="19"/>
                <w:color w:val="auto"/>
              </w:rPr>
              <w:t>5,158</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5"/>
              <w:spacing w:after="0" w:line="216" w:lineRule="exact"/>
              <w:rPr>
                <w:sz w:val="20"/>
                <w:szCs w:val="20"/>
                <w:color w:val="auto"/>
              </w:rPr>
            </w:pPr>
            <w:r>
              <w:rPr>
                <w:rFonts w:ascii="Arial" w:cs="Arial" w:eastAsia="Arial" w:hAnsi="Arial"/>
                <w:sz w:val="19"/>
                <w:szCs w:val="19"/>
                <w:color w:val="auto"/>
              </w:rPr>
              <w:t>5,158</w:t>
            </w:r>
          </w:p>
        </w:tc>
        <w:tc>
          <w:tcPr>
            <w:tcW w:w="1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280" w:type="dxa"/>
            <w:vAlign w:val="bottom"/>
          </w:tcPr>
          <w:p>
            <w:pPr>
              <w:spacing w:after="0" w:line="216" w:lineRule="exact"/>
              <w:rPr>
                <w:sz w:val="20"/>
                <w:szCs w:val="20"/>
                <w:color w:val="auto"/>
              </w:rPr>
            </w:pPr>
            <w:r>
              <w:rPr>
                <w:rFonts w:ascii="Arial" w:cs="Arial" w:eastAsia="Arial" w:hAnsi="Arial"/>
                <w:sz w:val="19"/>
                <w:szCs w:val="19"/>
                <w:color w:val="auto"/>
              </w:rPr>
              <w:t>Due 21 - 30 years:</w:t>
            </w: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280" w:type="dxa"/>
            <w:vAlign w:val="bottom"/>
            <w:shd w:val="clear" w:color="auto" w:fill="CCEEFF"/>
          </w:tcPr>
          <w:p>
            <w:pPr>
              <w:ind w:left="360"/>
              <w:spacing w:after="0" w:line="216" w:lineRule="exact"/>
              <w:rPr>
                <w:sz w:val="20"/>
                <w:szCs w:val="20"/>
                <w:color w:val="auto"/>
              </w:rPr>
            </w:pPr>
            <w:r>
              <w:rPr>
                <w:rFonts w:ascii="Arial" w:cs="Arial" w:eastAsia="Arial" w:hAnsi="Arial"/>
                <w:sz w:val="19"/>
                <w:szCs w:val="19"/>
                <w:color w:val="auto"/>
              </w:rPr>
              <w:t>Variable rate demand notes</w:t>
            </w: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46"/>
              <w:spacing w:after="0" w:line="216" w:lineRule="exact"/>
              <w:rPr>
                <w:sz w:val="20"/>
                <w:szCs w:val="20"/>
                <w:color w:val="auto"/>
              </w:rPr>
            </w:pPr>
            <w:r>
              <w:rPr>
                <w:rFonts w:ascii="Arial" w:cs="Arial" w:eastAsia="Arial" w:hAnsi="Arial"/>
                <w:sz w:val="19"/>
                <w:szCs w:val="19"/>
                <w:color w:val="auto"/>
              </w:rPr>
              <w:t>2,501</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25"/>
              <w:spacing w:after="0" w:line="216" w:lineRule="exact"/>
              <w:rPr>
                <w:sz w:val="20"/>
                <w:szCs w:val="20"/>
                <w:color w:val="auto"/>
              </w:rPr>
            </w:pPr>
            <w:r>
              <w:rPr>
                <w:rFonts w:ascii="Arial" w:cs="Arial" w:eastAsia="Arial" w:hAnsi="Arial"/>
                <w:sz w:val="19"/>
                <w:szCs w:val="19"/>
                <w:color w:val="auto"/>
              </w:rPr>
              <w:t>2,501</w:t>
            </w: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45"/>
              <w:spacing w:after="0" w:line="216" w:lineRule="exact"/>
              <w:rPr>
                <w:sz w:val="20"/>
                <w:szCs w:val="20"/>
                <w:color w:val="auto"/>
              </w:rPr>
            </w:pPr>
            <w:r>
              <w:rPr>
                <w:rFonts w:ascii="Arial" w:cs="Arial" w:eastAsia="Arial" w:hAnsi="Arial"/>
                <w:sz w:val="19"/>
                <w:szCs w:val="19"/>
                <w:color w:val="auto"/>
              </w:rPr>
              <w:t>27,902</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5"/>
              <w:spacing w:after="0" w:line="216" w:lineRule="exact"/>
              <w:rPr>
                <w:sz w:val="20"/>
                <w:szCs w:val="20"/>
                <w:color w:val="auto"/>
              </w:rPr>
            </w:pPr>
            <w:r>
              <w:rPr>
                <w:rFonts w:ascii="Arial" w:cs="Arial" w:eastAsia="Arial" w:hAnsi="Arial"/>
                <w:sz w:val="19"/>
                <w:szCs w:val="19"/>
                <w:color w:val="auto"/>
              </w:rPr>
              <w:t>27,902</w:t>
            </w:r>
          </w:p>
        </w:tc>
        <w:tc>
          <w:tcPr>
            <w:tcW w:w="1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280" w:type="dxa"/>
            <w:vAlign w:val="bottom"/>
          </w:tcPr>
          <w:p>
            <w:pPr>
              <w:ind w:left="360"/>
              <w:spacing w:after="0" w:line="216" w:lineRule="exact"/>
              <w:rPr>
                <w:sz w:val="20"/>
                <w:szCs w:val="20"/>
                <w:color w:val="auto"/>
              </w:rPr>
            </w:pPr>
            <w:r>
              <w:rPr>
                <w:rFonts w:ascii="Arial" w:cs="Arial" w:eastAsia="Arial" w:hAnsi="Arial"/>
                <w:sz w:val="19"/>
                <w:szCs w:val="19"/>
                <w:color w:val="auto"/>
              </w:rPr>
              <w:t>Auction rate securities</w:t>
            </w:r>
          </w:p>
        </w:tc>
        <w:tc>
          <w:tcPr>
            <w:tcW w:w="180" w:type="dxa"/>
            <w:vAlign w:val="bottom"/>
          </w:tcPr>
          <w:p>
            <w:pPr>
              <w:spacing w:after="0"/>
              <w:rPr>
                <w:sz w:val="18"/>
                <w:szCs w:val="18"/>
                <w:color w:val="auto"/>
              </w:rPr>
            </w:pPr>
          </w:p>
        </w:tc>
        <w:tc>
          <w:tcPr>
            <w:tcW w:w="1460" w:type="dxa"/>
            <w:vAlign w:val="bottom"/>
          </w:tcPr>
          <w:p>
            <w:pPr>
              <w:jc w:val="right"/>
              <w:ind w:right="46"/>
              <w:spacing w:after="0" w:line="216" w:lineRule="exact"/>
              <w:rPr>
                <w:sz w:val="20"/>
                <w:szCs w:val="20"/>
                <w:color w:val="auto"/>
              </w:rPr>
            </w:pPr>
            <w:r>
              <w:rPr>
                <w:rFonts w:ascii="Arial" w:cs="Arial" w:eastAsia="Arial" w:hAnsi="Arial"/>
                <w:sz w:val="19"/>
                <w:szCs w:val="19"/>
                <w:color w:val="auto"/>
              </w:rPr>
              <w:t>9,859</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ind w:right="25"/>
              <w:spacing w:after="0" w:line="216" w:lineRule="exact"/>
              <w:rPr>
                <w:sz w:val="20"/>
                <w:szCs w:val="20"/>
                <w:color w:val="auto"/>
              </w:rPr>
            </w:pPr>
            <w:r>
              <w:rPr>
                <w:rFonts w:ascii="Arial" w:cs="Arial" w:eastAsia="Arial" w:hAnsi="Arial"/>
                <w:sz w:val="19"/>
                <w:szCs w:val="19"/>
                <w:color w:val="auto"/>
              </w:rPr>
              <w:t>9,859</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tcPr>
          <w:p>
            <w:pPr>
              <w:jc w:val="right"/>
              <w:ind w:right="45"/>
              <w:spacing w:after="0" w:line="216" w:lineRule="exact"/>
              <w:rPr>
                <w:sz w:val="20"/>
                <w:szCs w:val="20"/>
                <w:color w:val="auto"/>
              </w:rPr>
            </w:pPr>
            <w:r>
              <w:rPr>
                <w:rFonts w:ascii="Arial" w:cs="Arial" w:eastAsia="Arial" w:hAnsi="Arial"/>
                <w:sz w:val="19"/>
                <w:szCs w:val="19"/>
                <w:color w:val="auto"/>
              </w:rPr>
              <w:t>25,134</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ind w:right="25"/>
              <w:spacing w:after="0" w:line="216" w:lineRule="exact"/>
              <w:rPr>
                <w:sz w:val="20"/>
                <w:szCs w:val="20"/>
                <w:color w:val="auto"/>
              </w:rPr>
            </w:pPr>
            <w:r>
              <w:rPr>
                <w:rFonts w:ascii="Arial" w:cs="Arial" w:eastAsia="Arial" w:hAnsi="Arial"/>
                <w:sz w:val="19"/>
                <w:szCs w:val="19"/>
                <w:color w:val="auto"/>
              </w:rPr>
              <w:t>25,134</w:t>
            </w:r>
          </w:p>
        </w:tc>
        <w:tc>
          <w:tcPr>
            <w:tcW w:w="1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280" w:type="dxa"/>
            <w:vAlign w:val="bottom"/>
            <w:shd w:val="clear" w:color="auto" w:fill="CCEEFF"/>
          </w:tcPr>
          <w:p>
            <w:pPr>
              <w:spacing w:after="0" w:line="216" w:lineRule="exact"/>
              <w:rPr>
                <w:sz w:val="20"/>
                <w:szCs w:val="20"/>
                <w:color w:val="auto"/>
              </w:rPr>
            </w:pPr>
            <w:r>
              <w:rPr>
                <w:rFonts w:ascii="Arial" w:cs="Arial" w:eastAsia="Arial" w:hAnsi="Arial"/>
                <w:sz w:val="19"/>
                <w:szCs w:val="19"/>
                <w:color w:val="auto"/>
              </w:rPr>
              <w:t>Due 31 - 40 years:</w:t>
            </w: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280" w:type="dxa"/>
            <w:vAlign w:val="bottom"/>
          </w:tcPr>
          <w:p>
            <w:pPr>
              <w:ind w:left="360"/>
              <w:spacing w:after="0" w:line="216" w:lineRule="exact"/>
              <w:rPr>
                <w:sz w:val="20"/>
                <w:szCs w:val="20"/>
                <w:color w:val="auto"/>
              </w:rPr>
            </w:pPr>
            <w:r>
              <w:rPr>
                <w:rFonts w:ascii="Arial" w:cs="Arial" w:eastAsia="Arial" w:hAnsi="Arial"/>
                <w:sz w:val="19"/>
                <w:szCs w:val="19"/>
                <w:color w:val="auto"/>
              </w:rPr>
              <w:t>Variable rate demand notes</w:t>
            </w:r>
          </w:p>
        </w:tc>
        <w:tc>
          <w:tcPr>
            <w:tcW w:w="180" w:type="dxa"/>
            <w:vAlign w:val="bottom"/>
          </w:tcPr>
          <w:p>
            <w:pPr>
              <w:spacing w:after="0"/>
              <w:rPr>
                <w:sz w:val="18"/>
                <w:szCs w:val="18"/>
                <w:color w:val="auto"/>
              </w:rPr>
            </w:pPr>
          </w:p>
        </w:tc>
        <w:tc>
          <w:tcPr>
            <w:tcW w:w="1460" w:type="dxa"/>
            <w:vAlign w:val="bottom"/>
          </w:tcPr>
          <w:p>
            <w:pPr>
              <w:jc w:val="right"/>
              <w:ind w:right="46"/>
              <w:spacing w:after="0" w:line="216" w:lineRule="exact"/>
              <w:rPr>
                <w:sz w:val="20"/>
                <w:szCs w:val="20"/>
                <w:color w:val="auto"/>
              </w:rPr>
            </w:pPr>
            <w:r>
              <w:rPr>
                <w:rFonts w:ascii="Arial" w:cs="Arial" w:eastAsia="Arial" w:hAnsi="Arial"/>
                <w:sz w:val="19"/>
                <w:szCs w:val="19"/>
                <w:color w:val="auto"/>
              </w:rPr>
              <w:t>1,000</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ind w:right="25"/>
              <w:spacing w:after="0" w:line="216" w:lineRule="exact"/>
              <w:rPr>
                <w:sz w:val="20"/>
                <w:szCs w:val="20"/>
                <w:color w:val="auto"/>
              </w:rPr>
            </w:pPr>
            <w:r>
              <w:rPr>
                <w:rFonts w:ascii="Arial" w:cs="Arial" w:eastAsia="Arial" w:hAnsi="Arial"/>
                <w:sz w:val="19"/>
                <w:szCs w:val="19"/>
                <w:color w:val="auto"/>
              </w:rPr>
              <w:t>1,000</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tcPr>
          <w:p>
            <w:pPr>
              <w:jc w:val="right"/>
              <w:ind w:right="45"/>
              <w:spacing w:after="0" w:line="216" w:lineRule="exact"/>
              <w:rPr>
                <w:sz w:val="20"/>
                <w:szCs w:val="20"/>
                <w:color w:val="auto"/>
              </w:rPr>
            </w:pPr>
            <w:r>
              <w:rPr>
                <w:rFonts w:ascii="Arial" w:cs="Arial" w:eastAsia="Arial" w:hAnsi="Arial"/>
                <w:sz w:val="19"/>
                <w:szCs w:val="19"/>
                <w:color w:val="auto"/>
              </w:rPr>
              <w:t>12,532</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ind w:right="25"/>
              <w:spacing w:after="0" w:line="216" w:lineRule="exact"/>
              <w:rPr>
                <w:sz w:val="20"/>
                <w:szCs w:val="20"/>
                <w:color w:val="auto"/>
              </w:rPr>
            </w:pPr>
            <w:r>
              <w:rPr>
                <w:rFonts w:ascii="Arial" w:cs="Arial" w:eastAsia="Arial" w:hAnsi="Arial"/>
                <w:sz w:val="19"/>
                <w:szCs w:val="19"/>
                <w:color w:val="auto"/>
              </w:rPr>
              <w:t>12,532</w:t>
            </w:r>
          </w:p>
        </w:tc>
        <w:tc>
          <w:tcPr>
            <w:tcW w:w="1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280" w:type="dxa"/>
            <w:vAlign w:val="bottom"/>
            <w:shd w:val="clear" w:color="auto" w:fill="CCEEFF"/>
          </w:tcPr>
          <w:p>
            <w:pPr>
              <w:ind w:left="360"/>
              <w:spacing w:after="0" w:line="216" w:lineRule="exact"/>
              <w:rPr>
                <w:sz w:val="20"/>
                <w:szCs w:val="20"/>
                <w:color w:val="auto"/>
              </w:rPr>
            </w:pPr>
            <w:r>
              <w:rPr>
                <w:rFonts w:ascii="Arial" w:cs="Arial" w:eastAsia="Arial" w:hAnsi="Arial"/>
                <w:sz w:val="19"/>
                <w:szCs w:val="19"/>
                <w:color w:val="auto"/>
              </w:rPr>
              <w:t>Auction rate securities</w:t>
            </w:r>
          </w:p>
        </w:tc>
        <w:tc>
          <w:tcPr>
            <w:tcW w:w="18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46"/>
              <w:spacing w:after="0" w:line="216" w:lineRule="exact"/>
              <w:rPr>
                <w:sz w:val="20"/>
                <w:szCs w:val="20"/>
                <w:color w:val="auto"/>
              </w:rPr>
            </w:pPr>
            <w:r>
              <w:rPr>
                <w:rFonts w:ascii="Arial" w:cs="Arial" w:eastAsia="Arial" w:hAnsi="Arial"/>
                <w:sz w:val="19"/>
                <w:szCs w:val="19"/>
                <w:color w:val="auto"/>
              </w:rPr>
              <w:t>-</w:t>
            </w:r>
          </w:p>
        </w:tc>
        <w:tc>
          <w:tcPr>
            <w:tcW w:w="1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25"/>
              <w:spacing w:after="0" w:line="216" w:lineRule="exact"/>
              <w:rPr>
                <w:sz w:val="20"/>
                <w:szCs w:val="20"/>
                <w:color w:val="auto"/>
              </w:rPr>
            </w:pPr>
            <w:r>
              <w:rPr>
                <w:rFonts w:ascii="Arial" w:cs="Arial" w:eastAsia="Arial" w:hAnsi="Arial"/>
                <w:sz w:val="19"/>
                <w:szCs w:val="19"/>
                <w:color w:val="auto"/>
              </w:rPr>
              <w:t>-</w:t>
            </w:r>
          </w:p>
        </w:tc>
        <w:tc>
          <w:tcPr>
            <w:tcW w:w="18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45"/>
              <w:spacing w:after="0" w:line="216" w:lineRule="exact"/>
              <w:rPr>
                <w:sz w:val="20"/>
                <w:szCs w:val="20"/>
                <w:color w:val="auto"/>
              </w:rPr>
            </w:pPr>
            <w:r>
              <w:rPr>
                <w:rFonts w:ascii="Arial" w:cs="Arial" w:eastAsia="Arial" w:hAnsi="Arial"/>
                <w:sz w:val="19"/>
                <w:szCs w:val="19"/>
                <w:color w:val="auto"/>
              </w:rPr>
              <w:t>5,559</w:t>
            </w:r>
          </w:p>
        </w:tc>
        <w:tc>
          <w:tcPr>
            <w:tcW w:w="1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25"/>
              <w:spacing w:after="0" w:line="216" w:lineRule="exact"/>
              <w:rPr>
                <w:sz w:val="20"/>
                <w:szCs w:val="20"/>
                <w:color w:val="auto"/>
              </w:rPr>
            </w:pPr>
            <w:r>
              <w:rPr>
                <w:rFonts w:ascii="Arial" w:cs="Arial" w:eastAsia="Arial" w:hAnsi="Arial"/>
                <w:sz w:val="19"/>
                <w:szCs w:val="19"/>
                <w:color w:val="auto"/>
              </w:rPr>
              <w:t>5,559</w:t>
            </w:r>
          </w:p>
        </w:tc>
        <w:tc>
          <w:tcPr>
            <w:tcW w:w="100" w:type="dxa"/>
            <w:vAlign w:val="bottom"/>
          </w:tcPr>
          <w:p>
            <w:pPr>
              <w:spacing w:after="0"/>
              <w:rPr>
                <w:sz w:val="18"/>
                <w:szCs w:val="18"/>
                <w:color w:val="auto"/>
              </w:rPr>
            </w:pPr>
          </w:p>
        </w:tc>
      </w:tr>
      <w:tr>
        <w:trPr>
          <w:trHeight w:val="210"/>
        </w:trPr>
        <w:tc>
          <w:tcPr>
            <w:tcW w:w="340" w:type="dxa"/>
            <w:vAlign w:val="bottom"/>
          </w:tcPr>
          <w:p>
            <w:pPr>
              <w:spacing w:after="0"/>
              <w:rPr>
                <w:sz w:val="18"/>
                <w:szCs w:val="18"/>
                <w:color w:val="auto"/>
              </w:rPr>
            </w:pPr>
          </w:p>
        </w:tc>
        <w:tc>
          <w:tcPr>
            <w:tcW w:w="4280" w:type="dxa"/>
            <w:vAlign w:val="bottom"/>
          </w:tcPr>
          <w:p>
            <w:pPr>
              <w:ind w:left="180"/>
              <w:spacing w:after="0" w:line="210" w:lineRule="exact"/>
              <w:rPr>
                <w:sz w:val="20"/>
                <w:szCs w:val="20"/>
                <w:color w:val="auto"/>
              </w:rPr>
            </w:pPr>
            <w:r>
              <w:rPr>
                <w:rFonts w:ascii="Arial" w:cs="Arial" w:eastAsia="Arial" w:hAnsi="Arial"/>
                <w:sz w:val="19"/>
                <w:szCs w:val="19"/>
                <w:color w:val="auto"/>
              </w:rPr>
              <w:t>Total</w:t>
            </w:r>
          </w:p>
        </w:tc>
        <w:tc>
          <w:tcPr>
            <w:tcW w:w="180" w:type="dxa"/>
            <w:vAlign w:val="bottom"/>
            <w:tcBorders>
              <w:bottom w:val="single" w:sz="8" w:color="auto"/>
            </w:tcBorders>
          </w:tcPr>
          <w:p>
            <w:pPr>
              <w:jc w:val="right"/>
              <w:spacing w:after="0" w:line="210" w:lineRule="exact"/>
              <w:rPr>
                <w:sz w:val="20"/>
                <w:szCs w:val="20"/>
                <w:color w:val="auto"/>
              </w:rPr>
            </w:pPr>
            <w:r>
              <w:rPr>
                <w:rFonts w:ascii="Arial" w:cs="Arial" w:eastAsia="Arial" w:hAnsi="Arial"/>
                <w:sz w:val="19"/>
                <w:szCs w:val="19"/>
                <w:color w:val="auto"/>
              </w:rPr>
              <w:t>$</w:t>
            </w:r>
          </w:p>
        </w:tc>
        <w:tc>
          <w:tcPr>
            <w:tcW w:w="1460" w:type="dxa"/>
            <w:vAlign w:val="bottom"/>
            <w:tcBorders>
              <w:bottom w:val="single" w:sz="8" w:color="auto"/>
            </w:tcBorders>
          </w:tcPr>
          <w:p>
            <w:pPr>
              <w:jc w:val="right"/>
              <w:ind w:right="46"/>
              <w:spacing w:after="0" w:line="210" w:lineRule="exact"/>
              <w:rPr>
                <w:sz w:val="20"/>
                <w:szCs w:val="20"/>
                <w:color w:val="auto"/>
              </w:rPr>
            </w:pPr>
            <w:r>
              <w:rPr>
                <w:rFonts w:ascii="Arial" w:cs="Arial" w:eastAsia="Arial" w:hAnsi="Arial"/>
                <w:sz w:val="19"/>
                <w:szCs w:val="19"/>
                <w:color w:val="auto"/>
              </w:rPr>
              <w:t>327,536</w:t>
            </w:r>
          </w:p>
        </w:tc>
        <w:tc>
          <w:tcPr>
            <w:tcW w:w="180" w:type="dxa"/>
            <w:vAlign w:val="bottom"/>
          </w:tcPr>
          <w:p>
            <w:pPr>
              <w:spacing w:after="0"/>
              <w:rPr>
                <w:sz w:val="18"/>
                <w:szCs w:val="18"/>
                <w:color w:val="auto"/>
              </w:rPr>
            </w:pPr>
          </w:p>
        </w:tc>
        <w:tc>
          <w:tcPr>
            <w:tcW w:w="220" w:type="dxa"/>
            <w:vAlign w:val="bottom"/>
            <w:tcBorders>
              <w:bottom w:val="single" w:sz="8" w:color="auto"/>
            </w:tcBorders>
          </w:tcPr>
          <w:p>
            <w:pPr>
              <w:jc w:val="right"/>
              <w:spacing w:after="0" w:line="210" w:lineRule="exact"/>
              <w:rPr>
                <w:sz w:val="20"/>
                <w:szCs w:val="20"/>
                <w:color w:val="auto"/>
              </w:rPr>
            </w:pPr>
            <w:r>
              <w:rPr>
                <w:rFonts w:ascii="Arial" w:cs="Arial" w:eastAsia="Arial" w:hAnsi="Arial"/>
                <w:sz w:val="19"/>
                <w:szCs w:val="19"/>
                <w:color w:val="auto"/>
              </w:rPr>
              <w:t>$</w:t>
            </w:r>
          </w:p>
        </w:tc>
        <w:tc>
          <w:tcPr>
            <w:tcW w:w="1280" w:type="dxa"/>
            <w:vAlign w:val="bottom"/>
            <w:tcBorders>
              <w:bottom w:val="single" w:sz="8" w:color="auto"/>
            </w:tcBorders>
          </w:tcPr>
          <w:p>
            <w:pPr>
              <w:jc w:val="right"/>
              <w:ind w:right="25"/>
              <w:spacing w:after="0" w:line="210" w:lineRule="exact"/>
              <w:rPr>
                <w:sz w:val="20"/>
                <w:szCs w:val="20"/>
                <w:color w:val="auto"/>
              </w:rPr>
            </w:pPr>
            <w:r>
              <w:rPr>
                <w:rFonts w:ascii="Arial" w:cs="Arial" w:eastAsia="Arial" w:hAnsi="Arial"/>
                <w:sz w:val="19"/>
                <w:szCs w:val="19"/>
                <w:color w:val="auto"/>
              </w:rPr>
              <w:t>327,495</w:t>
            </w:r>
          </w:p>
        </w:tc>
        <w:tc>
          <w:tcPr>
            <w:tcW w:w="180" w:type="dxa"/>
            <w:vAlign w:val="bottom"/>
          </w:tcPr>
          <w:p>
            <w:pPr>
              <w:spacing w:after="0"/>
              <w:rPr>
                <w:sz w:val="18"/>
                <w:szCs w:val="18"/>
                <w:color w:val="auto"/>
              </w:rPr>
            </w:pPr>
          </w:p>
        </w:tc>
        <w:tc>
          <w:tcPr>
            <w:tcW w:w="500" w:type="dxa"/>
            <w:vAlign w:val="bottom"/>
            <w:tcBorders>
              <w:bottom w:val="single" w:sz="8" w:color="auto"/>
            </w:tcBorders>
          </w:tcPr>
          <w:p>
            <w:pPr>
              <w:jc w:val="right"/>
              <w:ind w:right="245"/>
              <w:spacing w:after="0" w:line="210" w:lineRule="exact"/>
              <w:rPr>
                <w:sz w:val="20"/>
                <w:szCs w:val="20"/>
                <w:color w:val="auto"/>
              </w:rPr>
            </w:pPr>
            <w:r>
              <w:rPr>
                <w:rFonts w:ascii="Arial" w:cs="Arial" w:eastAsia="Arial" w:hAnsi="Arial"/>
                <w:sz w:val="19"/>
                <w:szCs w:val="19"/>
                <w:color w:val="auto"/>
              </w:rPr>
              <w:t>$</w:t>
            </w:r>
          </w:p>
        </w:tc>
        <w:tc>
          <w:tcPr>
            <w:tcW w:w="1080" w:type="dxa"/>
            <w:vAlign w:val="bottom"/>
            <w:tcBorders>
              <w:bottom w:val="single" w:sz="8" w:color="auto"/>
            </w:tcBorders>
          </w:tcPr>
          <w:p>
            <w:pPr>
              <w:jc w:val="right"/>
              <w:ind w:right="45"/>
              <w:spacing w:after="0" w:line="210" w:lineRule="exact"/>
              <w:rPr>
                <w:sz w:val="20"/>
                <w:szCs w:val="20"/>
                <w:color w:val="auto"/>
              </w:rPr>
            </w:pPr>
            <w:r>
              <w:rPr>
                <w:rFonts w:ascii="Arial" w:cs="Arial" w:eastAsia="Arial" w:hAnsi="Arial"/>
                <w:sz w:val="19"/>
                <w:szCs w:val="19"/>
                <w:color w:val="auto"/>
              </w:rPr>
              <w:t>434,476</w:t>
            </w:r>
          </w:p>
        </w:tc>
        <w:tc>
          <w:tcPr>
            <w:tcW w:w="160" w:type="dxa"/>
            <w:vAlign w:val="bottom"/>
          </w:tcPr>
          <w:p>
            <w:pPr>
              <w:spacing w:after="0"/>
              <w:rPr>
                <w:sz w:val="18"/>
                <w:szCs w:val="18"/>
                <w:color w:val="auto"/>
              </w:rPr>
            </w:pPr>
          </w:p>
        </w:tc>
        <w:tc>
          <w:tcPr>
            <w:tcW w:w="240" w:type="dxa"/>
            <w:vAlign w:val="bottom"/>
            <w:tcBorders>
              <w:bottom w:val="single" w:sz="8" w:color="auto"/>
            </w:tcBorders>
          </w:tcPr>
          <w:p>
            <w:pPr>
              <w:jc w:val="right"/>
              <w:spacing w:after="0" w:line="210" w:lineRule="exact"/>
              <w:rPr>
                <w:sz w:val="20"/>
                <w:szCs w:val="20"/>
                <w:color w:val="auto"/>
              </w:rPr>
            </w:pPr>
            <w:r>
              <w:rPr>
                <w:rFonts w:ascii="Arial" w:cs="Arial" w:eastAsia="Arial" w:hAnsi="Arial"/>
                <w:sz w:val="19"/>
                <w:szCs w:val="19"/>
                <w:color w:val="auto"/>
              </w:rPr>
              <w:t>$</w:t>
            </w:r>
          </w:p>
        </w:tc>
        <w:tc>
          <w:tcPr>
            <w:tcW w:w="1260" w:type="dxa"/>
            <w:vAlign w:val="bottom"/>
            <w:tcBorders>
              <w:bottom w:val="single" w:sz="8" w:color="auto"/>
            </w:tcBorders>
          </w:tcPr>
          <w:p>
            <w:pPr>
              <w:jc w:val="right"/>
              <w:ind w:right="25"/>
              <w:spacing w:after="0" w:line="210" w:lineRule="exact"/>
              <w:rPr>
                <w:sz w:val="20"/>
                <w:szCs w:val="20"/>
                <w:color w:val="auto"/>
              </w:rPr>
            </w:pPr>
            <w:r>
              <w:rPr>
                <w:rFonts w:ascii="Arial" w:cs="Arial" w:eastAsia="Arial" w:hAnsi="Arial"/>
                <w:sz w:val="19"/>
                <w:szCs w:val="19"/>
                <w:color w:val="auto"/>
              </w:rPr>
              <w:t>434,420</w:t>
            </w:r>
          </w:p>
        </w:tc>
        <w:tc>
          <w:tcPr>
            <w:tcW w:w="100" w:type="dxa"/>
            <w:vAlign w:val="bottom"/>
          </w:tcPr>
          <w:p>
            <w:pPr>
              <w:spacing w:after="0"/>
              <w:rPr>
                <w:sz w:val="18"/>
                <w:szCs w:val="18"/>
                <w:color w:val="auto"/>
              </w:rPr>
            </w:pPr>
          </w:p>
        </w:tc>
      </w:tr>
      <w:tr>
        <w:trPr>
          <w:trHeight w:val="20"/>
        </w:trPr>
        <w:tc>
          <w:tcPr>
            <w:tcW w:w="34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34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jc w:val="right"/>
              <w:ind w:right="366"/>
              <w:spacing w:after="0"/>
              <w:rPr>
                <w:sz w:val="20"/>
                <w:szCs w:val="20"/>
                <w:color w:val="auto"/>
              </w:rPr>
            </w:pPr>
            <w:r>
              <w:rPr>
                <w:rFonts w:ascii="Arial" w:cs="Arial" w:eastAsia="Arial" w:hAnsi="Arial"/>
                <w:sz w:val="18"/>
                <w:szCs w:val="18"/>
                <w:color w:val="auto"/>
              </w:rPr>
              <w:t>11</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32"/>
        </w:trPr>
        <w:tc>
          <w:tcPr>
            <w:tcW w:w="340" w:type="dxa"/>
            <w:vAlign w:val="bottom"/>
            <w:tcBorders>
              <w:bottom w:val="single" w:sz="8" w:color="010101"/>
            </w:tcBorders>
          </w:tcPr>
          <w:p>
            <w:pPr>
              <w:spacing w:after="0"/>
              <w:rPr>
                <w:sz w:val="11"/>
                <w:szCs w:val="11"/>
                <w:color w:val="auto"/>
              </w:rPr>
            </w:pPr>
          </w:p>
        </w:tc>
        <w:tc>
          <w:tcPr>
            <w:tcW w:w="428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46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28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500" w:type="dxa"/>
            <w:vAlign w:val="bottom"/>
            <w:tcBorders>
              <w:bottom w:val="single" w:sz="8" w:color="010101"/>
            </w:tcBorders>
          </w:tcPr>
          <w:p>
            <w:pPr>
              <w:spacing w:after="0"/>
              <w:rPr>
                <w:sz w:val="11"/>
                <w:szCs w:val="11"/>
                <w:color w:val="auto"/>
              </w:rPr>
            </w:pPr>
          </w:p>
        </w:tc>
        <w:tc>
          <w:tcPr>
            <w:tcW w:w="108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126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ectPr>
          <w:pgSz w:w="11900" w:h="16838" w:orient="portrait"/>
          <w:cols w:equalWidth="0" w:num="1">
            <w:col w:w="11460"/>
          </w:cols>
          <w:pgMar w:left="240" w:top="129" w:right="199" w:bottom="0" w:gutter="0" w:footer="0" w:header="0"/>
        </w:sectPr>
      </w:pP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MONSTER BEVERAGE CORPORATION AND SUBSIDIARIES</w:t>
      </w:r>
    </w:p>
    <w:p>
      <w:pPr>
        <w:spacing w:after="0" w:line="14" w:lineRule="exact"/>
        <w:rPr>
          <w:sz w:val="20"/>
          <w:szCs w:val="20"/>
          <w:color w:val="auto"/>
        </w:rPr>
      </w:pPr>
    </w:p>
    <w:p>
      <w:pPr>
        <w:ind w:right="4380"/>
        <w:spacing w:after="0" w:line="308"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60"/>
          </w:cols>
          <w:pgMar w:left="240" w:top="129" w:right="199" w:bottom="0" w:gutter="0" w:footer="0" w:header="0"/>
          <w:type w:val="continuous"/>
        </w:sectPr>
      </w:pPr>
    </w:p>
    <w:bookmarkStart w:id="7" w:name="page8"/>
    <w:bookmarkEnd w:id="7"/>
    <w:p>
      <w:pPr>
        <w:ind w:left="660" w:hanging="652"/>
        <w:spacing w:after="0"/>
        <w:tabs>
          <w:tab w:leader="none" w:pos="660" w:val="left"/>
        </w:tabs>
        <w:numPr>
          <w:ilvl w:val="0"/>
          <w:numId w:val="5"/>
        </w:numPr>
        <w:rPr>
          <w:rFonts w:ascii="Arial" w:cs="Arial" w:eastAsia="Arial" w:hAnsi="Arial"/>
          <w:sz w:val="22"/>
          <w:szCs w:val="22"/>
          <w:color w:val="auto"/>
        </w:rPr>
      </w:pPr>
      <w:r>
        <w:rPr>
          <w:rFonts w:ascii="Arial" w:cs="Arial" w:eastAsia="Arial" w:hAnsi="Arial"/>
          <w:sz w:val="22"/>
          <w:szCs w:val="22"/>
          <w:color w:val="auto"/>
        </w:rPr>
        <w:t>FAIR VALUE OF CERTAIN FINANCIAL ASSETS AND LIABILITIES</w:t>
      </w:r>
    </w:p>
    <w:p>
      <w:pPr>
        <w:spacing w:after="0" w:line="233"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9"/>
          <w:szCs w:val="19"/>
          <w:color w:val="auto"/>
        </w:rPr>
        <w:t>Accounting Standards Codification (“ASC”) 820 provides a framework for measuring fair value and requires expanded disclosures regarding fair value measurements. ASC 820 defines fair value as the price that would be received to sell an asset or paid to transfer a liability in an orderly transaction between market participants at the measurement date. ASC 820 also establishes a fair value hierarchy which requires an entity to maximize the use of observable inputs, where available. The three levels of inputs required by the standard that the Company uses to measure fair value are summarized below.</w:t>
      </w:r>
    </w:p>
    <w:p>
      <w:pPr>
        <w:spacing w:after="0" w:line="169" w:lineRule="exact"/>
        <w:rPr>
          <w:sz w:val="20"/>
          <w:szCs w:val="20"/>
          <w:color w:val="auto"/>
        </w:rPr>
      </w:pPr>
    </w:p>
    <w:p>
      <w:pPr>
        <w:ind w:left="620" w:hanging="288"/>
        <w:spacing w:after="0"/>
        <w:tabs>
          <w:tab w:leader="none" w:pos="620" w:val="left"/>
        </w:tabs>
        <w:numPr>
          <w:ilvl w:val="0"/>
          <w:numId w:val="6"/>
        </w:numPr>
        <w:rPr>
          <w:rFonts w:ascii="Arial" w:cs="Arial" w:eastAsia="Arial" w:hAnsi="Arial"/>
          <w:sz w:val="22"/>
          <w:szCs w:val="22"/>
          <w:color w:val="auto"/>
        </w:rPr>
      </w:pPr>
      <w:r>
        <w:rPr>
          <w:rFonts w:ascii="Arial" w:cs="Arial" w:eastAsia="Arial" w:hAnsi="Arial"/>
          <w:sz w:val="22"/>
          <w:szCs w:val="22"/>
          <w:b w:val="1"/>
          <w:bCs w:val="1"/>
          <w:color w:val="auto"/>
        </w:rPr>
        <w:t xml:space="preserve">Level 1: </w:t>
      </w:r>
      <w:r>
        <w:rPr>
          <w:rFonts w:ascii="Arial" w:cs="Arial" w:eastAsia="Arial" w:hAnsi="Arial"/>
          <w:sz w:val="22"/>
          <w:szCs w:val="22"/>
          <w:color w:val="auto"/>
        </w:rPr>
        <w:t>Quoted prices in active markets for identical assets or liabilities.</w:t>
      </w:r>
    </w:p>
    <w:p>
      <w:pPr>
        <w:spacing w:after="0" w:line="233" w:lineRule="exact"/>
        <w:rPr>
          <w:rFonts w:ascii="Arial" w:cs="Arial" w:eastAsia="Arial" w:hAnsi="Arial"/>
          <w:sz w:val="22"/>
          <w:szCs w:val="22"/>
          <w:color w:val="auto"/>
        </w:rPr>
      </w:pPr>
    </w:p>
    <w:p>
      <w:pPr>
        <w:jc w:val="both"/>
        <w:ind w:left="660" w:hanging="328"/>
        <w:spacing w:after="0" w:line="243" w:lineRule="auto"/>
        <w:tabs>
          <w:tab w:leader="none" w:pos="809" w:val="left"/>
        </w:tabs>
        <w:numPr>
          <w:ilvl w:val="0"/>
          <w:numId w:val="6"/>
        </w:numPr>
        <w:rPr>
          <w:rFonts w:ascii="Arial" w:cs="Arial" w:eastAsia="Arial" w:hAnsi="Arial"/>
          <w:sz w:val="22"/>
          <w:szCs w:val="22"/>
          <w:color w:val="auto"/>
        </w:rPr>
      </w:pPr>
      <w:r>
        <w:rPr>
          <w:rFonts w:ascii="Arial" w:cs="Arial" w:eastAsia="Arial" w:hAnsi="Arial"/>
          <w:sz w:val="22"/>
          <w:szCs w:val="22"/>
          <w:b w:val="1"/>
          <w:bCs w:val="1"/>
          <w:color w:val="auto"/>
        </w:rPr>
        <w:t xml:space="preserve">Level 2: </w:t>
      </w:r>
      <w:r>
        <w:rPr>
          <w:rFonts w:ascii="Arial" w:cs="Arial" w:eastAsia="Arial" w:hAnsi="Arial"/>
          <w:sz w:val="22"/>
          <w:szCs w:val="22"/>
          <w:color w:val="auto"/>
        </w:rPr>
        <w:t>Observable inputs other than Level 1 prices, such as quoted prices for similar assets or liabilities; quoted prices in</w:t>
      </w:r>
      <w:r>
        <w:rPr>
          <w:rFonts w:ascii="Arial" w:cs="Arial" w:eastAsia="Arial" w:hAnsi="Arial"/>
          <w:sz w:val="22"/>
          <w:szCs w:val="22"/>
          <w:b w:val="1"/>
          <w:bCs w:val="1"/>
          <w:color w:val="auto"/>
        </w:rPr>
        <w:t xml:space="preserve"> </w:t>
      </w:r>
      <w:r>
        <w:rPr>
          <w:rFonts w:ascii="Arial" w:cs="Arial" w:eastAsia="Arial" w:hAnsi="Arial"/>
          <w:sz w:val="22"/>
          <w:szCs w:val="22"/>
          <w:color w:val="auto"/>
        </w:rPr>
        <w:t>markets that are not active; or other inputs that are observable or can be corroborated by observable market data for substantially the full term of the related assets or liabilities.</w:t>
      </w:r>
    </w:p>
    <w:p>
      <w:pPr>
        <w:spacing w:after="0" w:line="203" w:lineRule="exact"/>
        <w:rPr>
          <w:rFonts w:ascii="Arial" w:cs="Arial" w:eastAsia="Arial" w:hAnsi="Arial"/>
          <w:sz w:val="22"/>
          <w:szCs w:val="22"/>
          <w:color w:val="auto"/>
        </w:rPr>
      </w:pPr>
    </w:p>
    <w:p>
      <w:pPr>
        <w:ind w:left="660" w:right="20" w:hanging="328"/>
        <w:spacing w:after="0" w:line="256" w:lineRule="auto"/>
        <w:tabs>
          <w:tab w:leader="none" w:pos="633" w:val="left"/>
        </w:tabs>
        <w:numPr>
          <w:ilvl w:val="0"/>
          <w:numId w:val="6"/>
        </w:numPr>
        <w:rPr>
          <w:rFonts w:ascii="Arial" w:cs="Arial" w:eastAsia="Arial" w:hAnsi="Arial"/>
          <w:sz w:val="22"/>
          <w:szCs w:val="22"/>
          <w:color w:val="auto"/>
        </w:rPr>
      </w:pPr>
      <w:r>
        <w:rPr>
          <w:rFonts w:ascii="Arial" w:cs="Arial" w:eastAsia="Arial" w:hAnsi="Arial"/>
          <w:sz w:val="22"/>
          <w:szCs w:val="22"/>
          <w:b w:val="1"/>
          <w:bCs w:val="1"/>
          <w:color w:val="auto"/>
        </w:rPr>
        <w:t xml:space="preserve">Level 3: </w:t>
      </w:r>
      <w:r>
        <w:rPr>
          <w:rFonts w:ascii="Arial" w:cs="Arial" w:eastAsia="Arial" w:hAnsi="Arial"/>
          <w:sz w:val="22"/>
          <w:szCs w:val="22"/>
          <w:color w:val="auto"/>
        </w:rPr>
        <w:t>Unobservable inputs that are supported by little or no market activity and that are significant to the fair value of the</w:t>
      </w:r>
      <w:r>
        <w:rPr>
          <w:rFonts w:ascii="Arial" w:cs="Arial" w:eastAsia="Arial" w:hAnsi="Arial"/>
          <w:sz w:val="22"/>
          <w:szCs w:val="22"/>
          <w:b w:val="1"/>
          <w:bCs w:val="1"/>
          <w:color w:val="auto"/>
        </w:rPr>
        <w:t xml:space="preserve"> </w:t>
      </w:r>
      <w:r>
        <w:rPr>
          <w:rFonts w:ascii="Arial" w:cs="Arial" w:eastAsia="Arial" w:hAnsi="Arial"/>
          <w:sz w:val="22"/>
          <w:szCs w:val="22"/>
          <w:color w:val="auto"/>
        </w:rPr>
        <w:t>assets or liabilities.</w:t>
      </w:r>
    </w:p>
    <w:p>
      <w:pPr>
        <w:spacing w:after="0" w:line="196"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ASC 820 requires the use of observable market inputs (quoted market prices) when measuring fair value and requires a Level 1 quoted price to be used to measure fair value whenever possible.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MONSTER BEVERAGE CORPORATION AND SUBSIDIARIES</w:t>
      </w:r>
    </w:p>
    <w:p>
      <w:pPr>
        <w:spacing w:after="0" w:line="14" w:lineRule="exact"/>
        <w:rPr>
          <w:sz w:val="20"/>
          <w:szCs w:val="20"/>
          <w:color w:val="auto"/>
        </w:rPr>
      </w:pPr>
    </w:p>
    <w:p>
      <w:pPr>
        <w:ind w:right="4340"/>
        <w:spacing w:after="0" w:line="308"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44"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The following tables present the Company’s held-to-maturity investments at amortized cost as well as the fair value of the Company’s financial assets that are recorded at fair value on a recurring basis, segregated among the appropriate levels within the fair value hierarchy at:</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5420" w:type="dxa"/>
            <w:vAlign w:val="bottom"/>
            <w:gridSpan w:val="2"/>
          </w:tcPr>
          <w:p>
            <w:pPr>
              <w:spacing w:after="0"/>
              <w:rPr>
                <w:sz w:val="20"/>
                <w:szCs w:val="20"/>
                <w:color w:val="auto"/>
              </w:rPr>
            </w:pPr>
            <w:r>
              <w:rPr>
                <w:rFonts w:ascii="Arial" w:cs="Arial" w:eastAsia="Arial" w:hAnsi="Arial"/>
                <w:sz w:val="20"/>
                <w:szCs w:val="20"/>
                <w:color w:val="auto"/>
              </w:rPr>
              <w:t>September 30, 2012</w:t>
            </w:r>
          </w:p>
        </w:tc>
        <w:tc>
          <w:tcPr>
            <w:tcW w:w="240" w:type="dxa"/>
            <w:vAlign w:val="bottom"/>
          </w:tcPr>
          <w:p>
            <w:pPr>
              <w:spacing w:after="0"/>
              <w:rPr>
                <w:sz w:val="21"/>
                <w:szCs w:val="21"/>
                <w:color w:val="auto"/>
              </w:rPr>
            </w:pPr>
          </w:p>
        </w:tc>
        <w:tc>
          <w:tcPr>
            <w:tcW w:w="1200" w:type="dxa"/>
            <w:vAlign w:val="bottom"/>
          </w:tcPr>
          <w:p>
            <w:pPr>
              <w:jc w:val="right"/>
              <w:ind w:right="421"/>
              <w:spacing w:after="0"/>
              <w:rPr>
                <w:sz w:val="20"/>
                <w:szCs w:val="20"/>
                <w:color w:val="auto"/>
              </w:rPr>
            </w:pPr>
            <w:r>
              <w:rPr>
                <w:rFonts w:ascii="Arial" w:cs="Arial" w:eastAsia="Arial" w:hAnsi="Arial"/>
                <w:sz w:val="20"/>
                <w:szCs w:val="20"/>
                <w:color w:val="auto"/>
              </w:rPr>
              <w:t>Level 1</w:t>
            </w:r>
          </w:p>
        </w:tc>
        <w:tc>
          <w:tcPr>
            <w:tcW w:w="360" w:type="dxa"/>
            <w:vAlign w:val="bottom"/>
          </w:tcPr>
          <w:p>
            <w:pPr>
              <w:spacing w:after="0"/>
              <w:rPr>
                <w:sz w:val="21"/>
                <w:szCs w:val="21"/>
                <w:color w:val="auto"/>
              </w:rPr>
            </w:pPr>
          </w:p>
        </w:tc>
        <w:tc>
          <w:tcPr>
            <w:tcW w:w="1200" w:type="dxa"/>
            <w:vAlign w:val="bottom"/>
          </w:tcPr>
          <w:p>
            <w:pPr>
              <w:jc w:val="right"/>
              <w:ind w:right="401"/>
              <w:spacing w:after="0"/>
              <w:rPr>
                <w:sz w:val="20"/>
                <w:szCs w:val="20"/>
                <w:color w:val="auto"/>
              </w:rPr>
            </w:pPr>
            <w:r>
              <w:rPr>
                <w:rFonts w:ascii="Arial" w:cs="Arial" w:eastAsia="Arial" w:hAnsi="Arial"/>
                <w:sz w:val="20"/>
                <w:szCs w:val="20"/>
                <w:color w:val="auto"/>
              </w:rPr>
              <w:t>Level 2</w:t>
            </w:r>
          </w:p>
        </w:tc>
        <w:tc>
          <w:tcPr>
            <w:tcW w:w="360" w:type="dxa"/>
            <w:vAlign w:val="bottom"/>
          </w:tcPr>
          <w:p>
            <w:pPr>
              <w:spacing w:after="0"/>
              <w:rPr>
                <w:sz w:val="21"/>
                <w:szCs w:val="21"/>
                <w:color w:val="auto"/>
              </w:rPr>
            </w:pPr>
          </w:p>
        </w:tc>
        <w:tc>
          <w:tcPr>
            <w:tcW w:w="1160" w:type="dxa"/>
            <w:vAlign w:val="bottom"/>
          </w:tcPr>
          <w:p>
            <w:pPr>
              <w:jc w:val="right"/>
              <w:ind w:right="381"/>
              <w:spacing w:after="0"/>
              <w:rPr>
                <w:sz w:val="20"/>
                <w:szCs w:val="20"/>
                <w:color w:val="auto"/>
              </w:rPr>
            </w:pPr>
            <w:r>
              <w:rPr>
                <w:rFonts w:ascii="Arial" w:cs="Arial" w:eastAsia="Arial" w:hAnsi="Arial"/>
                <w:sz w:val="20"/>
                <w:szCs w:val="20"/>
                <w:color w:val="auto"/>
              </w:rPr>
              <w:t>Level 3</w:t>
            </w:r>
          </w:p>
        </w:tc>
        <w:tc>
          <w:tcPr>
            <w:tcW w:w="400" w:type="dxa"/>
            <w:vAlign w:val="bottom"/>
          </w:tcPr>
          <w:p>
            <w:pPr>
              <w:spacing w:after="0"/>
              <w:rPr>
                <w:sz w:val="21"/>
                <w:szCs w:val="21"/>
                <w:color w:val="auto"/>
              </w:rPr>
            </w:pPr>
          </w:p>
        </w:tc>
        <w:tc>
          <w:tcPr>
            <w:tcW w:w="1080" w:type="dxa"/>
            <w:vAlign w:val="bottom"/>
          </w:tcPr>
          <w:p>
            <w:pPr>
              <w:jc w:val="right"/>
              <w:ind w:right="461"/>
              <w:spacing w:after="0"/>
              <w:rPr>
                <w:sz w:val="20"/>
                <w:szCs w:val="20"/>
                <w:color w:val="auto"/>
              </w:rPr>
            </w:pPr>
            <w:r>
              <w:rPr>
                <w:rFonts w:ascii="Arial" w:cs="Arial" w:eastAsia="Arial" w:hAnsi="Arial"/>
                <w:sz w:val="20"/>
                <w:szCs w:val="20"/>
                <w:color w:val="auto"/>
              </w:rPr>
              <w:t>Total</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00" w:type="dxa"/>
            <w:vAlign w:val="bottom"/>
            <w:tcBorders>
              <w:top w:val="single" w:sz="8" w:color="auto"/>
            </w:tcBorders>
            <w:shd w:val="clear" w:color="auto" w:fill="CCEEFF"/>
          </w:tcPr>
          <w:p>
            <w:pPr>
              <w:spacing w:after="0" w:line="223" w:lineRule="exact"/>
              <w:rPr>
                <w:sz w:val="20"/>
                <w:szCs w:val="20"/>
                <w:color w:val="auto"/>
              </w:rPr>
            </w:pPr>
            <w:r>
              <w:rPr>
                <w:rFonts w:ascii="Arial" w:cs="Arial" w:eastAsia="Arial" w:hAnsi="Arial"/>
                <w:sz w:val="20"/>
                <w:szCs w:val="20"/>
                <w:color w:val="auto"/>
              </w:rPr>
              <w:t>Cash</w:t>
            </w:r>
          </w:p>
        </w:tc>
        <w:tc>
          <w:tcPr>
            <w:tcW w:w="24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rPr>
              <w:t>$</w:t>
            </w:r>
          </w:p>
        </w:tc>
        <w:tc>
          <w:tcPr>
            <w:tcW w:w="1200" w:type="dxa"/>
            <w:vAlign w:val="bottom"/>
            <w:tcBorders>
              <w:top w:val="single" w:sz="8" w:color="auto"/>
            </w:tcBorders>
            <w:shd w:val="clear" w:color="auto" w:fill="CCEEFF"/>
          </w:tcPr>
          <w:p>
            <w:pPr>
              <w:jc w:val="right"/>
              <w:ind w:right="81"/>
              <w:spacing w:after="0" w:line="223" w:lineRule="exact"/>
              <w:rPr>
                <w:sz w:val="20"/>
                <w:szCs w:val="20"/>
                <w:color w:val="auto"/>
              </w:rPr>
            </w:pPr>
            <w:r>
              <w:rPr>
                <w:rFonts w:ascii="Arial" w:cs="Arial" w:eastAsia="Arial" w:hAnsi="Arial"/>
                <w:sz w:val="20"/>
                <w:szCs w:val="20"/>
                <w:color w:val="auto"/>
              </w:rPr>
              <w:t>165,754</w:t>
            </w:r>
          </w:p>
        </w:tc>
        <w:tc>
          <w:tcPr>
            <w:tcW w:w="36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rPr>
              <w:t>$</w:t>
            </w:r>
          </w:p>
        </w:tc>
        <w:tc>
          <w:tcPr>
            <w:tcW w:w="1200" w:type="dxa"/>
            <w:vAlign w:val="bottom"/>
            <w:tcBorders>
              <w:top w:val="single" w:sz="8" w:color="auto"/>
            </w:tcBorders>
            <w:shd w:val="clear" w:color="auto" w:fill="CCEEFF"/>
          </w:tcPr>
          <w:p>
            <w:pPr>
              <w:jc w:val="right"/>
              <w:ind w:right="81"/>
              <w:spacing w:after="0" w:line="223" w:lineRule="exact"/>
              <w:rPr>
                <w:sz w:val="20"/>
                <w:szCs w:val="20"/>
                <w:color w:val="auto"/>
              </w:rPr>
            </w:pPr>
            <w:r>
              <w:rPr>
                <w:rFonts w:ascii="Arial" w:cs="Arial" w:eastAsia="Arial" w:hAnsi="Arial"/>
                <w:sz w:val="20"/>
                <w:szCs w:val="20"/>
                <w:color w:val="auto"/>
              </w:rPr>
              <w:t>-</w:t>
            </w:r>
          </w:p>
        </w:tc>
        <w:tc>
          <w:tcPr>
            <w:tcW w:w="36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rPr>
              <w:t>$</w:t>
            </w:r>
          </w:p>
        </w:tc>
        <w:tc>
          <w:tcPr>
            <w:tcW w:w="1160" w:type="dxa"/>
            <w:vAlign w:val="bottom"/>
            <w:tcBorders>
              <w:top w:val="single" w:sz="8" w:color="auto"/>
            </w:tcBorders>
            <w:shd w:val="clear" w:color="auto" w:fill="CCEEFF"/>
          </w:tcPr>
          <w:p>
            <w:pPr>
              <w:jc w:val="right"/>
              <w:ind w:right="61"/>
              <w:spacing w:after="0" w:line="223" w:lineRule="exact"/>
              <w:rPr>
                <w:sz w:val="20"/>
                <w:szCs w:val="20"/>
                <w:color w:val="auto"/>
              </w:rPr>
            </w:pPr>
            <w:r>
              <w:rPr>
                <w:rFonts w:ascii="Arial" w:cs="Arial" w:eastAsia="Arial" w:hAnsi="Arial"/>
                <w:sz w:val="20"/>
                <w:szCs w:val="20"/>
                <w:color w:val="auto"/>
              </w:rPr>
              <w:t>-</w:t>
            </w:r>
          </w:p>
        </w:tc>
        <w:tc>
          <w:tcPr>
            <w:tcW w:w="400" w:type="dxa"/>
            <w:vAlign w:val="bottom"/>
            <w:tcBorders>
              <w:top w:val="single" w:sz="8" w:color="auto"/>
            </w:tcBorders>
            <w:shd w:val="clear" w:color="auto" w:fill="CCEEFF"/>
          </w:tcPr>
          <w:p>
            <w:pPr>
              <w:jc w:val="right"/>
              <w:ind w:right="41"/>
              <w:spacing w:after="0" w:line="223" w:lineRule="exact"/>
              <w:rPr>
                <w:sz w:val="20"/>
                <w:szCs w:val="20"/>
                <w:color w:val="auto"/>
              </w:rPr>
            </w:pPr>
            <w:r>
              <w:rPr>
                <w:rFonts w:ascii="Arial" w:cs="Arial" w:eastAsia="Arial" w:hAnsi="Arial"/>
                <w:sz w:val="20"/>
                <w:szCs w:val="20"/>
                <w:color w:val="auto"/>
              </w:rPr>
              <w:t>$</w:t>
            </w:r>
          </w:p>
        </w:tc>
        <w:tc>
          <w:tcPr>
            <w:tcW w:w="1080" w:type="dxa"/>
            <w:vAlign w:val="bottom"/>
            <w:tcBorders>
              <w:top w:val="single" w:sz="8" w:color="auto"/>
            </w:tcBorders>
            <w:shd w:val="clear" w:color="auto" w:fill="CCEEFF"/>
          </w:tcPr>
          <w:p>
            <w:pPr>
              <w:jc w:val="right"/>
              <w:ind w:right="41"/>
              <w:spacing w:after="0" w:line="223" w:lineRule="exact"/>
              <w:rPr>
                <w:sz w:val="20"/>
                <w:szCs w:val="20"/>
                <w:color w:val="auto"/>
              </w:rPr>
            </w:pPr>
            <w:r>
              <w:rPr>
                <w:rFonts w:ascii="Arial" w:cs="Arial" w:eastAsia="Arial" w:hAnsi="Arial"/>
                <w:sz w:val="20"/>
                <w:szCs w:val="20"/>
                <w:color w:val="auto"/>
              </w:rPr>
              <w:t>165,754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00" w:type="dxa"/>
            <w:vAlign w:val="bottom"/>
          </w:tcPr>
          <w:p>
            <w:pPr>
              <w:spacing w:after="0"/>
              <w:rPr>
                <w:sz w:val="20"/>
                <w:szCs w:val="20"/>
                <w:color w:val="auto"/>
              </w:rPr>
            </w:pPr>
            <w:r>
              <w:rPr>
                <w:rFonts w:ascii="Arial" w:cs="Arial" w:eastAsia="Arial" w:hAnsi="Arial"/>
                <w:sz w:val="20"/>
                <w:szCs w:val="20"/>
                <w:color w:val="auto"/>
              </w:rPr>
              <w:t>Money market funds</w:t>
            </w:r>
          </w:p>
        </w:tc>
        <w:tc>
          <w:tcPr>
            <w:tcW w:w="240" w:type="dxa"/>
            <w:vAlign w:val="bottom"/>
          </w:tcPr>
          <w:p>
            <w:pPr>
              <w:spacing w:after="0"/>
              <w:rPr>
                <w:sz w:val="19"/>
                <w:szCs w:val="19"/>
                <w:color w:val="auto"/>
              </w:rPr>
            </w:pPr>
          </w:p>
        </w:tc>
        <w:tc>
          <w:tcPr>
            <w:tcW w:w="1200" w:type="dxa"/>
            <w:vAlign w:val="bottom"/>
          </w:tcPr>
          <w:p>
            <w:pPr>
              <w:jc w:val="right"/>
              <w:ind w:right="81"/>
              <w:spacing w:after="0"/>
              <w:rPr>
                <w:sz w:val="20"/>
                <w:szCs w:val="20"/>
                <w:color w:val="auto"/>
              </w:rPr>
            </w:pPr>
            <w:r>
              <w:rPr>
                <w:rFonts w:ascii="Arial" w:cs="Arial" w:eastAsia="Arial" w:hAnsi="Arial"/>
                <w:sz w:val="20"/>
                <w:szCs w:val="20"/>
                <w:color w:val="auto"/>
              </w:rPr>
              <w:t>116,684</w:t>
            </w:r>
          </w:p>
        </w:tc>
        <w:tc>
          <w:tcPr>
            <w:tcW w:w="360" w:type="dxa"/>
            <w:vAlign w:val="bottom"/>
          </w:tcPr>
          <w:p>
            <w:pPr>
              <w:spacing w:after="0"/>
              <w:rPr>
                <w:sz w:val="19"/>
                <w:szCs w:val="19"/>
                <w:color w:val="auto"/>
              </w:rPr>
            </w:pPr>
          </w:p>
        </w:tc>
        <w:tc>
          <w:tcPr>
            <w:tcW w:w="120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360" w:type="dxa"/>
            <w:vAlign w:val="bottom"/>
          </w:tcPr>
          <w:p>
            <w:pPr>
              <w:spacing w:after="0"/>
              <w:rPr>
                <w:sz w:val="19"/>
                <w:szCs w:val="19"/>
                <w:color w:val="auto"/>
              </w:rPr>
            </w:pPr>
          </w:p>
        </w:tc>
        <w:tc>
          <w:tcPr>
            <w:tcW w:w="116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400" w:type="dxa"/>
            <w:vAlign w:val="bottom"/>
          </w:tcPr>
          <w:p>
            <w:pPr>
              <w:spacing w:after="0"/>
              <w:rPr>
                <w:sz w:val="19"/>
                <w:szCs w:val="19"/>
                <w:color w:val="auto"/>
              </w:rPr>
            </w:pPr>
          </w:p>
        </w:tc>
        <w:tc>
          <w:tcPr>
            <w:tcW w:w="1080" w:type="dxa"/>
            <w:vAlign w:val="bottom"/>
          </w:tcPr>
          <w:p>
            <w:pPr>
              <w:jc w:val="right"/>
              <w:ind w:right="41"/>
              <w:spacing w:after="0"/>
              <w:rPr>
                <w:sz w:val="20"/>
                <w:szCs w:val="20"/>
                <w:color w:val="auto"/>
              </w:rPr>
            </w:pPr>
            <w:r>
              <w:rPr>
                <w:rFonts w:ascii="Arial" w:cs="Arial" w:eastAsia="Arial" w:hAnsi="Arial"/>
                <w:sz w:val="20"/>
                <w:szCs w:val="20"/>
                <w:color w:val="auto"/>
              </w:rPr>
              <w:t>116,684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20"/>
                <w:szCs w:val="20"/>
                <w:color w:val="auto"/>
              </w:rPr>
              <w:t>Certificates of deposit</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81"/>
              <w:spacing w:after="0"/>
              <w:rPr>
                <w:sz w:val="20"/>
                <w:szCs w:val="20"/>
                <w:color w:val="auto"/>
              </w:rPr>
            </w:pPr>
            <w:r>
              <w:rPr>
                <w:rFonts w:ascii="Arial" w:cs="Arial" w:eastAsia="Arial" w:hAnsi="Arial"/>
                <w:sz w:val="20"/>
                <w:szCs w:val="20"/>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81"/>
              <w:spacing w:after="0"/>
              <w:rPr>
                <w:sz w:val="20"/>
                <w:szCs w:val="20"/>
                <w:color w:val="auto"/>
              </w:rPr>
            </w:pPr>
            <w:r>
              <w:rPr>
                <w:rFonts w:ascii="Arial" w:cs="Arial" w:eastAsia="Arial" w:hAnsi="Arial"/>
                <w:sz w:val="20"/>
                <w:szCs w:val="20"/>
                <w:color w:val="auto"/>
              </w:rPr>
              <w:t>17,015</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61"/>
              <w:spacing w:after="0"/>
              <w:rPr>
                <w:sz w:val="20"/>
                <w:szCs w:val="20"/>
                <w:color w:val="auto"/>
              </w:rPr>
            </w:pPr>
            <w:r>
              <w:rPr>
                <w:rFonts w:ascii="Arial" w:cs="Arial" w:eastAsia="Arial" w:hAnsi="Arial"/>
                <w:sz w:val="20"/>
                <w:szCs w:val="20"/>
                <w:color w:val="auto"/>
              </w:rPr>
              <w:t>-</w:t>
            </w: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41"/>
              <w:spacing w:after="0"/>
              <w:rPr>
                <w:sz w:val="20"/>
                <w:szCs w:val="20"/>
                <w:color w:val="auto"/>
              </w:rPr>
            </w:pPr>
            <w:r>
              <w:rPr>
                <w:rFonts w:ascii="Arial" w:cs="Arial" w:eastAsia="Arial" w:hAnsi="Arial"/>
                <w:sz w:val="20"/>
                <w:szCs w:val="20"/>
                <w:color w:val="auto"/>
              </w:rPr>
              <w:t>17,015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00" w:type="dxa"/>
            <w:vAlign w:val="bottom"/>
          </w:tcPr>
          <w:p>
            <w:pPr>
              <w:spacing w:after="0"/>
              <w:rPr>
                <w:sz w:val="20"/>
                <w:szCs w:val="20"/>
                <w:color w:val="auto"/>
              </w:rPr>
            </w:pPr>
            <w:r>
              <w:rPr>
                <w:rFonts w:ascii="Arial" w:cs="Arial" w:eastAsia="Arial" w:hAnsi="Arial"/>
                <w:sz w:val="20"/>
                <w:szCs w:val="20"/>
                <w:color w:val="auto"/>
              </w:rPr>
              <w:t>Municipal securities</w:t>
            </w:r>
          </w:p>
        </w:tc>
        <w:tc>
          <w:tcPr>
            <w:tcW w:w="240" w:type="dxa"/>
            <w:vAlign w:val="bottom"/>
          </w:tcPr>
          <w:p>
            <w:pPr>
              <w:spacing w:after="0"/>
              <w:rPr>
                <w:sz w:val="19"/>
                <w:szCs w:val="19"/>
                <w:color w:val="auto"/>
              </w:rPr>
            </w:pPr>
          </w:p>
        </w:tc>
        <w:tc>
          <w:tcPr>
            <w:tcW w:w="120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360" w:type="dxa"/>
            <w:vAlign w:val="bottom"/>
          </w:tcPr>
          <w:p>
            <w:pPr>
              <w:spacing w:after="0"/>
              <w:rPr>
                <w:sz w:val="19"/>
                <w:szCs w:val="19"/>
                <w:color w:val="auto"/>
              </w:rPr>
            </w:pPr>
          </w:p>
        </w:tc>
        <w:tc>
          <w:tcPr>
            <w:tcW w:w="1200" w:type="dxa"/>
            <w:vAlign w:val="bottom"/>
          </w:tcPr>
          <w:p>
            <w:pPr>
              <w:jc w:val="right"/>
              <w:ind w:right="81"/>
              <w:spacing w:after="0"/>
              <w:rPr>
                <w:sz w:val="20"/>
                <w:szCs w:val="20"/>
                <w:color w:val="auto"/>
              </w:rPr>
            </w:pPr>
            <w:r>
              <w:rPr>
                <w:rFonts w:ascii="Arial" w:cs="Arial" w:eastAsia="Arial" w:hAnsi="Arial"/>
                <w:sz w:val="20"/>
                <w:szCs w:val="20"/>
                <w:color w:val="auto"/>
              </w:rPr>
              <w:t>253,899</w:t>
            </w:r>
          </w:p>
        </w:tc>
        <w:tc>
          <w:tcPr>
            <w:tcW w:w="360" w:type="dxa"/>
            <w:vAlign w:val="bottom"/>
          </w:tcPr>
          <w:p>
            <w:pPr>
              <w:spacing w:after="0"/>
              <w:rPr>
                <w:sz w:val="19"/>
                <w:szCs w:val="19"/>
                <w:color w:val="auto"/>
              </w:rPr>
            </w:pPr>
          </w:p>
        </w:tc>
        <w:tc>
          <w:tcPr>
            <w:tcW w:w="116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400" w:type="dxa"/>
            <w:vAlign w:val="bottom"/>
          </w:tcPr>
          <w:p>
            <w:pPr>
              <w:spacing w:after="0"/>
              <w:rPr>
                <w:sz w:val="19"/>
                <w:szCs w:val="19"/>
                <w:color w:val="auto"/>
              </w:rPr>
            </w:pPr>
          </w:p>
        </w:tc>
        <w:tc>
          <w:tcPr>
            <w:tcW w:w="1080" w:type="dxa"/>
            <w:vAlign w:val="bottom"/>
          </w:tcPr>
          <w:p>
            <w:pPr>
              <w:jc w:val="right"/>
              <w:ind w:right="41"/>
              <w:spacing w:after="0"/>
              <w:rPr>
                <w:sz w:val="20"/>
                <w:szCs w:val="20"/>
                <w:color w:val="auto"/>
              </w:rPr>
            </w:pPr>
            <w:r>
              <w:rPr>
                <w:rFonts w:ascii="Arial" w:cs="Arial" w:eastAsia="Arial" w:hAnsi="Arial"/>
                <w:sz w:val="20"/>
                <w:szCs w:val="20"/>
                <w:color w:val="auto"/>
              </w:rPr>
              <w:t>253,899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20"/>
                <w:szCs w:val="20"/>
                <w:color w:val="auto"/>
              </w:rPr>
              <w:t>U.S. government agency securities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81"/>
              <w:spacing w:after="0"/>
              <w:rPr>
                <w:sz w:val="20"/>
                <w:szCs w:val="20"/>
                <w:color w:val="auto"/>
              </w:rPr>
            </w:pPr>
            <w:r>
              <w:rPr>
                <w:rFonts w:ascii="Arial" w:cs="Arial" w:eastAsia="Arial" w:hAnsi="Arial"/>
                <w:sz w:val="20"/>
                <w:szCs w:val="20"/>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81"/>
              <w:spacing w:after="0"/>
              <w:rPr>
                <w:sz w:val="20"/>
                <w:szCs w:val="20"/>
                <w:color w:val="auto"/>
              </w:rPr>
            </w:pPr>
            <w:r>
              <w:rPr>
                <w:rFonts w:ascii="Arial" w:cs="Arial" w:eastAsia="Arial" w:hAnsi="Arial"/>
                <w:sz w:val="20"/>
                <w:szCs w:val="20"/>
                <w:color w:val="auto"/>
              </w:rPr>
              <w:t>29,982</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61"/>
              <w:spacing w:after="0"/>
              <w:rPr>
                <w:sz w:val="20"/>
                <w:szCs w:val="20"/>
                <w:color w:val="auto"/>
              </w:rPr>
            </w:pPr>
            <w:r>
              <w:rPr>
                <w:rFonts w:ascii="Arial" w:cs="Arial" w:eastAsia="Arial" w:hAnsi="Arial"/>
                <w:sz w:val="20"/>
                <w:szCs w:val="20"/>
                <w:color w:val="auto"/>
              </w:rPr>
              <w:t>-</w:t>
            </w: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41"/>
              <w:spacing w:after="0"/>
              <w:rPr>
                <w:sz w:val="20"/>
                <w:szCs w:val="20"/>
                <w:color w:val="auto"/>
              </w:rPr>
            </w:pPr>
            <w:r>
              <w:rPr>
                <w:rFonts w:ascii="Arial" w:cs="Arial" w:eastAsia="Arial" w:hAnsi="Arial"/>
                <w:sz w:val="20"/>
                <w:szCs w:val="20"/>
                <w:color w:val="auto"/>
              </w:rPr>
              <w:t>29,982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00" w:type="dxa"/>
            <w:vAlign w:val="bottom"/>
          </w:tcPr>
          <w:p>
            <w:pPr>
              <w:spacing w:after="0"/>
              <w:rPr>
                <w:sz w:val="20"/>
                <w:szCs w:val="20"/>
                <w:color w:val="auto"/>
              </w:rPr>
            </w:pPr>
            <w:r>
              <w:rPr>
                <w:rFonts w:ascii="Arial" w:cs="Arial" w:eastAsia="Arial" w:hAnsi="Arial"/>
                <w:sz w:val="20"/>
                <w:szCs w:val="20"/>
                <w:color w:val="auto"/>
              </w:rPr>
              <w:t>Variable rate demand notes</w:t>
            </w:r>
          </w:p>
        </w:tc>
        <w:tc>
          <w:tcPr>
            <w:tcW w:w="240" w:type="dxa"/>
            <w:vAlign w:val="bottom"/>
          </w:tcPr>
          <w:p>
            <w:pPr>
              <w:spacing w:after="0"/>
              <w:rPr>
                <w:sz w:val="19"/>
                <w:szCs w:val="19"/>
                <w:color w:val="auto"/>
              </w:rPr>
            </w:pPr>
          </w:p>
        </w:tc>
        <w:tc>
          <w:tcPr>
            <w:tcW w:w="120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360" w:type="dxa"/>
            <w:vAlign w:val="bottom"/>
          </w:tcPr>
          <w:p>
            <w:pPr>
              <w:spacing w:after="0"/>
              <w:rPr>
                <w:sz w:val="19"/>
                <w:szCs w:val="19"/>
                <w:color w:val="auto"/>
              </w:rPr>
            </w:pPr>
          </w:p>
        </w:tc>
        <w:tc>
          <w:tcPr>
            <w:tcW w:w="1200" w:type="dxa"/>
            <w:vAlign w:val="bottom"/>
          </w:tcPr>
          <w:p>
            <w:pPr>
              <w:jc w:val="right"/>
              <w:ind w:right="81"/>
              <w:spacing w:after="0"/>
              <w:rPr>
                <w:sz w:val="20"/>
                <w:szCs w:val="20"/>
                <w:color w:val="auto"/>
              </w:rPr>
            </w:pPr>
            <w:r>
              <w:rPr>
                <w:rFonts w:ascii="Arial" w:cs="Arial" w:eastAsia="Arial" w:hAnsi="Arial"/>
                <w:sz w:val="20"/>
                <w:szCs w:val="20"/>
                <w:color w:val="auto"/>
              </w:rPr>
              <w:t>6,501</w:t>
            </w:r>
          </w:p>
        </w:tc>
        <w:tc>
          <w:tcPr>
            <w:tcW w:w="360" w:type="dxa"/>
            <w:vAlign w:val="bottom"/>
          </w:tcPr>
          <w:p>
            <w:pPr>
              <w:spacing w:after="0"/>
              <w:rPr>
                <w:sz w:val="19"/>
                <w:szCs w:val="19"/>
                <w:color w:val="auto"/>
              </w:rPr>
            </w:pPr>
          </w:p>
        </w:tc>
        <w:tc>
          <w:tcPr>
            <w:tcW w:w="116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400" w:type="dxa"/>
            <w:vAlign w:val="bottom"/>
          </w:tcPr>
          <w:p>
            <w:pPr>
              <w:spacing w:after="0"/>
              <w:rPr>
                <w:sz w:val="19"/>
                <w:szCs w:val="19"/>
                <w:color w:val="auto"/>
              </w:rPr>
            </w:pPr>
          </w:p>
        </w:tc>
        <w:tc>
          <w:tcPr>
            <w:tcW w:w="1080" w:type="dxa"/>
            <w:vAlign w:val="bottom"/>
          </w:tcPr>
          <w:p>
            <w:pPr>
              <w:jc w:val="right"/>
              <w:ind w:right="41"/>
              <w:spacing w:after="0"/>
              <w:rPr>
                <w:sz w:val="20"/>
                <w:szCs w:val="20"/>
                <w:color w:val="auto"/>
              </w:rPr>
            </w:pPr>
            <w:r>
              <w:rPr>
                <w:rFonts w:ascii="Arial" w:cs="Arial" w:eastAsia="Arial" w:hAnsi="Arial"/>
                <w:sz w:val="20"/>
                <w:szCs w:val="20"/>
                <w:color w:val="auto"/>
              </w:rPr>
              <w:t>6,501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20"/>
                <w:szCs w:val="20"/>
                <w:color w:val="auto"/>
              </w:rPr>
              <w:t>Auction rate securities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81"/>
              <w:spacing w:after="0"/>
              <w:rPr>
                <w:sz w:val="20"/>
                <w:szCs w:val="20"/>
                <w:color w:val="auto"/>
              </w:rPr>
            </w:pPr>
            <w:r>
              <w:rPr>
                <w:rFonts w:ascii="Arial" w:cs="Arial" w:eastAsia="Arial" w:hAnsi="Arial"/>
                <w:sz w:val="20"/>
                <w:szCs w:val="20"/>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81"/>
              <w:spacing w:after="0"/>
              <w:rPr>
                <w:sz w:val="20"/>
                <w:szCs w:val="20"/>
                <w:color w:val="auto"/>
              </w:rPr>
            </w:pPr>
            <w:r>
              <w:rPr>
                <w:rFonts w:ascii="Arial" w:cs="Arial" w:eastAsia="Arial" w:hAnsi="Arial"/>
                <w:sz w:val="20"/>
                <w:szCs w:val="20"/>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61"/>
              <w:spacing w:after="0"/>
              <w:rPr>
                <w:sz w:val="20"/>
                <w:szCs w:val="20"/>
                <w:color w:val="auto"/>
              </w:rPr>
            </w:pPr>
            <w:r>
              <w:rPr>
                <w:rFonts w:ascii="Arial" w:cs="Arial" w:eastAsia="Arial" w:hAnsi="Arial"/>
                <w:sz w:val="20"/>
                <w:szCs w:val="20"/>
                <w:color w:val="auto"/>
              </w:rPr>
              <w:t>20,755</w:t>
            </w: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41"/>
              <w:spacing w:after="0"/>
              <w:rPr>
                <w:sz w:val="20"/>
                <w:szCs w:val="20"/>
                <w:color w:val="auto"/>
              </w:rPr>
            </w:pPr>
            <w:r>
              <w:rPr>
                <w:rFonts w:ascii="Arial" w:cs="Arial" w:eastAsia="Arial" w:hAnsi="Arial"/>
                <w:sz w:val="20"/>
                <w:szCs w:val="20"/>
                <w:color w:val="auto"/>
              </w:rPr>
              <w:t>20,755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00" w:type="dxa"/>
            <w:vAlign w:val="bottom"/>
            <w:tcBorders>
              <w:bottom w:val="single" w:sz="8" w:color="CCEEFF"/>
            </w:tcBorders>
          </w:tcPr>
          <w:p>
            <w:pPr>
              <w:spacing w:after="0"/>
              <w:rPr>
                <w:sz w:val="20"/>
                <w:szCs w:val="20"/>
                <w:color w:val="auto"/>
              </w:rPr>
            </w:pPr>
            <w:r>
              <w:rPr>
                <w:rFonts w:ascii="Arial" w:cs="Arial" w:eastAsia="Arial" w:hAnsi="Arial"/>
                <w:sz w:val="20"/>
                <w:szCs w:val="20"/>
                <w:color w:val="auto"/>
              </w:rPr>
              <w:t>Put option related to auction rate securities</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rPr>
              <w:t>-</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rPr>
              <w:t>-</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color w:val="auto"/>
              </w:rPr>
              <w:t>1,931</w:t>
            </w: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1,931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00" w:type="dxa"/>
            <w:vAlign w:val="bottom"/>
            <w:tcBorders>
              <w:bottom w:val="single" w:sz="8" w:color="CCEEFF"/>
            </w:tcBorders>
            <w:shd w:val="clear" w:color="auto" w:fill="CCEEFF"/>
          </w:tcPr>
          <w:p>
            <w:pPr>
              <w:ind w:left="160"/>
              <w:spacing w:after="0" w:line="223" w:lineRule="exact"/>
              <w:rPr>
                <w:sz w:val="20"/>
                <w:szCs w:val="20"/>
                <w:color w:val="auto"/>
              </w:rPr>
            </w:pPr>
            <w:r>
              <w:rPr>
                <w:rFonts w:ascii="Arial" w:cs="Arial" w:eastAsia="Arial" w:hAnsi="Arial"/>
                <w:sz w:val="20"/>
                <w:szCs w:val="20"/>
                <w:color w:val="auto"/>
              </w:rPr>
              <w:t>Total</w:t>
            </w:r>
          </w:p>
        </w:tc>
        <w:tc>
          <w:tcPr>
            <w:tcW w:w="240" w:type="dxa"/>
            <w:vAlign w:val="bottom"/>
            <w:tcBorders>
              <w:bottom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rPr>
              <w:t>$</w:t>
            </w:r>
          </w:p>
        </w:tc>
        <w:tc>
          <w:tcPr>
            <w:tcW w:w="1200" w:type="dxa"/>
            <w:vAlign w:val="bottom"/>
            <w:tcBorders>
              <w:bottom w:val="single" w:sz="8" w:color="auto"/>
            </w:tcBorders>
            <w:shd w:val="clear" w:color="auto" w:fill="CCEEFF"/>
          </w:tcPr>
          <w:p>
            <w:pPr>
              <w:jc w:val="right"/>
              <w:ind w:right="81"/>
              <w:spacing w:after="0" w:line="223" w:lineRule="exact"/>
              <w:rPr>
                <w:sz w:val="20"/>
                <w:szCs w:val="20"/>
                <w:color w:val="auto"/>
              </w:rPr>
            </w:pPr>
            <w:r>
              <w:rPr>
                <w:rFonts w:ascii="Arial" w:cs="Arial" w:eastAsia="Arial" w:hAnsi="Arial"/>
                <w:sz w:val="20"/>
                <w:szCs w:val="20"/>
                <w:color w:val="auto"/>
              </w:rPr>
              <w:t>282,438</w:t>
            </w:r>
          </w:p>
        </w:tc>
        <w:tc>
          <w:tcPr>
            <w:tcW w:w="360" w:type="dxa"/>
            <w:vAlign w:val="bottom"/>
            <w:tcBorders>
              <w:bottom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rPr>
              <w:t>$</w:t>
            </w:r>
          </w:p>
        </w:tc>
        <w:tc>
          <w:tcPr>
            <w:tcW w:w="1200" w:type="dxa"/>
            <w:vAlign w:val="bottom"/>
            <w:tcBorders>
              <w:bottom w:val="single" w:sz="8" w:color="auto"/>
            </w:tcBorders>
            <w:shd w:val="clear" w:color="auto" w:fill="CCEEFF"/>
          </w:tcPr>
          <w:p>
            <w:pPr>
              <w:jc w:val="right"/>
              <w:ind w:right="81"/>
              <w:spacing w:after="0" w:line="223" w:lineRule="exact"/>
              <w:rPr>
                <w:sz w:val="20"/>
                <w:szCs w:val="20"/>
                <w:color w:val="auto"/>
              </w:rPr>
            </w:pPr>
            <w:r>
              <w:rPr>
                <w:rFonts w:ascii="Arial" w:cs="Arial" w:eastAsia="Arial" w:hAnsi="Arial"/>
                <w:sz w:val="20"/>
                <w:szCs w:val="20"/>
                <w:color w:val="auto"/>
              </w:rPr>
              <w:t>307,397</w:t>
            </w:r>
          </w:p>
        </w:tc>
        <w:tc>
          <w:tcPr>
            <w:tcW w:w="360" w:type="dxa"/>
            <w:vAlign w:val="bottom"/>
            <w:tcBorders>
              <w:bottom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rPr>
              <w:t>$</w:t>
            </w:r>
          </w:p>
        </w:tc>
        <w:tc>
          <w:tcPr>
            <w:tcW w:w="1160" w:type="dxa"/>
            <w:vAlign w:val="bottom"/>
            <w:tcBorders>
              <w:bottom w:val="single" w:sz="8" w:color="auto"/>
            </w:tcBorders>
            <w:shd w:val="clear" w:color="auto" w:fill="CCEEFF"/>
          </w:tcPr>
          <w:p>
            <w:pPr>
              <w:jc w:val="right"/>
              <w:ind w:right="61"/>
              <w:spacing w:after="0" w:line="223" w:lineRule="exact"/>
              <w:rPr>
                <w:sz w:val="20"/>
                <w:szCs w:val="20"/>
                <w:color w:val="auto"/>
              </w:rPr>
            </w:pPr>
            <w:r>
              <w:rPr>
                <w:rFonts w:ascii="Arial" w:cs="Arial" w:eastAsia="Arial" w:hAnsi="Arial"/>
                <w:sz w:val="20"/>
                <w:szCs w:val="20"/>
                <w:color w:val="auto"/>
              </w:rPr>
              <w:t>22,686</w:t>
            </w:r>
          </w:p>
        </w:tc>
        <w:tc>
          <w:tcPr>
            <w:tcW w:w="400" w:type="dxa"/>
            <w:vAlign w:val="bottom"/>
            <w:tcBorders>
              <w:bottom w:val="single" w:sz="8" w:color="auto"/>
            </w:tcBorders>
            <w:shd w:val="clear" w:color="auto" w:fill="CCEEFF"/>
          </w:tcPr>
          <w:p>
            <w:pPr>
              <w:jc w:val="right"/>
              <w:ind w:right="41"/>
              <w:spacing w:after="0" w:line="223" w:lineRule="exact"/>
              <w:rPr>
                <w:sz w:val="20"/>
                <w:szCs w:val="20"/>
                <w:color w:val="auto"/>
              </w:rPr>
            </w:pPr>
            <w:r>
              <w:rPr>
                <w:rFonts w:ascii="Arial" w:cs="Arial" w:eastAsia="Arial" w:hAnsi="Arial"/>
                <w:sz w:val="20"/>
                <w:szCs w:val="20"/>
                <w:color w:val="auto"/>
              </w:rPr>
              <w:t>$</w:t>
            </w:r>
          </w:p>
        </w:tc>
        <w:tc>
          <w:tcPr>
            <w:tcW w:w="1080" w:type="dxa"/>
            <w:vAlign w:val="bottom"/>
            <w:tcBorders>
              <w:bottom w:val="single" w:sz="8" w:color="auto"/>
            </w:tcBorders>
            <w:shd w:val="clear" w:color="auto" w:fill="CCEEFF"/>
          </w:tcPr>
          <w:p>
            <w:pPr>
              <w:jc w:val="right"/>
              <w:ind w:right="41"/>
              <w:spacing w:after="0" w:line="223" w:lineRule="exact"/>
              <w:rPr>
                <w:sz w:val="20"/>
                <w:szCs w:val="20"/>
                <w:color w:val="auto"/>
              </w:rPr>
            </w:pPr>
            <w:r>
              <w:rPr>
                <w:rFonts w:ascii="Arial" w:cs="Arial" w:eastAsia="Arial" w:hAnsi="Arial"/>
                <w:sz w:val="20"/>
                <w:szCs w:val="20"/>
                <w:color w:val="auto"/>
              </w:rPr>
              <w:t>612,521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20"/>
                <w:szCs w:val="20"/>
                <w:color w:val="auto"/>
              </w:rPr>
              <w:t>Amounts included in:</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00" w:type="dxa"/>
            <w:vAlign w:val="bottom"/>
          </w:tcPr>
          <w:p>
            <w:pPr>
              <w:ind w:left="40"/>
              <w:spacing w:after="0"/>
              <w:rPr>
                <w:sz w:val="20"/>
                <w:szCs w:val="20"/>
                <w:color w:val="auto"/>
              </w:rPr>
            </w:pPr>
            <w:r>
              <w:rPr>
                <w:rFonts w:ascii="Arial" w:cs="Arial" w:eastAsia="Arial" w:hAnsi="Arial"/>
                <w:sz w:val="20"/>
                <w:szCs w:val="20"/>
                <w:color w:val="auto"/>
              </w:rPr>
              <w:t>Cash and cash equivalents</w:t>
            </w:r>
          </w:p>
        </w:tc>
        <w:tc>
          <w:tcPr>
            <w:tcW w:w="240" w:type="dxa"/>
            <w:vAlign w:val="bottom"/>
          </w:tcPr>
          <w:p>
            <w:pPr>
              <w:jc w:val="right"/>
              <w:spacing w:after="0"/>
              <w:rPr>
                <w:sz w:val="20"/>
                <w:szCs w:val="20"/>
                <w:color w:val="auto"/>
              </w:rPr>
            </w:pPr>
            <w:r>
              <w:rPr>
                <w:rFonts w:ascii="Arial" w:cs="Arial" w:eastAsia="Arial" w:hAnsi="Arial"/>
                <w:sz w:val="20"/>
                <w:szCs w:val="20"/>
                <w:color w:val="auto"/>
              </w:rPr>
              <w:t>$</w:t>
            </w:r>
          </w:p>
        </w:tc>
        <w:tc>
          <w:tcPr>
            <w:tcW w:w="1200" w:type="dxa"/>
            <w:vAlign w:val="bottom"/>
          </w:tcPr>
          <w:p>
            <w:pPr>
              <w:jc w:val="right"/>
              <w:ind w:right="81"/>
              <w:spacing w:after="0"/>
              <w:rPr>
                <w:sz w:val="20"/>
                <w:szCs w:val="20"/>
                <w:color w:val="auto"/>
              </w:rPr>
            </w:pPr>
            <w:r>
              <w:rPr>
                <w:rFonts w:ascii="Arial" w:cs="Arial" w:eastAsia="Arial" w:hAnsi="Arial"/>
                <w:sz w:val="20"/>
                <w:szCs w:val="20"/>
                <w:color w:val="auto"/>
              </w:rPr>
              <w:t>282,438</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1200" w:type="dxa"/>
            <w:vAlign w:val="bottom"/>
          </w:tcPr>
          <w:p>
            <w:pPr>
              <w:jc w:val="right"/>
              <w:ind w:right="81"/>
              <w:spacing w:after="0"/>
              <w:rPr>
                <w:sz w:val="20"/>
                <w:szCs w:val="20"/>
                <w:color w:val="auto"/>
              </w:rPr>
            </w:pPr>
            <w:r>
              <w:rPr>
                <w:rFonts w:ascii="Arial" w:cs="Arial" w:eastAsia="Arial" w:hAnsi="Arial"/>
                <w:sz w:val="20"/>
                <w:szCs w:val="20"/>
                <w:color w:val="auto"/>
              </w:rPr>
              <w:t>616</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116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40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1080" w:type="dxa"/>
            <w:vAlign w:val="bottom"/>
          </w:tcPr>
          <w:p>
            <w:pPr>
              <w:jc w:val="right"/>
              <w:ind w:right="41"/>
              <w:spacing w:after="0"/>
              <w:rPr>
                <w:sz w:val="20"/>
                <w:szCs w:val="20"/>
                <w:color w:val="auto"/>
              </w:rPr>
            </w:pPr>
            <w:r>
              <w:rPr>
                <w:rFonts w:ascii="Arial" w:cs="Arial" w:eastAsia="Arial" w:hAnsi="Arial"/>
                <w:sz w:val="20"/>
                <w:szCs w:val="20"/>
                <w:color w:val="auto"/>
              </w:rPr>
              <w:t>283,054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00" w:type="dxa"/>
            <w:vAlign w:val="bottom"/>
            <w:shd w:val="clear" w:color="auto" w:fill="CCEEFF"/>
          </w:tcPr>
          <w:p>
            <w:pPr>
              <w:ind w:left="40"/>
              <w:spacing w:after="0"/>
              <w:rPr>
                <w:sz w:val="20"/>
                <w:szCs w:val="20"/>
                <w:color w:val="auto"/>
              </w:rPr>
            </w:pPr>
            <w:r>
              <w:rPr>
                <w:rFonts w:ascii="Arial" w:cs="Arial" w:eastAsia="Arial" w:hAnsi="Arial"/>
                <w:sz w:val="20"/>
                <w:szCs w:val="20"/>
                <w:color w:val="auto"/>
              </w:rPr>
              <w:t>Short-term investments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81"/>
              <w:spacing w:after="0"/>
              <w:rPr>
                <w:sz w:val="20"/>
                <w:szCs w:val="20"/>
                <w:color w:val="auto"/>
              </w:rPr>
            </w:pPr>
            <w:r>
              <w:rPr>
                <w:rFonts w:ascii="Arial" w:cs="Arial" w:eastAsia="Arial" w:hAnsi="Arial"/>
                <w:sz w:val="20"/>
                <w:szCs w:val="20"/>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81"/>
              <w:spacing w:after="0"/>
              <w:rPr>
                <w:sz w:val="20"/>
                <w:szCs w:val="20"/>
                <w:color w:val="auto"/>
              </w:rPr>
            </w:pPr>
            <w:r>
              <w:rPr>
                <w:rFonts w:ascii="Arial" w:cs="Arial" w:eastAsia="Arial" w:hAnsi="Arial"/>
                <w:sz w:val="20"/>
                <w:szCs w:val="20"/>
                <w:color w:val="auto"/>
              </w:rPr>
              <w:t>306,781</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61"/>
              <w:spacing w:after="0"/>
              <w:rPr>
                <w:sz w:val="20"/>
                <w:szCs w:val="20"/>
                <w:color w:val="auto"/>
              </w:rPr>
            </w:pPr>
            <w:r>
              <w:rPr>
                <w:rFonts w:ascii="Arial" w:cs="Arial" w:eastAsia="Arial" w:hAnsi="Arial"/>
                <w:sz w:val="20"/>
                <w:szCs w:val="20"/>
                <w:color w:val="auto"/>
              </w:rPr>
              <w:t>873</w:t>
            </w: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41"/>
              <w:spacing w:after="0"/>
              <w:rPr>
                <w:sz w:val="20"/>
                <w:szCs w:val="20"/>
                <w:color w:val="auto"/>
              </w:rPr>
            </w:pPr>
            <w:r>
              <w:rPr>
                <w:rFonts w:ascii="Arial" w:cs="Arial" w:eastAsia="Arial" w:hAnsi="Arial"/>
                <w:sz w:val="20"/>
                <w:szCs w:val="20"/>
                <w:color w:val="auto"/>
              </w:rPr>
              <w:t>307,654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00" w:type="dxa"/>
            <w:vAlign w:val="bottom"/>
          </w:tcPr>
          <w:p>
            <w:pPr>
              <w:ind w:left="40"/>
              <w:spacing w:after="0"/>
              <w:rPr>
                <w:sz w:val="20"/>
                <w:szCs w:val="20"/>
                <w:color w:val="auto"/>
              </w:rPr>
            </w:pPr>
            <w:r>
              <w:rPr>
                <w:rFonts w:ascii="Arial" w:cs="Arial" w:eastAsia="Arial" w:hAnsi="Arial"/>
                <w:sz w:val="20"/>
                <w:szCs w:val="20"/>
                <w:color w:val="auto"/>
              </w:rPr>
              <w:t>Investments</w:t>
            </w:r>
          </w:p>
        </w:tc>
        <w:tc>
          <w:tcPr>
            <w:tcW w:w="240" w:type="dxa"/>
            <w:vAlign w:val="bottom"/>
          </w:tcPr>
          <w:p>
            <w:pPr>
              <w:spacing w:after="0"/>
              <w:rPr>
                <w:sz w:val="19"/>
                <w:szCs w:val="19"/>
                <w:color w:val="auto"/>
              </w:rPr>
            </w:pPr>
          </w:p>
        </w:tc>
        <w:tc>
          <w:tcPr>
            <w:tcW w:w="120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360" w:type="dxa"/>
            <w:vAlign w:val="bottom"/>
          </w:tcPr>
          <w:p>
            <w:pPr>
              <w:spacing w:after="0"/>
              <w:rPr>
                <w:sz w:val="19"/>
                <w:szCs w:val="19"/>
                <w:color w:val="auto"/>
              </w:rPr>
            </w:pPr>
          </w:p>
        </w:tc>
        <w:tc>
          <w:tcPr>
            <w:tcW w:w="120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360" w:type="dxa"/>
            <w:vAlign w:val="bottom"/>
          </w:tcPr>
          <w:p>
            <w:pPr>
              <w:spacing w:after="0"/>
              <w:rPr>
                <w:sz w:val="19"/>
                <w:szCs w:val="19"/>
                <w:color w:val="auto"/>
              </w:rPr>
            </w:pPr>
          </w:p>
        </w:tc>
        <w:tc>
          <w:tcPr>
            <w:tcW w:w="1160" w:type="dxa"/>
            <w:vAlign w:val="bottom"/>
          </w:tcPr>
          <w:p>
            <w:pPr>
              <w:jc w:val="right"/>
              <w:ind w:right="61"/>
              <w:spacing w:after="0"/>
              <w:rPr>
                <w:sz w:val="20"/>
                <w:szCs w:val="20"/>
                <w:color w:val="auto"/>
              </w:rPr>
            </w:pPr>
            <w:r>
              <w:rPr>
                <w:rFonts w:ascii="Arial" w:cs="Arial" w:eastAsia="Arial" w:hAnsi="Arial"/>
                <w:sz w:val="20"/>
                <w:szCs w:val="20"/>
                <w:color w:val="auto"/>
              </w:rPr>
              <w:t>19,882</w:t>
            </w:r>
          </w:p>
        </w:tc>
        <w:tc>
          <w:tcPr>
            <w:tcW w:w="400" w:type="dxa"/>
            <w:vAlign w:val="bottom"/>
          </w:tcPr>
          <w:p>
            <w:pPr>
              <w:spacing w:after="0"/>
              <w:rPr>
                <w:sz w:val="19"/>
                <w:szCs w:val="19"/>
                <w:color w:val="auto"/>
              </w:rPr>
            </w:pPr>
          </w:p>
        </w:tc>
        <w:tc>
          <w:tcPr>
            <w:tcW w:w="1080" w:type="dxa"/>
            <w:vAlign w:val="bottom"/>
          </w:tcPr>
          <w:p>
            <w:pPr>
              <w:jc w:val="right"/>
              <w:ind w:right="41"/>
              <w:spacing w:after="0"/>
              <w:rPr>
                <w:sz w:val="20"/>
                <w:szCs w:val="20"/>
                <w:color w:val="auto"/>
              </w:rPr>
            </w:pPr>
            <w:r>
              <w:rPr>
                <w:rFonts w:ascii="Arial" w:cs="Arial" w:eastAsia="Arial" w:hAnsi="Arial"/>
                <w:sz w:val="20"/>
                <w:szCs w:val="20"/>
                <w:color w:val="auto"/>
              </w:rPr>
              <w:t>19,882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00" w:type="dxa"/>
            <w:vAlign w:val="bottom"/>
            <w:shd w:val="clear" w:color="auto" w:fill="CCEEFF"/>
          </w:tcPr>
          <w:p>
            <w:pPr>
              <w:ind w:left="40"/>
              <w:spacing w:after="0"/>
              <w:rPr>
                <w:sz w:val="20"/>
                <w:szCs w:val="20"/>
                <w:color w:val="auto"/>
              </w:rPr>
            </w:pPr>
            <w:r>
              <w:rPr>
                <w:rFonts w:ascii="Arial" w:cs="Arial" w:eastAsia="Arial" w:hAnsi="Arial"/>
                <w:sz w:val="20"/>
                <w:szCs w:val="20"/>
                <w:color w:val="auto"/>
              </w:rPr>
              <w:t>Prepaid expenses and other current assets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81"/>
              <w:spacing w:after="0"/>
              <w:rPr>
                <w:sz w:val="20"/>
                <w:szCs w:val="20"/>
                <w:color w:val="auto"/>
              </w:rPr>
            </w:pPr>
            <w:r>
              <w:rPr>
                <w:rFonts w:ascii="Arial" w:cs="Arial" w:eastAsia="Arial" w:hAnsi="Arial"/>
                <w:sz w:val="20"/>
                <w:szCs w:val="20"/>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81"/>
              <w:spacing w:after="0"/>
              <w:rPr>
                <w:sz w:val="20"/>
                <w:szCs w:val="20"/>
                <w:color w:val="auto"/>
              </w:rPr>
            </w:pPr>
            <w:r>
              <w:rPr>
                <w:rFonts w:ascii="Arial" w:cs="Arial" w:eastAsia="Arial" w:hAnsi="Arial"/>
                <w:sz w:val="20"/>
                <w:szCs w:val="20"/>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61"/>
              <w:spacing w:after="0"/>
              <w:rPr>
                <w:sz w:val="20"/>
                <w:szCs w:val="20"/>
                <w:color w:val="auto"/>
              </w:rPr>
            </w:pPr>
            <w:r>
              <w:rPr>
                <w:rFonts w:ascii="Arial" w:cs="Arial" w:eastAsia="Arial" w:hAnsi="Arial"/>
                <w:sz w:val="20"/>
                <w:szCs w:val="20"/>
                <w:color w:val="auto"/>
              </w:rPr>
              <w:t>121</w:t>
            </w: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41"/>
              <w:spacing w:after="0"/>
              <w:rPr>
                <w:sz w:val="20"/>
                <w:szCs w:val="20"/>
                <w:color w:val="auto"/>
              </w:rPr>
            </w:pPr>
            <w:r>
              <w:rPr>
                <w:rFonts w:ascii="Arial" w:cs="Arial" w:eastAsia="Arial" w:hAnsi="Arial"/>
                <w:sz w:val="20"/>
                <w:szCs w:val="20"/>
                <w:color w:val="auto"/>
              </w:rPr>
              <w:t>121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00" w:type="dxa"/>
            <w:vAlign w:val="bottom"/>
            <w:tcBorders>
              <w:bottom w:val="single" w:sz="8" w:color="CCEEFF"/>
            </w:tcBorders>
          </w:tcPr>
          <w:p>
            <w:pPr>
              <w:ind w:left="40"/>
              <w:spacing w:after="0"/>
              <w:rPr>
                <w:sz w:val="20"/>
                <w:szCs w:val="20"/>
                <w:color w:val="auto"/>
              </w:rPr>
            </w:pPr>
            <w:r>
              <w:rPr>
                <w:rFonts w:ascii="Arial" w:cs="Arial" w:eastAsia="Arial" w:hAnsi="Arial"/>
                <w:sz w:val="20"/>
                <w:szCs w:val="20"/>
                <w:color w:val="auto"/>
              </w:rPr>
              <w:t>Other assets</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rPr>
              <w:t>-</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rPr>
              <w:t>-</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color w:val="auto"/>
              </w:rPr>
              <w:t>1,810</w:t>
            </w: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1,810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00" w:type="dxa"/>
            <w:vAlign w:val="bottom"/>
            <w:tcBorders>
              <w:bottom w:val="single" w:sz="8" w:color="CCEEFF"/>
            </w:tcBorders>
            <w:shd w:val="clear" w:color="auto" w:fill="CCEEFF"/>
          </w:tcPr>
          <w:p>
            <w:pPr>
              <w:ind w:left="160"/>
              <w:spacing w:after="0" w:line="223" w:lineRule="exact"/>
              <w:rPr>
                <w:sz w:val="20"/>
                <w:szCs w:val="20"/>
                <w:color w:val="auto"/>
              </w:rPr>
            </w:pPr>
            <w:r>
              <w:rPr>
                <w:rFonts w:ascii="Arial" w:cs="Arial" w:eastAsia="Arial" w:hAnsi="Arial"/>
                <w:sz w:val="20"/>
                <w:szCs w:val="20"/>
                <w:color w:val="auto"/>
              </w:rPr>
              <w:t>Total</w:t>
            </w:r>
          </w:p>
        </w:tc>
        <w:tc>
          <w:tcPr>
            <w:tcW w:w="240" w:type="dxa"/>
            <w:vAlign w:val="bottom"/>
            <w:tcBorders>
              <w:bottom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rPr>
              <w:t>$</w:t>
            </w:r>
          </w:p>
        </w:tc>
        <w:tc>
          <w:tcPr>
            <w:tcW w:w="1200" w:type="dxa"/>
            <w:vAlign w:val="bottom"/>
            <w:tcBorders>
              <w:bottom w:val="single" w:sz="8" w:color="auto"/>
            </w:tcBorders>
            <w:shd w:val="clear" w:color="auto" w:fill="CCEEFF"/>
          </w:tcPr>
          <w:p>
            <w:pPr>
              <w:jc w:val="right"/>
              <w:ind w:right="81"/>
              <w:spacing w:after="0" w:line="223" w:lineRule="exact"/>
              <w:rPr>
                <w:sz w:val="20"/>
                <w:szCs w:val="20"/>
                <w:color w:val="auto"/>
              </w:rPr>
            </w:pPr>
            <w:r>
              <w:rPr>
                <w:rFonts w:ascii="Arial" w:cs="Arial" w:eastAsia="Arial" w:hAnsi="Arial"/>
                <w:sz w:val="20"/>
                <w:szCs w:val="20"/>
                <w:color w:val="auto"/>
              </w:rPr>
              <w:t>282,438</w:t>
            </w:r>
          </w:p>
        </w:tc>
        <w:tc>
          <w:tcPr>
            <w:tcW w:w="360" w:type="dxa"/>
            <w:vAlign w:val="bottom"/>
            <w:tcBorders>
              <w:bottom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rPr>
              <w:t>$</w:t>
            </w:r>
          </w:p>
        </w:tc>
        <w:tc>
          <w:tcPr>
            <w:tcW w:w="1200" w:type="dxa"/>
            <w:vAlign w:val="bottom"/>
            <w:tcBorders>
              <w:bottom w:val="single" w:sz="8" w:color="auto"/>
            </w:tcBorders>
            <w:shd w:val="clear" w:color="auto" w:fill="CCEEFF"/>
          </w:tcPr>
          <w:p>
            <w:pPr>
              <w:jc w:val="right"/>
              <w:ind w:right="81"/>
              <w:spacing w:after="0" w:line="223" w:lineRule="exact"/>
              <w:rPr>
                <w:sz w:val="20"/>
                <w:szCs w:val="20"/>
                <w:color w:val="auto"/>
              </w:rPr>
            </w:pPr>
            <w:r>
              <w:rPr>
                <w:rFonts w:ascii="Arial" w:cs="Arial" w:eastAsia="Arial" w:hAnsi="Arial"/>
                <w:sz w:val="20"/>
                <w:szCs w:val="20"/>
                <w:color w:val="auto"/>
              </w:rPr>
              <w:t>307,397</w:t>
            </w:r>
          </w:p>
        </w:tc>
        <w:tc>
          <w:tcPr>
            <w:tcW w:w="360" w:type="dxa"/>
            <w:vAlign w:val="bottom"/>
            <w:tcBorders>
              <w:bottom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rPr>
              <w:t>$</w:t>
            </w:r>
          </w:p>
        </w:tc>
        <w:tc>
          <w:tcPr>
            <w:tcW w:w="1160" w:type="dxa"/>
            <w:vAlign w:val="bottom"/>
            <w:tcBorders>
              <w:bottom w:val="single" w:sz="8" w:color="auto"/>
            </w:tcBorders>
            <w:shd w:val="clear" w:color="auto" w:fill="CCEEFF"/>
          </w:tcPr>
          <w:p>
            <w:pPr>
              <w:jc w:val="right"/>
              <w:ind w:right="61"/>
              <w:spacing w:after="0" w:line="223" w:lineRule="exact"/>
              <w:rPr>
                <w:sz w:val="20"/>
                <w:szCs w:val="20"/>
                <w:color w:val="auto"/>
              </w:rPr>
            </w:pPr>
            <w:r>
              <w:rPr>
                <w:rFonts w:ascii="Arial" w:cs="Arial" w:eastAsia="Arial" w:hAnsi="Arial"/>
                <w:sz w:val="20"/>
                <w:szCs w:val="20"/>
                <w:color w:val="auto"/>
              </w:rPr>
              <w:t>22,686</w:t>
            </w:r>
          </w:p>
        </w:tc>
        <w:tc>
          <w:tcPr>
            <w:tcW w:w="400" w:type="dxa"/>
            <w:vAlign w:val="bottom"/>
            <w:tcBorders>
              <w:bottom w:val="single" w:sz="8" w:color="auto"/>
            </w:tcBorders>
            <w:shd w:val="clear" w:color="auto" w:fill="CCEEFF"/>
          </w:tcPr>
          <w:p>
            <w:pPr>
              <w:jc w:val="right"/>
              <w:ind w:right="41"/>
              <w:spacing w:after="0" w:line="223" w:lineRule="exact"/>
              <w:rPr>
                <w:sz w:val="20"/>
                <w:szCs w:val="20"/>
                <w:color w:val="auto"/>
              </w:rPr>
            </w:pPr>
            <w:r>
              <w:rPr>
                <w:rFonts w:ascii="Arial" w:cs="Arial" w:eastAsia="Arial" w:hAnsi="Arial"/>
                <w:sz w:val="20"/>
                <w:szCs w:val="20"/>
                <w:color w:val="auto"/>
              </w:rPr>
              <w:t>$</w:t>
            </w:r>
          </w:p>
        </w:tc>
        <w:tc>
          <w:tcPr>
            <w:tcW w:w="1080" w:type="dxa"/>
            <w:vAlign w:val="bottom"/>
            <w:tcBorders>
              <w:bottom w:val="single" w:sz="8" w:color="auto"/>
            </w:tcBorders>
            <w:shd w:val="clear" w:color="auto" w:fill="CCEEFF"/>
          </w:tcPr>
          <w:p>
            <w:pPr>
              <w:jc w:val="right"/>
              <w:ind w:right="41"/>
              <w:spacing w:after="0" w:line="223" w:lineRule="exact"/>
              <w:rPr>
                <w:sz w:val="20"/>
                <w:szCs w:val="20"/>
                <w:color w:val="auto"/>
              </w:rPr>
            </w:pPr>
            <w:r>
              <w:rPr>
                <w:rFonts w:ascii="Arial" w:cs="Arial" w:eastAsia="Arial" w:hAnsi="Arial"/>
                <w:sz w:val="20"/>
                <w:szCs w:val="20"/>
                <w:color w:val="auto"/>
              </w:rPr>
              <w:t>612,521</w:t>
            </w:r>
          </w:p>
        </w:tc>
        <w:tc>
          <w:tcPr>
            <w:tcW w:w="0" w:type="dxa"/>
            <w:vAlign w:val="bottom"/>
          </w:tcPr>
          <w:p>
            <w:pPr>
              <w:spacing w:after="0"/>
              <w:rPr>
                <w:sz w:val="1"/>
                <w:szCs w:val="1"/>
                <w:color w:val="auto"/>
              </w:rPr>
            </w:pPr>
          </w:p>
        </w:tc>
      </w:tr>
      <w:tr>
        <w:trPr>
          <w:trHeight w:val="20"/>
        </w:trPr>
        <w:tc>
          <w:tcPr>
            <w:tcW w:w="5420" w:type="dxa"/>
            <w:vAlign w:val="bottom"/>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420" w:type="dxa"/>
            <w:vAlign w:val="bottom"/>
            <w:gridSpan w:val="2"/>
          </w:tcPr>
          <w:p>
            <w:pPr>
              <w:spacing w:after="0"/>
              <w:rPr>
                <w:sz w:val="20"/>
                <w:szCs w:val="20"/>
                <w:color w:val="auto"/>
              </w:rPr>
            </w:pPr>
            <w:r>
              <w:rPr>
                <w:rFonts w:ascii="Arial" w:cs="Arial" w:eastAsia="Arial" w:hAnsi="Arial"/>
                <w:sz w:val="20"/>
                <w:szCs w:val="20"/>
                <w:color w:val="auto"/>
              </w:rPr>
              <w:t>December 31, 2011</w:t>
            </w:r>
          </w:p>
        </w:tc>
        <w:tc>
          <w:tcPr>
            <w:tcW w:w="240" w:type="dxa"/>
            <w:vAlign w:val="bottom"/>
          </w:tcPr>
          <w:p>
            <w:pPr>
              <w:spacing w:after="0"/>
              <w:rPr>
                <w:sz w:val="24"/>
                <w:szCs w:val="24"/>
                <w:color w:val="auto"/>
              </w:rPr>
            </w:pPr>
          </w:p>
        </w:tc>
        <w:tc>
          <w:tcPr>
            <w:tcW w:w="1200" w:type="dxa"/>
            <w:vAlign w:val="bottom"/>
          </w:tcPr>
          <w:p>
            <w:pPr>
              <w:jc w:val="right"/>
              <w:ind w:right="421"/>
              <w:spacing w:after="0"/>
              <w:rPr>
                <w:sz w:val="20"/>
                <w:szCs w:val="20"/>
                <w:color w:val="auto"/>
              </w:rPr>
            </w:pPr>
            <w:r>
              <w:rPr>
                <w:rFonts w:ascii="Arial" w:cs="Arial" w:eastAsia="Arial" w:hAnsi="Arial"/>
                <w:sz w:val="20"/>
                <w:szCs w:val="20"/>
                <w:color w:val="auto"/>
              </w:rPr>
              <w:t>Level 1</w:t>
            </w:r>
          </w:p>
        </w:tc>
        <w:tc>
          <w:tcPr>
            <w:tcW w:w="360" w:type="dxa"/>
            <w:vAlign w:val="bottom"/>
          </w:tcPr>
          <w:p>
            <w:pPr>
              <w:spacing w:after="0"/>
              <w:rPr>
                <w:sz w:val="24"/>
                <w:szCs w:val="24"/>
                <w:color w:val="auto"/>
              </w:rPr>
            </w:pPr>
          </w:p>
        </w:tc>
        <w:tc>
          <w:tcPr>
            <w:tcW w:w="1200" w:type="dxa"/>
            <w:vAlign w:val="bottom"/>
          </w:tcPr>
          <w:p>
            <w:pPr>
              <w:jc w:val="right"/>
              <w:ind w:right="401"/>
              <w:spacing w:after="0"/>
              <w:rPr>
                <w:sz w:val="20"/>
                <w:szCs w:val="20"/>
                <w:color w:val="auto"/>
              </w:rPr>
            </w:pPr>
            <w:r>
              <w:rPr>
                <w:rFonts w:ascii="Arial" w:cs="Arial" w:eastAsia="Arial" w:hAnsi="Arial"/>
                <w:sz w:val="20"/>
                <w:szCs w:val="20"/>
                <w:color w:val="auto"/>
              </w:rPr>
              <w:t>Level 2</w:t>
            </w:r>
          </w:p>
        </w:tc>
        <w:tc>
          <w:tcPr>
            <w:tcW w:w="360" w:type="dxa"/>
            <w:vAlign w:val="bottom"/>
          </w:tcPr>
          <w:p>
            <w:pPr>
              <w:spacing w:after="0"/>
              <w:rPr>
                <w:sz w:val="24"/>
                <w:szCs w:val="24"/>
                <w:color w:val="auto"/>
              </w:rPr>
            </w:pPr>
          </w:p>
        </w:tc>
        <w:tc>
          <w:tcPr>
            <w:tcW w:w="1160" w:type="dxa"/>
            <w:vAlign w:val="bottom"/>
          </w:tcPr>
          <w:p>
            <w:pPr>
              <w:jc w:val="right"/>
              <w:ind w:right="381"/>
              <w:spacing w:after="0"/>
              <w:rPr>
                <w:sz w:val="20"/>
                <w:szCs w:val="20"/>
                <w:color w:val="auto"/>
              </w:rPr>
            </w:pPr>
            <w:r>
              <w:rPr>
                <w:rFonts w:ascii="Arial" w:cs="Arial" w:eastAsia="Arial" w:hAnsi="Arial"/>
                <w:sz w:val="20"/>
                <w:szCs w:val="20"/>
                <w:color w:val="auto"/>
              </w:rPr>
              <w:t>Level 3</w:t>
            </w:r>
          </w:p>
        </w:tc>
        <w:tc>
          <w:tcPr>
            <w:tcW w:w="400" w:type="dxa"/>
            <w:vAlign w:val="bottom"/>
          </w:tcPr>
          <w:p>
            <w:pPr>
              <w:spacing w:after="0"/>
              <w:rPr>
                <w:sz w:val="24"/>
                <w:szCs w:val="24"/>
                <w:color w:val="auto"/>
              </w:rPr>
            </w:pPr>
          </w:p>
        </w:tc>
        <w:tc>
          <w:tcPr>
            <w:tcW w:w="1080" w:type="dxa"/>
            <w:vAlign w:val="bottom"/>
          </w:tcPr>
          <w:p>
            <w:pPr>
              <w:jc w:val="right"/>
              <w:ind w:right="461"/>
              <w:spacing w:after="0"/>
              <w:rPr>
                <w:sz w:val="20"/>
                <w:szCs w:val="20"/>
                <w:color w:val="auto"/>
              </w:rPr>
            </w:pPr>
            <w:r>
              <w:rPr>
                <w:rFonts w:ascii="Arial" w:cs="Arial" w:eastAsia="Arial" w:hAnsi="Arial"/>
                <w:sz w:val="20"/>
                <w:szCs w:val="20"/>
                <w:color w:val="auto"/>
              </w:rPr>
              <w:t>Total</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00" w:type="dxa"/>
            <w:vAlign w:val="bottom"/>
            <w:tcBorders>
              <w:top w:val="single" w:sz="8" w:color="auto"/>
            </w:tcBorders>
            <w:shd w:val="clear" w:color="auto" w:fill="CCEEFF"/>
          </w:tcPr>
          <w:p>
            <w:pPr>
              <w:spacing w:after="0" w:line="223" w:lineRule="exact"/>
              <w:rPr>
                <w:sz w:val="20"/>
                <w:szCs w:val="20"/>
                <w:color w:val="auto"/>
              </w:rPr>
            </w:pPr>
            <w:r>
              <w:rPr>
                <w:rFonts w:ascii="Arial" w:cs="Arial" w:eastAsia="Arial" w:hAnsi="Arial"/>
                <w:sz w:val="20"/>
                <w:szCs w:val="20"/>
                <w:color w:val="auto"/>
              </w:rPr>
              <w:t>Cash</w:t>
            </w:r>
          </w:p>
        </w:tc>
        <w:tc>
          <w:tcPr>
            <w:tcW w:w="24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rPr>
              <w:t>$</w:t>
            </w:r>
          </w:p>
        </w:tc>
        <w:tc>
          <w:tcPr>
            <w:tcW w:w="1200" w:type="dxa"/>
            <w:vAlign w:val="bottom"/>
            <w:tcBorders>
              <w:top w:val="single" w:sz="8" w:color="auto"/>
            </w:tcBorders>
            <w:shd w:val="clear" w:color="auto" w:fill="CCEEFF"/>
          </w:tcPr>
          <w:p>
            <w:pPr>
              <w:jc w:val="right"/>
              <w:ind w:right="81"/>
              <w:spacing w:after="0" w:line="223" w:lineRule="exact"/>
              <w:rPr>
                <w:sz w:val="20"/>
                <w:szCs w:val="20"/>
                <w:color w:val="auto"/>
              </w:rPr>
            </w:pPr>
            <w:r>
              <w:rPr>
                <w:rFonts w:ascii="Arial" w:cs="Arial" w:eastAsia="Arial" w:hAnsi="Arial"/>
                <w:sz w:val="20"/>
                <w:szCs w:val="20"/>
                <w:color w:val="auto"/>
              </w:rPr>
              <w:t>81,879</w:t>
            </w:r>
          </w:p>
        </w:tc>
        <w:tc>
          <w:tcPr>
            <w:tcW w:w="36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rPr>
              <w:t>$</w:t>
            </w:r>
          </w:p>
        </w:tc>
        <w:tc>
          <w:tcPr>
            <w:tcW w:w="1200" w:type="dxa"/>
            <w:vAlign w:val="bottom"/>
            <w:tcBorders>
              <w:top w:val="single" w:sz="8" w:color="auto"/>
            </w:tcBorders>
            <w:shd w:val="clear" w:color="auto" w:fill="CCEEFF"/>
          </w:tcPr>
          <w:p>
            <w:pPr>
              <w:jc w:val="right"/>
              <w:ind w:right="81"/>
              <w:spacing w:after="0" w:line="223" w:lineRule="exact"/>
              <w:rPr>
                <w:sz w:val="20"/>
                <w:szCs w:val="20"/>
                <w:color w:val="auto"/>
              </w:rPr>
            </w:pPr>
            <w:r>
              <w:rPr>
                <w:rFonts w:ascii="Arial" w:cs="Arial" w:eastAsia="Arial" w:hAnsi="Arial"/>
                <w:sz w:val="20"/>
                <w:szCs w:val="20"/>
                <w:color w:val="auto"/>
              </w:rPr>
              <w:t>-</w:t>
            </w:r>
          </w:p>
        </w:tc>
        <w:tc>
          <w:tcPr>
            <w:tcW w:w="36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rPr>
              <w:t>$</w:t>
            </w:r>
          </w:p>
        </w:tc>
        <w:tc>
          <w:tcPr>
            <w:tcW w:w="1160" w:type="dxa"/>
            <w:vAlign w:val="bottom"/>
            <w:tcBorders>
              <w:top w:val="single" w:sz="8" w:color="auto"/>
            </w:tcBorders>
            <w:shd w:val="clear" w:color="auto" w:fill="CCEEFF"/>
          </w:tcPr>
          <w:p>
            <w:pPr>
              <w:jc w:val="right"/>
              <w:ind w:right="61"/>
              <w:spacing w:after="0" w:line="223" w:lineRule="exact"/>
              <w:rPr>
                <w:sz w:val="20"/>
                <w:szCs w:val="20"/>
                <w:color w:val="auto"/>
              </w:rPr>
            </w:pPr>
            <w:r>
              <w:rPr>
                <w:rFonts w:ascii="Arial" w:cs="Arial" w:eastAsia="Arial" w:hAnsi="Arial"/>
                <w:sz w:val="20"/>
                <w:szCs w:val="20"/>
                <w:color w:val="auto"/>
              </w:rPr>
              <w:t>-</w:t>
            </w:r>
          </w:p>
        </w:tc>
        <w:tc>
          <w:tcPr>
            <w:tcW w:w="400" w:type="dxa"/>
            <w:vAlign w:val="bottom"/>
            <w:tcBorders>
              <w:top w:val="single" w:sz="8" w:color="auto"/>
            </w:tcBorders>
            <w:shd w:val="clear" w:color="auto" w:fill="CCEEFF"/>
          </w:tcPr>
          <w:p>
            <w:pPr>
              <w:jc w:val="right"/>
              <w:ind w:right="41"/>
              <w:spacing w:after="0" w:line="223" w:lineRule="exact"/>
              <w:rPr>
                <w:sz w:val="20"/>
                <w:szCs w:val="20"/>
                <w:color w:val="auto"/>
              </w:rPr>
            </w:pPr>
            <w:r>
              <w:rPr>
                <w:rFonts w:ascii="Arial" w:cs="Arial" w:eastAsia="Arial" w:hAnsi="Arial"/>
                <w:sz w:val="20"/>
                <w:szCs w:val="20"/>
                <w:color w:val="auto"/>
              </w:rPr>
              <w:t>$</w:t>
            </w:r>
          </w:p>
        </w:tc>
        <w:tc>
          <w:tcPr>
            <w:tcW w:w="1080" w:type="dxa"/>
            <w:vAlign w:val="bottom"/>
            <w:tcBorders>
              <w:top w:val="single" w:sz="8" w:color="auto"/>
            </w:tcBorders>
            <w:shd w:val="clear" w:color="auto" w:fill="CCEEFF"/>
          </w:tcPr>
          <w:p>
            <w:pPr>
              <w:jc w:val="right"/>
              <w:ind w:right="41"/>
              <w:spacing w:after="0" w:line="223" w:lineRule="exact"/>
              <w:rPr>
                <w:sz w:val="20"/>
                <w:szCs w:val="20"/>
                <w:color w:val="auto"/>
              </w:rPr>
            </w:pPr>
            <w:r>
              <w:rPr>
                <w:rFonts w:ascii="Arial" w:cs="Arial" w:eastAsia="Arial" w:hAnsi="Arial"/>
                <w:sz w:val="20"/>
                <w:szCs w:val="20"/>
                <w:color w:val="auto"/>
              </w:rPr>
              <w:t>81,879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00" w:type="dxa"/>
            <w:vAlign w:val="bottom"/>
          </w:tcPr>
          <w:p>
            <w:pPr>
              <w:spacing w:after="0"/>
              <w:rPr>
                <w:sz w:val="20"/>
                <w:szCs w:val="20"/>
                <w:color w:val="auto"/>
              </w:rPr>
            </w:pPr>
            <w:r>
              <w:rPr>
                <w:rFonts w:ascii="Arial" w:cs="Arial" w:eastAsia="Arial" w:hAnsi="Arial"/>
                <w:sz w:val="20"/>
                <w:szCs w:val="20"/>
                <w:color w:val="auto"/>
              </w:rPr>
              <w:t>Money market funds</w:t>
            </w:r>
          </w:p>
        </w:tc>
        <w:tc>
          <w:tcPr>
            <w:tcW w:w="240" w:type="dxa"/>
            <w:vAlign w:val="bottom"/>
          </w:tcPr>
          <w:p>
            <w:pPr>
              <w:spacing w:after="0"/>
              <w:rPr>
                <w:sz w:val="19"/>
                <w:szCs w:val="19"/>
                <w:color w:val="auto"/>
              </w:rPr>
            </w:pPr>
          </w:p>
        </w:tc>
        <w:tc>
          <w:tcPr>
            <w:tcW w:w="1200" w:type="dxa"/>
            <w:vAlign w:val="bottom"/>
          </w:tcPr>
          <w:p>
            <w:pPr>
              <w:jc w:val="right"/>
              <w:ind w:right="81"/>
              <w:spacing w:after="0"/>
              <w:rPr>
                <w:sz w:val="20"/>
                <w:szCs w:val="20"/>
                <w:color w:val="auto"/>
              </w:rPr>
            </w:pPr>
            <w:r>
              <w:rPr>
                <w:rFonts w:ascii="Arial" w:cs="Arial" w:eastAsia="Arial" w:hAnsi="Arial"/>
                <w:sz w:val="20"/>
                <w:szCs w:val="20"/>
                <w:color w:val="auto"/>
              </w:rPr>
              <w:t>230,029</w:t>
            </w:r>
          </w:p>
        </w:tc>
        <w:tc>
          <w:tcPr>
            <w:tcW w:w="360" w:type="dxa"/>
            <w:vAlign w:val="bottom"/>
          </w:tcPr>
          <w:p>
            <w:pPr>
              <w:spacing w:after="0"/>
              <w:rPr>
                <w:sz w:val="19"/>
                <w:szCs w:val="19"/>
                <w:color w:val="auto"/>
              </w:rPr>
            </w:pPr>
          </w:p>
        </w:tc>
        <w:tc>
          <w:tcPr>
            <w:tcW w:w="120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360" w:type="dxa"/>
            <w:vAlign w:val="bottom"/>
          </w:tcPr>
          <w:p>
            <w:pPr>
              <w:spacing w:after="0"/>
              <w:rPr>
                <w:sz w:val="19"/>
                <w:szCs w:val="19"/>
                <w:color w:val="auto"/>
              </w:rPr>
            </w:pPr>
          </w:p>
        </w:tc>
        <w:tc>
          <w:tcPr>
            <w:tcW w:w="116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400" w:type="dxa"/>
            <w:vAlign w:val="bottom"/>
          </w:tcPr>
          <w:p>
            <w:pPr>
              <w:spacing w:after="0"/>
              <w:rPr>
                <w:sz w:val="19"/>
                <w:szCs w:val="19"/>
                <w:color w:val="auto"/>
              </w:rPr>
            </w:pPr>
          </w:p>
        </w:tc>
        <w:tc>
          <w:tcPr>
            <w:tcW w:w="1080" w:type="dxa"/>
            <w:vAlign w:val="bottom"/>
          </w:tcPr>
          <w:p>
            <w:pPr>
              <w:jc w:val="right"/>
              <w:ind w:right="41"/>
              <w:spacing w:after="0"/>
              <w:rPr>
                <w:sz w:val="20"/>
                <w:szCs w:val="20"/>
                <w:color w:val="auto"/>
              </w:rPr>
            </w:pPr>
            <w:r>
              <w:rPr>
                <w:rFonts w:ascii="Arial" w:cs="Arial" w:eastAsia="Arial" w:hAnsi="Arial"/>
                <w:sz w:val="20"/>
                <w:szCs w:val="20"/>
                <w:color w:val="auto"/>
              </w:rPr>
              <w:t>230,029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20"/>
                <w:szCs w:val="20"/>
                <w:color w:val="auto"/>
              </w:rPr>
              <w:t>U.S. Treasuries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81"/>
              <w:spacing w:after="0"/>
              <w:rPr>
                <w:sz w:val="20"/>
                <w:szCs w:val="20"/>
                <w:color w:val="auto"/>
              </w:rPr>
            </w:pPr>
            <w:r>
              <w:rPr>
                <w:rFonts w:ascii="Arial" w:cs="Arial" w:eastAsia="Arial" w:hAnsi="Arial"/>
                <w:sz w:val="20"/>
                <w:szCs w:val="20"/>
                <w:color w:val="auto"/>
              </w:rPr>
              <w:t>8,034</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81"/>
              <w:spacing w:after="0"/>
              <w:rPr>
                <w:sz w:val="20"/>
                <w:szCs w:val="20"/>
                <w:color w:val="auto"/>
              </w:rPr>
            </w:pPr>
            <w:r>
              <w:rPr>
                <w:rFonts w:ascii="Arial" w:cs="Arial" w:eastAsia="Arial" w:hAnsi="Arial"/>
                <w:sz w:val="20"/>
                <w:szCs w:val="20"/>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61"/>
              <w:spacing w:after="0"/>
              <w:rPr>
                <w:sz w:val="20"/>
                <w:szCs w:val="20"/>
                <w:color w:val="auto"/>
              </w:rPr>
            </w:pPr>
            <w:r>
              <w:rPr>
                <w:rFonts w:ascii="Arial" w:cs="Arial" w:eastAsia="Arial" w:hAnsi="Arial"/>
                <w:sz w:val="20"/>
                <w:szCs w:val="20"/>
                <w:color w:val="auto"/>
              </w:rPr>
              <w:t>-</w:t>
            </w: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41"/>
              <w:spacing w:after="0"/>
              <w:rPr>
                <w:sz w:val="20"/>
                <w:szCs w:val="20"/>
                <w:color w:val="auto"/>
              </w:rPr>
            </w:pPr>
            <w:r>
              <w:rPr>
                <w:rFonts w:ascii="Arial" w:cs="Arial" w:eastAsia="Arial" w:hAnsi="Arial"/>
                <w:sz w:val="20"/>
                <w:szCs w:val="20"/>
                <w:color w:val="auto"/>
              </w:rPr>
              <w:t>8,034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00" w:type="dxa"/>
            <w:vAlign w:val="bottom"/>
          </w:tcPr>
          <w:p>
            <w:pPr>
              <w:spacing w:after="0"/>
              <w:rPr>
                <w:sz w:val="20"/>
                <w:szCs w:val="20"/>
                <w:color w:val="auto"/>
              </w:rPr>
            </w:pPr>
            <w:r>
              <w:rPr>
                <w:rFonts w:ascii="Arial" w:cs="Arial" w:eastAsia="Arial" w:hAnsi="Arial"/>
                <w:sz w:val="20"/>
                <w:szCs w:val="20"/>
                <w:color w:val="auto"/>
              </w:rPr>
              <w:t>Certificates of deposit</w:t>
            </w:r>
          </w:p>
        </w:tc>
        <w:tc>
          <w:tcPr>
            <w:tcW w:w="240" w:type="dxa"/>
            <w:vAlign w:val="bottom"/>
          </w:tcPr>
          <w:p>
            <w:pPr>
              <w:spacing w:after="0"/>
              <w:rPr>
                <w:sz w:val="19"/>
                <w:szCs w:val="19"/>
                <w:color w:val="auto"/>
              </w:rPr>
            </w:pPr>
          </w:p>
        </w:tc>
        <w:tc>
          <w:tcPr>
            <w:tcW w:w="120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360" w:type="dxa"/>
            <w:vAlign w:val="bottom"/>
          </w:tcPr>
          <w:p>
            <w:pPr>
              <w:spacing w:after="0"/>
              <w:rPr>
                <w:sz w:val="19"/>
                <w:szCs w:val="19"/>
                <w:color w:val="auto"/>
              </w:rPr>
            </w:pPr>
          </w:p>
        </w:tc>
        <w:tc>
          <w:tcPr>
            <w:tcW w:w="1200" w:type="dxa"/>
            <w:vAlign w:val="bottom"/>
          </w:tcPr>
          <w:p>
            <w:pPr>
              <w:jc w:val="right"/>
              <w:ind w:right="81"/>
              <w:spacing w:after="0"/>
              <w:rPr>
                <w:sz w:val="20"/>
                <w:szCs w:val="20"/>
                <w:color w:val="auto"/>
              </w:rPr>
            </w:pPr>
            <w:r>
              <w:rPr>
                <w:rFonts w:ascii="Arial" w:cs="Arial" w:eastAsia="Arial" w:hAnsi="Arial"/>
                <w:sz w:val="20"/>
                <w:szCs w:val="20"/>
                <w:color w:val="auto"/>
              </w:rPr>
              <w:t>69,078</w:t>
            </w:r>
          </w:p>
        </w:tc>
        <w:tc>
          <w:tcPr>
            <w:tcW w:w="360" w:type="dxa"/>
            <w:vAlign w:val="bottom"/>
          </w:tcPr>
          <w:p>
            <w:pPr>
              <w:spacing w:after="0"/>
              <w:rPr>
                <w:sz w:val="19"/>
                <w:szCs w:val="19"/>
                <w:color w:val="auto"/>
              </w:rPr>
            </w:pPr>
          </w:p>
        </w:tc>
        <w:tc>
          <w:tcPr>
            <w:tcW w:w="116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400" w:type="dxa"/>
            <w:vAlign w:val="bottom"/>
          </w:tcPr>
          <w:p>
            <w:pPr>
              <w:spacing w:after="0"/>
              <w:rPr>
                <w:sz w:val="19"/>
                <w:szCs w:val="19"/>
                <w:color w:val="auto"/>
              </w:rPr>
            </w:pPr>
          </w:p>
        </w:tc>
        <w:tc>
          <w:tcPr>
            <w:tcW w:w="1080" w:type="dxa"/>
            <w:vAlign w:val="bottom"/>
          </w:tcPr>
          <w:p>
            <w:pPr>
              <w:jc w:val="right"/>
              <w:ind w:right="41"/>
              <w:spacing w:after="0"/>
              <w:rPr>
                <w:sz w:val="20"/>
                <w:szCs w:val="20"/>
                <w:color w:val="auto"/>
              </w:rPr>
            </w:pPr>
            <w:r>
              <w:rPr>
                <w:rFonts w:ascii="Arial" w:cs="Arial" w:eastAsia="Arial" w:hAnsi="Arial"/>
                <w:sz w:val="20"/>
                <w:szCs w:val="20"/>
                <w:color w:val="auto"/>
              </w:rPr>
              <w:t>69,078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20"/>
                <w:szCs w:val="20"/>
                <w:color w:val="auto"/>
              </w:rPr>
              <w:t>Corporate bonds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81"/>
              <w:spacing w:after="0"/>
              <w:rPr>
                <w:sz w:val="20"/>
                <w:szCs w:val="20"/>
                <w:color w:val="auto"/>
              </w:rPr>
            </w:pPr>
            <w:r>
              <w:rPr>
                <w:rFonts w:ascii="Arial" w:cs="Arial" w:eastAsia="Arial" w:hAnsi="Arial"/>
                <w:sz w:val="20"/>
                <w:szCs w:val="20"/>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81"/>
              <w:spacing w:after="0"/>
              <w:rPr>
                <w:sz w:val="20"/>
                <w:szCs w:val="20"/>
                <w:color w:val="auto"/>
              </w:rPr>
            </w:pPr>
            <w:r>
              <w:rPr>
                <w:rFonts w:ascii="Arial" w:cs="Arial" w:eastAsia="Arial" w:hAnsi="Arial"/>
                <w:sz w:val="20"/>
                <w:szCs w:val="20"/>
                <w:color w:val="auto"/>
              </w:rPr>
              <w:t>2,022</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61"/>
              <w:spacing w:after="0"/>
              <w:rPr>
                <w:sz w:val="20"/>
                <w:szCs w:val="20"/>
                <w:color w:val="auto"/>
              </w:rPr>
            </w:pPr>
            <w:r>
              <w:rPr>
                <w:rFonts w:ascii="Arial" w:cs="Arial" w:eastAsia="Arial" w:hAnsi="Arial"/>
                <w:sz w:val="20"/>
                <w:szCs w:val="20"/>
                <w:color w:val="auto"/>
              </w:rPr>
              <w:t>-</w:t>
            </w: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41"/>
              <w:spacing w:after="0"/>
              <w:rPr>
                <w:sz w:val="20"/>
                <w:szCs w:val="20"/>
                <w:color w:val="auto"/>
              </w:rPr>
            </w:pPr>
            <w:r>
              <w:rPr>
                <w:rFonts w:ascii="Arial" w:cs="Arial" w:eastAsia="Arial" w:hAnsi="Arial"/>
                <w:sz w:val="20"/>
                <w:szCs w:val="20"/>
                <w:color w:val="auto"/>
              </w:rPr>
              <w:t>2,022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00" w:type="dxa"/>
            <w:vAlign w:val="bottom"/>
          </w:tcPr>
          <w:p>
            <w:pPr>
              <w:spacing w:after="0"/>
              <w:rPr>
                <w:sz w:val="20"/>
                <w:szCs w:val="20"/>
                <w:color w:val="auto"/>
              </w:rPr>
            </w:pPr>
            <w:r>
              <w:rPr>
                <w:rFonts w:ascii="Arial" w:cs="Arial" w:eastAsia="Arial" w:hAnsi="Arial"/>
                <w:sz w:val="20"/>
                <w:szCs w:val="20"/>
                <w:color w:val="auto"/>
              </w:rPr>
              <w:t>Municipal securities</w:t>
            </w:r>
          </w:p>
        </w:tc>
        <w:tc>
          <w:tcPr>
            <w:tcW w:w="240" w:type="dxa"/>
            <w:vAlign w:val="bottom"/>
          </w:tcPr>
          <w:p>
            <w:pPr>
              <w:spacing w:after="0"/>
              <w:rPr>
                <w:sz w:val="19"/>
                <w:szCs w:val="19"/>
                <w:color w:val="auto"/>
              </w:rPr>
            </w:pPr>
          </w:p>
        </w:tc>
        <w:tc>
          <w:tcPr>
            <w:tcW w:w="120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360" w:type="dxa"/>
            <w:vAlign w:val="bottom"/>
          </w:tcPr>
          <w:p>
            <w:pPr>
              <w:spacing w:after="0"/>
              <w:rPr>
                <w:sz w:val="19"/>
                <w:szCs w:val="19"/>
                <w:color w:val="auto"/>
              </w:rPr>
            </w:pPr>
          </w:p>
        </w:tc>
        <w:tc>
          <w:tcPr>
            <w:tcW w:w="1200" w:type="dxa"/>
            <w:vAlign w:val="bottom"/>
          </w:tcPr>
          <w:p>
            <w:pPr>
              <w:jc w:val="right"/>
              <w:ind w:right="81"/>
              <w:spacing w:after="0"/>
              <w:rPr>
                <w:sz w:val="20"/>
                <w:szCs w:val="20"/>
                <w:color w:val="auto"/>
              </w:rPr>
            </w:pPr>
            <w:r>
              <w:rPr>
                <w:rFonts w:ascii="Arial" w:cs="Arial" w:eastAsia="Arial" w:hAnsi="Arial"/>
                <w:sz w:val="20"/>
                <w:szCs w:val="20"/>
                <w:color w:val="auto"/>
              </w:rPr>
              <w:t>291,984</w:t>
            </w:r>
          </w:p>
        </w:tc>
        <w:tc>
          <w:tcPr>
            <w:tcW w:w="360" w:type="dxa"/>
            <w:vAlign w:val="bottom"/>
          </w:tcPr>
          <w:p>
            <w:pPr>
              <w:spacing w:after="0"/>
              <w:rPr>
                <w:sz w:val="19"/>
                <w:szCs w:val="19"/>
                <w:color w:val="auto"/>
              </w:rPr>
            </w:pPr>
          </w:p>
        </w:tc>
        <w:tc>
          <w:tcPr>
            <w:tcW w:w="116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400" w:type="dxa"/>
            <w:vAlign w:val="bottom"/>
          </w:tcPr>
          <w:p>
            <w:pPr>
              <w:spacing w:after="0"/>
              <w:rPr>
                <w:sz w:val="19"/>
                <w:szCs w:val="19"/>
                <w:color w:val="auto"/>
              </w:rPr>
            </w:pPr>
          </w:p>
        </w:tc>
        <w:tc>
          <w:tcPr>
            <w:tcW w:w="1080" w:type="dxa"/>
            <w:vAlign w:val="bottom"/>
          </w:tcPr>
          <w:p>
            <w:pPr>
              <w:jc w:val="right"/>
              <w:ind w:right="41"/>
              <w:spacing w:after="0"/>
              <w:rPr>
                <w:sz w:val="20"/>
                <w:szCs w:val="20"/>
                <w:color w:val="auto"/>
              </w:rPr>
            </w:pPr>
            <w:r>
              <w:rPr>
                <w:rFonts w:ascii="Arial" w:cs="Arial" w:eastAsia="Arial" w:hAnsi="Arial"/>
                <w:sz w:val="20"/>
                <w:szCs w:val="20"/>
                <w:color w:val="auto"/>
              </w:rPr>
              <w:t>291,984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20"/>
                <w:szCs w:val="20"/>
                <w:color w:val="auto"/>
              </w:rPr>
              <w:t>U.S. government agency securities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81"/>
              <w:spacing w:after="0"/>
              <w:rPr>
                <w:sz w:val="20"/>
                <w:szCs w:val="20"/>
                <w:color w:val="auto"/>
              </w:rPr>
            </w:pPr>
            <w:r>
              <w:rPr>
                <w:rFonts w:ascii="Arial" w:cs="Arial" w:eastAsia="Arial" w:hAnsi="Arial"/>
                <w:sz w:val="20"/>
                <w:szCs w:val="20"/>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81"/>
              <w:spacing w:after="0"/>
              <w:rPr>
                <w:sz w:val="20"/>
                <w:szCs w:val="20"/>
                <w:color w:val="auto"/>
              </w:rPr>
            </w:pPr>
            <w:r>
              <w:rPr>
                <w:rFonts w:ascii="Arial" w:cs="Arial" w:eastAsia="Arial" w:hAnsi="Arial"/>
                <w:sz w:val="20"/>
                <w:szCs w:val="20"/>
                <w:color w:val="auto"/>
              </w:rPr>
              <w:t>16,005</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61"/>
              <w:spacing w:after="0"/>
              <w:rPr>
                <w:sz w:val="20"/>
                <w:szCs w:val="20"/>
                <w:color w:val="auto"/>
              </w:rPr>
            </w:pPr>
            <w:r>
              <w:rPr>
                <w:rFonts w:ascii="Arial" w:cs="Arial" w:eastAsia="Arial" w:hAnsi="Arial"/>
                <w:sz w:val="20"/>
                <w:szCs w:val="20"/>
                <w:color w:val="auto"/>
              </w:rPr>
              <w:t>-</w:t>
            </w: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41"/>
              <w:spacing w:after="0"/>
              <w:rPr>
                <w:sz w:val="20"/>
                <w:szCs w:val="20"/>
                <w:color w:val="auto"/>
              </w:rPr>
            </w:pPr>
            <w:r>
              <w:rPr>
                <w:rFonts w:ascii="Arial" w:cs="Arial" w:eastAsia="Arial" w:hAnsi="Arial"/>
                <w:sz w:val="20"/>
                <w:szCs w:val="20"/>
                <w:color w:val="auto"/>
              </w:rPr>
              <w:t>16,005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00" w:type="dxa"/>
            <w:vAlign w:val="bottom"/>
          </w:tcPr>
          <w:p>
            <w:pPr>
              <w:spacing w:after="0"/>
              <w:rPr>
                <w:sz w:val="20"/>
                <w:szCs w:val="20"/>
                <w:color w:val="auto"/>
              </w:rPr>
            </w:pPr>
            <w:r>
              <w:rPr>
                <w:rFonts w:ascii="Arial" w:cs="Arial" w:eastAsia="Arial" w:hAnsi="Arial"/>
                <w:sz w:val="20"/>
                <w:szCs w:val="20"/>
                <w:color w:val="auto"/>
              </w:rPr>
              <w:t>Variable rate demand notes</w:t>
            </w:r>
          </w:p>
        </w:tc>
        <w:tc>
          <w:tcPr>
            <w:tcW w:w="240" w:type="dxa"/>
            <w:vAlign w:val="bottom"/>
          </w:tcPr>
          <w:p>
            <w:pPr>
              <w:spacing w:after="0"/>
              <w:rPr>
                <w:sz w:val="19"/>
                <w:szCs w:val="19"/>
                <w:color w:val="auto"/>
              </w:rPr>
            </w:pPr>
          </w:p>
        </w:tc>
        <w:tc>
          <w:tcPr>
            <w:tcW w:w="120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360" w:type="dxa"/>
            <w:vAlign w:val="bottom"/>
          </w:tcPr>
          <w:p>
            <w:pPr>
              <w:spacing w:after="0"/>
              <w:rPr>
                <w:sz w:val="19"/>
                <w:szCs w:val="19"/>
                <w:color w:val="auto"/>
              </w:rPr>
            </w:pPr>
          </w:p>
        </w:tc>
        <w:tc>
          <w:tcPr>
            <w:tcW w:w="1200" w:type="dxa"/>
            <w:vAlign w:val="bottom"/>
          </w:tcPr>
          <w:p>
            <w:pPr>
              <w:jc w:val="right"/>
              <w:ind w:right="81"/>
              <w:spacing w:after="0"/>
              <w:rPr>
                <w:sz w:val="20"/>
                <w:szCs w:val="20"/>
                <w:color w:val="auto"/>
              </w:rPr>
            </w:pPr>
            <w:r>
              <w:rPr>
                <w:rFonts w:ascii="Arial" w:cs="Arial" w:eastAsia="Arial" w:hAnsi="Arial"/>
                <w:sz w:val="20"/>
                <w:szCs w:val="20"/>
                <w:color w:val="auto"/>
              </w:rPr>
              <w:t>58,924</w:t>
            </w:r>
          </w:p>
        </w:tc>
        <w:tc>
          <w:tcPr>
            <w:tcW w:w="360" w:type="dxa"/>
            <w:vAlign w:val="bottom"/>
          </w:tcPr>
          <w:p>
            <w:pPr>
              <w:spacing w:after="0"/>
              <w:rPr>
                <w:sz w:val="19"/>
                <w:szCs w:val="19"/>
                <w:color w:val="auto"/>
              </w:rPr>
            </w:pPr>
          </w:p>
        </w:tc>
        <w:tc>
          <w:tcPr>
            <w:tcW w:w="116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400" w:type="dxa"/>
            <w:vAlign w:val="bottom"/>
          </w:tcPr>
          <w:p>
            <w:pPr>
              <w:spacing w:after="0"/>
              <w:rPr>
                <w:sz w:val="19"/>
                <w:szCs w:val="19"/>
                <w:color w:val="auto"/>
              </w:rPr>
            </w:pPr>
          </w:p>
        </w:tc>
        <w:tc>
          <w:tcPr>
            <w:tcW w:w="1080" w:type="dxa"/>
            <w:vAlign w:val="bottom"/>
          </w:tcPr>
          <w:p>
            <w:pPr>
              <w:jc w:val="right"/>
              <w:ind w:right="41"/>
              <w:spacing w:after="0"/>
              <w:rPr>
                <w:sz w:val="20"/>
                <w:szCs w:val="20"/>
                <w:color w:val="auto"/>
              </w:rPr>
            </w:pPr>
            <w:r>
              <w:rPr>
                <w:rFonts w:ascii="Arial" w:cs="Arial" w:eastAsia="Arial" w:hAnsi="Arial"/>
                <w:sz w:val="20"/>
                <w:szCs w:val="20"/>
                <w:color w:val="auto"/>
              </w:rPr>
              <w:t>58,924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20"/>
                <w:szCs w:val="20"/>
                <w:color w:val="auto"/>
              </w:rPr>
              <w:t>Auction rate securities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81"/>
              <w:spacing w:after="0"/>
              <w:rPr>
                <w:sz w:val="20"/>
                <w:szCs w:val="20"/>
                <w:color w:val="auto"/>
              </w:rPr>
            </w:pPr>
            <w:r>
              <w:rPr>
                <w:rFonts w:ascii="Arial" w:cs="Arial" w:eastAsia="Arial" w:hAnsi="Arial"/>
                <w:sz w:val="20"/>
                <w:szCs w:val="20"/>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81"/>
              <w:spacing w:after="0"/>
              <w:rPr>
                <w:sz w:val="20"/>
                <w:szCs w:val="20"/>
                <w:color w:val="auto"/>
              </w:rPr>
            </w:pPr>
            <w:r>
              <w:rPr>
                <w:rFonts w:ascii="Arial" w:cs="Arial" w:eastAsia="Arial" w:hAnsi="Arial"/>
                <w:sz w:val="20"/>
                <w:szCs w:val="20"/>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61"/>
              <w:spacing w:after="0"/>
              <w:rPr>
                <w:sz w:val="20"/>
                <w:szCs w:val="20"/>
                <w:color w:val="auto"/>
              </w:rPr>
            </w:pPr>
            <w:r>
              <w:rPr>
                <w:rFonts w:ascii="Arial" w:cs="Arial" w:eastAsia="Arial" w:hAnsi="Arial"/>
                <w:sz w:val="20"/>
                <w:szCs w:val="20"/>
                <w:color w:val="auto"/>
              </w:rPr>
              <w:t>35,852</w:t>
            </w: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41"/>
              <w:spacing w:after="0"/>
              <w:rPr>
                <w:sz w:val="20"/>
                <w:szCs w:val="20"/>
                <w:color w:val="auto"/>
              </w:rPr>
            </w:pPr>
            <w:r>
              <w:rPr>
                <w:rFonts w:ascii="Arial" w:cs="Arial" w:eastAsia="Arial" w:hAnsi="Arial"/>
                <w:sz w:val="20"/>
                <w:szCs w:val="20"/>
                <w:color w:val="auto"/>
              </w:rPr>
              <w:t>35,852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00" w:type="dxa"/>
            <w:vAlign w:val="bottom"/>
            <w:tcBorders>
              <w:bottom w:val="single" w:sz="8" w:color="CCEEFF"/>
            </w:tcBorders>
          </w:tcPr>
          <w:p>
            <w:pPr>
              <w:spacing w:after="0"/>
              <w:rPr>
                <w:sz w:val="20"/>
                <w:szCs w:val="20"/>
                <w:color w:val="auto"/>
              </w:rPr>
            </w:pPr>
            <w:r>
              <w:rPr>
                <w:rFonts w:ascii="Arial" w:cs="Arial" w:eastAsia="Arial" w:hAnsi="Arial"/>
                <w:sz w:val="20"/>
                <w:szCs w:val="20"/>
                <w:color w:val="auto"/>
              </w:rPr>
              <w:t>Put options related to auction rate securities</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rPr>
              <w:t>-</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rPr>
              <w:t>-</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color w:val="auto"/>
              </w:rPr>
              <w:t>3,041</w:t>
            </w: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3,041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00" w:type="dxa"/>
            <w:vAlign w:val="bottom"/>
            <w:tcBorders>
              <w:bottom w:val="single" w:sz="8" w:color="CCEEFF"/>
            </w:tcBorders>
            <w:shd w:val="clear" w:color="auto" w:fill="CCEEFF"/>
          </w:tcPr>
          <w:p>
            <w:pPr>
              <w:ind w:left="160"/>
              <w:spacing w:after="0" w:line="223" w:lineRule="exact"/>
              <w:rPr>
                <w:sz w:val="20"/>
                <w:szCs w:val="20"/>
                <w:color w:val="auto"/>
              </w:rPr>
            </w:pPr>
            <w:r>
              <w:rPr>
                <w:rFonts w:ascii="Arial" w:cs="Arial" w:eastAsia="Arial" w:hAnsi="Arial"/>
                <w:sz w:val="20"/>
                <w:szCs w:val="20"/>
                <w:color w:val="auto"/>
              </w:rPr>
              <w:t>Total</w:t>
            </w:r>
          </w:p>
        </w:tc>
        <w:tc>
          <w:tcPr>
            <w:tcW w:w="240" w:type="dxa"/>
            <w:vAlign w:val="bottom"/>
            <w:tcBorders>
              <w:bottom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rPr>
              <w:t>$</w:t>
            </w:r>
          </w:p>
        </w:tc>
        <w:tc>
          <w:tcPr>
            <w:tcW w:w="1200" w:type="dxa"/>
            <w:vAlign w:val="bottom"/>
            <w:tcBorders>
              <w:bottom w:val="single" w:sz="8" w:color="auto"/>
            </w:tcBorders>
            <w:shd w:val="clear" w:color="auto" w:fill="CCEEFF"/>
          </w:tcPr>
          <w:p>
            <w:pPr>
              <w:jc w:val="right"/>
              <w:ind w:right="81"/>
              <w:spacing w:after="0" w:line="223" w:lineRule="exact"/>
              <w:rPr>
                <w:sz w:val="20"/>
                <w:szCs w:val="20"/>
                <w:color w:val="auto"/>
              </w:rPr>
            </w:pPr>
            <w:r>
              <w:rPr>
                <w:rFonts w:ascii="Arial" w:cs="Arial" w:eastAsia="Arial" w:hAnsi="Arial"/>
                <w:sz w:val="20"/>
                <w:szCs w:val="20"/>
                <w:color w:val="auto"/>
              </w:rPr>
              <w:t>319,942</w:t>
            </w:r>
          </w:p>
        </w:tc>
        <w:tc>
          <w:tcPr>
            <w:tcW w:w="360" w:type="dxa"/>
            <w:vAlign w:val="bottom"/>
            <w:tcBorders>
              <w:bottom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rPr>
              <w:t>$</w:t>
            </w:r>
          </w:p>
        </w:tc>
        <w:tc>
          <w:tcPr>
            <w:tcW w:w="1200" w:type="dxa"/>
            <w:vAlign w:val="bottom"/>
            <w:tcBorders>
              <w:bottom w:val="single" w:sz="8" w:color="auto"/>
            </w:tcBorders>
            <w:shd w:val="clear" w:color="auto" w:fill="CCEEFF"/>
          </w:tcPr>
          <w:p>
            <w:pPr>
              <w:jc w:val="right"/>
              <w:ind w:right="81"/>
              <w:spacing w:after="0" w:line="223" w:lineRule="exact"/>
              <w:rPr>
                <w:sz w:val="20"/>
                <w:szCs w:val="20"/>
                <w:color w:val="auto"/>
              </w:rPr>
            </w:pPr>
            <w:r>
              <w:rPr>
                <w:rFonts w:ascii="Arial" w:cs="Arial" w:eastAsia="Arial" w:hAnsi="Arial"/>
                <w:sz w:val="20"/>
                <w:szCs w:val="20"/>
                <w:color w:val="auto"/>
              </w:rPr>
              <w:t>438,013</w:t>
            </w:r>
          </w:p>
        </w:tc>
        <w:tc>
          <w:tcPr>
            <w:tcW w:w="360" w:type="dxa"/>
            <w:vAlign w:val="bottom"/>
            <w:tcBorders>
              <w:bottom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rPr>
              <w:t>$</w:t>
            </w:r>
          </w:p>
        </w:tc>
        <w:tc>
          <w:tcPr>
            <w:tcW w:w="1160" w:type="dxa"/>
            <w:vAlign w:val="bottom"/>
            <w:tcBorders>
              <w:bottom w:val="single" w:sz="8" w:color="auto"/>
            </w:tcBorders>
            <w:shd w:val="clear" w:color="auto" w:fill="CCEEFF"/>
          </w:tcPr>
          <w:p>
            <w:pPr>
              <w:jc w:val="right"/>
              <w:ind w:right="61"/>
              <w:spacing w:after="0" w:line="223" w:lineRule="exact"/>
              <w:rPr>
                <w:sz w:val="20"/>
                <w:szCs w:val="20"/>
                <w:color w:val="auto"/>
              </w:rPr>
            </w:pPr>
            <w:r>
              <w:rPr>
                <w:rFonts w:ascii="Arial" w:cs="Arial" w:eastAsia="Arial" w:hAnsi="Arial"/>
                <w:sz w:val="20"/>
                <w:szCs w:val="20"/>
                <w:color w:val="auto"/>
              </w:rPr>
              <w:t>38,893</w:t>
            </w:r>
          </w:p>
        </w:tc>
        <w:tc>
          <w:tcPr>
            <w:tcW w:w="400" w:type="dxa"/>
            <w:vAlign w:val="bottom"/>
            <w:tcBorders>
              <w:bottom w:val="single" w:sz="8" w:color="auto"/>
            </w:tcBorders>
            <w:shd w:val="clear" w:color="auto" w:fill="CCEEFF"/>
          </w:tcPr>
          <w:p>
            <w:pPr>
              <w:jc w:val="right"/>
              <w:ind w:right="41"/>
              <w:spacing w:after="0" w:line="223" w:lineRule="exact"/>
              <w:rPr>
                <w:sz w:val="20"/>
                <w:szCs w:val="20"/>
                <w:color w:val="auto"/>
              </w:rPr>
            </w:pPr>
            <w:r>
              <w:rPr>
                <w:rFonts w:ascii="Arial" w:cs="Arial" w:eastAsia="Arial" w:hAnsi="Arial"/>
                <w:sz w:val="20"/>
                <w:szCs w:val="20"/>
                <w:color w:val="auto"/>
              </w:rPr>
              <w:t>$</w:t>
            </w:r>
          </w:p>
        </w:tc>
        <w:tc>
          <w:tcPr>
            <w:tcW w:w="1080" w:type="dxa"/>
            <w:vAlign w:val="bottom"/>
            <w:tcBorders>
              <w:bottom w:val="single" w:sz="8" w:color="auto"/>
            </w:tcBorders>
            <w:shd w:val="clear" w:color="auto" w:fill="CCEEFF"/>
          </w:tcPr>
          <w:p>
            <w:pPr>
              <w:jc w:val="right"/>
              <w:ind w:right="41"/>
              <w:spacing w:after="0" w:line="223" w:lineRule="exact"/>
              <w:rPr>
                <w:sz w:val="20"/>
                <w:szCs w:val="20"/>
                <w:color w:val="auto"/>
              </w:rPr>
            </w:pPr>
            <w:r>
              <w:rPr>
                <w:rFonts w:ascii="Arial" w:cs="Arial" w:eastAsia="Arial" w:hAnsi="Arial"/>
                <w:sz w:val="20"/>
                <w:szCs w:val="20"/>
                <w:color w:val="auto"/>
              </w:rPr>
              <w:t>796,848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20"/>
                <w:szCs w:val="20"/>
                <w:color w:val="auto"/>
              </w:rPr>
              <w:t>Amounts included in:</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00" w:type="dxa"/>
            <w:vAlign w:val="bottom"/>
          </w:tcPr>
          <w:p>
            <w:pPr>
              <w:ind w:left="40"/>
              <w:spacing w:after="0"/>
              <w:rPr>
                <w:sz w:val="20"/>
                <w:szCs w:val="20"/>
                <w:color w:val="auto"/>
              </w:rPr>
            </w:pPr>
            <w:r>
              <w:rPr>
                <w:rFonts w:ascii="Arial" w:cs="Arial" w:eastAsia="Arial" w:hAnsi="Arial"/>
                <w:sz w:val="20"/>
                <w:szCs w:val="20"/>
                <w:color w:val="auto"/>
              </w:rPr>
              <w:t>Cash and cash equivalents</w:t>
            </w:r>
          </w:p>
        </w:tc>
        <w:tc>
          <w:tcPr>
            <w:tcW w:w="240" w:type="dxa"/>
            <w:vAlign w:val="bottom"/>
          </w:tcPr>
          <w:p>
            <w:pPr>
              <w:jc w:val="right"/>
              <w:spacing w:after="0"/>
              <w:rPr>
                <w:sz w:val="20"/>
                <w:szCs w:val="20"/>
                <w:color w:val="auto"/>
              </w:rPr>
            </w:pPr>
            <w:r>
              <w:rPr>
                <w:rFonts w:ascii="Arial" w:cs="Arial" w:eastAsia="Arial" w:hAnsi="Arial"/>
                <w:sz w:val="20"/>
                <w:szCs w:val="20"/>
                <w:color w:val="auto"/>
              </w:rPr>
              <w:t>$</w:t>
            </w:r>
          </w:p>
        </w:tc>
        <w:tc>
          <w:tcPr>
            <w:tcW w:w="1200" w:type="dxa"/>
            <w:vAlign w:val="bottom"/>
          </w:tcPr>
          <w:p>
            <w:pPr>
              <w:jc w:val="right"/>
              <w:ind w:right="81"/>
              <w:spacing w:after="0"/>
              <w:rPr>
                <w:sz w:val="20"/>
                <w:szCs w:val="20"/>
                <w:color w:val="auto"/>
              </w:rPr>
            </w:pPr>
            <w:r>
              <w:rPr>
                <w:rFonts w:ascii="Arial" w:cs="Arial" w:eastAsia="Arial" w:hAnsi="Arial"/>
                <w:sz w:val="20"/>
                <w:szCs w:val="20"/>
                <w:color w:val="auto"/>
              </w:rPr>
              <w:t>311,908</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1200" w:type="dxa"/>
            <w:vAlign w:val="bottom"/>
          </w:tcPr>
          <w:p>
            <w:pPr>
              <w:jc w:val="right"/>
              <w:ind w:right="81"/>
              <w:spacing w:after="0"/>
              <w:rPr>
                <w:sz w:val="20"/>
                <w:szCs w:val="20"/>
                <w:color w:val="auto"/>
              </w:rPr>
            </w:pPr>
            <w:r>
              <w:rPr>
                <w:rFonts w:ascii="Arial" w:cs="Arial" w:eastAsia="Arial" w:hAnsi="Arial"/>
                <w:sz w:val="20"/>
                <w:szCs w:val="20"/>
                <w:color w:val="auto"/>
              </w:rPr>
              <w:t>47,423</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116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40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1080" w:type="dxa"/>
            <w:vAlign w:val="bottom"/>
          </w:tcPr>
          <w:p>
            <w:pPr>
              <w:jc w:val="right"/>
              <w:ind w:right="41"/>
              <w:spacing w:after="0"/>
              <w:rPr>
                <w:sz w:val="20"/>
                <w:szCs w:val="20"/>
                <w:color w:val="auto"/>
              </w:rPr>
            </w:pPr>
            <w:r>
              <w:rPr>
                <w:rFonts w:ascii="Arial" w:cs="Arial" w:eastAsia="Arial" w:hAnsi="Arial"/>
                <w:sz w:val="20"/>
                <w:szCs w:val="20"/>
                <w:color w:val="auto"/>
              </w:rPr>
              <w:t>359,331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00" w:type="dxa"/>
            <w:vAlign w:val="bottom"/>
            <w:shd w:val="clear" w:color="auto" w:fill="CCEEFF"/>
          </w:tcPr>
          <w:p>
            <w:pPr>
              <w:ind w:left="40"/>
              <w:spacing w:after="0"/>
              <w:rPr>
                <w:sz w:val="20"/>
                <w:szCs w:val="20"/>
                <w:color w:val="auto"/>
              </w:rPr>
            </w:pPr>
            <w:r>
              <w:rPr>
                <w:rFonts w:ascii="Arial" w:cs="Arial" w:eastAsia="Arial" w:hAnsi="Arial"/>
                <w:sz w:val="20"/>
                <w:szCs w:val="20"/>
                <w:color w:val="auto"/>
              </w:rPr>
              <w:t>Short-term investments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81"/>
              <w:spacing w:after="0"/>
              <w:rPr>
                <w:sz w:val="20"/>
                <w:szCs w:val="20"/>
                <w:color w:val="auto"/>
              </w:rPr>
            </w:pPr>
            <w:r>
              <w:rPr>
                <w:rFonts w:ascii="Arial" w:cs="Arial" w:eastAsia="Arial" w:hAnsi="Arial"/>
                <w:sz w:val="20"/>
                <w:szCs w:val="20"/>
                <w:color w:val="auto"/>
              </w:rPr>
              <w:t>8,034</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81"/>
              <w:spacing w:after="0"/>
              <w:rPr>
                <w:sz w:val="20"/>
                <w:szCs w:val="20"/>
                <w:color w:val="auto"/>
              </w:rPr>
            </w:pPr>
            <w:r>
              <w:rPr>
                <w:rFonts w:ascii="Arial" w:cs="Arial" w:eastAsia="Arial" w:hAnsi="Arial"/>
                <w:sz w:val="20"/>
                <w:szCs w:val="20"/>
                <w:color w:val="auto"/>
              </w:rPr>
              <w:t>390,590</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61"/>
              <w:spacing w:after="0"/>
              <w:rPr>
                <w:sz w:val="20"/>
                <w:szCs w:val="20"/>
                <w:color w:val="auto"/>
              </w:rPr>
            </w:pPr>
            <w:r>
              <w:rPr>
                <w:rFonts w:ascii="Arial" w:cs="Arial" w:eastAsia="Arial" w:hAnsi="Arial"/>
                <w:sz w:val="20"/>
                <w:szCs w:val="20"/>
                <w:color w:val="auto"/>
              </w:rPr>
              <w:t>12,658</w:t>
            </w: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41"/>
              <w:spacing w:after="0"/>
              <w:rPr>
                <w:sz w:val="20"/>
                <w:szCs w:val="20"/>
                <w:color w:val="auto"/>
              </w:rPr>
            </w:pPr>
            <w:r>
              <w:rPr>
                <w:rFonts w:ascii="Arial" w:cs="Arial" w:eastAsia="Arial" w:hAnsi="Arial"/>
                <w:sz w:val="20"/>
                <w:szCs w:val="20"/>
                <w:color w:val="auto"/>
              </w:rPr>
              <w:t>411,282</w:t>
            </w:r>
          </w:p>
        </w:tc>
        <w:tc>
          <w:tcPr>
            <w:tcW w:w="0" w:type="dxa"/>
            <w:vAlign w:val="bottom"/>
          </w:tcPr>
          <w:p>
            <w:pPr>
              <w:spacing w:after="0"/>
              <w:rPr>
                <w:sz w:val="1"/>
                <w:szCs w:val="1"/>
                <w:color w:val="auto"/>
              </w:rPr>
            </w:pPr>
          </w:p>
        </w:tc>
      </w:tr>
    </w:tbl>
    <w:p>
      <w:pPr>
        <w:sectPr>
          <w:pgSz w:w="11900" w:h="16838" w:orient="portrait"/>
          <w:cols w:equalWidth="0" w:num="1">
            <w:col w:w="11420"/>
          </w:cols>
          <w:pgMar w:left="240" w:top="334" w:right="239" w:bottom="0" w:gutter="0" w:footer="0" w:header="0"/>
        </w:sectPr>
      </w:pPr>
    </w:p>
    <w:bookmarkStart w:id="8" w:name="page9"/>
    <w:bookmarkEnd w:id="8"/>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5420" w:type="dxa"/>
            <w:vAlign w:val="bottom"/>
          </w:tcPr>
          <w:p>
            <w:pPr>
              <w:ind w:left="60"/>
              <w:spacing w:after="0"/>
              <w:rPr>
                <w:sz w:val="20"/>
                <w:szCs w:val="20"/>
                <w:color w:val="auto"/>
              </w:rPr>
            </w:pPr>
            <w:r>
              <w:rPr>
                <w:rFonts w:ascii="Arial" w:cs="Arial" w:eastAsia="Arial" w:hAnsi="Arial"/>
                <w:sz w:val="20"/>
                <w:szCs w:val="20"/>
                <w:color w:val="auto"/>
              </w:rPr>
              <w:t>Investments</w:t>
            </w:r>
          </w:p>
        </w:tc>
        <w:tc>
          <w:tcPr>
            <w:tcW w:w="180" w:type="dxa"/>
            <w:vAlign w:val="bottom"/>
          </w:tcPr>
          <w:p>
            <w:pPr>
              <w:spacing w:after="0"/>
              <w:rPr>
                <w:sz w:val="21"/>
                <w:szCs w:val="21"/>
                <w:color w:val="auto"/>
              </w:rPr>
            </w:pPr>
          </w:p>
        </w:tc>
        <w:tc>
          <w:tcPr>
            <w:tcW w:w="1260" w:type="dxa"/>
            <w:vAlign w:val="bottom"/>
          </w:tcPr>
          <w:p>
            <w:pPr>
              <w:jc w:val="right"/>
              <w:ind w:right="83"/>
              <w:spacing w:after="0"/>
              <w:rPr>
                <w:sz w:val="20"/>
                <w:szCs w:val="20"/>
                <w:color w:val="auto"/>
              </w:rPr>
            </w:pPr>
            <w:r>
              <w:rPr>
                <w:rFonts w:ascii="Arial" w:cs="Arial" w:eastAsia="Arial" w:hAnsi="Arial"/>
                <w:sz w:val="20"/>
                <w:szCs w:val="20"/>
                <w:color w:val="auto"/>
              </w:rPr>
              <w:t>-</w:t>
            </w:r>
          </w:p>
        </w:tc>
        <w:tc>
          <w:tcPr>
            <w:tcW w:w="520" w:type="dxa"/>
            <w:vAlign w:val="bottom"/>
          </w:tcPr>
          <w:p>
            <w:pPr>
              <w:spacing w:after="0"/>
              <w:rPr>
                <w:sz w:val="21"/>
                <w:szCs w:val="21"/>
                <w:color w:val="auto"/>
              </w:rPr>
            </w:pPr>
          </w:p>
        </w:tc>
        <w:tc>
          <w:tcPr>
            <w:tcW w:w="104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tcPr>
          <w:p>
            <w:pPr>
              <w:spacing w:after="0"/>
              <w:rPr>
                <w:sz w:val="21"/>
                <w:szCs w:val="21"/>
                <w:color w:val="auto"/>
              </w:rPr>
            </w:pPr>
          </w:p>
        </w:tc>
        <w:tc>
          <w:tcPr>
            <w:tcW w:w="980" w:type="dxa"/>
            <w:vAlign w:val="bottom"/>
          </w:tcPr>
          <w:p>
            <w:pPr>
              <w:jc w:val="right"/>
              <w:ind w:right="61"/>
              <w:spacing w:after="0"/>
              <w:rPr>
                <w:sz w:val="20"/>
                <w:szCs w:val="20"/>
                <w:color w:val="auto"/>
              </w:rPr>
            </w:pPr>
            <w:r>
              <w:rPr>
                <w:rFonts w:ascii="Arial" w:cs="Arial" w:eastAsia="Arial" w:hAnsi="Arial"/>
                <w:sz w:val="20"/>
                <w:szCs w:val="20"/>
                <w:color w:val="auto"/>
              </w:rPr>
              <w:t>23,194</w:t>
            </w:r>
          </w:p>
        </w:tc>
        <w:tc>
          <w:tcPr>
            <w:tcW w:w="480" w:type="dxa"/>
            <w:vAlign w:val="bottom"/>
          </w:tcPr>
          <w:p>
            <w:pPr>
              <w:spacing w:after="0"/>
              <w:rPr>
                <w:sz w:val="21"/>
                <w:szCs w:val="21"/>
                <w:color w:val="auto"/>
              </w:rPr>
            </w:pPr>
          </w:p>
        </w:tc>
        <w:tc>
          <w:tcPr>
            <w:tcW w:w="1000" w:type="dxa"/>
            <w:vAlign w:val="bottom"/>
          </w:tcPr>
          <w:p>
            <w:pPr>
              <w:jc w:val="right"/>
              <w:ind w:right="41"/>
              <w:spacing w:after="0"/>
              <w:rPr>
                <w:sz w:val="20"/>
                <w:szCs w:val="20"/>
                <w:color w:val="auto"/>
              </w:rPr>
            </w:pPr>
            <w:r>
              <w:rPr>
                <w:rFonts w:ascii="Arial" w:cs="Arial" w:eastAsia="Arial" w:hAnsi="Arial"/>
                <w:sz w:val="20"/>
                <w:szCs w:val="20"/>
                <w:color w:val="auto"/>
              </w:rPr>
              <w:t>23,194</w:t>
            </w:r>
          </w:p>
        </w:tc>
        <w:tc>
          <w:tcPr>
            <w:tcW w:w="40" w:type="dxa"/>
            <w:vAlign w:val="bottom"/>
          </w:tcPr>
          <w:p>
            <w:pPr>
              <w:spacing w:after="0"/>
              <w:rPr>
                <w:sz w:val="21"/>
                <w:szCs w:val="21"/>
                <w:color w:val="auto"/>
              </w:rPr>
            </w:pPr>
          </w:p>
        </w:tc>
      </w:tr>
      <w:tr>
        <w:trPr>
          <w:trHeight w:val="230"/>
        </w:trPr>
        <w:tc>
          <w:tcPr>
            <w:tcW w:w="5420" w:type="dxa"/>
            <w:vAlign w:val="bottom"/>
            <w:shd w:val="clear" w:color="auto" w:fill="CCEEFF"/>
          </w:tcPr>
          <w:p>
            <w:pPr>
              <w:ind w:left="60"/>
              <w:spacing w:after="0"/>
              <w:rPr>
                <w:sz w:val="20"/>
                <w:szCs w:val="20"/>
                <w:color w:val="auto"/>
              </w:rPr>
            </w:pPr>
            <w:r>
              <w:rPr>
                <w:rFonts w:ascii="Arial" w:cs="Arial" w:eastAsia="Arial" w:hAnsi="Arial"/>
                <w:sz w:val="20"/>
                <w:szCs w:val="20"/>
                <w:color w:val="auto"/>
              </w:rPr>
              <w:t>Prepaid expenses and other current assets</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83"/>
              <w:spacing w:after="0"/>
              <w:rPr>
                <w:sz w:val="20"/>
                <w:szCs w:val="20"/>
                <w:color w:val="auto"/>
              </w:rPr>
            </w:pPr>
            <w:r>
              <w:rPr>
                <w:rFonts w:ascii="Arial" w:cs="Arial" w:eastAsia="Arial" w:hAnsi="Arial"/>
                <w:sz w:val="20"/>
                <w:szCs w:val="20"/>
                <w:color w:val="auto"/>
              </w:rPr>
              <w:t>-</w:t>
            </w: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61"/>
              <w:spacing w:after="0"/>
              <w:rPr>
                <w:sz w:val="20"/>
                <w:szCs w:val="20"/>
                <w:color w:val="auto"/>
              </w:rPr>
            </w:pPr>
            <w:r>
              <w:rPr>
                <w:rFonts w:ascii="Arial" w:cs="Arial" w:eastAsia="Arial" w:hAnsi="Arial"/>
                <w:sz w:val="20"/>
                <w:szCs w:val="20"/>
                <w:color w:val="auto"/>
              </w:rPr>
              <w:t>873</w:t>
            </w: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41"/>
              <w:spacing w:after="0"/>
              <w:rPr>
                <w:sz w:val="20"/>
                <w:szCs w:val="20"/>
                <w:color w:val="auto"/>
              </w:rPr>
            </w:pPr>
            <w:r>
              <w:rPr>
                <w:rFonts w:ascii="Arial" w:cs="Arial" w:eastAsia="Arial" w:hAnsi="Arial"/>
                <w:sz w:val="20"/>
                <w:szCs w:val="20"/>
                <w:color w:val="auto"/>
              </w:rPr>
              <w:t>873</w:t>
            </w:r>
          </w:p>
        </w:tc>
        <w:tc>
          <w:tcPr>
            <w:tcW w:w="40" w:type="dxa"/>
            <w:vAlign w:val="bottom"/>
          </w:tcPr>
          <w:p>
            <w:pPr>
              <w:spacing w:after="0"/>
              <w:rPr>
                <w:sz w:val="19"/>
                <w:szCs w:val="19"/>
                <w:color w:val="auto"/>
              </w:rPr>
            </w:pPr>
          </w:p>
        </w:tc>
      </w:tr>
      <w:tr>
        <w:trPr>
          <w:trHeight w:val="230"/>
        </w:trPr>
        <w:tc>
          <w:tcPr>
            <w:tcW w:w="5420" w:type="dxa"/>
            <w:vAlign w:val="bottom"/>
            <w:tcBorders>
              <w:bottom w:val="single" w:sz="8" w:color="CCEEFF"/>
            </w:tcBorders>
          </w:tcPr>
          <w:p>
            <w:pPr>
              <w:ind w:left="60"/>
              <w:spacing w:after="0"/>
              <w:rPr>
                <w:sz w:val="20"/>
                <w:szCs w:val="20"/>
                <w:color w:val="auto"/>
              </w:rPr>
            </w:pPr>
            <w:r>
              <w:rPr>
                <w:rFonts w:ascii="Arial" w:cs="Arial" w:eastAsia="Arial" w:hAnsi="Arial"/>
                <w:sz w:val="20"/>
                <w:szCs w:val="20"/>
                <w:color w:val="auto"/>
              </w:rPr>
              <w:t>Other assets</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83"/>
              <w:spacing w:after="0"/>
              <w:rPr>
                <w:sz w:val="20"/>
                <w:szCs w:val="20"/>
                <w:color w:val="auto"/>
              </w:rPr>
            </w:pPr>
            <w:r>
              <w:rPr>
                <w:rFonts w:ascii="Arial" w:cs="Arial" w:eastAsia="Arial" w:hAnsi="Arial"/>
                <w:sz w:val="20"/>
                <w:szCs w:val="20"/>
                <w:color w:val="auto"/>
              </w:rPr>
              <w:t>-</w:t>
            </w:r>
          </w:p>
        </w:tc>
        <w:tc>
          <w:tcPr>
            <w:tcW w:w="5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color w:val="auto"/>
              </w:rPr>
              <w:t>2,168</w:t>
            </w:r>
          </w:p>
        </w:tc>
        <w:tc>
          <w:tcPr>
            <w:tcW w:w="4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2,168</w:t>
            </w:r>
          </w:p>
        </w:tc>
        <w:tc>
          <w:tcPr>
            <w:tcW w:w="40" w:type="dxa"/>
            <w:vAlign w:val="bottom"/>
          </w:tcPr>
          <w:p>
            <w:pPr>
              <w:spacing w:after="0"/>
              <w:rPr>
                <w:sz w:val="19"/>
                <w:szCs w:val="19"/>
                <w:color w:val="auto"/>
              </w:rPr>
            </w:pPr>
          </w:p>
        </w:tc>
      </w:tr>
      <w:tr>
        <w:trPr>
          <w:trHeight w:val="223"/>
        </w:trPr>
        <w:tc>
          <w:tcPr>
            <w:tcW w:w="5420" w:type="dxa"/>
            <w:vAlign w:val="bottom"/>
            <w:tcBorders>
              <w:bottom w:val="single" w:sz="8" w:color="CCEEFF"/>
            </w:tcBorders>
            <w:shd w:val="clear" w:color="auto" w:fill="CCEEFF"/>
          </w:tcPr>
          <w:p>
            <w:pPr>
              <w:ind w:left="180"/>
              <w:spacing w:after="0" w:line="223" w:lineRule="exact"/>
              <w:rPr>
                <w:sz w:val="20"/>
                <w:szCs w:val="20"/>
                <w:color w:val="auto"/>
              </w:rPr>
            </w:pPr>
            <w:r>
              <w:rPr>
                <w:rFonts w:ascii="Arial" w:cs="Arial" w:eastAsia="Arial" w:hAnsi="Arial"/>
                <w:sz w:val="20"/>
                <w:szCs w:val="20"/>
                <w:color w:val="auto"/>
              </w:rPr>
              <w:t>Total</w:t>
            </w:r>
          </w:p>
        </w:tc>
        <w:tc>
          <w:tcPr>
            <w:tcW w:w="180" w:type="dxa"/>
            <w:vAlign w:val="bottom"/>
            <w:tcBorders>
              <w:bottom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rPr>
              <w:t>$</w:t>
            </w:r>
          </w:p>
        </w:tc>
        <w:tc>
          <w:tcPr>
            <w:tcW w:w="1260" w:type="dxa"/>
            <w:vAlign w:val="bottom"/>
            <w:tcBorders>
              <w:bottom w:val="single" w:sz="8" w:color="auto"/>
            </w:tcBorders>
            <w:shd w:val="clear" w:color="auto" w:fill="CCEEFF"/>
          </w:tcPr>
          <w:p>
            <w:pPr>
              <w:jc w:val="right"/>
              <w:ind w:right="83"/>
              <w:spacing w:after="0" w:line="223" w:lineRule="exact"/>
              <w:rPr>
                <w:sz w:val="20"/>
                <w:szCs w:val="20"/>
                <w:color w:val="auto"/>
              </w:rPr>
            </w:pPr>
            <w:r>
              <w:rPr>
                <w:rFonts w:ascii="Arial" w:cs="Arial" w:eastAsia="Arial" w:hAnsi="Arial"/>
                <w:sz w:val="20"/>
                <w:szCs w:val="20"/>
                <w:color w:val="auto"/>
              </w:rPr>
              <w:t>319,942</w:t>
            </w:r>
          </w:p>
        </w:tc>
        <w:tc>
          <w:tcPr>
            <w:tcW w:w="520" w:type="dxa"/>
            <w:vAlign w:val="bottom"/>
            <w:tcBorders>
              <w:bottom w:val="single" w:sz="8" w:color="auto"/>
            </w:tcBorders>
            <w:shd w:val="clear" w:color="auto" w:fill="CCEEFF"/>
          </w:tcPr>
          <w:p>
            <w:pPr>
              <w:jc w:val="right"/>
              <w:ind w:right="141"/>
              <w:spacing w:after="0" w:line="223" w:lineRule="exact"/>
              <w:rPr>
                <w:sz w:val="20"/>
                <w:szCs w:val="20"/>
                <w:color w:val="auto"/>
              </w:rPr>
            </w:pPr>
            <w:r>
              <w:rPr>
                <w:rFonts w:ascii="Arial" w:cs="Arial" w:eastAsia="Arial" w:hAnsi="Arial"/>
                <w:sz w:val="20"/>
                <w:szCs w:val="20"/>
                <w:color w:val="auto"/>
              </w:rPr>
              <w:t>$</w:t>
            </w:r>
          </w:p>
        </w:tc>
        <w:tc>
          <w:tcPr>
            <w:tcW w:w="1040" w:type="dxa"/>
            <w:vAlign w:val="bottom"/>
            <w:tcBorders>
              <w:bottom w:val="single" w:sz="8" w:color="auto"/>
            </w:tcBorders>
            <w:shd w:val="clear" w:color="auto" w:fill="CCEEFF"/>
          </w:tcPr>
          <w:p>
            <w:pPr>
              <w:jc w:val="right"/>
              <w:ind w:right="81"/>
              <w:spacing w:after="0" w:line="223" w:lineRule="exact"/>
              <w:rPr>
                <w:sz w:val="20"/>
                <w:szCs w:val="20"/>
                <w:color w:val="auto"/>
              </w:rPr>
            </w:pPr>
            <w:r>
              <w:rPr>
                <w:rFonts w:ascii="Arial" w:cs="Arial" w:eastAsia="Arial" w:hAnsi="Arial"/>
                <w:sz w:val="20"/>
                <w:szCs w:val="20"/>
                <w:color w:val="auto"/>
              </w:rPr>
              <w:t>438,013</w:t>
            </w:r>
          </w:p>
        </w:tc>
        <w:tc>
          <w:tcPr>
            <w:tcW w:w="540" w:type="dxa"/>
            <w:vAlign w:val="bottom"/>
            <w:tcBorders>
              <w:bottom w:val="single" w:sz="8" w:color="auto"/>
            </w:tcBorders>
            <w:shd w:val="clear" w:color="auto" w:fill="CCEEFF"/>
          </w:tcPr>
          <w:p>
            <w:pPr>
              <w:jc w:val="right"/>
              <w:ind w:right="161"/>
              <w:spacing w:after="0" w:line="223" w:lineRule="exact"/>
              <w:rPr>
                <w:sz w:val="20"/>
                <w:szCs w:val="20"/>
                <w:color w:val="auto"/>
              </w:rPr>
            </w:pPr>
            <w:r>
              <w:rPr>
                <w:rFonts w:ascii="Arial" w:cs="Arial" w:eastAsia="Arial" w:hAnsi="Arial"/>
                <w:sz w:val="20"/>
                <w:szCs w:val="20"/>
                <w:color w:val="auto"/>
              </w:rPr>
              <w:t>$</w:t>
            </w:r>
          </w:p>
        </w:tc>
        <w:tc>
          <w:tcPr>
            <w:tcW w:w="980" w:type="dxa"/>
            <w:vAlign w:val="bottom"/>
            <w:tcBorders>
              <w:bottom w:val="single" w:sz="8" w:color="auto"/>
            </w:tcBorders>
            <w:shd w:val="clear" w:color="auto" w:fill="CCEEFF"/>
          </w:tcPr>
          <w:p>
            <w:pPr>
              <w:jc w:val="right"/>
              <w:ind w:right="61"/>
              <w:spacing w:after="0" w:line="223" w:lineRule="exact"/>
              <w:rPr>
                <w:sz w:val="20"/>
                <w:szCs w:val="20"/>
                <w:color w:val="auto"/>
              </w:rPr>
            </w:pPr>
            <w:r>
              <w:rPr>
                <w:rFonts w:ascii="Arial" w:cs="Arial" w:eastAsia="Arial" w:hAnsi="Arial"/>
                <w:sz w:val="20"/>
                <w:szCs w:val="20"/>
                <w:color w:val="auto"/>
              </w:rPr>
              <w:t>38,893</w:t>
            </w:r>
          </w:p>
        </w:tc>
        <w:tc>
          <w:tcPr>
            <w:tcW w:w="480" w:type="dxa"/>
            <w:vAlign w:val="bottom"/>
            <w:tcBorders>
              <w:bottom w:val="single" w:sz="8" w:color="auto"/>
            </w:tcBorders>
            <w:shd w:val="clear" w:color="auto" w:fill="CCEEFF"/>
          </w:tcPr>
          <w:p>
            <w:pPr>
              <w:jc w:val="right"/>
              <w:ind w:right="121"/>
              <w:spacing w:after="0" w:line="223" w:lineRule="exact"/>
              <w:rPr>
                <w:sz w:val="20"/>
                <w:szCs w:val="20"/>
                <w:color w:val="auto"/>
              </w:rPr>
            </w:pPr>
            <w:r>
              <w:rPr>
                <w:rFonts w:ascii="Arial" w:cs="Arial" w:eastAsia="Arial" w:hAnsi="Arial"/>
                <w:sz w:val="20"/>
                <w:szCs w:val="20"/>
                <w:color w:val="auto"/>
              </w:rPr>
              <w:t>$</w:t>
            </w:r>
          </w:p>
        </w:tc>
        <w:tc>
          <w:tcPr>
            <w:tcW w:w="1000" w:type="dxa"/>
            <w:vAlign w:val="bottom"/>
            <w:tcBorders>
              <w:bottom w:val="single" w:sz="8" w:color="auto"/>
            </w:tcBorders>
            <w:shd w:val="clear" w:color="auto" w:fill="CCEEFF"/>
          </w:tcPr>
          <w:p>
            <w:pPr>
              <w:jc w:val="right"/>
              <w:ind w:right="41"/>
              <w:spacing w:after="0" w:line="223" w:lineRule="exact"/>
              <w:rPr>
                <w:sz w:val="20"/>
                <w:szCs w:val="20"/>
                <w:color w:val="auto"/>
              </w:rPr>
            </w:pPr>
            <w:r>
              <w:rPr>
                <w:rFonts w:ascii="Arial" w:cs="Arial" w:eastAsia="Arial" w:hAnsi="Arial"/>
                <w:sz w:val="20"/>
                <w:szCs w:val="20"/>
                <w:color w:val="auto"/>
              </w:rPr>
              <w:t>796,848</w:t>
            </w:r>
          </w:p>
        </w:tc>
        <w:tc>
          <w:tcPr>
            <w:tcW w:w="40" w:type="dxa"/>
            <w:vAlign w:val="bottom"/>
          </w:tcPr>
          <w:p>
            <w:pPr>
              <w:spacing w:after="0"/>
              <w:rPr>
                <w:sz w:val="19"/>
                <w:szCs w:val="19"/>
                <w:color w:val="auto"/>
              </w:rPr>
            </w:pPr>
          </w:p>
        </w:tc>
      </w:tr>
      <w:tr>
        <w:trPr>
          <w:trHeight w:val="20"/>
        </w:trPr>
        <w:tc>
          <w:tcPr>
            <w:tcW w:w="5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3"/>
        </w:trPr>
        <w:tc>
          <w:tcPr>
            <w:tcW w:w="5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jc w:val="right"/>
              <w:ind w:right="963"/>
              <w:spacing w:after="0"/>
              <w:rPr>
                <w:sz w:val="20"/>
                <w:szCs w:val="20"/>
                <w:color w:val="auto"/>
              </w:rPr>
            </w:pPr>
            <w:r>
              <w:rPr>
                <w:rFonts w:ascii="Arial" w:cs="Arial" w:eastAsia="Arial" w:hAnsi="Arial"/>
                <w:sz w:val="18"/>
                <w:szCs w:val="18"/>
                <w:color w:val="auto"/>
                <w:w w:val="89"/>
              </w:rPr>
              <w:t>13</w:t>
            </w:r>
          </w:p>
        </w:tc>
        <w:tc>
          <w:tcPr>
            <w:tcW w:w="5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542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260" w:type="dxa"/>
            <w:vAlign w:val="bottom"/>
            <w:tcBorders>
              <w:bottom w:val="single" w:sz="8" w:color="010101"/>
            </w:tcBorders>
          </w:tcPr>
          <w:p>
            <w:pPr>
              <w:spacing w:after="0"/>
              <w:rPr>
                <w:sz w:val="11"/>
                <w:szCs w:val="11"/>
                <w:color w:val="auto"/>
              </w:rPr>
            </w:pPr>
          </w:p>
        </w:tc>
        <w:tc>
          <w:tcPr>
            <w:tcW w:w="520" w:type="dxa"/>
            <w:vAlign w:val="bottom"/>
            <w:tcBorders>
              <w:bottom w:val="single" w:sz="8" w:color="010101"/>
            </w:tcBorders>
          </w:tcPr>
          <w:p>
            <w:pPr>
              <w:spacing w:after="0"/>
              <w:rPr>
                <w:sz w:val="11"/>
                <w:szCs w:val="11"/>
                <w:color w:val="auto"/>
              </w:rPr>
            </w:pPr>
          </w:p>
        </w:tc>
        <w:tc>
          <w:tcPr>
            <w:tcW w:w="1040" w:type="dxa"/>
            <w:vAlign w:val="bottom"/>
            <w:tcBorders>
              <w:bottom w:val="single" w:sz="8" w:color="010101"/>
            </w:tcBorders>
          </w:tcPr>
          <w:p>
            <w:pPr>
              <w:spacing w:after="0"/>
              <w:rPr>
                <w:sz w:val="11"/>
                <w:szCs w:val="11"/>
                <w:color w:val="auto"/>
              </w:rPr>
            </w:pPr>
          </w:p>
        </w:tc>
        <w:tc>
          <w:tcPr>
            <w:tcW w:w="540" w:type="dxa"/>
            <w:vAlign w:val="bottom"/>
            <w:tcBorders>
              <w:bottom w:val="single" w:sz="8" w:color="010101"/>
            </w:tcBorders>
          </w:tcPr>
          <w:p>
            <w:pPr>
              <w:spacing w:after="0"/>
              <w:rPr>
                <w:sz w:val="11"/>
                <w:szCs w:val="11"/>
                <w:color w:val="auto"/>
              </w:rPr>
            </w:pPr>
          </w:p>
        </w:tc>
        <w:tc>
          <w:tcPr>
            <w:tcW w:w="980" w:type="dxa"/>
            <w:vAlign w:val="bottom"/>
            <w:tcBorders>
              <w:bottom w:val="single" w:sz="8" w:color="010101"/>
            </w:tcBorders>
          </w:tcPr>
          <w:p>
            <w:pPr>
              <w:spacing w:after="0"/>
              <w:rPr>
                <w:sz w:val="11"/>
                <w:szCs w:val="11"/>
                <w:color w:val="auto"/>
              </w:rPr>
            </w:pPr>
          </w:p>
        </w:tc>
        <w:tc>
          <w:tcPr>
            <w:tcW w:w="480" w:type="dxa"/>
            <w:vAlign w:val="bottom"/>
            <w:tcBorders>
              <w:bottom w:val="single" w:sz="8" w:color="010101"/>
            </w:tcBorders>
          </w:tcPr>
          <w:p>
            <w:pPr>
              <w:spacing w:after="0"/>
              <w:rPr>
                <w:sz w:val="11"/>
                <w:szCs w:val="11"/>
                <w:color w:val="auto"/>
              </w:rPr>
            </w:pPr>
          </w:p>
        </w:tc>
        <w:tc>
          <w:tcPr>
            <w:tcW w:w="10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MONSTER BEVERAGE CORPORATION AND SUBSIDIARIES</w:t>
      </w:r>
    </w:p>
    <w:p>
      <w:pPr>
        <w:spacing w:after="0" w:line="14" w:lineRule="exact"/>
        <w:rPr>
          <w:sz w:val="20"/>
          <w:szCs w:val="20"/>
          <w:color w:val="auto"/>
        </w:rPr>
      </w:pPr>
    </w:p>
    <w:p>
      <w:pPr>
        <w:ind w:right="4380"/>
        <w:spacing w:after="0" w:line="308"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58" w:lineRule="exact"/>
        <w:rPr>
          <w:sz w:val="20"/>
          <w:szCs w:val="20"/>
          <w:color w:val="auto"/>
        </w:rPr>
      </w:pPr>
    </w:p>
    <w:p>
      <w:pPr>
        <w:jc w:val="both"/>
        <w:ind w:right="40" w:firstLine="648"/>
        <w:spacing w:after="0" w:line="247" w:lineRule="auto"/>
        <w:rPr>
          <w:sz w:val="20"/>
          <w:szCs w:val="20"/>
          <w:color w:val="auto"/>
        </w:rPr>
      </w:pPr>
      <w:r>
        <w:rPr>
          <w:rFonts w:ascii="Arial" w:cs="Arial" w:eastAsia="Arial" w:hAnsi="Arial"/>
          <w:sz w:val="21"/>
          <w:szCs w:val="21"/>
          <w:color w:val="auto"/>
        </w:rPr>
        <w:t>The majority of the Company’s short-term investments are classified within Level 1 or Level 2 of the fair value hierarchy. The Company’s valuation of its Level 1 investments, which include money market funds and U.S. Treasuries, is based on quoted market prices in active markets for identical securities. The Company’s valuation of its Level 2 investments, which include certificates of deposit, corporate bonds, municipal securities, U.S. government agency securities and VRDNs, is based on other observable inputs, specifically a valuation model which utilizes vendor pricing for similar securities. There were no transfers between Level 1 and Level 2 measurements during the three- and nine-months ended September 30, 2012, and there were no changes in the Company’s valuation techniques.</w:t>
      </w:r>
    </w:p>
    <w:p>
      <w:pPr>
        <w:spacing w:after="0" w:line="205" w:lineRule="exact"/>
        <w:rPr>
          <w:sz w:val="20"/>
          <w:szCs w:val="20"/>
          <w:color w:val="auto"/>
        </w:rPr>
      </w:pPr>
    </w:p>
    <w:p>
      <w:pPr>
        <w:jc w:val="both"/>
        <w:ind w:right="40" w:firstLine="648"/>
        <w:spacing w:after="0" w:line="279" w:lineRule="auto"/>
        <w:rPr>
          <w:sz w:val="20"/>
          <w:szCs w:val="20"/>
          <w:color w:val="auto"/>
        </w:rPr>
      </w:pPr>
      <w:r>
        <w:rPr>
          <w:rFonts w:ascii="Arial" w:cs="Arial" w:eastAsia="Arial" w:hAnsi="Arial"/>
          <w:sz w:val="19"/>
          <w:szCs w:val="19"/>
          <w:color w:val="auto"/>
        </w:rPr>
        <w:t>The Company’s Level 3 assets are comprised of auction rate securities and put options. The Company’s Level 3 valuation utilized a mark-to-model approach which included estimates for interest rates, timing and amount of cash flows, credit and liquidity premiums, as well as expected holding periods for the auction rate securities. These assumptions are typically volatile and subject to change as the underlying data sources and market conditions evolve. A significant change in any single input could have a significant valuation impact; however, no single input has a more significant impact on valuation than another. There were no changes in the Company’s valuation techniques of its Level 3 assets during the three- and nine-months ended September 30, 2012.</w:t>
      </w:r>
    </w:p>
    <w:p>
      <w:pPr>
        <w:spacing w:after="0" w:line="178" w:lineRule="exact"/>
        <w:rPr>
          <w:sz w:val="20"/>
          <w:szCs w:val="20"/>
          <w:color w:val="auto"/>
        </w:rPr>
      </w:pPr>
    </w:p>
    <w:p>
      <w:pPr>
        <w:jc w:val="both"/>
        <w:ind w:right="60" w:firstLine="648"/>
        <w:spacing w:after="0" w:line="251" w:lineRule="auto"/>
        <w:rPr>
          <w:sz w:val="20"/>
          <w:szCs w:val="20"/>
          <w:color w:val="auto"/>
        </w:rPr>
      </w:pPr>
      <w:r>
        <w:rPr>
          <w:rFonts w:ascii="Arial" w:cs="Arial" w:eastAsia="Arial" w:hAnsi="Arial"/>
          <w:sz w:val="22"/>
          <w:szCs w:val="22"/>
          <w:color w:val="auto"/>
        </w:rPr>
        <w:t>The following table presents quantitative information related to the significant unobservable inputs utilized in the Company’s Level 3 recurring fair value measurements as of September 30, 2012.</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274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2600" w:type="dxa"/>
            <w:vAlign w:val="bottom"/>
            <w:tcBorders>
              <w:bottom w:val="single" w:sz="8" w:color="auto"/>
            </w:tcBorders>
          </w:tcPr>
          <w:p>
            <w:pPr>
              <w:ind w:left="520"/>
              <w:spacing w:after="0"/>
              <w:rPr>
                <w:sz w:val="20"/>
                <w:szCs w:val="20"/>
                <w:color w:val="auto"/>
              </w:rPr>
            </w:pPr>
            <w:r>
              <w:rPr>
                <w:rFonts w:ascii="Arial" w:cs="Arial" w:eastAsia="Arial" w:hAnsi="Arial"/>
                <w:sz w:val="19"/>
                <w:szCs w:val="19"/>
                <w:color w:val="auto"/>
              </w:rPr>
              <w:t>Valuation Technique</w:t>
            </w:r>
          </w:p>
        </w:tc>
        <w:tc>
          <w:tcPr>
            <w:tcW w:w="200" w:type="dxa"/>
            <w:vAlign w:val="bottom"/>
            <w:tcBorders>
              <w:bottom w:val="single" w:sz="8" w:color="CCEEFF"/>
            </w:tcBorders>
          </w:tcPr>
          <w:p>
            <w:pPr>
              <w:spacing w:after="0"/>
              <w:rPr>
                <w:sz w:val="20"/>
                <w:szCs w:val="20"/>
                <w:color w:val="auto"/>
              </w:rPr>
            </w:pPr>
          </w:p>
        </w:tc>
        <w:tc>
          <w:tcPr>
            <w:tcW w:w="2820" w:type="dxa"/>
            <w:vAlign w:val="bottom"/>
            <w:tcBorders>
              <w:bottom w:val="single" w:sz="8" w:color="auto"/>
            </w:tcBorders>
          </w:tcPr>
          <w:p>
            <w:pPr>
              <w:ind w:left="660"/>
              <w:spacing w:after="0"/>
              <w:rPr>
                <w:sz w:val="20"/>
                <w:szCs w:val="20"/>
                <w:color w:val="auto"/>
              </w:rPr>
            </w:pPr>
            <w:r>
              <w:rPr>
                <w:rFonts w:ascii="Arial" w:cs="Arial" w:eastAsia="Arial" w:hAnsi="Arial"/>
                <w:sz w:val="19"/>
                <w:szCs w:val="19"/>
                <w:color w:val="auto"/>
              </w:rPr>
              <w:t>Unobservable Input</w:t>
            </w:r>
          </w:p>
        </w:tc>
        <w:tc>
          <w:tcPr>
            <w:tcW w:w="220" w:type="dxa"/>
            <w:vAlign w:val="bottom"/>
            <w:tcBorders>
              <w:bottom w:val="single" w:sz="8" w:color="CCEEFF"/>
            </w:tcBorders>
          </w:tcPr>
          <w:p>
            <w:pPr>
              <w:spacing w:after="0"/>
              <w:rPr>
                <w:sz w:val="20"/>
                <w:szCs w:val="20"/>
                <w:color w:val="auto"/>
              </w:rPr>
            </w:pPr>
          </w:p>
        </w:tc>
        <w:tc>
          <w:tcPr>
            <w:tcW w:w="2600" w:type="dxa"/>
            <w:vAlign w:val="bottom"/>
            <w:tcBorders>
              <w:bottom w:val="single" w:sz="8" w:color="auto"/>
            </w:tcBorders>
          </w:tcPr>
          <w:p>
            <w:pPr>
              <w:ind w:left="260"/>
              <w:spacing w:after="0"/>
              <w:rPr>
                <w:sz w:val="20"/>
                <w:szCs w:val="20"/>
                <w:color w:val="auto"/>
              </w:rPr>
            </w:pPr>
            <w:r>
              <w:rPr>
                <w:rFonts w:ascii="Arial" w:cs="Arial" w:eastAsia="Arial" w:hAnsi="Arial"/>
                <w:sz w:val="19"/>
                <w:szCs w:val="19"/>
                <w:color w:val="auto"/>
              </w:rPr>
              <w:t>Range (Weighted-Average)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740" w:type="dxa"/>
            <w:vAlign w:val="bottom"/>
            <w:shd w:val="clear" w:color="auto" w:fill="CCEEFF"/>
          </w:tcPr>
          <w:p>
            <w:pPr>
              <w:spacing w:after="0" w:line="173" w:lineRule="exact"/>
              <w:rPr>
                <w:sz w:val="20"/>
                <w:szCs w:val="20"/>
                <w:color w:val="auto"/>
              </w:rPr>
            </w:pPr>
            <w:r>
              <w:rPr>
                <w:rFonts w:ascii="Arial" w:cs="Arial" w:eastAsia="Arial" w:hAnsi="Arial"/>
                <w:sz w:val="19"/>
                <w:szCs w:val="19"/>
                <w:color w:val="auto"/>
              </w:rPr>
              <w:t>Auction Rate Securities:</w:t>
            </w:r>
          </w:p>
        </w:tc>
        <w:tc>
          <w:tcPr>
            <w:tcW w:w="220" w:type="dxa"/>
            <w:vAlign w:val="bottom"/>
            <w:shd w:val="clear" w:color="auto" w:fill="CCEEFF"/>
          </w:tcPr>
          <w:p>
            <w:pPr>
              <w:spacing w:after="0"/>
              <w:rPr>
                <w:sz w:val="15"/>
                <w:szCs w:val="15"/>
                <w:color w:val="auto"/>
              </w:rPr>
            </w:pPr>
          </w:p>
        </w:tc>
        <w:tc>
          <w:tcPr>
            <w:tcW w:w="26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8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6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ind w:left="160"/>
              <w:spacing w:after="0" w:line="216" w:lineRule="exact"/>
              <w:rPr>
                <w:sz w:val="20"/>
                <w:szCs w:val="20"/>
                <w:color w:val="auto"/>
              </w:rPr>
            </w:pPr>
            <w:r>
              <w:rPr>
                <w:rFonts w:ascii="Arial" w:cs="Arial" w:eastAsia="Arial" w:hAnsi="Arial"/>
                <w:sz w:val="19"/>
                <w:szCs w:val="19"/>
                <w:color w:val="auto"/>
              </w:rPr>
              <w:t>Trading</w:t>
            </w:r>
          </w:p>
        </w:tc>
        <w:tc>
          <w:tcPr>
            <w:tcW w:w="220" w:type="dxa"/>
            <w:vAlign w:val="bottom"/>
            <w:shd w:val="clear" w:color="auto" w:fill="CCEEFF"/>
          </w:tcPr>
          <w:p>
            <w:pPr>
              <w:spacing w:after="0"/>
              <w:rPr>
                <w:sz w:val="18"/>
                <w:szCs w:val="18"/>
                <w:color w:val="auto"/>
              </w:rPr>
            </w:pPr>
          </w:p>
        </w:tc>
        <w:tc>
          <w:tcPr>
            <w:tcW w:w="2600" w:type="dxa"/>
            <w:vAlign w:val="bottom"/>
            <w:shd w:val="clear" w:color="auto" w:fill="CCEEFF"/>
          </w:tcPr>
          <w:p>
            <w:pPr>
              <w:spacing w:after="0" w:line="216" w:lineRule="exact"/>
              <w:rPr>
                <w:sz w:val="20"/>
                <w:szCs w:val="20"/>
                <w:color w:val="auto"/>
              </w:rPr>
            </w:pPr>
            <w:r>
              <w:rPr>
                <w:rFonts w:ascii="Arial" w:cs="Arial" w:eastAsia="Arial" w:hAnsi="Arial"/>
                <w:sz w:val="19"/>
                <w:szCs w:val="19"/>
                <w:color w:val="auto"/>
              </w:rPr>
              <w:t>Discounted cash flow</w:t>
            </w:r>
          </w:p>
        </w:tc>
        <w:tc>
          <w:tcPr>
            <w:tcW w:w="3020" w:type="dxa"/>
            <w:vAlign w:val="bottom"/>
            <w:gridSpan w:val="2"/>
            <w:shd w:val="clear" w:color="auto" w:fill="CCEEFF"/>
          </w:tcPr>
          <w:p>
            <w:pPr>
              <w:ind w:left="200"/>
              <w:spacing w:after="0" w:line="216" w:lineRule="exact"/>
              <w:rPr>
                <w:sz w:val="20"/>
                <w:szCs w:val="20"/>
                <w:color w:val="auto"/>
              </w:rPr>
            </w:pPr>
            <w:r>
              <w:rPr>
                <w:rFonts w:ascii="Arial" w:cs="Arial" w:eastAsia="Arial" w:hAnsi="Arial"/>
                <w:sz w:val="19"/>
                <w:szCs w:val="19"/>
                <w:color w:val="auto"/>
              </w:rPr>
              <w:t>Maximum rate probability</w:t>
            </w:r>
          </w:p>
        </w:tc>
        <w:tc>
          <w:tcPr>
            <w:tcW w:w="2820" w:type="dxa"/>
            <w:vAlign w:val="bottom"/>
            <w:gridSpan w:val="2"/>
            <w:shd w:val="clear" w:color="auto" w:fill="CCEEFF"/>
          </w:tcPr>
          <w:p>
            <w:pPr>
              <w:ind w:left="220"/>
              <w:spacing w:after="0" w:line="216" w:lineRule="exact"/>
              <w:rPr>
                <w:sz w:val="20"/>
                <w:szCs w:val="20"/>
                <w:color w:val="auto"/>
              </w:rPr>
            </w:pPr>
            <w:r>
              <w:rPr>
                <w:rFonts w:ascii="Arial" w:cs="Arial" w:eastAsia="Arial" w:hAnsi="Arial"/>
                <w:sz w:val="19"/>
                <w:szCs w:val="19"/>
                <w:color w:val="auto"/>
              </w:rPr>
              <w:t>0.37%-1.67% (0.91%)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0" w:type="dxa"/>
            <w:vAlign w:val="bottom"/>
            <w:shd w:val="clear" w:color="auto" w:fill="CCEEFF"/>
          </w:tcPr>
          <w:p>
            <w:pPr>
              <w:spacing w:after="0"/>
              <w:rPr>
                <w:sz w:val="18"/>
                <w:szCs w:val="18"/>
                <w:color w:val="auto"/>
              </w:rPr>
            </w:pPr>
          </w:p>
        </w:tc>
        <w:tc>
          <w:tcPr>
            <w:tcW w:w="3020" w:type="dxa"/>
            <w:vAlign w:val="bottom"/>
            <w:gridSpan w:val="2"/>
            <w:shd w:val="clear" w:color="auto" w:fill="CCEEFF"/>
          </w:tcPr>
          <w:p>
            <w:pPr>
              <w:ind w:left="200"/>
              <w:spacing w:after="0" w:line="216" w:lineRule="exact"/>
              <w:rPr>
                <w:sz w:val="20"/>
                <w:szCs w:val="20"/>
                <w:color w:val="auto"/>
              </w:rPr>
            </w:pPr>
            <w:r>
              <w:rPr>
                <w:rFonts w:ascii="Arial" w:cs="Arial" w:eastAsia="Arial" w:hAnsi="Arial"/>
                <w:sz w:val="19"/>
                <w:szCs w:val="19"/>
                <w:color w:val="auto"/>
              </w:rPr>
              <w:t>Principal returned probability</w:t>
            </w:r>
          </w:p>
        </w:tc>
        <w:tc>
          <w:tcPr>
            <w:tcW w:w="2820" w:type="dxa"/>
            <w:vAlign w:val="bottom"/>
            <w:gridSpan w:val="2"/>
            <w:shd w:val="clear" w:color="auto" w:fill="CCEEFF"/>
          </w:tcPr>
          <w:p>
            <w:pPr>
              <w:ind w:left="220"/>
              <w:spacing w:after="0" w:line="216" w:lineRule="exact"/>
              <w:rPr>
                <w:sz w:val="20"/>
                <w:szCs w:val="20"/>
                <w:color w:val="auto"/>
              </w:rPr>
            </w:pPr>
            <w:r>
              <w:rPr>
                <w:rFonts w:ascii="Arial" w:cs="Arial" w:eastAsia="Arial" w:hAnsi="Arial"/>
                <w:sz w:val="19"/>
                <w:szCs w:val="19"/>
                <w:color w:val="auto"/>
              </w:rPr>
              <w:t>86.66%-95.61% (87.72%)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line="216" w:lineRule="exact"/>
              <w:rPr>
                <w:sz w:val="20"/>
                <w:szCs w:val="20"/>
                <w:color w:val="auto"/>
              </w:rPr>
            </w:pPr>
            <w:r>
              <w:rPr>
                <w:rFonts w:ascii="Arial" w:cs="Arial" w:eastAsia="Arial" w:hAnsi="Arial"/>
                <w:sz w:val="19"/>
                <w:szCs w:val="19"/>
                <w:color w:val="auto"/>
              </w:rPr>
              <w:t>Default probability</w:t>
            </w:r>
          </w:p>
        </w:tc>
        <w:tc>
          <w:tcPr>
            <w:tcW w:w="2820" w:type="dxa"/>
            <w:vAlign w:val="bottom"/>
            <w:gridSpan w:val="2"/>
            <w:shd w:val="clear" w:color="auto" w:fill="CCEEFF"/>
          </w:tcPr>
          <w:p>
            <w:pPr>
              <w:ind w:left="220"/>
              <w:spacing w:after="0" w:line="216" w:lineRule="exact"/>
              <w:rPr>
                <w:sz w:val="20"/>
                <w:szCs w:val="20"/>
                <w:color w:val="auto"/>
              </w:rPr>
            </w:pPr>
            <w:r>
              <w:rPr>
                <w:rFonts w:ascii="Arial" w:cs="Arial" w:eastAsia="Arial" w:hAnsi="Arial"/>
                <w:sz w:val="19"/>
                <w:szCs w:val="19"/>
                <w:color w:val="auto"/>
              </w:rPr>
              <w:t>3.88%-11.86% (11.36%)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line="216" w:lineRule="exact"/>
              <w:rPr>
                <w:sz w:val="20"/>
                <w:szCs w:val="20"/>
                <w:color w:val="auto"/>
              </w:rPr>
            </w:pPr>
            <w:r>
              <w:rPr>
                <w:rFonts w:ascii="Arial" w:cs="Arial" w:eastAsia="Arial" w:hAnsi="Arial"/>
                <w:sz w:val="19"/>
                <w:szCs w:val="19"/>
                <w:color w:val="auto"/>
              </w:rPr>
              <w:t>Liquidity risk</w:t>
            </w:r>
          </w:p>
        </w:tc>
        <w:tc>
          <w:tcPr>
            <w:tcW w:w="2820" w:type="dxa"/>
            <w:vAlign w:val="bottom"/>
            <w:gridSpan w:val="2"/>
            <w:shd w:val="clear" w:color="auto" w:fill="CCEEFF"/>
          </w:tcPr>
          <w:p>
            <w:pPr>
              <w:ind w:left="220"/>
              <w:spacing w:after="0" w:line="216" w:lineRule="exact"/>
              <w:rPr>
                <w:sz w:val="20"/>
                <w:szCs w:val="20"/>
                <w:color w:val="auto"/>
              </w:rPr>
            </w:pPr>
            <w:r>
              <w:rPr>
                <w:rFonts w:ascii="Arial" w:cs="Arial" w:eastAsia="Arial" w:hAnsi="Arial"/>
                <w:sz w:val="19"/>
                <w:szCs w:val="19"/>
                <w:color w:val="auto"/>
              </w:rPr>
              <w:t>3.50%-3.50% (3.50%)</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7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6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9"/>
                <w:szCs w:val="19"/>
                <w:color w:val="auto"/>
              </w:rPr>
              <w:t>Recovery rate</w:t>
            </w:r>
          </w:p>
        </w:tc>
        <w:tc>
          <w:tcPr>
            <w:tcW w:w="2820" w:type="dxa"/>
            <w:vAlign w:val="bottom"/>
            <w:gridSpan w:val="2"/>
            <w:shd w:val="clear" w:color="auto" w:fill="CCEEFF"/>
          </w:tcPr>
          <w:p>
            <w:pPr>
              <w:ind w:left="220"/>
              <w:spacing w:after="0"/>
              <w:rPr>
                <w:sz w:val="20"/>
                <w:szCs w:val="20"/>
                <w:color w:val="auto"/>
              </w:rPr>
            </w:pPr>
            <w:r>
              <w:rPr>
                <w:rFonts w:ascii="Arial" w:cs="Arial" w:eastAsia="Arial" w:hAnsi="Arial"/>
                <w:sz w:val="19"/>
                <w:szCs w:val="19"/>
                <w:color w:val="auto"/>
              </w:rPr>
              <w:t>60-60 (60)</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740" w:type="dxa"/>
            <w:vAlign w:val="bottom"/>
          </w:tcPr>
          <w:p>
            <w:pPr>
              <w:spacing w:after="0" w:line="193" w:lineRule="exact"/>
              <w:rPr>
                <w:sz w:val="20"/>
                <w:szCs w:val="20"/>
                <w:color w:val="auto"/>
              </w:rPr>
            </w:pPr>
            <w:r>
              <w:rPr>
                <w:rFonts w:ascii="Arial" w:cs="Arial" w:eastAsia="Arial" w:hAnsi="Arial"/>
                <w:sz w:val="19"/>
                <w:szCs w:val="19"/>
                <w:color w:val="auto"/>
              </w:rPr>
              <w:t>Auction Rate Securities:</w:t>
            </w:r>
          </w:p>
        </w:tc>
        <w:tc>
          <w:tcPr>
            <w:tcW w:w="22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740" w:type="dxa"/>
            <w:vAlign w:val="bottom"/>
          </w:tcPr>
          <w:p>
            <w:pPr>
              <w:ind w:left="160"/>
              <w:spacing w:after="0"/>
              <w:rPr>
                <w:sz w:val="20"/>
                <w:szCs w:val="20"/>
                <w:color w:val="auto"/>
              </w:rPr>
            </w:pPr>
            <w:r>
              <w:rPr>
                <w:rFonts w:ascii="Arial" w:cs="Arial" w:eastAsia="Arial" w:hAnsi="Arial"/>
                <w:sz w:val="19"/>
                <w:szCs w:val="19"/>
                <w:color w:val="auto"/>
              </w:rPr>
              <w:t>Available-for-sale</w:t>
            </w:r>
          </w:p>
        </w:tc>
        <w:tc>
          <w:tcPr>
            <w:tcW w:w="220" w:type="dxa"/>
            <w:vAlign w:val="bottom"/>
          </w:tcPr>
          <w:p>
            <w:pPr>
              <w:spacing w:after="0"/>
              <w:rPr>
                <w:sz w:val="20"/>
                <w:szCs w:val="20"/>
                <w:color w:val="auto"/>
              </w:rPr>
            </w:pPr>
          </w:p>
        </w:tc>
        <w:tc>
          <w:tcPr>
            <w:tcW w:w="2600" w:type="dxa"/>
            <w:vAlign w:val="bottom"/>
          </w:tcPr>
          <w:p>
            <w:pPr>
              <w:spacing w:after="0"/>
              <w:rPr>
                <w:sz w:val="20"/>
                <w:szCs w:val="20"/>
                <w:color w:val="auto"/>
              </w:rPr>
            </w:pPr>
            <w:r>
              <w:rPr>
                <w:rFonts w:ascii="Arial" w:cs="Arial" w:eastAsia="Arial" w:hAnsi="Arial"/>
                <w:sz w:val="19"/>
                <w:szCs w:val="19"/>
                <w:color w:val="auto"/>
              </w:rPr>
              <w:t>Market comparable bonds</w:t>
            </w:r>
          </w:p>
        </w:tc>
        <w:tc>
          <w:tcPr>
            <w:tcW w:w="3020" w:type="dxa"/>
            <w:vAlign w:val="bottom"/>
            <w:gridSpan w:val="2"/>
          </w:tcPr>
          <w:p>
            <w:pPr>
              <w:ind w:left="200"/>
              <w:spacing w:after="0"/>
              <w:rPr>
                <w:sz w:val="20"/>
                <w:szCs w:val="20"/>
                <w:color w:val="auto"/>
              </w:rPr>
            </w:pPr>
            <w:r>
              <w:rPr>
                <w:rFonts w:ascii="Arial" w:cs="Arial" w:eastAsia="Arial" w:hAnsi="Arial"/>
                <w:sz w:val="19"/>
                <w:szCs w:val="19"/>
                <w:color w:val="auto"/>
              </w:rPr>
              <w:t>Comparable price</w:t>
            </w:r>
          </w:p>
        </w:tc>
        <w:tc>
          <w:tcPr>
            <w:tcW w:w="2820" w:type="dxa"/>
            <w:vAlign w:val="bottom"/>
            <w:gridSpan w:val="2"/>
          </w:tcPr>
          <w:p>
            <w:pPr>
              <w:ind w:left="220"/>
              <w:spacing w:after="0"/>
              <w:rPr>
                <w:sz w:val="20"/>
                <w:szCs w:val="20"/>
                <w:color w:val="auto"/>
              </w:rPr>
            </w:pPr>
            <w:r>
              <w:rPr>
                <w:rFonts w:ascii="Arial" w:cs="Arial" w:eastAsia="Arial" w:hAnsi="Arial"/>
                <w:sz w:val="19"/>
                <w:szCs w:val="19"/>
                <w:color w:val="auto"/>
              </w:rPr>
              <w:t>54-64 (60)</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2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302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40" w:type="dxa"/>
            <w:vAlign w:val="bottom"/>
            <w:shd w:val="clear" w:color="auto" w:fill="CCEEFF"/>
          </w:tcPr>
          <w:p>
            <w:pPr>
              <w:spacing w:after="0" w:line="216" w:lineRule="exact"/>
              <w:rPr>
                <w:sz w:val="20"/>
                <w:szCs w:val="20"/>
                <w:color w:val="auto"/>
              </w:rPr>
            </w:pPr>
            <w:r>
              <w:rPr>
                <w:rFonts w:ascii="Arial" w:cs="Arial" w:eastAsia="Arial" w:hAnsi="Arial"/>
                <w:sz w:val="19"/>
                <w:szCs w:val="19"/>
                <w:color w:val="auto"/>
              </w:rPr>
              <w:t>Put Options</w:t>
            </w:r>
          </w:p>
        </w:tc>
        <w:tc>
          <w:tcPr>
            <w:tcW w:w="220" w:type="dxa"/>
            <w:vAlign w:val="bottom"/>
            <w:shd w:val="clear" w:color="auto" w:fill="CCEEFF"/>
          </w:tcPr>
          <w:p>
            <w:pPr>
              <w:spacing w:after="0"/>
              <w:rPr>
                <w:sz w:val="18"/>
                <w:szCs w:val="18"/>
                <w:color w:val="auto"/>
              </w:rPr>
            </w:pPr>
          </w:p>
        </w:tc>
        <w:tc>
          <w:tcPr>
            <w:tcW w:w="2600" w:type="dxa"/>
            <w:vAlign w:val="bottom"/>
            <w:shd w:val="clear" w:color="auto" w:fill="CCEEFF"/>
          </w:tcPr>
          <w:p>
            <w:pPr>
              <w:spacing w:after="0" w:line="216" w:lineRule="exact"/>
              <w:rPr>
                <w:sz w:val="20"/>
                <w:szCs w:val="20"/>
                <w:color w:val="auto"/>
              </w:rPr>
            </w:pPr>
            <w:r>
              <w:rPr>
                <w:rFonts w:ascii="Arial" w:cs="Arial" w:eastAsia="Arial" w:hAnsi="Arial"/>
                <w:sz w:val="19"/>
                <w:szCs w:val="19"/>
                <w:color w:val="auto"/>
              </w:rPr>
              <w:t>Discounted cash flow</w:t>
            </w:r>
          </w:p>
        </w:tc>
        <w:tc>
          <w:tcPr>
            <w:tcW w:w="3020" w:type="dxa"/>
            <w:vAlign w:val="bottom"/>
            <w:gridSpan w:val="2"/>
            <w:shd w:val="clear" w:color="auto" w:fill="CCEEFF"/>
          </w:tcPr>
          <w:p>
            <w:pPr>
              <w:ind w:left="200"/>
              <w:spacing w:after="0" w:line="216" w:lineRule="exact"/>
              <w:rPr>
                <w:sz w:val="20"/>
                <w:szCs w:val="20"/>
                <w:color w:val="auto"/>
              </w:rPr>
            </w:pPr>
            <w:r>
              <w:rPr>
                <w:rFonts w:ascii="Arial" w:cs="Arial" w:eastAsia="Arial" w:hAnsi="Arial"/>
                <w:sz w:val="19"/>
                <w:szCs w:val="19"/>
                <w:color w:val="auto"/>
              </w:rPr>
              <w:t>Counterparty risk</w:t>
            </w:r>
          </w:p>
        </w:tc>
        <w:tc>
          <w:tcPr>
            <w:tcW w:w="2820" w:type="dxa"/>
            <w:vAlign w:val="bottom"/>
            <w:gridSpan w:val="2"/>
            <w:shd w:val="clear" w:color="auto" w:fill="CCEEFF"/>
          </w:tcPr>
          <w:p>
            <w:pPr>
              <w:ind w:left="220"/>
              <w:spacing w:after="0" w:line="216" w:lineRule="exact"/>
              <w:rPr>
                <w:sz w:val="20"/>
                <w:szCs w:val="20"/>
                <w:color w:val="auto"/>
              </w:rPr>
            </w:pPr>
            <w:r>
              <w:rPr>
                <w:rFonts w:ascii="Arial" w:cs="Arial" w:eastAsia="Arial" w:hAnsi="Arial"/>
                <w:sz w:val="19"/>
                <w:szCs w:val="19"/>
                <w:color w:val="auto"/>
              </w:rPr>
              <w:t>1.40%-1.99% (1.74%)</w:t>
            </w:r>
          </w:p>
        </w:tc>
        <w:tc>
          <w:tcPr>
            <w:tcW w:w="0" w:type="dxa"/>
            <w:vAlign w:val="bottom"/>
          </w:tcPr>
          <w:p>
            <w:pPr>
              <w:spacing w:after="0"/>
              <w:rPr>
                <w:sz w:val="1"/>
                <w:szCs w:val="1"/>
                <w:color w:val="auto"/>
              </w:rPr>
            </w:pPr>
          </w:p>
        </w:tc>
      </w:tr>
    </w:tbl>
    <w:p>
      <w:pPr>
        <w:spacing w:after="0" w:line="195" w:lineRule="exact"/>
        <w:rPr>
          <w:sz w:val="20"/>
          <w:szCs w:val="20"/>
          <w:color w:val="auto"/>
        </w:rPr>
      </w:pPr>
    </w:p>
    <w:p>
      <w:pPr>
        <w:jc w:val="both"/>
        <w:ind w:right="40" w:firstLine="648"/>
        <w:spacing w:after="0" w:line="236" w:lineRule="auto"/>
        <w:rPr>
          <w:sz w:val="20"/>
          <w:szCs w:val="20"/>
          <w:color w:val="auto"/>
        </w:rPr>
      </w:pPr>
      <w:r>
        <w:rPr>
          <w:rFonts w:ascii="Arial" w:cs="Arial" w:eastAsia="Arial" w:hAnsi="Arial"/>
          <w:sz w:val="22"/>
          <w:szCs w:val="22"/>
          <w:color w:val="auto"/>
        </w:rPr>
        <w:t>At September 30, 2012, the Company held auction rate securities with a face value of $28.0 million (amortized cost basis of $20.8 million). A Level 3 valuation was performed on the Company’s auction rate securities as of September 30, 2012 resulting in a fair value of $3.3 million for the Company’s available-for-sale auction rate securities (after a $5.0 million impairment) and $17.4 million for the Company’s trading auction rate securities (after a $2.3 million impairment), which are included in short-term and long-term investments.</w:t>
      </w:r>
    </w:p>
    <w:p>
      <w:pPr>
        <w:spacing w:after="0" w:line="215" w:lineRule="exact"/>
        <w:rPr>
          <w:sz w:val="20"/>
          <w:szCs w:val="20"/>
          <w:color w:val="auto"/>
        </w:rPr>
      </w:pPr>
    </w:p>
    <w:p>
      <w:pPr>
        <w:jc w:val="both"/>
        <w:ind w:right="40" w:firstLine="648"/>
        <w:spacing w:after="0" w:line="236" w:lineRule="auto"/>
        <w:rPr>
          <w:sz w:val="20"/>
          <w:szCs w:val="20"/>
          <w:color w:val="auto"/>
        </w:rPr>
      </w:pPr>
      <w:r>
        <w:rPr>
          <w:rFonts w:ascii="Arial" w:cs="Arial" w:eastAsia="Arial" w:hAnsi="Arial"/>
          <w:sz w:val="22"/>
          <w:szCs w:val="22"/>
          <w:color w:val="auto"/>
        </w:rPr>
        <w:t>In June 2011, the Company entered into an agreement (the “2011 ARS Agreement”), related to $24.5 million of par value auction rate securities (the “2011 ARS Securities”). Under the 2011 ARS Agreement, the Company has the right to sell the 2011 ARS Securities including all accrued but unpaid interest thereon (the “2011 Put Option”) as follows: (i) on or after July 1, 2013, up to $1.0 million aggregate par value; (ii) on or after October 1, 2013, up to an additional $1.0 million aggregate par value; and (iii) in quarterly installments thereafter based on a formula of the then</w:t>
      </w:r>
    </w:p>
    <w:p>
      <w:pPr>
        <w:spacing w:after="0" w:line="19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MONSTER BEVERAGE CORPORATION AND SUBSIDIARIES</w:t>
      </w:r>
    </w:p>
    <w:p>
      <w:pPr>
        <w:spacing w:after="0" w:line="14" w:lineRule="exact"/>
        <w:rPr>
          <w:sz w:val="20"/>
          <w:szCs w:val="20"/>
          <w:color w:val="auto"/>
        </w:rPr>
      </w:pPr>
    </w:p>
    <w:p>
      <w:pPr>
        <w:ind w:right="4380"/>
        <w:spacing w:after="0" w:line="308"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71" w:lineRule="exact"/>
        <w:rPr>
          <w:sz w:val="20"/>
          <w:szCs w:val="20"/>
          <w:color w:val="auto"/>
        </w:rPr>
      </w:pPr>
    </w:p>
    <w:p>
      <w:pPr>
        <w:jc w:val="both"/>
        <w:ind w:right="40"/>
        <w:spacing w:after="0" w:line="282" w:lineRule="auto"/>
        <w:rPr>
          <w:sz w:val="20"/>
          <w:szCs w:val="20"/>
          <w:color w:val="auto"/>
        </w:rPr>
      </w:pPr>
      <w:r>
        <w:rPr>
          <w:rFonts w:ascii="Arial" w:cs="Arial" w:eastAsia="Arial" w:hAnsi="Arial"/>
          <w:sz w:val="19"/>
          <w:szCs w:val="19"/>
          <w:color w:val="auto"/>
        </w:rPr>
        <w:t>outstanding 2011 ARS Securities, as adjusted for normal market redemptions, with full sale rights available on or after April 1, 2016. The 2011 ARS Securities will continue to accrue interest until redeemed through the 2011 Put Option, or as determined by the auction process, or should the auction process fail, the terms outlined in the prospectus of the respective 2011 ARS Securities. Under the 2011 ARS Agreement, the Company has the obligation, should it receive written notification from the put issuer, to sell the 2011 ARS Securities at par plus all accrued but unpaid interest. During the nine-months ended September 30, 2012, $1.0</w:t>
      </w:r>
    </w:p>
    <w:p>
      <w:pPr>
        <w:sectPr>
          <w:pgSz w:w="11900" w:h="16931" w:orient="portrait"/>
          <w:cols w:equalWidth="0" w:num="1">
            <w:col w:w="11460"/>
          </w:cols>
          <w:pgMar w:left="240" w:top="121" w:right="199" w:bottom="0" w:gutter="0" w:footer="0" w:header="0"/>
        </w:sectPr>
      </w:pPr>
    </w:p>
    <w:bookmarkStart w:id="9" w:name="page10"/>
    <w:bookmarkEnd w:id="9"/>
    <w:p>
      <w:pPr>
        <w:spacing w:after="0" w:line="32"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million of 2011 ARS Securities were redeemed through normal market channels ($3.7 million of par value 2011 ARS Securities were redeemed at par through normal market channels during the year ended December 31, 2011). The 2011 Put Option does not meet the definition of derivative instruments under ASC 815. Therefore, the Company elected the fair value option under ASC 825-10 in accounting for the 2011 Put Option. As of September 30, 2012, the Company recorded $1.9 million as the fair market value of the 2011 Put Option, included in, prepaid expenses and other assets, and other assets, in the condensed consolidated balance sheet.</w:t>
      </w:r>
    </w:p>
    <w:p>
      <w:pPr>
        <w:spacing w:after="0" w:line="216"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1"/>
          <w:szCs w:val="21"/>
          <w:color w:val="auto"/>
        </w:rPr>
        <w:t>In March 2010, the Company entered into an agreement (the “2010 ARS Agreement”), related to $54.2 million of par value auction rate securities (the “2010 ARS Securities”). Under the 2010 ARS Agreement, the Company had the right, but not the obligation, to sell the 2010 ARS Securities including all accrued but unpaid interest thereon (the “2010 Put Option”), under various terms. During the three-months ended March 31, 2012, the remaining $15.7 million of par value 2010 ARS Securities were redeemed at par through the exercise of the 2010 Put Option, which exhausted the Company’s rights under the 2010 ARS Agreement (as of December 31, 2011, $38.5 million of par value 2010 ARS Securities had been redeemed at par through the exercise of the 2010 Put Option as well as through normal market channels).</w:t>
      </w:r>
    </w:p>
    <w:p>
      <w:pPr>
        <w:spacing w:after="0" w:line="205"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The Company holds additional auction rate securities that do not have a related put option. These auction rate securities continue to be classified as available-for-sale securities. The Company intends to retain such investments until the earlier of the recovery in market value or maturity.</w:t>
      </w:r>
    </w:p>
    <w:p>
      <w:pPr>
        <w:spacing w:after="0" w:line="21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9"/>
          <w:szCs w:val="19"/>
          <w:color w:val="auto"/>
        </w:rPr>
        <w:t>The net effect of (i) the revaluation of the 2011 Put Option and the 2010 Put Option as of September 30, 2012; (ii) the revaluation of the Company’s trading auction rate securities as of September 30, 2012; (iii) the redemption at par of certain 2011 ARS Securities; (iv) the redemption at par of certain 2010 ARS Securities, including those redeemed at par through the exercise of the 2010 Put Option; and (v) a recognized gain resulting from the redemption at par of a previously other-than-temporary impaired security; resulted in a gain of $0.2 million and $0.6 million, which is included in other income (expense) for the three- and nine-months ended September 30, 2012, respectively. The net effect of (i) the acquisition of the 2011 Put Option during the second fiscal quarter of 2011; (ii) the revaluation of the 2011 Put Option and the 2010 Put Option as of September 30, 2011; (iii) the transfer from available-for-sale to trading of the 2011 ARS Securities during the second fiscal quarter of 2011; (iv) the revaluation of the Company’s trading auction rate securities as of September 30, 2011; (v) the redemption at par of certain 2011 ARS Securities and 2010 ARS Securities, including those redeemed through the exercise of the 2010 Put Option; and (vi) a recognized gain resulting from the redemption at par of a previously other-than-temporary impaired security during the first fiscal quarter of 2011, resulted in a (loss) of ($0.8) million included in other income (expense) for both the three- and nine-months ended September 30, 2011.</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MONSTER BEVERAGE CORPORATION AND SUBSIDIARIES</w:t>
      </w:r>
    </w:p>
    <w:p>
      <w:pPr>
        <w:spacing w:after="0" w:line="14" w:lineRule="exact"/>
        <w:rPr>
          <w:sz w:val="20"/>
          <w:szCs w:val="20"/>
          <w:color w:val="auto"/>
        </w:rPr>
      </w:pPr>
    </w:p>
    <w:p>
      <w:pPr>
        <w:ind w:right="4340"/>
        <w:spacing w:after="0" w:line="308"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71" w:lineRule="exact"/>
        <w:rPr>
          <w:sz w:val="20"/>
          <w:szCs w:val="20"/>
          <w:color w:val="auto"/>
        </w:rPr>
      </w:pPr>
    </w:p>
    <w:p>
      <w:pPr>
        <w:ind w:firstLine="648"/>
        <w:spacing w:after="0" w:line="251" w:lineRule="auto"/>
        <w:rPr>
          <w:sz w:val="20"/>
          <w:szCs w:val="20"/>
          <w:color w:val="auto"/>
        </w:rPr>
      </w:pPr>
      <w:r>
        <w:rPr>
          <w:rFonts w:ascii="Arial" w:cs="Arial" w:eastAsia="Arial" w:hAnsi="Arial"/>
          <w:sz w:val="22"/>
          <w:szCs w:val="22"/>
          <w:color w:val="auto"/>
        </w:rPr>
        <w:t>The following table provides a summary reconciliation of the Company’s financial assets that are recorded at fair value on a recurring basis using significant unobservable inputs (Level 3):</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0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080" w:type="dxa"/>
            <w:vAlign w:val="bottom"/>
            <w:gridSpan w:val="8"/>
          </w:tcPr>
          <w:p>
            <w:pPr>
              <w:jc w:val="center"/>
              <w:ind w:right="520"/>
              <w:spacing w:after="0"/>
              <w:rPr>
                <w:sz w:val="20"/>
                <w:szCs w:val="20"/>
                <w:color w:val="auto"/>
              </w:rPr>
            </w:pPr>
            <w:r>
              <w:rPr>
                <w:rFonts w:ascii="Arial" w:cs="Arial" w:eastAsia="Arial" w:hAnsi="Arial"/>
                <w:sz w:val="21"/>
                <w:szCs w:val="21"/>
                <w:color w:val="auto"/>
                <w:w w:val="89"/>
              </w:rPr>
              <w:t>Three-Months Ended</w:t>
            </w:r>
          </w:p>
        </w:tc>
        <w:tc>
          <w:tcPr>
            <w:tcW w:w="280" w:type="dxa"/>
            <w:vAlign w:val="bottom"/>
          </w:tcPr>
          <w:p>
            <w:pPr>
              <w:spacing w:after="0"/>
              <w:rPr>
                <w:sz w:val="21"/>
                <w:szCs w:val="21"/>
                <w:color w:val="auto"/>
              </w:rPr>
            </w:pPr>
          </w:p>
        </w:tc>
        <w:tc>
          <w:tcPr>
            <w:tcW w:w="2680" w:type="dxa"/>
            <w:vAlign w:val="bottom"/>
            <w:gridSpan w:val="6"/>
          </w:tcPr>
          <w:p>
            <w:pPr>
              <w:jc w:val="right"/>
              <w:ind w:right="496"/>
              <w:spacing w:after="0"/>
              <w:rPr>
                <w:sz w:val="20"/>
                <w:szCs w:val="20"/>
                <w:color w:val="auto"/>
              </w:rPr>
            </w:pPr>
            <w:r>
              <w:rPr>
                <w:rFonts w:ascii="Arial" w:cs="Arial" w:eastAsia="Arial" w:hAnsi="Arial"/>
                <w:sz w:val="21"/>
                <w:szCs w:val="21"/>
                <w:color w:val="auto"/>
              </w:rPr>
              <w:t>Three-Months Ended</w:t>
            </w:r>
          </w:p>
        </w:tc>
      </w:tr>
      <w:tr>
        <w:trPr>
          <w:trHeight w:val="256"/>
        </w:trPr>
        <w:tc>
          <w:tcPr>
            <w:tcW w:w="5080" w:type="dxa"/>
            <w:vAlign w:val="bottom"/>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2140" w:type="dxa"/>
            <w:vAlign w:val="bottom"/>
            <w:tcBorders>
              <w:bottom w:val="single" w:sz="8" w:color="auto"/>
            </w:tcBorders>
            <w:gridSpan w:val="4"/>
          </w:tcPr>
          <w:p>
            <w:pPr>
              <w:jc w:val="center"/>
              <w:ind w:left="296"/>
              <w:spacing w:after="0"/>
              <w:rPr>
                <w:sz w:val="20"/>
                <w:szCs w:val="20"/>
                <w:color w:val="auto"/>
              </w:rPr>
            </w:pPr>
            <w:r>
              <w:rPr>
                <w:rFonts w:ascii="Arial" w:cs="Arial" w:eastAsia="Arial" w:hAnsi="Arial"/>
                <w:sz w:val="21"/>
                <w:szCs w:val="21"/>
                <w:color w:val="auto"/>
                <w:w w:val="87"/>
              </w:rPr>
              <w:t>September 30, 2012</w:t>
            </w:r>
          </w:p>
        </w:tc>
        <w:tc>
          <w:tcPr>
            <w:tcW w:w="68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2680" w:type="dxa"/>
            <w:vAlign w:val="bottom"/>
            <w:tcBorders>
              <w:bottom w:val="single" w:sz="8" w:color="auto"/>
            </w:tcBorders>
            <w:gridSpan w:val="6"/>
          </w:tcPr>
          <w:p>
            <w:pPr>
              <w:jc w:val="right"/>
              <w:ind w:right="556"/>
              <w:spacing w:after="0"/>
              <w:rPr>
                <w:sz w:val="20"/>
                <w:szCs w:val="20"/>
                <w:color w:val="auto"/>
              </w:rPr>
            </w:pPr>
            <w:r>
              <w:rPr>
                <w:rFonts w:ascii="Arial" w:cs="Arial" w:eastAsia="Arial" w:hAnsi="Arial"/>
                <w:sz w:val="21"/>
                <w:szCs w:val="21"/>
                <w:color w:val="auto"/>
              </w:rPr>
              <w:t>September 30, 2011</w:t>
            </w:r>
          </w:p>
        </w:tc>
      </w:tr>
      <w:tr>
        <w:trPr>
          <w:trHeight w:val="223"/>
        </w:trPr>
        <w:tc>
          <w:tcPr>
            <w:tcW w:w="50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gridSpan w:val="3"/>
          </w:tcPr>
          <w:p>
            <w:pPr>
              <w:jc w:val="center"/>
              <w:ind w:right="680"/>
              <w:spacing w:after="0" w:line="223" w:lineRule="exact"/>
              <w:rPr>
                <w:sz w:val="20"/>
                <w:szCs w:val="20"/>
                <w:color w:val="auto"/>
              </w:rPr>
            </w:pPr>
            <w:r>
              <w:rPr>
                <w:rFonts w:ascii="Arial" w:cs="Arial" w:eastAsia="Arial" w:hAnsi="Arial"/>
                <w:sz w:val="21"/>
                <w:szCs w:val="21"/>
                <w:color w:val="auto"/>
                <w:w w:val="97"/>
              </w:rPr>
              <w:t>Auction</w:t>
            </w:r>
          </w:p>
        </w:tc>
        <w:tc>
          <w:tcPr>
            <w:tcW w:w="7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gridSpan w:val="4"/>
          </w:tcPr>
          <w:p>
            <w:pPr>
              <w:jc w:val="center"/>
              <w:ind w:right="640"/>
              <w:spacing w:after="0" w:line="223" w:lineRule="exact"/>
              <w:rPr>
                <w:sz w:val="20"/>
                <w:szCs w:val="20"/>
                <w:color w:val="auto"/>
              </w:rPr>
            </w:pPr>
            <w:r>
              <w:rPr>
                <w:rFonts w:ascii="Arial" w:cs="Arial" w:eastAsia="Arial" w:hAnsi="Arial"/>
                <w:sz w:val="21"/>
                <w:szCs w:val="21"/>
                <w:color w:val="auto"/>
                <w:w w:val="94"/>
              </w:rPr>
              <w:t>Auction</w:t>
            </w:r>
          </w:p>
        </w:tc>
        <w:tc>
          <w:tcPr>
            <w:tcW w:w="66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43"/>
        </w:trPr>
        <w:tc>
          <w:tcPr>
            <w:tcW w:w="50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gridSpan w:val="3"/>
          </w:tcPr>
          <w:p>
            <w:pPr>
              <w:jc w:val="center"/>
              <w:ind w:right="660"/>
              <w:spacing w:after="0"/>
              <w:rPr>
                <w:sz w:val="20"/>
                <w:szCs w:val="20"/>
                <w:color w:val="auto"/>
              </w:rPr>
            </w:pPr>
            <w:r>
              <w:rPr>
                <w:rFonts w:ascii="Arial" w:cs="Arial" w:eastAsia="Arial" w:hAnsi="Arial"/>
                <w:sz w:val="21"/>
                <w:szCs w:val="21"/>
                <w:color w:val="auto"/>
                <w:w w:val="85"/>
              </w:rPr>
              <w:t>Rate</w:t>
            </w:r>
          </w:p>
        </w:tc>
        <w:tc>
          <w:tcPr>
            <w:tcW w:w="7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40" w:type="dxa"/>
            <w:vAlign w:val="bottom"/>
            <w:gridSpan w:val="4"/>
          </w:tcPr>
          <w:p>
            <w:pPr>
              <w:jc w:val="center"/>
              <w:ind w:right="640"/>
              <w:spacing w:after="0"/>
              <w:rPr>
                <w:sz w:val="20"/>
                <w:szCs w:val="20"/>
                <w:color w:val="auto"/>
              </w:rPr>
            </w:pPr>
            <w:r>
              <w:rPr>
                <w:rFonts w:ascii="Arial" w:cs="Arial" w:eastAsia="Arial" w:hAnsi="Arial"/>
                <w:sz w:val="21"/>
                <w:szCs w:val="21"/>
                <w:color w:val="auto"/>
                <w:w w:val="85"/>
              </w:rPr>
              <w:t>Rate</w:t>
            </w:r>
          </w:p>
        </w:tc>
        <w:tc>
          <w:tcPr>
            <w:tcW w:w="660" w:type="dxa"/>
            <w:vAlign w:val="bottom"/>
          </w:tcPr>
          <w:p>
            <w:pPr>
              <w:spacing w:after="0"/>
              <w:rPr>
                <w:sz w:val="21"/>
                <w:szCs w:val="21"/>
                <w:color w:val="auto"/>
              </w:rPr>
            </w:pPr>
          </w:p>
        </w:tc>
        <w:tc>
          <w:tcPr>
            <w:tcW w:w="680" w:type="dxa"/>
            <w:vAlign w:val="bottom"/>
          </w:tcPr>
          <w:p>
            <w:pPr>
              <w:spacing w:after="0"/>
              <w:rPr>
                <w:sz w:val="21"/>
                <w:szCs w:val="21"/>
                <w:color w:val="auto"/>
              </w:rPr>
            </w:pPr>
          </w:p>
        </w:tc>
      </w:tr>
      <w:tr>
        <w:trPr>
          <w:trHeight w:val="256"/>
        </w:trPr>
        <w:tc>
          <w:tcPr>
            <w:tcW w:w="50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700" w:type="dxa"/>
            <w:vAlign w:val="bottom"/>
            <w:gridSpan w:val="4"/>
          </w:tcPr>
          <w:p>
            <w:pPr>
              <w:jc w:val="center"/>
              <w:ind w:right="420"/>
              <w:spacing w:after="0"/>
              <w:rPr>
                <w:sz w:val="20"/>
                <w:szCs w:val="20"/>
                <w:color w:val="auto"/>
              </w:rPr>
            </w:pPr>
            <w:r>
              <w:rPr>
                <w:rFonts w:ascii="Arial" w:cs="Arial" w:eastAsia="Arial" w:hAnsi="Arial"/>
                <w:sz w:val="21"/>
                <w:szCs w:val="21"/>
                <w:color w:val="auto"/>
                <w:w w:val="86"/>
              </w:rPr>
              <w:t>Securities</w:t>
            </w:r>
          </w:p>
        </w:tc>
        <w:tc>
          <w:tcPr>
            <w:tcW w:w="1640" w:type="dxa"/>
            <w:vAlign w:val="bottom"/>
            <w:gridSpan w:val="5"/>
          </w:tcPr>
          <w:p>
            <w:pPr>
              <w:ind w:left="220"/>
              <w:spacing w:after="0"/>
              <w:rPr>
                <w:sz w:val="20"/>
                <w:szCs w:val="20"/>
                <w:color w:val="auto"/>
              </w:rPr>
            </w:pPr>
            <w:r>
              <w:rPr>
                <w:rFonts w:ascii="Arial" w:cs="Arial" w:eastAsia="Arial" w:hAnsi="Arial"/>
                <w:sz w:val="21"/>
                <w:szCs w:val="21"/>
                <w:color w:val="auto"/>
              </w:rPr>
              <w:t>Put Options</w:t>
            </w:r>
          </w:p>
        </w:tc>
        <w:tc>
          <w:tcPr>
            <w:tcW w:w="1620" w:type="dxa"/>
            <w:vAlign w:val="bottom"/>
            <w:gridSpan w:val="5"/>
          </w:tcPr>
          <w:p>
            <w:pPr>
              <w:jc w:val="center"/>
              <w:ind w:right="360"/>
              <w:spacing w:after="0"/>
              <w:rPr>
                <w:sz w:val="20"/>
                <w:szCs w:val="20"/>
                <w:color w:val="auto"/>
              </w:rPr>
            </w:pPr>
            <w:r>
              <w:rPr>
                <w:rFonts w:ascii="Arial" w:cs="Arial" w:eastAsia="Arial" w:hAnsi="Arial"/>
                <w:sz w:val="21"/>
                <w:szCs w:val="21"/>
                <w:color w:val="auto"/>
                <w:w w:val="88"/>
              </w:rPr>
              <w:t>Securities</w:t>
            </w:r>
          </w:p>
        </w:tc>
        <w:tc>
          <w:tcPr>
            <w:tcW w:w="1340" w:type="dxa"/>
            <w:vAlign w:val="bottom"/>
            <w:gridSpan w:val="2"/>
          </w:tcPr>
          <w:p>
            <w:pPr>
              <w:jc w:val="right"/>
              <w:ind w:right="76"/>
              <w:spacing w:after="0"/>
              <w:rPr>
                <w:sz w:val="20"/>
                <w:szCs w:val="20"/>
                <w:color w:val="auto"/>
              </w:rPr>
            </w:pPr>
            <w:r>
              <w:rPr>
                <w:rFonts w:ascii="Arial" w:cs="Arial" w:eastAsia="Arial" w:hAnsi="Arial"/>
                <w:sz w:val="21"/>
                <w:szCs w:val="21"/>
                <w:color w:val="auto"/>
              </w:rPr>
              <w:t>Put Options</w:t>
            </w:r>
          </w:p>
        </w:tc>
      </w:tr>
      <w:tr>
        <w:trPr>
          <w:trHeight w:val="237"/>
        </w:trPr>
        <w:tc>
          <w:tcPr>
            <w:tcW w:w="5080" w:type="dxa"/>
            <w:vAlign w:val="bottom"/>
            <w:tcBorders>
              <w:top w:val="single" w:sz="8" w:color="CCEEFF"/>
            </w:tcBorders>
            <w:shd w:val="clear" w:color="auto" w:fill="CCEEFF"/>
          </w:tcPr>
          <w:p>
            <w:pPr>
              <w:spacing w:after="0" w:line="237" w:lineRule="exact"/>
              <w:rPr>
                <w:sz w:val="20"/>
                <w:szCs w:val="20"/>
                <w:color w:val="auto"/>
              </w:rPr>
            </w:pPr>
            <w:r>
              <w:rPr>
                <w:rFonts w:ascii="Arial" w:cs="Arial" w:eastAsia="Arial" w:hAnsi="Arial"/>
                <w:sz w:val="21"/>
                <w:szCs w:val="21"/>
                <w:color w:val="auto"/>
              </w:rPr>
              <w:t>Opening Balance</w:t>
            </w:r>
          </w:p>
        </w:tc>
        <w:tc>
          <w:tcPr>
            <w:tcW w:w="300" w:type="dxa"/>
            <w:vAlign w:val="bottom"/>
            <w:tcBorders>
              <w:top w:val="single" w:sz="8" w:color="auto"/>
            </w:tcBorders>
            <w:gridSpan w:val="2"/>
            <w:shd w:val="clear" w:color="auto" w:fill="CCEEFF"/>
          </w:tcPr>
          <w:p>
            <w:pPr>
              <w:jc w:val="right"/>
              <w:spacing w:after="0" w:line="237" w:lineRule="exact"/>
              <w:rPr>
                <w:sz w:val="20"/>
                <w:szCs w:val="20"/>
                <w:color w:val="auto"/>
              </w:rPr>
            </w:pPr>
            <w:r>
              <w:rPr>
                <w:rFonts w:ascii="Arial" w:cs="Arial" w:eastAsia="Arial" w:hAnsi="Arial"/>
                <w:sz w:val="21"/>
                <w:szCs w:val="21"/>
                <w:color w:val="auto"/>
              </w:rPr>
              <w:t>$</w:t>
            </w:r>
          </w:p>
        </w:tc>
        <w:tc>
          <w:tcPr>
            <w:tcW w:w="1220" w:type="dxa"/>
            <w:vAlign w:val="bottom"/>
            <w:tcBorders>
              <w:top w:val="single" w:sz="8" w:color="auto"/>
            </w:tcBorders>
            <w:shd w:val="clear" w:color="auto" w:fill="CCEEFF"/>
          </w:tcPr>
          <w:p>
            <w:pPr>
              <w:jc w:val="right"/>
              <w:ind w:right="36"/>
              <w:spacing w:after="0" w:line="237" w:lineRule="exact"/>
              <w:rPr>
                <w:sz w:val="20"/>
                <w:szCs w:val="20"/>
                <w:color w:val="auto"/>
              </w:rPr>
            </w:pPr>
            <w:r>
              <w:rPr>
                <w:rFonts w:ascii="Arial" w:cs="Arial" w:eastAsia="Arial" w:hAnsi="Arial"/>
                <w:sz w:val="21"/>
                <w:szCs w:val="21"/>
                <w:color w:val="auto"/>
              </w:rPr>
              <w:t>20,873</w:t>
            </w:r>
          </w:p>
        </w:tc>
        <w:tc>
          <w:tcPr>
            <w:tcW w:w="2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CCEEFF"/>
            </w:tcBorders>
            <w:shd w:val="clear" w:color="auto" w:fill="CCEEFF"/>
          </w:tcPr>
          <w:p>
            <w:pPr>
              <w:spacing w:after="0"/>
              <w:rPr>
                <w:sz w:val="20"/>
                <w:szCs w:val="20"/>
                <w:color w:val="auto"/>
              </w:rPr>
            </w:pPr>
          </w:p>
        </w:tc>
        <w:tc>
          <w:tcPr>
            <w:tcW w:w="700" w:type="dxa"/>
            <w:vAlign w:val="bottom"/>
            <w:tcBorders>
              <w:top w:val="single" w:sz="8" w:color="auto"/>
            </w:tcBorders>
            <w:shd w:val="clear" w:color="auto" w:fill="CCEEFF"/>
          </w:tcPr>
          <w:p>
            <w:pPr>
              <w:jc w:val="right"/>
              <w:ind w:right="336"/>
              <w:spacing w:after="0" w:line="237" w:lineRule="exact"/>
              <w:rPr>
                <w:sz w:val="20"/>
                <w:szCs w:val="20"/>
                <w:color w:val="auto"/>
              </w:rPr>
            </w:pPr>
            <w:r>
              <w:rPr>
                <w:rFonts w:ascii="Arial" w:cs="Arial" w:eastAsia="Arial" w:hAnsi="Arial"/>
                <w:sz w:val="21"/>
                <w:szCs w:val="21"/>
                <w:color w:val="auto"/>
              </w:rPr>
              <w:t>$</w:t>
            </w:r>
          </w:p>
        </w:tc>
        <w:tc>
          <w:tcPr>
            <w:tcW w:w="680" w:type="dxa"/>
            <w:vAlign w:val="bottom"/>
            <w:tcBorders>
              <w:top w:val="single" w:sz="8" w:color="auto"/>
            </w:tcBorders>
            <w:shd w:val="clear" w:color="auto" w:fill="CCEEFF"/>
          </w:tcPr>
          <w:p>
            <w:pPr>
              <w:jc w:val="right"/>
              <w:ind w:right="16"/>
              <w:spacing w:after="0" w:line="237" w:lineRule="exact"/>
              <w:rPr>
                <w:sz w:val="20"/>
                <w:szCs w:val="20"/>
                <w:color w:val="auto"/>
              </w:rPr>
            </w:pPr>
            <w:r>
              <w:rPr>
                <w:rFonts w:ascii="Arial" w:cs="Arial" w:eastAsia="Arial" w:hAnsi="Arial"/>
                <w:sz w:val="21"/>
                <w:szCs w:val="21"/>
                <w:color w:val="auto"/>
              </w:rPr>
              <w:t>1,816</w:t>
            </w:r>
          </w:p>
        </w:tc>
        <w:tc>
          <w:tcPr>
            <w:tcW w:w="40" w:type="dxa"/>
            <w:vAlign w:val="bottom"/>
            <w:tcBorders>
              <w:top w:val="single" w:sz="8" w:color="auto"/>
            </w:tcBorders>
            <w:shd w:val="clear" w:color="auto" w:fill="CCEEFF"/>
          </w:tcPr>
          <w:p>
            <w:pPr>
              <w:spacing w:after="0"/>
              <w:rPr>
                <w:sz w:val="20"/>
                <w:szCs w:val="20"/>
                <w:color w:val="auto"/>
              </w:rPr>
            </w:pPr>
          </w:p>
        </w:tc>
        <w:tc>
          <w:tcPr>
            <w:tcW w:w="16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ind w:left="160"/>
              <w:spacing w:after="0" w:line="237" w:lineRule="exact"/>
              <w:rPr>
                <w:sz w:val="20"/>
                <w:szCs w:val="20"/>
                <w:color w:val="auto"/>
              </w:rPr>
            </w:pPr>
            <w:r>
              <w:rPr>
                <w:rFonts w:ascii="Arial" w:cs="Arial" w:eastAsia="Arial" w:hAnsi="Arial"/>
                <w:sz w:val="21"/>
                <w:szCs w:val="21"/>
                <w:color w:val="auto"/>
                <w:w w:val="85"/>
              </w:rPr>
              <w:t>$</w:t>
            </w:r>
          </w:p>
        </w:tc>
        <w:tc>
          <w:tcPr>
            <w:tcW w:w="1040" w:type="dxa"/>
            <w:vAlign w:val="bottom"/>
            <w:tcBorders>
              <w:top w:val="single" w:sz="8" w:color="auto"/>
            </w:tcBorders>
            <w:shd w:val="clear" w:color="auto" w:fill="CCEEFF"/>
          </w:tcPr>
          <w:p>
            <w:pPr>
              <w:jc w:val="right"/>
              <w:spacing w:after="0" w:line="237" w:lineRule="exact"/>
              <w:rPr>
                <w:sz w:val="20"/>
                <w:szCs w:val="20"/>
                <w:color w:val="auto"/>
              </w:rPr>
            </w:pPr>
            <w:r>
              <w:rPr>
                <w:rFonts w:ascii="Arial" w:cs="Arial" w:eastAsia="Arial" w:hAnsi="Arial"/>
                <w:sz w:val="21"/>
                <w:szCs w:val="21"/>
                <w:color w:val="auto"/>
              </w:rPr>
              <w:t>55,636</w:t>
            </w:r>
          </w:p>
        </w:tc>
        <w:tc>
          <w:tcPr>
            <w:tcW w:w="80" w:type="dxa"/>
            <w:vAlign w:val="bottom"/>
            <w:tcBorders>
              <w:top w:val="single" w:sz="8" w:color="auto"/>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660" w:type="dxa"/>
            <w:vAlign w:val="bottom"/>
            <w:tcBorders>
              <w:top w:val="single" w:sz="8" w:color="auto"/>
            </w:tcBorders>
            <w:shd w:val="clear" w:color="auto" w:fill="CCEEFF"/>
          </w:tcPr>
          <w:p>
            <w:pPr>
              <w:ind w:left="140"/>
              <w:spacing w:after="0" w:line="237" w:lineRule="exact"/>
              <w:rPr>
                <w:sz w:val="20"/>
                <w:szCs w:val="20"/>
                <w:color w:val="auto"/>
              </w:rPr>
            </w:pPr>
            <w:r>
              <w:rPr>
                <w:rFonts w:ascii="Arial" w:cs="Arial" w:eastAsia="Arial" w:hAnsi="Arial"/>
                <w:sz w:val="21"/>
                <w:szCs w:val="21"/>
                <w:color w:val="auto"/>
              </w:rPr>
              <w:t>$</w:t>
            </w:r>
          </w:p>
        </w:tc>
        <w:tc>
          <w:tcPr>
            <w:tcW w:w="680" w:type="dxa"/>
            <w:vAlign w:val="bottom"/>
            <w:tcBorders>
              <w:top w:val="single" w:sz="8" w:color="auto"/>
            </w:tcBorders>
            <w:shd w:val="clear" w:color="auto" w:fill="CCEEFF"/>
          </w:tcPr>
          <w:p>
            <w:pPr>
              <w:jc w:val="right"/>
              <w:ind w:right="56"/>
              <w:spacing w:after="0" w:line="237" w:lineRule="exact"/>
              <w:rPr>
                <w:sz w:val="20"/>
                <w:szCs w:val="20"/>
                <w:color w:val="auto"/>
              </w:rPr>
            </w:pPr>
            <w:r>
              <w:rPr>
                <w:rFonts w:ascii="Arial" w:cs="Arial" w:eastAsia="Arial" w:hAnsi="Arial"/>
                <w:sz w:val="21"/>
                <w:szCs w:val="21"/>
                <w:color w:val="auto"/>
                <w:w w:val="95"/>
              </w:rPr>
              <w:t>4,091</w:t>
            </w:r>
          </w:p>
        </w:tc>
      </w:tr>
      <w:tr>
        <w:trPr>
          <w:trHeight w:val="243"/>
        </w:trPr>
        <w:tc>
          <w:tcPr>
            <w:tcW w:w="5080" w:type="dxa"/>
            <w:vAlign w:val="bottom"/>
          </w:tcPr>
          <w:p>
            <w:pPr>
              <w:ind w:left="180"/>
              <w:spacing w:after="0"/>
              <w:rPr>
                <w:sz w:val="20"/>
                <w:szCs w:val="20"/>
                <w:color w:val="auto"/>
              </w:rPr>
            </w:pPr>
            <w:r>
              <w:rPr>
                <w:rFonts w:ascii="Arial" w:cs="Arial" w:eastAsia="Arial" w:hAnsi="Arial"/>
                <w:sz w:val="21"/>
                <w:szCs w:val="21"/>
                <w:color w:val="auto"/>
              </w:rPr>
              <w:t>Transfers into Level 3</w:t>
            </w: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36"/>
              <w:spacing w:after="0"/>
              <w:rPr>
                <w:sz w:val="20"/>
                <w:szCs w:val="20"/>
                <w:color w:val="auto"/>
              </w:rPr>
            </w:pPr>
            <w:r>
              <w:rPr>
                <w:rFonts w:ascii="Arial" w:cs="Arial" w:eastAsia="Arial" w:hAnsi="Arial"/>
                <w:sz w:val="21"/>
                <w:szCs w:val="21"/>
                <w:color w:val="auto"/>
              </w:rPr>
              <w:t>-</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80" w:type="dxa"/>
            <w:vAlign w:val="bottom"/>
          </w:tcPr>
          <w:p>
            <w:pPr>
              <w:jc w:val="right"/>
              <w:ind w:right="16"/>
              <w:spacing w:after="0"/>
              <w:rPr>
                <w:sz w:val="20"/>
                <w:szCs w:val="20"/>
                <w:color w:val="auto"/>
              </w:rPr>
            </w:pPr>
            <w:r>
              <w:rPr>
                <w:rFonts w:ascii="Arial" w:cs="Arial" w:eastAsia="Arial" w:hAnsi="Arial"/>
                <w:sz w:val="21"/>
                <w:szCs w:val="21"/>
                <w:color w:val="auto"/>
              </w:rPr>
              <w:t>-</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21"/>
                <w:szCs w:val="21"/>
                <w:color w:val="auto"/>
              </w:rPr>
              <w:t>-</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80" w:type="dxa"/>
            <w:vAlign w:val="bottom"/>
          </w:tcPr>
          <w:p>
            <w:pPr>
              <w:jc w:val="right"/>
              <w:ind w:right="56"/>
              <w:spacing w:after="0"/>
              <w:rPr>
                <w:sz w:val="20"/>
                <w:szCs w:val="20"/>
                <w:color w:val="auto"/>
              </w:rPr>
            </w:pPr>
            <w:r>
              <w:rPr>
                <w:rFonts w:ascii="Arial" w:cs="Arial" w:eastAsia="Arial" w:hAnsi="Arial"/>
                <w:sz w:val="21"/>
                <w:szCs w:val="21"/>
                <w:color w:val="auto"/>
              </w:rPr>
              <w:t>-</w:t>
            </w:r>
          </w:p>
        </w:tc>
      </w:tr>
      <w:tr>
        <w:trPr>
          <w:trHeight w:val="243"/>
        </w:trPr>
        <w:tc>
          <w:tcPr>
            <w:tcW w:w="5080" w:type="dxa"/>
            <w:vAlign w:val="bottom"/>
            <w:shd w:val="clear" w:color="auto" w:fill="CCEEFF"/>
          </w:tcPr>
          <w:p>
            <w:pPr>
              <w:ind w:left="180"/>
              <w:spacing w:after="0"/>
              <w:rPr>
                <w:sz w:val="20"/>
                <w:szCs w:val="20"/>
                <w:color w:val="auto"/>
              </w:rPr>
            </w:pPr>
            <w:r>
              <w:rPr>
                <w:rFonts w:ascii="Arial" w:cs="Arial" w:eastAsia="Arial" w:hAnsi="Arial"/>
                <w:sz w:val="21"/>
                <w:szCs w:val="21"/>
                <w:color w:val="auto"/>
              </w:rPr>
              <w:t>Transfers out of Level 3</w:t>
            </w:r>
          </w:p>
        </w:tc>
        <w:tc>
          <w:tcPr>
            <w:tcW w:w="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36"/>
              <w:spacing w:after="0"/>
              <w:rPr>
                <w:sz w:val="20"/>
                <w:szCs w:val="20"/>
                <w:color w:val="auto"/>
              </w:rPr>
            </w:pPr>
            <w:r>
              <w:rPr>
                <w:rFonts w:ascii="Arial" w:cs="Arial" w:eastAsia="Arial" w:hAnsi="Arial"/>
                <w:sz w:val="21"/>
                <w:szCs w:val="21"/>
                <w:color w:val="auto"/>
              </w:rPr>
              <w:t>-</w:t>
            </w: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680" w:type="dxa"/>
            <w:vAlign w:val="bottom"/>
            <w:shd w:val="clear" w:color="auto" w:fill="CCEEFF"/>
          </w:tcPr>
          <w:p>
            <w:pPr>
              <w:jc w:val="right"/>
              <w:ind w:right="16"/>
              <w:spacing w:after="0"/>
              <w:rPr>
                <w:sz w:val="20"/>
                <w:szCs w:val="20"/>
                <w:color w:val="auto"/>
              </w:rPr>
            </w:pPr>
            <w:r>
              <w:rPr>
                <w:rFonts w:ascii="Arial" w:cs="Arial" w:eastAsia="Arial" w:hAnsi="Arial"/>
                <w:sz w:val="21"/>
                <w:szCs w:val="21"/>
                <w:color w:val="auto"/>
              </w:rPr>
              <w:t>-</w:t>
            </w: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21"/>
                <w:szCs w:val="21"/>
                <w:color w:val="auto"/>
              </w:rPr>
              <w:t>-</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680" w:type="dxa"/>
            <w:vAlign w:val="bottom"/>
            <w:shd w:val="clear" w:color="auto" w:fill="CCEEFF"/>
          </w:tcPr>
          <w:p>
            <w:pPr>
              <w:jc w:val="right"/>
              <w:ind w:right="56"/>
              <w:spacing w:after="0"/>
              <w:rPr>
                <w:sz w:val="20"/>
                <w:szCs w:val="20"/>
                <w:color w:val="auto"/>
              </w:rPr>
            </w:pPr>
            <w:r>
              <w:rPr>
                <w:rFonts w:ascii="Arial" w:cs="Arial" w:eastAsia="Arial" w:hAnsi="Arial"/>
                <w:sz w:val="21"/>
                <w:szCs w:val="21"/>
                <w:color w:val="auto"/>
              </w:rPr>
              <w:t>-</w:t>
            </w:r>
          </w:p>
        </w:tc>
      </w:tr>
      <w:tr>
        <w:trPr>
          <w:trHeight w:val="243"/>
        </w:trPr>
        <w:tc>
          <w:tcPr>
            <w:tcW w:w="5080" w:type="dxa"/>
            <w:vAlign w:val="bottom"/>
          </w:tcPr>
          <w:p>
            <w:pPr>
              <w:ind w:left="180"/>
              <w:spacing w:after="0"/>
              <w:rPr>
                <w:sz w:val="20"/>
                <w:szCs w:val="20"/>
                <w:color w:val="auto"/>
              </w:rPr>
            </w:pPr>
            <w:r>
              <w:rPr>
                <w:rFonts w:ascii="Arial" w:cs="Arial" w:eastAsia="Arial" w:hAnsi="Arial"/>
                <w:sz w:val="21"/>
                <w:szCs w:val="21"/>
                <w:color w:val="auto"/>
              </w:rPr>
              <w:t>Total gains (losses) for the period:</w:t>
            </w: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80" w:type="dxa"/>
            <w:vAlign w:val="bottom"/>
          </w:tcPr>
          <w:p>
            <w:pPr>
              <w:spacing w:after="0"/>
              <w:rPr>
                <w:sz w:val="21"/>
                <w:szCs w:val="21"/>
                <w:color w:val="auto"/>
              </w:rPr>
            </w:pPr>
          </w:p>
        </w:tc>
      </w:tr>
      <w:tr>
        <w:trPr>
          <w:trHeight w:val="243"/>
        </w:trPr>
        <w:tc>
          <w:tcPr>
            <w:tcW w:w="5080" w:type="dxa"/>
            <w:vAlign w:val="bottom"/>
            <w:shd w:val="clear" w:color="auto" w:fill="CCEEFF"/>
          </w:tcPr>
          <w:p>
            <w:pPr>
              <w:ind w:left="360"/>
              <w:spacing w:after="0"/>
              <w:rPr>
                <w:sz w:val="20"/>
                <w:szCs w:val="20"/>
                <w:color w:val="auto"/>
              </w:rPr>
            </w:pPr>
            <w:r>
              <w:rPr>
                <w:rFonts w:ascii="Arial" w:cs="Arial" w:eastAsia="Arial" w:hAnsi="Arial"/>
                <w:sz w:val="21"/>
                <w:szCs w:val="21"/>
                <w:color w:val="auto"/>
              </w:rPr>
              <w:t>Included in earnings</w:t>
            </w:r>
          </w:p>
        </w:tc>
        <w:tc>
          <w:tcPr>
            <w:tcW w:w="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36"/>
              <w:spacing w:after="0"/>
              <w:rPr>
                <w:sz w:val="20"/>
                <w:szCs w:val="20"/>
                <w:color w:val="auto"/>
              </w:rPr>
            </w:pPr>
            <w:r>
              <w:rPr>
                <w:rFonts w:ascii="Arial" w:cs="Arial" w:eastAsia="Arial" w:hAnsi="Arial"/>
                <w:sz w:val="21"/>
                <w:szCs w:val="21"/>
                <w:color w:val="auto"/>
              </w:rPr>
              <w:t>107</w:t>
            </w: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680" w:type="dxa"/>
            <w:vAlign w:val="bottom"/>
            <w:shd w:val="clear" w:color="auto" w:fill="CCEEFF"/>
          </w:tcPr>
          <w:p>
            <w:pPr>
              <w:jc w:val="right"/>
              <w:ind w:right="16"/>
              <w:spacing w:after="0"/>
              <w:rPr>
                <w:sz w:val="20"/>
                <w:szCs w:val="20"/>
                <w:color w:val="auto"/>
              </w:rPr>
            </w:pPr>
            <w:r>
              <w:rPr>
                <w:rFonts w:ascii="Arial" w:cs="Arial" w:eastAsia="Arial" w:hAnsi="Arial"/>
                <w:sz w:val="21"/>
                <w:szCs w:val="21"/>
                <w:color w:val="auto"/>
              </w:rPr>
              <w:t>115</w:t>
            </w: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21"/>
                <w:szCs w:val="21"/>
                <w:color w:val="auto"/>
              </w:rPr>
              <w:t>115</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21"/>
                <w:szCs w:val="21"/>
                <w:color w:val="auto"/>
              </w:rPr>
              <w:t>(914)</w:t>
            </w:r>
          </w:p>
        </w:tc>
      </w:tr>
      <w:tr>
        <w:trPr>
          <w:trHeight w:val="243"/>
        </w:trPr>
        <w:tc>
          <w:tcPr>
            <w:tcW w:w="5080" w:type="dxa"/>
            <w:vAlign w:val="bottom"/>
          </w:tcPr>
          <w:p>
            <w:pPr>
              <w:ind w:left="360"/>
              <w:spacing w:after="0"/>
              <w:rPr>
                <w:sz w:val="20"/>
                <w:szCs w:val="20"/>
                <w:color w:val="auto"/>
              </w:rPr>
            </w:pPr>
            <w:r>
              <w:rPr>
                <w:rFonts w:ascii="Arial" w:cs="Arial" w:eastAsia="Arial" w:hAnsi="Arial"/>
                <w:sz w:val="21"/>
                <w:szCs w:val="21"/>
                <w:color w:val="auto"/>
              </w:rPr>
              <w:t>Included in other comprehensive income</w:t>
            </w: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36"/>
              <w:spacing w:after="0"/>
              <w:rPr>
                <w:sz w:val="20"/>
                <w:szCs w:val="20"/>
                <w:color w:val="auto"/>
              </w:rPr>
            </w:pPr>
            <w:r>
              <w:rPr>
                <w:rFonts w:ascii="Arial" w:cs="Arial" w:eastAsia="Arial" w:hAnsi="Arial"/>
                <w:sz w:val="21"/>
                <w:szCs w:val="21"/>
                <w:color w:val="auto"/>
              </w:rPr>
              <w:t>-</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80" w:type="dxa"/>
            <w:vAlign w:val="bottom"/>
          </w:tcPr>
          <w:p>
            <w:pPr>
              <w:jc w:val="right"/>
              <w:ind w:right="16"/>
              <w:spacing w:after="0"/>
              <w:rPr>
                <w:sz w:val="20"/>
                <w:szCs w:val="20"/>
                <w:color w:val="auto"/>
              </w:rPr>
            </w:pPr>
            <w:r>
              <w:rPr>
                <w:rFonts w:ascii="Arial" w:cs="Arial" w:eastAsia="Arial" w:hAnsi="Arial"/>
                <w:sz w:val="21"/>
                <w:szCs w:val="21"/>
                <w:color w:val="auto"/>
              </w:rPr>
              <w:t>-</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21"/>
                <w:szCs w:val="21"/>
                <w:color w:val="auto"/>
              </w:rPr>
              <w:t>-</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80" w:type="dxa"/>
            <w:vAlign w:val="bottom"/>
          </w:tcPr>
          <w:p>
            <w:pPr>
              <w:jc w:val="right"/>
              <w:ind w:right="56"/>
              <w:spacing w:after="0"/>
              <w:rPr>
                <w:sz w:val="20"/>
                <w:szCs w:val="20"/>
                <w:color w:val="auto"/>
              </w:rPr>
            </w:pPr>
            <w:r>
              <w:rPr>
                <w:rFonts w:ascii="Arial" w:cs="Arial" w:eastAsia="Arial" w:hAnsi="Arial"/>
                <w:sz w:val="21"/>
                <w:szCs w:val="21"/>
                <w:color w:val="auto"/>
              </w:rPr>
              <w:t>-</w:t>
            </w:r>
          </w:p>
        </w:tc>
      </w:tr>
      <w:tr>
        <w:trPr>
          <w:trHeight w:val="243"/>
        </w:trPr>
        <w:tc>
          <w:tcPr>
            <w:tcW w:w="5080" w:type="dxa"/>
            <w:vAlign w:val="bottom"/>
            <w:shd w:val="clear" w:color="auto" w:fill="CCEEFF"/>
          </w:tcPr>
          <w:p>
            <w:pPr>
              <w:ind w:left="180"/>
              <w:spacing w:after="0"/>
              <w:rPr>
                <w:sz w:val="20"/>
                <w:szCs w:val="20"/>
                <w:color w:val="auto"/>
              </w:rPr>
            </w:pPr>
            <w:r>
              <w:rPr>
                <w:rFonts w:ascii="Arial" w:cs="Arial" w:eastAsia="Arial" w:hAnsi="Arial"/>
                <w:sz w:val="21"/>
                <w:szCs w:val="21"/>
                <w:color w:val="auto"/>
              </w:rPr>
              <w:t>Settlements</w:t>
            </w:r>
          </w:p>
        </w:tc>
        <w:tc>
          <w:tcPr>
            <w:tcW w:w="4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1"/>
                <w:szCs w:val="21"/>
                <w:color w:val="auto"/>
              </w:rPr>
              <w:t>(225)</w:t>
            </w: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21"/>
                <w:szCs w:val="21"/>
                <w:color w:val="auto"/>
              </w:rPr>
              <w:t>-</w:t>
            </w:r>
          </w:p>
        </w:tc>
        <w:tc>
          <w:tcPr>
            <w:tcW w:w="40" w:type="dxa"/>
            <w:vAlign w:val="bottom"/>
            <w:tcBorders>
              <w:bottom w:val="single" w:sz="8" w:color="auto"/>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21"/>
                <w:szCs w:val="21"/>
                <w:color w:val="auto"/>
              </w:rPr>
              <w:t>(16,375)</w:t>
            </w: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21"/>
                <w:szCs w:val="21"/>
                <w:color w:val="auto"/>
              </w:rPr>
              <w:t>-</w:t>
            </w:r>
          </w:p>
        </w:tc>
      </w:tr>
      <w:tr>
        <w:trPr>
          <w:trHeight w:val="237"/>
        </w:trPr>
        <w:tc>
          <w:tcPr>
            <w:tcW w:w="5080" w:type="dxa"/>
            <w:vAlign w:val="bottom"/>
          </w:tcPr>
          <w:p>
            <w:pPr>
              <w:spacing w:after="0" w:line="237" w:lineRule="exact"/>
              <w:rPr>
                <w:sz w:val="20"/>
                <w:szCs w:val="20"/>
                <w:color w:val="auto"/>
              </w:rPr>
            </w:pPr>
            <w:r>
              <w:rPr>
                <w:rFonts w:ascii="Arial" w:cs="Arial" w:eastAsia="Arial" w:hAnsi="Arial"/>
                <w:sz w:val="21"/>
                <w:szCs w:val="21"/>
                <w:color w:val="auto"/>
              </w:rPr>
              <w:t>Closing Balance</w:t>
            </w:r>
          </w:p>
        </w:tc>
        <w:tc>
          <w:tcPr>
            <w:tcW w:w="300" w:type="dxa"/>
            <w:vAlign w:val="bottom"/>
            <w:tcBorders>
              <w:bottom w:val="single" w:sz="8" w:color="auto"/>
            </w:tcBorders>
            <w:gridSpan w:val="2"/>
          </w:tcPr>
          <w:p>
            <w:pPr>
              <w:jc w:val="right"/>
              <w:spacing w:after="0" w:line="237" w:lineRule="exact"/>
              <w:rPr>
                <w:sz w:val="20"/>
                <w:szCs w:val="20"/>
                <w:color w:val="auto"/>
              </w:rPr>
            </w:pPr>
            <w:r>
              <w:rPr>
                <w:rFonts w:ascii="Arial" w:cs="Arial" w:eastAsia="Arial" w:hAnsi="Arial"/>
                <w:sz w:val="21"/>
                <w:szCs w:val="21"/>
                <w:color w:val="auto"/>
              </w:rPr>
              <w:t>$</w:t>
            </w:r>
          </w:p>
        </w:tc>
        <w:tc>
          <w:tcPr>
            <w:tcW w:w="1220" w:type="dxa"/>
            <w:vAlign w:val="bottom"/>
            <w:tcBorders>
              <w:bottom w:val="single" w:sz="8" w:color="auto"/>
            </w:tcBorders>
          </w:tcPr>
          <w:p>
            <w:pPr>
              <w:jc w:val="right"/>
              <w:ind w:right="36"/>
              <w:spacing w:after="0" w:line="237" w:lineRule="exact"/>
              <w:rPr>
                <w:sz w:val="20"/>
                <w:szCs w:val="20"/>
                <w:color w:val="auto"/>
              </w:rPr>
            </w:pPr>
            <w:r>
              <w:rPr>
                <w:rFonts w:ascii="Arial" w:cs="Arial" w:eastAsia="Arial" w:hAnsi="Arial"/>
                <w:sz w:val="21"/>
                <w:szCs w:val="21"/>
                <w:color w:val="auto"/>
              </w:rPr>
              <w:t>20,755</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Borders>
              <w:bottom w:val="single" w:sz="8" w:color="auto"/>
            </w:tcBorders>
          </w:tcPr>
          <w:p>
            <w:pPr>
              <w:jc w:val="right"/>
              <w:ind w:right="336"/>
              <w:spacing w:after="0" w:line="237" w:lineRule="exact"/>
              <w:rPr>
                <w:sz w:val="20"/>
                <w:szCs w:val="20"/>
                <w:color w:val="auto"/>
              </w:rPr>
            </w:pPr>
            <w:r>
              <w:rPr>
                <w:rFonts w:ascii="Arial" w:cs="Arial" w:eastAsia="Arial" w:hAnsi="Arial"/>
                <w:sz w:val="21"/>
                <w:szCs w:val="21"/>
                <w:color w:val="auto"/>
              </w:rPr>
              <w:t>$</w:t>
            </w:r>
          </w:p>
        </w:tc>
        <w:tc>
          <w:tcPr>
            <w:tcW w:w="680" w:type="dxa"/>
            <w:vAlign w:val="bottom"/>
            <w:tcBorders>
              <w:bottom w:val="single" w:sz="8" w:color="auto"/>
            </w:tcBorders>
          </w:tcPr>
          <w:p>
            <w:pPr>
              <w:jc w:val="right"/>
              <w:ind w:right="16"/>
              <w:spacing w:after="0" w:line="237" w:lineRule="exact"/>
              <w:rPr>
                <w:sz w:val="20"/>
                <w:szCs w:val="20"/>
                <w:color w:val="auto"/>
              </w:rPr>
            </w:pPr>
            <w:r>
              <w:rPr>
                <w:rFonts w:ascii="Arial" w:cs="Arial" w:eastAsia="Arial" w:hAnsi="Arial"/>
                <w:sz w:val="21"/>
                <w:szCs w:val="21"/>
                <w:color w:val="auto"/>
              </w:rPr>
              <w:t>1,931</w:t>
            </w:r>
          </w:p>
        </w:tc>
        <w:tc>
          <w:tcPr>
            <w:tcW w:w="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Borders>
              <w:bottom w:val="single" w:sz="8" w:color="auto"/>
            </w:tcBorders>
          </w:tcPr>
          <w:p>
            <w:pPr>
              <w:ind w:left="160"/>
              <w:spacing w:after="0" w:line="237" w:lineRule="exact"/>
              <w:rPr>
                <w:sz w:val="20"/>
                <w:szCs w:val="20"/>
                <w:color w:val="auto"/>
              </w:rPr>
            </w:pPr>
            <w:r>
              <w:rPr>
                <w:rFonts w:ascii="Arial" w:cs="Arial" w:eastAsia="Arial" w:hAnsi="Arial"/>
                <w:sz w:val="21"/>
                <w:szCs w:val="21"/>
                <w:color w:val="auto"/>
                <w:w w:val="85"/>
              </w:rPr>
              <w:t>$</w:t>
            </w:r>
          </w:p>
        </w:tc>
        <w:tc>
          <w:tcPr>
            <w:tcW w:w="104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1"/>
                <w:szCs w:val="21"/>
                <w:color w:val="auto"/>
              </w:rPr>
              <w:t>39,376</w:t>
            </w:r>
          </w:p>
        </w:tc>
        <w:tc>
          <w:tcPr>
            <w:tcW w:w="8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Borders>
              <w:bottom w:val="single" w:sz="8" w:color="auto"/>
            </w:tcBorders>
          </w:tcPr>
          <w:p>
            <w:pPr>
              <w:ind w:left="140"/>
              <w:spacing w:after="0" w:line="237" w:lineRule="exact"/>
              <w:rPr>
                <w:sz w:val="20"/>
                <w:szCs w:val="20"/>
                <w:color w:val="auto"/>
              </w:rPr>
            </w:pPr>
            <w:r>
              <w:rPr>
                <w:rFonts w:ascii="Arial" w:cs="Arial" w:eastAsia="Arial" w:hAnsi="Arial"/>
                <w:sz w:val="21"/>
                <w:szCs w:val="21"/>
                <w:color w:val="auto"/>
              </w:rPr>
              <w:t>$</w:t>
            </w:r>
          </w:p>
        </w:tc>
        <w:tc>
          <w:tcPr>
            <w:tcW w:w="680" w:type="dxa"/>
            <w:vAlign w:val="bottom"/>
            <w:tcBorders>
              <w:bottom w:val="single" w:sz="8" w:color="auto"/>
            </w:tcBorders>
          </w:tcPr>
          <w:p>
            <w:pPr>
              <w:jc w:val="right"/>
              <w:ind w:right="56"/>
              <w:spacing w:after="0" w:line="237" w:lineRule="exact"/>
              <w:rPr>
                <w:sz w:val="20"/>
                <w:szCs w:val="20"/>
                <w:color w:val="auto"/>
              </w:rPr>
            </w:pPr>
            <w:r>
              <w:rPr>
                <w:rFonts w:ascii="Arial" w:cs="Arial" w:eastAsia="Arial" w:hAnsi="Arial"/>
                <w:sz w:val="21"/>
                <w:szCs w:val="21"/>
                <w:color w:val="auto"/>
                <w:w w:val="95"/>
              </w:rPr>
              <w:t>3,177</w:t>
            </w:r>
          </w:p>
        </w:tc>
      </w:tr>
      <w:tr>
        <w:trPr>
          <w:trHeight w:val="20"/>
        </w:trPr>
        <w:tc>
          <w:tcPr>
            <w:tcW w:w="50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r>
      <w:tr>
        <w:trPr>
          <w:trHeight w:val="426"/>
        </w:trPr>
        <w:tc>
          <w:tcPr>
            <w:tcW w:w="5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140" w:type="dxa"/>
            <w:vAlign w:val="bottom"/>
            <w:gridSpan w:val="4"/>
          </w:tcPr>
          <w:p>
            <w:pPr>
              <w:jc w:val="center"/>
              <w:ind w:left="316"/>
              <w:spacing w:after="0"/>
              <w:rPr>
                <w:sz w:val="20"/>
                <w:szCs w:val="20"/>
                <w:color w:val="auto"/>
              </w:rPr>
            </w:pPr>
            <w:r>
              <w:rPr>
                <w:rFonts w:ascii="Arial" w:cs="Arial" w:eastAsia="Arial" w:hAnsi="Arial"/>
                <w:sz w:val="21"/>
                <w:szCs w:val="21"/>
                <w:color w:val="auto"/>
                <w:w w:val="90"/>
              </w:rPr>
              <w:t>Nine-Months Ended</w:t>
            </w: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80" w:type="dxa"/>
            <w:vAlign w:val="bottom"/>
            <w:gridSpan w:val="6"/>
          </w:tcPr>
          <w:p>
            <w:pPr>
              <w:jc w:val="right"/>
              <w:ind w:right="556"/>
              <w:spacing w:after="0"/>
              <w:rPr>
                <w:sz w:val="20"/>
                <w:szCs w:val="20"/>
                <w:color w:val="auto"/>
              </w:rPr>
            </w:pPr>
            <w:r>
              <w:rPr>
                <w:rFonts w:ascii="Arial" w:cs="Arial" w:eastAsia="Arial" w:hAnsi="Arial"/>
                <w:sz w:val="21"/>
                <w:szCs w:val="21"/>
                <w:color w:val="auto"/>
              </w:rPr>
              <w:t>Nine-Months Ended</w:t>
            </w:r>
          </w:p>
        </w:tc>
      </w:tr>
      <w:tr>
        <w:trPr>
          <w:trHeight w:val="256"/>
        </w:trPr>
        <w:tc>
          <w:tcPr>
            <w:tcW w:w="50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2140" w:type="dxa"/>
            <w:vAlign w:val="bottom"/>
            <w:tcBorders>
              <w:bottom w:val="single" w:sz="8" w:color="auto"/>
            </w:tcBorders>
            <w:gridSpan w:val="4"/>
          </w:tcPr>
          <w:p>
            <w:pPr>
              <w:jc w:val="center"/>
              <w:ind w:left="316"/>
              <w:spacing w:after="0"/>
              <w:rPr>
                <w:sz w:val="20"/>
                <w:szCs w:val="20"/>
                <w:color w:val="auto"/>
              </w:rPr>
            </w:pPr>
            <w:r>
              <w:rPr>
                <w:rFonts w:ascii="Arial" w:cs="Arial" w:eastAsia="Arial" w:hAnsi="Arial"/>
                <w:sz w:val="21"/>
                <w:szCs w:val="21"/>
                <w:color w:val="auto"/>
                <w:w w:val="88"/>
              </w:rPr>
              <w:t>September 30, 2012</w:t>
            </w:r>
          </w:p>
        </w:tc>
        <w:tc>
          <w:tcPr>
            <w:tcW w:w="680" w:type="dxa"/>
            <w:vAlign w:val="bottom"/>
            <w:tcBorders>
              <w:bottom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2000" w:type="dxa"/>
            <w:vAlign w:val="bottom"/>
            <w:tcBorders>
              <w:bottom w:val="single" w:sz="8" w:color="auto"/>
            </w:tcBorders>
            <w:gridSpan w:val="5"/>
          </w:tcPr>
          <w:p>
            <w:pPr>
              <w:jc w:val="right"/>
              <w:spacing w:after="0"/>
              <w:rPr>
                <w:sz w:val="20"/>
                <w:szCs w:val="20"/>
                <w:color w:val="auto"/>
              </w:rPr>
            </w:pPr>
            <w:r>
              <w:rPr>
                <w:rFonts w:ascii="Arial" w:cs="Arial" w:eastAsia="Arial" w:hAnsi="Arial"/>
                <w:sz w:val="21"/>
                <w:szCs w:val="21"/>
                <w:color w:val="auto"/>
              </w:rPr>
              <w:t>September 30, 2011</w:t>
            </w:r>
          </w:p>
        </w:tc>
        <w:tc>
          <w:tcPr>
            <w:tcW w:w="680" w:type="dxa"/>
            <w:vAlign w:val="bottom"/>
            <w:tcBorders>
              <w:bottom w:val="single" w:sz="8" w:color="auto"/>
            </w:tcBorders>
          </w:tcPr>
          <w:p>
            <w:pPr>
              <w:spacing w:after="0"/>
              <w:rPr>
                <w:sz w:val="22"/>
                <w:szCs w:val="22"/>
                <w:color w:val="auto"/>
              </w:rPr>
            </w:pPr>
          </w:p>
        </w:tc>
      </w:tr>
      <w:tr>
        <w:trPr>
          <w:trHeight w:val="223"/>
        </w:trPr>
        <w:tc>
          <w:tcPr>
            <w:tcW w:w="50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gridSpan w:val="3"/>
          </w:tcPr>
          <w:p>
            <w:pPr>
              <w:jc w:val="center"/>
              <w:ind w:right="600"/>
              <w:spacing w:after="0" w:line="223" w:lineRule="exact"/>
              <w:rPr>
                <w:sz w:val="20"/>
                <w:szCs w:val="20"/>
                <w:color w:val="auto"/>
              </w:rPr>
            </w:pPr>
            <w:r>
              <w:rPr>
                <w:rFonts w:ascii="Arial" w:cs="Arial" w:eastAsia="Arial" w:hAnsi="Arial"/>
                <w:sz w:val="21"/>
                <w:szCs w:val="21"/>
                <w:color w:val="auto"/>
                <w:w w:val="97"/>
              </w:rPr>
              <w:t>Auction</w:t>
            </w:r>
          </w:p>
        </w:tc>
        <w:tc>
          <w:tcPr>
            <w:tcW w:w="7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20" w:type="dxa"/>
            <w:vAlign w:val="bottom"/>
            <w:gridSpan w:val="5"/>
          </w:tcPr>
          <w:p>
            <w:pPr>
              <w:jc w:val="center"/>
              <w:ind w:right="480"/>
              <w:spacing w:after="0" w:line="223" w:lineRule="exact"/>
              <w:rPr>
                <w:sz w:val="20"/>
                <w:szCs w:val="20"/>
                <w:color w:val="auto"/>
              </w:rPr>
            </w:pPr>
            <w:r>
              <w:rPr>
                <w:rFonts w:ascii="Arial" w:cs="Arial" w:eastAsia="Arial" w:hAnsi="Arial"/>
                <w:sz w:val="21"/>
                <w:szCs w:val="21"/>
                <w:color w:val="auto"/>
                <w:w w:val="94"/>
              </w:rPr>
              <w:t>Auction</w:t>
            </w:r>
          </w:p>
        </w:tc>
        <w:tc>
          <w:tcPr>
            <w:tcW w:w="66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43"/>
        </w:trPr>
        <w:tc>
          <w:tcPr>
            <w:tcW w:w="50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gridSpan w:val="3"/>
          </w:tcPr>
          <w:p>
            <w:pPr>
              <w:jc w:val="center"/>
              <w:ind w:right="580"/>
              <w:spacing w:after="0"/>
              <w:rPr>
                <w:sz w:val="20"/>
                <w:szCs w:val="20"/>
                <w:color w:val="auto"/>
              </w:rPr>
            </w:pPr>
            <w:r>
              <w:rPr>
                <w:rFonts w:ascii="Arial" w:cs="Arial" w:eastAsia="Arial" w:hAnsi="Arial"/>
                <w:sz w:val="21"/>
                <w:szCs w:val="21"/>
                <w:color w:val="auto"/>
                <w:w w:val="85"/>
              </w:rPr>
              <w:t>Rate</w:t>
            </w:r>
          </w:p>
        </w:tc>
        <w:tc>
          <w:tcPr>
            <w:tcW w:w="7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40" w:type="dxa"/>
            <w:vAlign w:val="bottom"/>
            <w:gridSpan w:val="4"/>
          </w:tcPr>
          <w:p>
            <w:pPr>
              <w:jc w:val="center"/>
              <w:ind w:right="760"/>
              <w:spacing w:after="0"/>
              <w:rPr>
                <w:sz w:val="20"/>
                <w:szCs w:val="20"/>
                <w:color w:val="auto"/>
              </w:rPr>
            </w:pPr>
            <w:r>
              <w:rPr>
                <w:rFonts w:ascii="Arial" w:cs="Arial" w:eastAsia="Arial" w:hAnsi="Arial"/>
                <w:sz w:val="21"/>
                <w:szCs w:val="21"/>
                <w:color w:val="auto"/>
                <w:w w:val="85"/>
              </w:rPr>
              <w:t>Rate</w:t>
            </w:r>
          </w:p>
        </w:tc>
        <w:tc>
          <w:tcPr>
            <w:tcW w:w="660" w:type="dxa"/>
            <w:vAlign w:val="bottom"/>
          </w:tcPr>
          <w:p>
            <w:pPr>
              <w:spacing w:after="0"/>
              <w:rPr>
                <w:sz w:val="21"/>
                <w:szCs w:val="21"/>
                <w:color w:val="auto"/>
              </w:rPr>
            </w:pPr>
          </w:p>
        </w:tc>
        <w:tc>
          <w:tcPr>
            <w:tcW w:w="680" w:type="dxa"/>
            <w:vAlign w:val="bottom"/>
          </w:tcPr>
          <w:p>
            <w:pPr>
              <w:spacing w:after="0"/>
              <w:rPr>
                <w:sz w:val="21"/>
                <w:szCs w:val="21"/>
                <w:color w:val="auto"/>
              </w:rPr>
            </w:pPr>
          </w:p>
        </w:tc>
      </w:tr>
      <w:tr>
        <w:trPr>
          <w:trHeight w:val="256"/>
        </w:trPr>
        <w:tc>
          <w:tcPr>
            <w:tcW w:w="50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40" w:type="dxa"/>
            <w:vAlign w:val="bottom"/>
            <w:gridSpan w:val="3"/>
          </w:tcPr>
          <w:p>
            <w:pPr>
              <w:jc w:val="center"/>
              <w:ind w:right="580"/>
              <w:spacing w:after="0"/>
              <w:rPr>
                <w:sz w:val="20"/>
                <w:szCs w:val="20"/>
                <w:color w:val="auto"/>
              </w:rPr>
            </w:pPr>
            <w:r>
              <w:rPr>
                <w:rFonts w:ascii="Arial" w:cs="Arial" w:eastAsia="Arial" w:hAnsi="Arial"/>
                <w:sz w:val="21"/>
                <w:szCs w:val="21"/>
                <w:color w:val="auto"/>
                <w:w w:val="88"/>
              </w:rPr>
              <w:t>Securities</w:t>
            </w:r>
          </w:p>
        </w:tc>
        <w:tc>
          <w:tcPr>
            <w:tcW w:w="1640" w:type="dxa"/>
            <w:vAlign w:val="bottom"/>
            <w:gridSpan w:val="5"/>
          </w:tcPr>
          <w:p>
            <w:pPr>
              <w:ind w:left="200"/>
              <w:spacing w:after="0"/>
              <w:rPr>
                <w:sz w:val="20"/>
                <w:szCs w:val="20"/>
                <w:color w:val="auto"/>
              </w:rPr>
            </w:pPr>
            <w:r>
              <w:rPr>
                <w:rFonts w:ascii="Arial" w:cs="Arial" w:eastAsia="Arial" w:hAnsi="Arial"/>
                <w:sz w:val="21"/>
                <w:szCs w:val="21"/>
                <w:color w:val="auto"/>
              </w:rPr>
              <w:t>Put Options</w:t>
            </w:r>
          </w:p>
        </w:tc>
        <w:tc>
          <w:tcPr>
            <w:tcW w:w="1620" w:type="dxa"/>
            <w:vAlign w:val="bottom"/>
            <w:gridSpan w:val="5"/>
          </w:tcPr>
          <w:p>
            <w:pPr>
              <w:ind w:left="160"/>
              <w:spacing w:after="0"/>
              <w:rPr>
                <w:sz w:val="20"/>
                <w:szCs w:val="20"/>
                <w:color w:val="auto"/>
              </w:rPr>
            </w:pPr>
            <w:r>
              <w:rPr>
                <w:rFonts w:ascii="Arial" w:cs="Arial" w:eastAsia="Arial" w:hAnsi="Arial"/>
                <w:sz w:val="21"/>
                <w:szCs w:val="21"/>
                <w:color w:val="auto"/>
              </w:rPr>
              <w:t>Securities</w:t>
            </w:r>
          </w:p>
        </w:tc>
        <w:tc>
          <w:tcPr>
            <w:tcW w:w="1340" w:type="dxa"/>
            <w:vAlign w:val="bottom"/>
            <w:gridSpan w:val="2"/>
          </w:tcPr>
          <w:p>
            <w:pPr>
              <w:ind w:left="140"/>
              <w:spacing w:after="0"/>
              <w:rPr>
                <w:sz w:val="20"/>
                <w:szCs w:val="20"/>
                <w:color w:val="auto"/>
              </w:rPr>
            </w:pPr>
            <w:r>
              <w:rPr>
                <w:rFonts w:ascii="Arial" w:cs="Arial" w:eastAsia="Arial" w:hAnsi="Arial"/>
                <w:sz w:val="21"/>
                <w:szCs w:val="21"/>
                <w:color w:val="auto"/>
              </w:rPr>
              <w:t>Put Options</w:t>
            </w:r>
          </w:p>
        </w:tc>
      </w:tr>
      <w:tr>
        <w:trPr>
          <w:trHeight w:val="237"/>
        </w:trPr>
        <w:tc>
          <w:tcPr>
            <w:tcW w:w="5080" w:type="dxa"/>
            <w:vAlign w:val="bottom"/>
            <w:tcBorders>
              <w:top w:val="single" w:sz="8" w:color="CCEEFF"/>
            </w:tcBorders>
            <w:shd w:val="clear" w:color="auto" w:fill="CCEEFF"/>
          </w:tcPr>
          <w:p>
            <w:pPr>
              <w:spacing w:after="0" w:line="237" w:lineRule="exact"/>
              <w:rPr>
                <w:sz w:val="20"/>
                <w:szCs w:val="20"/>
                <w:color w:val="auto"/>
              </w:rPr>
            </w:pPr>
            <w:r>
              <w:rPr>
                <w:rFonts w:ascii="Arial" w:cs="Arial" w:eastAsia="Arial" w:hAnsi="Arial"/>
                <w:sz w:val="21"/>
                <w:szCs w:val="21"/>
                <w:color w:val="auto"/>
              </w:rPr>
              <w:t>Opening Balance</w:t>
            </w:r>
          </w:p>
        </w:tc>
        <w:tc>
          <w:tcPr>
            <w:tcW w:w="4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jc w:val="right"/>
              <w:spacing w:after="0" w:line="237" w:lineRule="exact"/>
              <w:rPr>
                <w:sz w:val="20"/>
                <w:szCs w:val="20"/>
                <w:color w:val="auto"/>
              </w:rPr>
            </w:pPr>
            <w:r>
              <w:rPr>
                <w:rFonts w:ascii="Arial" w:cs="Arial" w:eastAsia="Arial" w:hAnsi="Arial"/>
                <w:sz w:val="21"/>
                <w:szCs w:val="21"/>
                <w:color w:val="auto"/>
              </w:rPr>
              <w:t>$</w:t>
            </w:r>
          </w:p>
        </w:tc>
        <w:tc>
          <w:tcPr>
            <w:tcW w:w="1220" w:type="dxa"/>
            <w:vAlign w:val="bottom"/>
            <w:tcBorders>
              <w:top w:val="single" w:sz="8" w:color="auto"/>
            </w:tcBorders>
            <w:shd w:val="clear" w:color="auto" w:fill="CCEEFF"/>
          </w:tcPr>
          <w:p>
            <w:pPr>
              <w:jc w:val="right"/>
              <w:ind w:right="16"/>
              <w:spacing w:after="0" w:line="237" w:lineRule="exact"/>
              <w:rPr>
                <w:sz w:val="20"/>
                <w:szCs w:val="20"/>
                <w:color w:val="auto"/>
              </w:rPr>
            </w:pPr>
            <w:r>
              <w:rPr>
                <w:rFonts w:ascii="Arial" w:cs="Arial" w:eastAsia="Arial" w:hAnsi="Arial"/>
                <w:sz w:val="21"/>
                <w:szCs w:val="21"/>
                <w:color w:val="auto"/>
              </w:rPr>
              <w:t>35,852</w:t>
            </w:r>
          </w:p>
        </w:tc>
        <w:tc>
          <w:tcPr>
            <w:tcW w:w="20" w:type="dxa"/>
            <w:vAlign w:val="bottom"/>
            <w:tcBorders>
              <w:top w:val="single" w:sz="8" w:color="auto"/>
            </w:tcBorders>
            <w:shd w:val="clear" w:color="auto" w:fill="CCEEFF"/>
          </w:tcPr>
          <w:p>
            <w:pPr>
              <w:spacing w:after="0"/>
              <w:rPr>
                <w:sz w:val="20"/>
                <w:szCs w:val="20"/>
                <w:color w:val="auto"/>
              </w:rPr>
            </w:pPr>
          </w:p>
        </w:tc>
        <w:tc>
          <w:tcPr>
            <w:tcW w:w="200" w:type="dxa"/>
            <w:vAlign w:val="bottom"/>
            <w:tcBorders>
              <w:top w:val="single" w:sz="8" w:color="CCEEFF"/>
            </w:tcBorders>
            <w:shd w:val="clear" w:color="auto" w:fill="CCEEFF"/>
          </w:tcPr>
          <w:p>
            <w:pPr>
              <w:spacing w:after="0"/>
              <w:rPr>
                <w:sz w:val="20"/>
                <w:szCs w:val="20"/>
                <w:color w:val="auto"/>
              </w:rPr>
            </w:pPr>
          </w:p>
        </w:tc>
        <w:tc>
          <w:tcPr>
            <w:tcW w:w="700" w:type="dxa"/>
            <w:vAlign w:val="bottom"/>
            <w:tcBorders>
              <w:top w:val="single" w:sz="8" w:color="auto"/>
            </w:tcBorders>
            <w:shd w:val="clear" w:color="auto" w:fill="CCEEFF"/>
          </w:tcPr>
          <w:p>
            <w:pPr>
              <w:jc w:val="right"/>
              <w:ind w:right="356"/>
              <w:spacing w:after="0" w:line="237" w:lineRule="exact"/>
              <w:rPr>
                <w:sz w:val="20"/>
                <w:szCs w:val="20"/>
                <w:color w:val="auto"/>
              </w:rPr>
            </w:pPr>
            <w:r>
              <w:rPr>
                <w:rFonts w:ascii="Arial" w:cs="Arial" w:eastAsia="Arial" w:hAnsi="Arial"/>
                <w:sz w:val="21"/>
                <w:szCs w:val="21"/>
                <w:color w:val="auto"/>
              </w:rPr>
              <w:t>$</w:t>
            </w:r>
          </w:p>
        </w:tc>
        <w:tc>
          <w:tcPr>
            <w:tcW w:w="680" w:type="dxa"/>
            <w:vAlign w:val="bottom"/>
            <w:tcBorders>
              <w:top w:val="single" w:sz="8" w:color="auto"/>
            </w:tcBorders>
            <w:shd w:val="clear" w:color="auto" w:fill="CCEEFF"/>
          </w:tcPr>
          <w:p>
            <w:pPr>
              <w:jc w:val="right"/>
              <w:ind w:right="36"/>
              <w:spacing w:after="0" w:line="237" w:lineRule="exact"/>
              <w:rPr>
                <w:sz w:val="20"/>
                <w:szCs w:val="20"/>
                <w:color w:val="auto"/>
              </w:rPr>
            </w:pPr>
            <w:r>
              <w:rPr>
                <w:rFonts w:ascii="Arial" w:cs="Arial" w:eastAsia="Arial" w:hAnsi="Arial"/>
                <w:sz w:val="21"/>
                <w:szCs w:val="21"/>
                <w:color w:val="auto"/>
                <w:w w:val="98"/>
              </w:rPr>
              <w:t>3,041</w:t>
            </w:r>
          </w:p>
        </w:tc>
        <w:tc>
          <w:tcPr>
            <w:tcW w:w="4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auto"/>
            </w:tcBorders>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jc w:val="right"/>
              <w:spacing w:after="0" w:line="237" w:lineRule="exact"/>
              <w:rPr>
                <w:sz w:val="20"/>
                <w:szCs w:val="20"/>
                <w:color w:val="auto"/>
              </w:rPr>
            </w:pPr>
            <w:r>
              <w:rPr>
                <w:rFonts w:ascii="Arial" w:cs="Arial" w:eastAsia="Arial" w:hAnsi="Arial"/>
                <w:sz w:val="21"/>
                <w:szCs w:val="21"/>
                <w:color w:val="auto"/>
              </w:rPr>
              <w:t>$</w:t>
            </w:r>
          </w:p>
        </w:tc>
        <w:tc>
          <w:tcPr>
            <w:tcW w:w="1040" w:type="dxa"/>
            <w:vAlign w:val="bottom"/>
            <w:tcBorders>
              <w:top w:val="single" w:sz="8" w:color="auto"/>
            </w:tcBorders>
            <w:shd w:val="clear" w:color="auto" w:fill="CCEEFF"/>
          </w:tcPr>
          <w:p>
            <w:pPr>
              <w:jc w:val="right"/>
              <w:ind w:right="16"/>
              <w:spacing w:after="0" w:line="237" w:lineRule="exact"/>
              <w:rPr>
                <w:sz w:val="20"/>
                <w:szCs w:val="20"/>
                <w:color w:val="auto"/>
              </w:rPr>
            </w:pPr>
            <w:r>
              <w:rPr>
                <w:rFonts w:ascii="Arial" w:cs="Arial" w:eastAsia="Arial" w:hAnsi="Arial"/>
                <w:sz w:val="21"/>
                <w:szCs w:val="21"/>
                <w:color w:val="auto"/>
              </w:rPr>
              <w:t>68,252</w:t>
            </w:r>
          </w:p>
        </w:tc>
        <w:tc>
          <w:tcPr>
            <w:tcW w:w="8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auto"/>
            </w:tcBorders>
            <w:shd w:val="clear" w:color="auto" w:fill="CCEEFF"/>
          </w:tcPr>
          <w:p>
            <w:pPr>
              <w:spacing w:after="0"/>
              <w:rPr>
                <w:sz w:val="20"/>
                <w:szCs w:val="20"/>
                <w:color w:val="auto"/>
              </w:rPr>
            </w:pPr>
          </w:p>
        </w:tc>
        <w:tc>
          <w:tcPr>
            <w:tcW w:w="660" w:type="dxa"/>
            <w:vAlign w:val="bottom"/>
            <w:tcBorders>
              <w:top w:val="single" w:sz="8" w:color="auto"/>
            </w:tcBorders>
            <w:shd w:val="clear" w:color="auto" w:fill="CCEEFF"/>
          </w:tcPr>
          <w:p>
            <w:pPr>
              <w:jc w:val="right"/>
              <w:ind w:right="396"/>
              <w:spacing w:after="0" w:line="237" w:lineRule="exact"/>
              <w:rPr>
                <w:sz w:val="20"/>
                <w:szCs w:val="20"/>
                <w:color w:val="auto"/>
              </w:rPr>
            </w:pPr>
            <w:r>
              <w:rPr>
                <w:rFonts w:ascii="Arial" w:cs="Arial" w:eastAsia="Arial" w:hAnsi="Arial"/>
                <w:sz w:val="21"/>
                <w:szCs w:val="21"/>
                <w:color w:val="auto"/>
              </w:rPr>
              <w:t>$</w:t>
            </w:r>
          </w:p>
        </w:tc>
        <w:tc>
          <w:tcPr>
            <w:tcW w:w="680" w:type="dxa"/>
            <w:vAlign w:val="bottom"/>
            <w:tcBorders>
              <w:top w:val="single" w:sz="8" w:color="auto"/>
            </w:tcBorders>
            <w:shd w:val="clear" w:color="auto" w:fill="CCEEFF"/>
          </w:tcPr>
          <w:p>
            <w:pPr>
              <w:jc w:val="right"/>
              <w:ind w:right="96"/>
              <w:spacing w:after="0" w:line="237" w:lineRule="exact"/>
              <w:rPr>
                <w:sz w:val="20"/>
                <w:szCs w:val="20"/>
                <w:color w:val="auto"/>
              </w:rPr>
            </w:pPr>
            <w:r>
              <w:rPr>
                <w:rFonts w:ascii="Arial" w:cs="Arial" w:eastAsia="Arial" w:hAnsi="Arial"/>
                <w:sz w:val="21"/>
                <w:szCs w:val="21"/>
                <w:color w:val="auto"/>
                <w:w w:val="87"/>
              </w:rPr>
              <w:t>3,768</w:t>
            </w:r>
          </w:p>
        </w:tc>
      </w:tr>
      <w:tr>
        <w:trPr>
          <w:trHeight w:val="243"/>
        </w:trPr>
        <w:tc>
          <w:tcPr>
            <w:tcW w:w="5080" w:type="dxa"/>
            <w:vAlign w:val="bottom"/>
          </w:tcPr>
          <w:p>
            <w:pPr>
              <w:ind w:left="180"/>
              <w:spacing w:after="0"/>
              <w:rPr>
                <w:sz w:val="20"/>
                <w:szCs w:val="20"/>
                <w:color w:val="auto"/>
              </w:rPr>
            </w:pPr>
            <w:r>
              <w:rPr>
                <w:rFonts w:ascii="Arial" w:cs="Arial" w:eastAsia="Arial" w:hAnsi="Arial"/>
                <w:sz w:val="21"/>
                <w:szCs w:val="21"/>
                <w:color w:val="auto"/>
              </w:rPr>
              <w:t>Transfers into Level 3</w:t>
            </w: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6"/>
              <w:spacing w:after="0"/>
              <w:rPr>
                <w:sz w:val="20"/>
                <w:szCs w:val="20"/>
                <w:color w:val="auto"/>
              </w:rPr>
            </w:pPr>
            <w:r>
              <w:rPr>
                <w:rFonts w:ascii="Arial" w:cs="Arial" w:eastAsia="Arial" w:hAnsi="Arial"/>
                <w:sz w:val="21"/>
                <w:szCs w:val="21"/>
                <w:color w:val="auto"/>
              </w:rPr>
              <w:t>-</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80" w:type="dxa"/>
            <w:vAlign w:val="bottom"/>
          </w:tcPr>
          <w:p>
            <w:pPr>
              <w:jc w:val="right"/>
              <w:ind w:right="36"/>
              <w:spacing w:after="0"/>
              <w:rPr>
                <w:sz w:val="20"/>
                <w:szCs w:val="20"/>
                <w:color w:val="auto"/>
              </w:rPr>
            </w:pPr>
            <w:r>
              <w:rPr>
                <w:rFonts w:ascii="Arial" w:cs="Arial" w:eastAsia="Arial" w:hAnsi="Arial"/>
                <w:sz w:val="21"/>
                <w:szCs w:val="21"/>
                <w:color w:val="auto"/>
              </w:rPr>
              <w:t>-</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ind w:right="16"/>
              <w:spacing w:after="0"/>
              <w:rPr>
                <w:sz w:val="20"/>
                <w:szCs w:val="20"/>
                <w:color w:val="auto"/>
              </w:rPr>
            </w:pPr>
            <w:r>
              <w:rPr>
                <w:rFonts w:ascii="Arial" w:cs="Arial" w:eastAsia="Arial" w:hAnsi="Arial"/>
                <w:sz w:val="21"/>
                <w:szCs w:val="21"/>
                <w:color w:val="auto"/>
              </w:rPr>
              <w:t>-</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80" w:type="dxa"/>
            <w:vAlign w:val="bottom"/>
          </w:tcPr>
          <w:p>
            <w:pPr>
              <w:jc w:val="right"/>
              <w:ind w:right="96"/>
              <w:spacing w:after="0"/>
              <w:rPr>
                <w:sz w:val="20"/>
                <w:szCs w:val="20"/>
                <w:color w:val="auto"/>
              </w:rPr>
            </w:pPr>
            <w:r>
              <w:rPr>
                <w:rFonts w:ascii="Arial" w:cs="Arial" w:eastAsia="Arial" w:hAnsi="Arial"/>
                <w:sz w:val="21"/>
                <w:szCs w:val="21"/>
                <w:color w:val="auto"/>
              </w:rPr>
              <w:t>-</w:t>
            </w:r>
          </w:p>
        </w:tc>
      </w:tr>
      <w:tr>
        <w:trPr>
          <w:trHeight w:val="243"/>
        </w:trPr>
        <w:tc>
          <w:tcPr>
            <w:tcW w:w="5080" w:type="dxa"/>
            <w:vAlign w:val="bottom"/>
            <w:shd w:val="clear" w:color="auto" w:fill="CCEEFF"/>
          </w:tcPr>
          <w:p>
            <w:pPr>
              <w:ind w:left="180"/>
              <w:spacing w:after="0"/>
              <w:rPr>
                <w:sz w:val="20"/>
                <w:szCs w:val="20"/>
                <w:color w:val="auto"/>
              </w:rPr>
            </w:pPr>
            <w:r>
              <w:rPr>
                <w:rFonts w:ascii="Arial" w:cs="Arial" w:eastAsia="Arial" w:hAnsi="Arial"/>
                <w:sz w:val="21"/>
                <w:szCs w:val="21"/>
                <w:color w:val="auto"/>
              </w:rPr>
              <w:t>Transfers out of Level 3</w:t>
            </w:r>
          </w:p>
        </w:tc>
        <w:tc>
          <w:tcPr>
            <w:tcW w:w="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6"/>
              <w:spacing w:after="0"/>
              <w:rPr>
                <w:sz w:val="20"/>
                <w:szCs w:val="20"/>
                <w:color w:val="auto"/>
              </w:rPr>
            </w:pPr>
            <w:r>
              <w:rPr>
                <w:rFonts w:ascii="Arial" w:cs="Arial" w:eastAsia="Arial" w:hAnsi="Arial"/>
                <w:sz w:val="21"/>
                <w:szCs w:val="21"/>
                <w:color w:val="auto"/>
              </w:rPr>
              <w:t>-</w:t>
            </w: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680" w:type="dxa"/>
            <w:vAlign w:val="bottom"/>
            <w:shd w:val="clear" w:color="auto" w:fill="CCEEFF"/>
          </w:tcPr>
          <w:p>
            <w:pPr>
              <w:jc w:val="right"/>
              <w:ind w:right="36"/>
              <w:spacing w:after="0"/>
              <w:rPr>
                <w:sz w:val="20"/>
                <w:szCs w:val="20"/>
                <w:color w:val="auto"/>
              </w:rPr>
            </w:pPr>
            <w:r>
              <w:rPr>
                <w:rFonts w:ascii="Arial" w:cs="Arial" w:eastAsia="Arial" w:hAnsi="Arial"/>
                <w:sz w:val="21"/>
                <w:szCs w:val="21"/>
                <w:color w:val="auto"/>
              </w:rPr>
              <w:t>-</w:t>
            </w: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16"/>
              <w:spacing w:after="0"/>
              <w:rPr>
                <w:sz w:val="20"/>
                <w:szCs w:val="20"/>
                <w:color w:val="auto"/>
              </w:rPr>
            </w:pPr>
            <w:r>
              <w:rPr>
                <w:rFonts w:ascii="Arial" w:cs="Arial" w:eastAsia="Arial" w:hAnsi="Arial"/>
                <w:sz w:val="21"/>
                <w:szCs w:val="21"/>
                <w:color w:val="auto"/>
              </w:rPr>
              <w:t>-</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680" w:type="dxa"/>
            <w:vAlign w:val="bottom"/>
            <w:shd w:val="clear" w:color="auto" w:fill="CCEEFF"/>
          </w:tcPr>
          <w:p>
            <w:pPr>
              <w:jc w:val="right"/>
              <w:ind w:right="96"/>
              <w:spacing w:after="0"/>
              <w:rPr>
                <w:sz w:val="20"/>
                <w:szCs w:val="20"/>
                <w:color w:val="auto"/>
              </w:rPr>
            </w:pPr>
            <w:r>
              <w:rPr>
                <w:rFonts w:ascii="Arial" w:cs="Arial" w:eastAsia="Arial" w:hAnsi="Arial"/>
                <w:sz w:val="21"/>
                <w:szCs w:val="21"/>
                <w:color w:val="auto"/>
              </w:rPr>
              <w:t>-</w:t>
            </w:r>
          </w:p>
        </w:tc>
      </w:tr>
      <w:tr>
        <w:trPr>
          <w:trHeight w:val="243"/>
        </w:trPr>
        <w:tc>
          <w:tcPr>
            <w:tcW w:w="5080" w:type="dxa"/>
            <w:vAlign w:val="bottom"/>
          </w:tcPr>
          <w:p>
            <w:pPr>
              <w:ind w:left="180"/>
              <w:spacing w:after="0"/>
              <w:rPr>
                <w:sz w:val="20"/>
                <w:szCs w:val="20"/>
                <w:color w:val="auto"/>
              </w:rPr>
            </w:pPr>
            <w:r>
              <w:rPr>
                <w:rFonts w:ascii="Arial" w:cs="Arial" w:eastAsia="Arial" w:hAnsi="Arial"/>
                <w:sz w:val="21"/>
                <w:szCs w:val="21"/>
                <w:color w:val="auto"/>
              </w:rPr>
              <w:t>Total gains (losses) for the period:</w:t>
            </w: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80" w:type="dxa"/>
            <w:vAlign w:val="bottom"/>
          </w:tcPr>
          <w:p>
            <w:pPr>
              <w:spacing w:after="0"/>
              <w:rPr>
                <w:sz w:val="21"/>
                <w:szCs w:val="21"/>
                <w:color w:val="auto"/>
              </w:rPr>
            </w:pPr>
          </w:p>
        </w:tc>
      </w:tr>
      <w:tr>
        <w:trPr>
          <w:trHeight w:val="243"/>
        </w:trPr>
        <w:tc>
          <w:tcPr>
            <w:tcW w:w="5080" w:type="dxa"/>
            <w:vAlign w:val="bottom"/>
            <w:shd w:val="clear" w:color="auto" w:fill="CCEEFF"/>
          </w:tcPr>
          <w:p>
            <w:pPr>
              <w:ind w:left="360"/>
              <w:spacing w:after="0"/>
              <w:rPr>
                <w:sz w:val="20"/>
                <w:szCs w:val="20"/>
                <w:color w:val="auto"/>
              </w:rPr>
            </w:pPr>
            <w:r>
              <w:rPr>
                <w:rFonts w:ascii="Arial" w:cs="Arial" w:eastAsia="Arial" w:hAnsi="Arial"/>
                <w:sz w:val="21"/>
                <w:szCs w:val="21"/>
                <w:color w:val="auto"/>
              </w:rPr>
              <w:t>Included in earnings</w:t>
            </w:r>
          </w:p>
        </w:tc>
        <w:tc>
          <w:tcPr>
            <w:tcW w:w="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6"/>
              <w:spacing w:after="0"/>
              <w:rPr>
                <w:sz w:val="20"/>
                <w:szCs w:val="20"/>
                <w:color w:val="auto"/>
              </w:rPr>
            </w:pPr>
            <w:r>
              <w:rPr>
                <w:rFonts w:ascii="Arial" w:cs="Arial" w:eastAsia="Arial" w:hAnsi="Arial"/>
                <w:sz w:val="21"/>
                <w:szCs w:val="21"/>
                <w:color w:val="auto"/>
              </w:rPr>
              <w:t>1,693</w:t>
            </w: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21"/>
                <w:szCs w:val="21"/>
                <w:color w:val="auto"/>
                <w:w w:val="87"/>
              </w:rPr>
              <w:t>(1,110)</w:t>
            </w: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21"/>
                <w:szCs w:val="21"/>
                <w:color w:val="auto"/>
              </w:rPr>
              <w:t>(259)</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680" w:type="dxa"/>
            <w:vAlign w:val="bottom"/>
            <w:shd w:val="clear" w:color="auto" w:fill="CCEEFF"/>
          </w:tcPr>
          <w:p>
            <w:pPr>
              <w:jc w:val="right"/>
              <w:ind w:right="36"/>
              <w:spacing w:after="0"/>
              <w:rPr>
                <w:sz w:val="20"/>
                <w:szCs w:val="20"/>
                <w:color w:val="auto"/>
              </w:rPr>
            </w:pPr>
            <w:r>
              <w:rPr>
                <w:rFonts w:ascii="Arial" w:cs="Arial" w:eastAsia="Arial" w:hAnsi="Arial"/>
                <w:sz w:val="21"/>
                <w:szCs w:val="21"/>
                <w:color w:val="auto"/>
              </w:rPr>
              <w:t>(591)</w:t>
            </w:r>
          </w:p>
        </w:tc>
      </w:tr>
    </w:tbl>
    <w:p>
      <w:pPr>
        <w:sectPr>
          <w:pgSz w:w="11900" w:h="16870" w:orient="portrait"/>
          <w:cols w:equalWidth="0" w:num="1">
            <w:col w:w="11420"/>
          </w:cols>
          <w:pgMar w:left="240" w:top="118" w:right="239" w:bottom="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5120" w:type="dxa"/>
            <w:vAlign w:val="bottom"/>
          </w:tcPr>
          <w:p>
            <w:pPr>
              <w:ind w:left="360"/>
              <w:spacing w:after="0"/>
              <w:rPr>
                <w:sz w:val="20"/>
                <w:szCs w:val="20"/>
                <w:color w:val="auto"/>
              </w:rPr>
            </w:pPr>
            <w:r>
              <w:rPr>
                <w:rFonts w:ascii="Arial" w:cs="Arial" w:eastAsia="Arial" w:hAnsi="Arial"/>
                <w:sz w:val="21"/>
                <w:szCs w:val="21"/>
                <w:color w:val="auto"/>
              </w:rPr>
              <w:t>Included in other comprehensive income</w:t>
            </w:r>
          </w:p>
        </w:tc>
        <w:tc>
          <w:tcPr>
            <w:tcW w:w="480" w:type="dxa"/>
            <w:vAlign w:val="bottom"/>
          </w:tcPr>
          <w:p>
            <w:pPr>
              <w:spacing w:after="0"/>
              <w:rPr>
                <w:sz w:val="22"/>
                <w:szCs w:val="22"/>
                <w:color w:val="auto"/>
              </w:rPr>
            </w:pPr>
          </w:p>
        </w:tc>
        <w:tc>
          <w:tcPr>
            <w:tcW w:w="1020" w:type="dxa"/>
            <w:vAlign w:val="bottom"/>
          </w:tcPr>
          <w:p>
            <w:pPr>
              <w:jc w:val="right"/>
              <w:ind w:right="36"/>
              <w:spacing w:after="0"/>
              <w:rPr>
                <w:sz w:val="20"/>
                <w:szCs w:val="20"/>
                <w:color w:val="auto"/>
              </w:rPr>
            </w:pPr>
            <w:r>
              <w:rPr>
                <w:rFonts w:ascii="Arial" w:cs="Arial" w:eastAsia="Arial" w:hAnsi="Arial"/>
                <w:sz w:val="21"/>
                <w:szCs w:val="21"/>
                <w:color w:val="auto"/>
              </w:rPr>
              <w:t>-</w:t>
            </w:r>
          </w:p>
        </w:tc>
        <w:tc>
          <w:tcPr>
            <w:tcW w:w="2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80" w:type="dxa"/>
            <w:vAlign w:val="bottom"/>
          </w:tcPr>
          <w:p>
            <w:pPr>
              <w:jc w:val="right"/>
              <w:ind w:right="36"/>
              <w:spacing w:after="0"/>
              <w:rPr>
                <w:sz w:val="20"/>
                <w:szCs w:val="20"/>
                <w:color w:val="auto"/>
              </w:rPr>
            </w:pPr>
            <w:r>
              <w:rPr>
                <w:rFonts w:ascii="Arial" w:cs="Arial" w:eastAsia="Arial" w:hAnsi="Arial"/>
                <w:sz w:val="21"/>
                <w:szCs w:val="21"/>
                <w:color w:val="auto"/>
              </w:rPr>
              <w:t>-</w:t>
            </w:r>
          </w:p>
        </w:tc>
        <w:tc>
          <w:tcPr>
            <w:tcW w:w="2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60" w:type="dxa"/>
            <w:vAlign w:val="bottom"/>
          </w:tcPr>
          <w:p>
            <w:pPr>
              <w:jc w:val="right"/>
              <w:ind w:right="16"/>
              <w:spacing w:after="0"/>
              <w:rPr>
                <w:sz w:val="20"/>
                <w:szCs w:val="20"/>
                <w:color w:val="auto"/>
              </w:rPr>
            </w:pPr>
            <w:r>
              <w:rPr>
                <w:rFonts w:ascii="Arial" w:cs="Arial" w:eastAsia="Arial" w:hAnsi="Arial"/>
                <w:sz w:val="21"/>
                <w:szCs w:val="21"/>
                <w:color w:val="auto"/>
              </w:rPr>
              <w:t>2,408</w:t>
            </w:r>
          </w:p>
        </w:tc>
        <w:tc>
          <w:tcPr>
            <w:tcW w:w="2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20" w:type="dxa"/>
            <w:vAlign w:val="bottom"/>
          </w:tcPr>
          <w:p>
            <w:pPr>
              <w:jc w:val="right"/>
              <w:ind w:right="96"/>
              <w:spacing w:after="0"/>
              <w:rPr>
                <w:sz w:val="20"/>
                <w:szCs w:val="20"/>
                <w:color w:val="auto"/>
              </w:rPr>
            </w:pPr>
            <w:r>
              <w:rPr>
                <w:rFonts w:ascii="Arial" w:cs="Arial" w:eastAsia="Arial" w:hAnsi="Arial"/>
                <w:sz w:val="21"/>
                <w:szCs w:val="21"/>
                <w:color w:val="auto"/>
              </w:rPr>
              <w:t>-</w:t>
            </w:r>
          </w:p>
        </w:tc>
      </w:tr>
      <w:tr>
        <w:trPr>
          <w:trHeight w:val="243"/>
        </w:trPr>
        <w:tc>
          <w:tcPr>
            <w:tcW w:w="5120" w:type="dxa"/>
            <w:vAlign w:val="bottom"/>
            <w:shd w:val="clear" w:color="auto" w:fill="CCEEFF"/>
          </w:tcPr>
          <w:p>
            <w:pPr>
              <w:jc w:val="center"/>
              <w:ind w:right="3676"/>
              <w:spacing w:after="0"/>
              <w:rPr>
                <w:sz w:val="20"/>
                <w:szCs w:val="20"/>
                <w:color w:val="auto"/>
              </w:rPr>
            </w:pPr>
            <w:r>
              <w:rPr>
                <w:rFonts w:ascii="Arial" w:cs="Arial" w:eastAsia="Arial" w:hAnsi="Arial"/>
                <w:sz w:val="21"/>
                <w:szCs w:val="21"/>
                <w:color w:val="auto"/>
                <w:w w:val="88"/>
              </w:rPr>
              <w:t>Settlements</w:t>
            </w:r>
          </w:p>
        </w:tc>
        <w:tc>
          <w:tcPr>
            <w:tcW w:w="48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1"/>
                <w:szCs w:val="21"/>
                <w:color w:val="auto"/>
              </w:rPr>
              <w:t>(16,790)</w:t>
            </w:r>
          </w:p>
        </w:tc>
        <w:tc>
          <w:tcPr>
            <w:tcW w:w="200" w:type="dxa"/>
            <w:vAlign w:val="bottom"/>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21"/>
                <w:szCs w:val="21"/>
                <w:color w:val="auto"/>
              </w:rPr>
              <w:t>-</w:t>
            </w:r>
          </w:p>
        </w:tc>
        <w:tc>
          <w:tcPr>
            <w:tcW w:w="20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1"/>
                <w:szCs w:val="21"/>
                <w:color w:val="auto"/>
              </w:rPr>
              <w:t>(31,025)</w:t>
            </w:r>
          </w:p>
        </w:tc>
        <w:tc>
          <w:tcPr>
            <w:tcW w:w="220" w:type="dxa"/>
            <w:vAlign w:val="bottom"/>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21"/>
                <w:szCs w:val="21"/>
                <w:color w:val="auto"/>
              </w:rPr>
              <w:t>-</w:t>
            </w:r>
          </w:p>
        </w:tc>
      </w:tr>
      <w:tr>
        <w:trPr>
          <w:trHeight w:val="237"/>
        </w:trPr>
        <w:tc>
          <w:tcPr>
            <w:tcW w:w="5120" w:type="dxa"/>
            <w:vAlign w:val="bottom"/>
          </w:tcPr>
          <w:p>
            <w:pPr>
              <w:jc w:val="center"/>
              <w:ind w:right="3636"/>
              <w:spacing w:after="0" w:line="237" w:lineRule="exact"/>
              <w:rPr>
                <w:sz w:val="20"/>
                <w:szCs w:val="20"/>
                <w:color w:val="auto"/>
              </w:rPr>
            </w:pPr>
            <w:r>
              <w:rPr>
                <w:rFonts w:ascii="Arial" w:cs="Arial" w:eastAsia="Arial" w:hAnsi="Arial"/>
                <w:sz w:val="21"/>
                <w:szCs w:val="21"/>
                <w:color w:val="auto"/>
                <w:w w:val="90"/>
              </w:rPr>
              <w:t>Closing Balance</w:t>
            </w:r>
          </w:p>
        </w:tc>
        <w:tc>
          <w:tcPr>
            <w:tcW w:w="480" w:type="dxa"/>
            <w:vAlign w:val="bottom"/>
            <w:tcBorders>
              <w:bottom w:val="single" w:sz="8" w:color="auto"/>
            </w:tcBorders>
          </w:tcPr>
          <w:p>
            <w:pPr>
              <w:jc w:val="right"/>
              <w:ind w:right="136"/>
              <w:spacing w:after="0" w:line="237" w:lineRule="exact"/>
              <w:rPr>
                <w:sz w:val="20"/>
                <w:szCs w:val="20"/>
                <w:color w:val="auto"/>
              </w:rPr>
            </w:pPr>
            <w:r>
              <w:rPr>
                <w:rFonts w:ascii="Arial" w:cs="Arial" w:eastAsia="Arial" w:hAnsi="Arial"/>
                <w:sz w:val="21"/>
                <w:szCs w:val="21"/>
                <w:color w:val="auto"/>
              </w:rPr>
              <w:t>$</w:t>
            </w:r>
          </w:p>
        </w:tc>
        <w:tc>
          <w:tcPr>
            <w:tcW w:w="1020" w:type="dxa"/>
            <w:vAlign w:val="bottom"/>
            <w:tcBorders>
              <w:bottom w:val="single" w:sz="8" w:color="auto"/>
            </w:tcBorders>
          </w:tcPr>
          <w:p>
            <w:pPr>
              <w:jc w:val="right"/>
              <w:ind w:right="36"/>
              <w:spacing w:after="0" w:line="237" w:lineRule="exact"/>
              <w:rPr>
                <w:sz w:val="20"/>
                <w:szCs w:val="20"/>
                <w:color w:val="auto"/>
              </w:rPr>
            </w:pPr>
            <w:r>
              <w:rPr>
                <w:rFonts w:ascii="Arial" w:cs="Arial" w:eastAsia="Arial" w:hAnsi="Arial"/>
                <w:sz w:val="21"/>
                <w:szCs w:val="21"/>
                <w:color w:val="auto"/>
              </w:rPr>
              <w:t>20,755</w:t>
            </w:r>
          </w:p>
        </w:tc>
        <w:tc>
          <w:tcPr>
            <w:tcW w:w="200" w:type="dxa"/>
            <w:vAlign w:val="bottom"/>
          </w:tcPr>
          <w:p>
            <w:pPr>
              <w:spacing w:after="0"/>
              <w:rPr>
                <w:sz w:val="20"/>
                <w:szCs w:val="20"/>
                <w:color w:val="auto"/>
              </w:rPr>
            </w:pPr>
          </w:p>
        </w:tc>
        <w:tc>
          <w:tcPr>
            <w:tcW w:w="500" w:type="dxa"/>
            <w:vAlign w:val="bottom"/>
            <w:tcBorders>
              <w:bottom w:val="single" w:sz="8" w:color="auto"/>
            </w:tcBorders>
          </w:tcPr>
          <w:p>
            <w:pPr>
              <w:jc w:val="right"/>
              <w:ind w:right="156"/>
              <w:spacing w:after="0" w:line="237" w:lineRule="exact"/>
              <w:rPr>
                <w:sz w:val="20"/>
                <w:szCs w:val="20"/>
                <w:color w:val="auto"/>
              </w:rPr>
            </w:pPr>
            <w:r>
              <w:rPr>
                <w:rFonts w:ascii="Arial" w:cs="Arial" w:eastAsia="Arial" w:hAnsi="Arial"/>
                <w:sz w:val="21"/>
                <w:szCs w:val="21"/>
                <w:color w:val="auto"/>
              </w:rPr>
              <w:t>$</w:t>
            </w:r>
          </w:p>
        </w:tc>
        <w:tc>
          <w:tcPr>
            <w:tcW w:w="880" w:type="dxa"/>
            <w:vAlign w:val="bottom"/>
            <w:tcBorders>
              <w:bottom w:val="single" w:sz="8" w:color="auto"/>
            </w:tcBorders>
          </w:tcPr>
          <w:p>
            <w:pPr>
              <w:jc w:val="right"/>
              <w:ind w:right="36"/>
              <w:spacing w:after="0" w:line="237" w:lineRule="exact"/>
              <w:rPr>
                <w:sz w:val="20"/>
                <w:szCs w:val="20"/>
                <w:color w:val="auto"/>
              </w:rPr>
            </w:pPr>
            <w:r>
              <w:rPr>
                <w:rFonts w:ascii="Arial" w:cs="Arial" w:eastAsia="Arial" w:hAnsi="Arial"/>
                <w:sz w:val="21"/>
                <w:szCs w:val="21"/>
                <w:color w:val="auto"/>
              </w:rPr>
              <w:t>1,931</w:t>
            </w:r>
          </w:p>
        </w:tc>
        <w:tc>
          <w:tcPr>
            <w:tcW w:w="200" w:type="dxa"/>
            <w:vAlign w:val="bottom"/>
          </w:tcPr>
          <w:p>
            <w:pPr>
              <w:spacing w:after="0"/>
              <w:rPr>
                <w:sz w:val="20"/>
                <w:szCs w:val="20"/>
                <w:color w:val="auto"/>
              </w:rPr>
            </w:pPr>
          </w:p>
        </w:tc>
        <w:tc>
          <w:tcPr>
            <w:tcW w:w="420" w:type="dxa"/>
            <w:vAlign w:val="bottom"/>
            <w:tcBorders>
              <w:bottom w:val="single" w:sz="8" w:color="auto"/>
            </w:tcBorders>
          </w:tcPr>
          <w:p>
            <w:pPr>
              <w:jc w:val="right"/>
              <w:ind w:right="76"/>
              <w:spacing w:after="0" w:line="237" w:lineRule="exact"/>
              <w:rPr>
                <w:sz w:val="20"/>
                <w:szCs w:val="20"/>
                <w:color w:val="auto"/>
              </w:rPr>
            </w:pPr>
            <w:r>
              <w:rPr>
                <w:rFonts w:ascii="Arial" w:cs="Arial" w:eastAsia="Arial" w:hAnsi="Arial"/>
                <w:sz w:val="21"/>
                <w:szCs w:val="21"/>
                <w:color w:val="auto"/>
              </w:rPr>
              <w:t>$</w:t>
            </w:r>
          </w:p>
        </w:tc>
        <w:tc>
          <w:tcPr>
            <w:tcW w:w="960" w:type="dxa"/>
            <w:vAlign w:val="bottom"/>
            <w:tcBorders>
              <w:bottom w:val="single" w:sz="8" w:color="auto"/>
            </w:tcBorders>
          </w:tcPr>
          <w:p>
            <w:pPr>
              <w:jc w:val="right"/>
              <w:ind w:right="16"/>
              <w:spacing w:after="0" w:line="237" w:lineRule="exact"/>
              <w:rPr>
                <w:sz w:val="20"/>
                <w:szCs w:val="20"/>
                <w:color w:val="auto"/>
              </w:rPr>
            </w:pPr>
            <w:r>
              <w:rPr>
                <w:rFonts w:ascii="Arial" w:cs="Arial" w:eastAsia="Arial" w:hAnsi="Arial"/>
                <w:sz w:val="21"/>
                <w:szCs w:val="21"/>
                <w:color w:val="auto"/>
              </w:rPr>
              <w:t>39,376</w:t>
            </w:r>
          </w:p>
        </w:tc>
        <w:tc>
          <w:tcPr>
            <w:tcW w:w="220" w:type="dxa"/>
            <w:vAlign w:val="bottom"/>
          </w:tcPr>
          <w:p>
            <w:pPr>
              <w:spacing w:after="0"/>
              <w:rPr>
                <w:sz w:val="20"/>
                <w:szCs w:val="20"/>
                <w:color w:val="auto"/>
              </w:rPr>
            </w:pPr>
          </w:p>
        </w:tc>
        <w:tc>
          <w:tcPr>
            <w:tcW w:w="500" w:type="dxa"/>
            <w:vAlign w:val="bottom"/>
            <w:tcBorders>
              <w:bottom w:val="single" w:sz="8" w:color="auto"/>
            </w:tcBorders>
          </w:tcPr>
          <w:p>
            <w:pPr>
              <w:jc w:val="right"/>
              <w:ind w:right="156"/>
              <w:spacing w:after="0" w:line="237" w:lineRule="exact"/>
              <w:rPr>
                <w:sz w:val="20"/>
                <w:szCs w:val="20"/>
                <w:color w:val="auto"/>
              </w:rPr>
            </w:pPr>
            <w:r>
              <w:rPr>
                <w:rFonts w:ascii="Arial" w:cs="Arial" w:eastAsia="Arial" w:hAnsi="Arial"/>
                <w:sz w:val="21"/>
                <w:szCs w:val="21"/>
                <w:color w:val="auto"/>
              </w:rPr>
              <w:t>$</w:t>
            </w:r>
          </w:p>
        </w:tc>
        <w:tc>
          <w:tcPr>
            <w:tcW w:w="920" w:type="dxa"/>
            <w:vAlign w:val="bottom"/>
            <w:tcBorders>
              <w:bottom w:val="single" w:sz="8" w:color="auto"/>
            </w:tcBorders>
          </w:tcPr>
          <w:p>
            <w:pPr>
              <w:jc w:val="right"/>
              <w:ind w:right="96"/>
              <w:spacing w:after="0" w:line="237" w:lineRule="exact"/>
              <w:rPr>
                <w:sz w:val="20"/>
                <w:szCs w:val="20"/>
                <w:color w:val="auto"/>
              </w:rPr>
            </w:pPr>
            <w:r>
              <w:rPr>
                <w:rFonts w:ascii="Arial" w:cs="Arial" w:eastAsia="Arial" w:hAnsi="Arial"/>
                <w:sz w:val="21"/>
                <w:szCs w:val="21"/>
                <w:color w:val="auto"/>
              </w:rPr>
              <w:t>3,177</w:t>
            </w:r>
          </w:p>
        </w:tc>
      </w:tr>
      <w:tr>
        <w:trPr>
          <w:trHeight w:val="20"/>
        </w:trPr>
        <w:tc>
          <w:tcPr>
            <w:tcW w:w="5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22" w:lineRule="exact"/>
        <w:rPr>
          <w:sz w:val="20"/>
          <w:szCs w:val="20"/>
          <w:color w:val="auto"/>
        </w:rPr>
      </w:pPr>
    </w:p>
    <w:p>
      <w:pPr>
        <w:ind w:left="660" w:hanging="652"/>
        <w:spacing w:after="0"/>
        <w:tabs>
          <w:tab w:leader="none" w:pos="660" w:val="left"/>
        </w:tabs>
        <w:numPr>
          <w:ilvl w:val="0"/>
          <w:numId w:val="7"/>
        </w:numPr>
        <w:rPr>
          <w:rFonts w:ascii="Arial" w:cs="Arial" w:eastAsia="Arial" w:hAnsi="Arial"/>
          <w:sz w:val="22"/>
          <w:szCs w:val="22"/>
          <w:color w:val="auto"/>
        </w:rPr>
      </w:pPr>
      <w:r>
        <w:rPr>
          <w:rFonts w:ascii="Arial" w:cs="Arial" w:eastAsia="Arial" w:hAnsi="Arial"/>
          <w:sz w:val="22"/>
          <w:szCs w:val="22"/>
          <w:color w:val="auto"/>
        </w:rPr>
        <w:t>INVENTORIES</w:t>
      </w:r>
    </w:p>
    <w:p>
      <w:pPr>
        <w:spacing w:after="0" w:line="233" w:lineRule="exact"/>
        <w:rPr>
          <w:rFonts w:ascii="Arial" w:cs="Arial" w:eastAsia="Arial" w:hAnsi="Arial"/>
          <w:sz w:val="22"/>
          <w:szCs w:val="22"/>
          <w:color w:val="auto"/>
        </w:rPr>
      </w:pPr>
    </w:p>
    <w:p>
      <w:pPr>
        <w:ind w:left="660"/>
        <w:spacing w:after="0"/>
        <w:rPr>
          <w:rFonts w:ascii="Arial" w:cs="Arial" w:eastAsia="Arial" w:hAnsi="Arial"/>
          <w:sz w:val="22"/>
          <w:szCs w:val="22"/>
          <w:color w:val="auto"/>
        </w:rPr>
      </w:pPr>
      <w:r>
        <w:rPr>
          <w:rFonts w:ascii="Arial" w:cs="Arial" w:eastAsia="Arial" w:hAnsi="Arial"/>
          <w:sz w:val="22"/>
          <w:szCs w:val="22"/>
          <w:color w:val="auto"/>
        </w:rPr>
        <w:t>Inventories consist of the following at:</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60" w:type="dxa"/>
            <w:vAlign w:val="bottom"/>
          </w:tcPr>
          <w:p>
            <w:pPr>
              <w:spacing w:after="0"/>
              <w:rPr>
                <w:sz w:val="21"/>
                <w:szCs w:val="21"/>
                <w:color w:val="auto"/>
              </w:rPr>
            </w:pPr>
          </w:p>
        </w:tc>
        <w:tc>
          <w:tcPr>
            <w:tcW w:w="3100" w:type="dxa"/>
            <w:vAlign w:val="bottom"/>
          </w:tcPr>
          <w:p>
            <w:pPr>
              <w:spacing w:after="0"/>
              <w:rPr>
                <w:sz w:val="21"/>
                <w:szCs w:val="21"/>
                <w:color w:val="auto"/>
              </w:rPr>
            </w:pPr>
          </w:p>
        </w:tc>
        <w:tc>
          <w:tcPr>
            <w:tcW w:w="3260" w:type="dxa"/>
            <w:vAlign w:val="bottom"/>
          </w:tcPr>
          <w:p>
            <w:pPr>
              <w:spacing w:after="0"/>
              <w:rPr>
                <w:sz w:val="21"/>
                <w:szCs w:val="21"/>
                <w:color w:val="auto"/>
              </w:rPr>
            </w:pPr>
          </w:p>
        </w:tc>
        <w:tc>
          <w:tcPr>
            <w:tcW w:w="2360" w:type="dxa"/>
            <w:vAlign w:val="bottom"/>
            <w:gridSpan w:val="3"/>
          </w:tcPr>
          <w:p>
            <w:pPr>
              <w:ind w:left="180"/>
              <w:spacing w:after="0"/>
              <w:rPr>
                <w:sz w:val="20"/>
                <w:szCs w:val="20"/>
                <w:color w:val="auto"/>
              </w:rPr>
            </w:pPr>
            <w:r>
              <w:rPr>
                <w:rFonts w:ascii="Arial" w:cs="Arial" w:eastAsia="Arial" w:hAnsi="Arial"/>
                <w:sz w:val="21"/>
                <w:szCs w:val="21"/>
                <w:color w:val="auto"/>
              </w:rPr>
              <w:t>September 30,</w:t>
            </w:r>
          </w:p>
        </w:tc>
        <w:tc>
          <w:tcPr>
            <w:tcW w:w="1620" w:type="dxa"/>
            <w:vAlign w:val="bottom"/>
            <w:gridSpan w:val="2"/>
          </w:tcPr>
          <w:p>
            <w:pPr>
              <w:ind w:left="120"/>
              <w:spacing w:after="0"/>
              <w:rPr>
                <w:sz w:val="20"/>
                <w:szCs w:val="20"/>
                <w:color w:val="auto"/>
              </w:rPr>
            </w:pPr>
            <w:r>
              <w:rPr>
                <w:rFonts w:ascii="Arial" w:cs="Arial" w:eastAsia="Arial" w:hAnsi="Arial"/>
                <w:sz w:val="21"/>
                <w:szCs w:val="21"/>
                <w:color w:val="auto"/>
              </w:rPr>
              <w:t>December 31,</w:t>
            </w: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60" w:type="dxa"/>
            <w:vAlign w:val="bottom"/>
          </w:tcPr>
          <w:p>
            <w:pPr>
              <w:spacing w:after="0"/>
              <w:rPr>
                <w:sz w:val="22"/>
                <w:szCs w:val="22"/>
                <w:color w:val="auto"/>
              </w:rPr>
            </w:pPr>
          </w:p>
        </w:tc>
        <w:tc>
          <w:tcPr>
            <w:tcW w:w="3100" w:type="dxa"/>
            <w:vAlign w:val="bottom"/>
            <w:tcBorders>
              <w:bottom w:val="single" w:sz="8" w:color="CCEEFF"/>
            </w:tcBorders>
          </w:tcPr>
          <w:p>
            <w:pPr>
              <w:spacing w:after="0"/>
              <w:rPr>
                <w:sz w:val="22"/>
                <w:szCs w:val="22"/>
                <w:color w:val="auto"/>
              </w:rPr>
            </w:pPr>
          </w:p>
        </w:tc>
        <w:tc>
          <w:tcPr>
            <w:tcW w:w="326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636"/>
              <w:spacing w:after="0"/>
              <w:rPr>
                <w:sz w:val="20"/>
                <w:szCs w:val="20"/>
                <w:color w:val="auto"/>
              </w:rPr>
            </w:pPr>
            <w:r>
              <w:rPr>
                <w:rFonts w:ascii="Arial" w:cs="Arial" w:eastAsia="Arial" w:hAnsi="Arial"/>
                <w:sz w:val="21"/>
                <w:szCs w:val="21"/>
                <w:color w:val="auto"/>
              </w:rPr>
              <w:t>2012</w:t>
            </w:r>
          </w:p>
        </w:tc>
        <w:tc>
          <w:tcPr>
            <w:tcW w:w="64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96"/>
              <w:spacing w:after="0"/>
              <w:rPr>
                <w:sz w:val="20"/>
                <w:szCs w:val="20"/>
                <w:color w:val="auto"/>
              </w:rPr>
            </w:pPr>
            <w:r>
              <w:rPr>
                <w:rFonts w:ascii="Arial" w:cs="Arial" w:eastAsia="Arial" w:hAnsi="Arial"/>
                <w:sz w:val="21"/>
                <w:szCs w:val="21"/>
                <w:color w:val="auto"/>
              </w:rPr>
              <w:t>2011</w:t>
            </w: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660" w:type="dxa"/>
            <w:vAlign w:val="bottom"/>
          </w:tcPr>
          <w:p>
            <w:pPr>
              <w:spacing w:after="0"/>
              <w:rPr>
                <w:sz w:val="20"/>
                <w:szCs w:val="20"/>
                <w:color w:val="auto"/>
              </w:rPr>
            </w:pPr>
          </w:p>
        </w:tc>
        <w:tc>
          <w:tcPr>
            <w:tcW w:w="3100" w:type="dxa"/>
            <w:vAlign w:val="bottom"/>
            <w:shd w:val="clear" w:color="auto" w:fill="CCEEFF"/>
          </w:tcPr>
          <w:p>
            <w:pPr>
              <w:spacing w:after="0" w:line="237" w:lineRule="exact"/>
              <w:rPr>
                <w:sz w:val="20"/>
                <w:szCs w:val="20"/>
                <w:color w:val="auto"/>
              </w:rPr>
            </w:pPr>
            <w:r>
              <w:rPr>
                <w:rFonts w:ascii="Arial" w:cs="Arial" w:eastAsia="Arial" w:hAnsi="Arial"/>
                <w:sz w:val="21"/>
                <w:szCs w:val="21"/>
                <w:color w:val="auto"/>
              </w:rPr>
              <w:t>Raw materials</w:t>
            </w:r>
          </w:p>
        </w:tc>
        <w:tc>
          <w:tcPr>
            <w:tcW w:w="326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56"/>
              <w:spacing w:after="0" w:line="237" w:lineRule="exact"/>
              <w:rPr>
                <w:sz w:val="20"/>
                <w:szCs w:val="20"/>
                <w:color w:val="auto"/>
              </w:rPr>
            </w:pPr>
            <w:r>
              <w:rPr>
                <w:rFonts w:ascii="Arial" w:cs="Arial" w:eastAsia="Arial" w:hAnsi="Arial"/>
                <w:sz w:val="21"/>
                <w:szCs w:val="21"/>
                <w:color w:val="auto"/>
              </w:rPr>
              <w:t>$</w:t>
            </w:r>
          </w:p>
        </w:tc>
        <w:tc>
          <w:tcPr>
            <w:tcW w:w="1320" w:type="dxa"/>
            <w:vAlign w:val="bottom"/>
            <w:shd w:val="clear" w:color="auto" w:fill="CCEEFF"/>
          </w:tcPr>
          <w:p>
            <w:pPr>
              <w:jc w:val="right"/>
              <w:ind w:right="56"/>
              <w:spacing w:after="0" w:line="237" w:lineRule="exact"/>
              <w:rPr>
                <w:sz w:val="20"/>
                <w:szCs w:val="20"/>
                <w:color w:val="auto"/>
              </w:rPr>
            </w:pPr>
            <w:r>
              <w:rPr>
                <w:rFonts w:ascii="Arial" w:cs="Arial" w:eastAsia="Arial" w:hAnsi="Arial"/>
                <w:sz w:val="21"/>
                <w:szCs w:val="21"/>
                <w:color w:val="auto"/>
              </w:rPr>
              <w:t>62,076</w:t>
            </w:r>
          </w:p>
        </w:tc>
        <w:tc>
          <w:tcPr>
            <w:tcW w:w="640" w:type="dxa"/>
            <w:vAlign w:val="bottom"/>
            <w:shd w:val="clear" w:color="auto" w:fill="CCEEFF"/>
          </w:tcPr>
          <w:p>
            <w:pPr>
              <w:spacing w:after="0"/>
              <w:rPr>
                <w:sz w:val="20"/>
                <w:szCs w:val="20"/>
                <w:color w:val="auto"/>
              </w:rPr>
            </w:pPr>
          </w:p>
        </w:tc>
        <w:tc>
          <w:tcPr>
            <w:tcW w:w="380" w:type="dxa"/>
            <w:vAlign w:val="bottom"/>
            <w:shd w:val="clear" w:color="auto" w:fill="CCEEFF"/>
          </w:tcPr>
          <w:p>
            <w:pPr>
              <w:ind w:left="140"/>
              <w:spacing w:after="0" w:line="237" w:lineRule="exact"/>
              <w:rPr>
                <w:sz w:val="20"/>
                <w:szCs w:val="20"/>
                <w:color w:val="auto"/>
              </w:rPr>
            </w:pPr>
            <w:r>
              <w:rPr>
                <w:rFonts w:ascii="Arial" w:cs="Arial" w:eastAsia="Arial" w:hAnsi="Arial"/>
                <w:sz w:val="21"/>
                <w:szCs w:val="21"/>
                <w:color w:val="auto"/>
              </w:rPr>
              <w:t>$</w:t>
            </w:r>
          </w:p>
        </w:tc>
        <w:tc>
          <w:tcPr>
            <w:tcW w:w="1240" w:type="dxa"/>
            <w:vAlign w:val="bottom"/>
            <w:tcBorders>
              <w:right w:val="single" w:sz="8" w:color="CCEEFF"/>
            </w:tcBorders>
            <w:shd w:val="clear" w:color="auto" w:fill="CCEEFF"/>
          </w:tcPr>
          <w:p>
            <w:pPr>
              <w:jc w:val="right"/>
              <w:ind w:right="96"/>
              <w:spacing w:after="0" w:line="237" w:lineRule="exact"/>
              <w:rPr>
                <w:sz w:val="20"/>
                <w:szCs w:val="20"/>
                <w:color w:val="auto"/>
              </w:rPr>
            </w:pPr>
            <w:r>
              <w:rPr>
                <w:rFonts w:ascii="Arial" w:cs="Arial" w:eastAsia="Arial" w:hAnsi="Arial"/>
                <w:sz w:val="21"/>
                <w:szCs w:val="21"/>
                <w:color w:val="auto"/>
              </w:rPr>
              <w:t>51,103</w:t>
            </w: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60" w:type="dxa"/>
            <w:vAlign w:val="bottom"/>
          </w:tcPr>
          <w:p>
            <w:pPr>
              <w:spacing w:after="0"/>
              <w:rPr>
                <w:sz w:val="21"/>
                <w:szCs w:val="21"/>
                <w:color w:val="auto"/>
              </w:rPr>
            </w:pPr>
          </w:p>
        </w:tc>
        <w:tc>
          <w:tcPr>
            <w:tcW w:w="3100" w:type="dxa"/>
            <w:vAlign w:val="bottom"/>
            <w:tcBorders>
              <w:bottom w:val="single" w:sz="8" w:color="CCEEFF"/>
            </w:tcBorders>
          </w:tcPr>
          <w:p>
            <w:pPr>
              <w:spacing w:after="0"/>
              <w:rPr>
                <w:sz w:val="20"/>
                <w:szCs w:val="20"/>
                <w:color w:val="auto"/>
              </w:rPr>
            </w:pPr>
            <w:r>
              <w:rPr>
                <w:rFonts w:ascii="Arial" w:cs="Arial" w:eastAsia="Arial" w:hAnsi="Arial"/>
                <w:sz w:val="21"/>
                <w:szCs w:val="21"/>
                <w:color w:val="auto"/>
              </w:rPr>
              <w:t>Finished goods</w:t>
            </w:r>
          </w:p>
        </w:tc>
        <w:tc>
          <w:tcPr>
            <w:tcW w:w="326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56"/>
              <w:spacing w:after="0"/>
              <w:rPr>
                <w:sz w:val="20"/>
                <w:szCs w:val="20"/>
                <w:color w:val="auto"/>
              </w:rPr>
            </w:pPr>
            <w:r>
              <w:rPr>
                <w:rFonts w:ascii="Arial" w:cs="Arial" w:eastAsia="Arial" w:hAnsi="Arial"/>
                <w:sz w:val="21"/>
                <w:szCs w:val="21"/>
                <w:color w:val="auto"/>
              </w:rPr>
              <w:t>131,858</w:t>
            </w:r>
          </w:p>
        </w:tc>
        <w:tc>
          <w:tcPr>
            <w:tcW w:w="64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96"/>
              <w:spacing w:after="0"/>
              <w:rPr>
                <w:sz w:val="20"/>
                <w:szCs w:val="20"/>
                <w:color w:val="auto"/>
              </w:rPr>
            </w:pPr>
            <w:r>
              <w:rPr>
                <w:rFonts w:ascii="Arial" w:cs="Arial" w:eastAsia="Arial" w:hAnsi="Arial"/>
                <w:sz w:val="21"/>
                <w:szCs w:val="21"/>
                <w:color w:val="auto"/>
              </w:rPr>
              <w:t>104,510</w:t>
            </w: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60" w:type="dxa"/>
            <w:vAlign w:val="bottom"/>
          </w:tcPr>
          <w:p>
            <w:pPr>
              <w:spacing w:after="0"/>
              <w:rPr>
                <w:sz w:val="20"/>
                <w:szCs w:val="20"/>
                <w:color w:val="auto"/>
              </w:rPr>
            </w:pPr>
          </w:p>
        </w:tc>
        <w:tc>
          <w:tcPr>
            <w:tcW w:w="3100" w:type="dxa"/>
            <w:vAlign w:val="bottom"/>
            <w:tcBorders>
              <w:bottom w:val="single" w:sz="8" w:color="CCEEFF"/>
            </w:tcBorders>
            <w:shd w:val="clear" w:color="auto" w:fill="CCEEFF"/>
          </w:tcPr>
          <w:p>
            <w:pPr>
              <w:spacing w:after="0"/>
              <w:rPr>
                <w:sz w:val="20"/>
                <w:szCs w:val="20"/>
                <w:color w:val="auto"/>
              </w:rPr>
            </w:pPr>
          </w:p>
        </w:tc>
        <w:tc>
          <w:tcPr>
            <w:tcW w:w="326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56"/>
              <w:spacing w:after="0" w:line="237" w:lineRule="exact"/>
              <w:rPr>
                <w:sz w:val="20"/>
                <w:szCs w:val="20"/>
                <w:color w:val="auto"/>
              </w:rPr>
            </w:pPr>
            <w:r>
              <w:rPr>
                <w:rFonts w:ascii="Arial" w:cs="Arial" w:eastAsia="Arial" w:hAnsi="Arial"/>
                <w:sz w:val="21"/>
                <w:szCs w:val="21"/>
                <w:color w:val="auto"/>
              </w:rPr>
              <w:t>$</w:t>
            </w:r>
          </w:p>
        </w:tc>
        <w:tc>
          <w:tcPr>
            <w:tcW w:w="1320" w:type="dxa"/>
            <w:vAlign w:val="bottom"/>
            <w:tcBorders>
              <w:bottom w:val="single" w:sz="8" w:color="auto"/>
            </w:tcBorders>
            <w:shd w:val="clear" w:color="auto" w:fill="CCEEFF"/>
          </w:tcPr>
          <w:p>
            <w:pPr>
              <w:jc w:val="right"/>
              <w:ind w:right="56"/>
              <w:spacing w:after="0" w:line="237" w:lineRule="exact"/>
              <w:rPr>
                <w:sz w:val="20"/>
                <w:szCs w:val="20"/>
                <w:color w:val="auto"/>
              </w:rPr>
            </w:pPr>
            <w:r>
              <w:rPr>
                <w:rFonts w:ascii="Arial" w:cs="Arial" w:eastAsia="Arial" w:hAnsi="Arial"/>
                <w:sz w:val="21"/>
                <w:szCs w:val="21"/>
                <w:color w:val="auto"/>
              </w:rPr>
              <w:t>193,934</w:t>
            </w:r>
          </w:p>
        </w:tc>
        <w:tc>
          <w:tcPr>
            <w:tcW w:w="64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ind w:left="140"/>
              <w:spacing w:after="0" w:line="237" w:lineRule="exact"/>
              <w:rPr>
                <w:sz w:val="20"/>
                <w:szCs w:val="20"/>
                <w:color w:val="auto"/>
              </w:rPr>
            </w:pPr>
            <w:r>
              <w:rPr>
                <w:rFonts w:ascii="Arial" w:cs="Arial" w:eastAsia="Arial" w:hAnsi="Arial"/>
                <w:sz w:val="21"/>
                <w:szCs w:val="21"/>
                <w:color w:val="auto"/>
              </w:rPr>
              <w:t>$</w:t>
            </w:r>
          </w:p>
        </w:tc>
        <w:tc>
          <w:tcPr>
            <w:tcW w:w="1240" w:type="dxa"/>
            <w:vAlign w:val="bottom"/>
            <w:tcBorders>
              <w:bottom w:val="single" w:sz="8" w:color="auto"/>
              <w:right w:val="single" w:sz="8" w:color="CCEEFF"/>
            </w:tcBorders>
            <w:shd w:val="clear" w:color="auto" w:fill="CCEEFF"/>
          </w:tcPr>
          <w:p>
            <w:pPr>
              <w:jc w:val="right"/>
              <w:ind w:right="96"/>
              <w:spacing w:after="0" w:line="237" w:lineRule="exact"/>
              <w:rPr>
                <w:sz w:val="20"/>
                <w:szCs w:val="20"/>
                <w:color w:val="auto"/>
              </w:rPr>
            </w:pPr>
            <w:r>
              <w:rPr>
                <w:rFonts w:ascii="Arial" w:cs="Arial" w:eastAsia="Arial" w:hAnsi="Arial"/>
                <w:sz w:val="21"/>
                <w:szCs w:val="21"/>
                <w:color w:val="auto"/>
              </w:rPr>
              <w:t>155,613</w:t>
            </w: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3260" w:type="dxa"/>
            <w:vAlign w:val="bottom"/>
            <w:vMerge w:val="restart"/>
          </w:tcPr>
          <w:p>
            <w:pPr>
              <w:jc w:val="right"/>
              <w:ind w:right="1130"/>
              <w:spacing w:after="0"/>
              <w:rPr>
                <w:sz w:val="20"/>
                <w:szCs w:val="20"/>
                <w:color w:val="auto"/>
              </w:rPr>
            </w:pPr>
            <w:r>
              <w:rPr>
                <w:rFonts w:ascii="Arial" w:cs="Arial" w:eastAsia="Arial" w:hAnsi="Arial"/>
                <w:sz w:val="18"/>
                <w:szCs w:val="18"/>
                <w:color w:val="auto"/>
              </w:rPr>
              <w:t>16</w:t>
            </w: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6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326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660" w:type="dxa"/>
            <w:vAlign w:val="bottom"/>
            <w:tcBorders>
              <w:bottom w:val="single" w:sz="8" w:color="010101"/>
            </w:tcBorders>
          </w:tcPr>
          <w:p>
            <w:pPr>
              <w:spacing w:after="0"/>
              <w:rPr>
                <w:sz w:val="11"/>
                <w:szCs w:val="11"/>
                <w:color w:val="auto"/>
              </w:rPr>
            </w:pPr>
          </w:p>
        </w:tc>
        <w:tc>
          <w:tcPr>
            <w:tcW w:w="3100" w:type="dxa"/>
            <w:vAlign w:val="bottom"/>
            <w:tcBorders>
              <w:bottom w:val="single" w:sz="8" w:color="010101"/>
            </w:tcBorders>
          </w:tcPr>
          <w:p>
            <w:pPr>
              <w:spacing w:after="0"/>
              <w:rPr>
                <w:sz w:val="11"/>
                <w:szCs w:val="11"/>
                <w:color w:val="auto"/>
              </w:rPr>
            </w:pPr>
          </w:p>
        </w:tc>
        <w:tc>
          <w:tcPr>
            <w:tcW w:w="3260" w:type="dxa"/>
            <w:vAlign w:val="bottom"/>
            <w:tcBorders>
              <w:bottom w:val="single" w:sz="8" w:color="010101"/>
            </w:tcBorders>
          </w:tcPr>
          <w:p>
            <w:pPr>
              <w:spacing w:after="0"/>
              <w:rPr>
                <w:sz w:val="11"/>
                <w:szCs w:val="11"/>
                <w:color w:val="auto"/>
              </w:rPr>
            </w:pPr>
          </w:p>
        </w:tc>
        <w:tc>
          <w:tcPr>
            <w:tcW w:w="400" w:type="dxa"/>
            <w:vAlign w:val="bottom"/>
            <w:tcBorders>
              <w:bottom w:val="single" w:sz="8" w:color="010101"/>
            </w:tcBorders>
          </w:tcPr>
          <w:p>
            <w:pPr>
              <w:spacing w:after="0"/>
              <w:rPr>
                <w:sz w:val="11"/>
                <w:szCs w:val="11"/>
                <w:color w:val="auto"/>
              </w:rPr>
            </w:pPr>
          </w:p>
        </w:tc>
        <w:tc>
          <w:tcPr>
            <w:tcW w:w="1320" w:type="dxa"/>
            <w:vAlign w:val="bottom"/>
            <w:tcBorders>
              <w:bottom w:val="single" w:sz="8" w:color="010101"/>
            </w:tcBorders>
          </w:tcPr>
          <w:p>
            <w:pPr>
              <w:spacing w:after="0"/>
              <w:rPr>
                <w:sz w:val="11"/>
                <w:szCs w:val="11"/>
                <w:color w:val="auto"/>
              </w:rPr>
            </w:pPr>
          </w:p>
        </w:tc>
        <w:tc>
          <w:tcPr>
            <w:tcW w:w="640" w:type="dxa"/>
            <w:vAlign w:val="bottom"/>
            <w:tcBorders>
              <w:bottom w:val="single" w:sz="8" w:color="010101"/>
            </w:tcBorders>
          </w:tcPr>
          <w:p>
            <w:pPr>
              <w:spacing w:after="0"/>
              <w:rPr>
                <w:sz w:val="11"/>
                <w:szCs w:val="11"/>
                <w:color w:val="auto"/>
              </w:rPr>
            </w:pPr>
          </w:p>
        </w:tc>
        <w:tc>
          <w:tcPr>
            <w:tcW w:w="380" w:type="dxa"/>
            <w:vAlign w:val="bottom"/>
            <w:tcBorders>
              <w:bottom w:val="single" w:sz="8" w:color="010101"/>
            </w:tcBorders>
          </w:tcPr>
          <w:p>
            <w:pPr>
              <w:spacing w:after="0"/>
              <w:rPr>
                <w:sz w:val="11"/>
                <w:szCs w:val="11"/>
                <w:color w:val="auto"/>
              </w:rPr>
            </w:pPr>
          </w:p>
        </w:tc>
        <w:tc>
          <w:tcPr>
            <w:tcW w:w="1240" w:type="dxa"/>
            <w:vAlign w:val="bottom"/>
            <w:tcBorders>
              <w:bottom w:val="single" w:sz="8" w:color="010101"/>
            </w:tcBorders>
          </w:tcPr>
          <w:p>
            <w:pPr>
              <w:spacing w:after="0"/>
              <w:rPr>
                <w:sz w:val="11"/>
                <w:szCs w:val="11"/>
                <w:color w:val="auto"/>
              </w:rPr>
            </w:pPr>
          </w:p>
        </w:tc>
        <w:tc>
          <w:tcPr>
            <w:tcW w:w="46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MONSTER BEVERAGE CORPORATION AND SUBSIDIARIES</w:t>
      </w:r>
    </w:p>
    <w:p>
      <w:pPr>
        <w:spacing w:after="0" w:line="14" w:lineRule="exact"/>
        <w:rPr>
          <w:sz w:val="20"/>
          <w:szCs w:val="20"/>
          <w:color w:val="auto"/>
        </w:rPr>
      </w:pPr>
    </w:p>
    <w:p>
      <w:pPr>
        <w:ind w:right="4380"/>
        <w:spacing w:after="0" w:line="308"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85" w:lineRule="exact"/>
        <w:rPr>
          <w:sz w:val="20"/>
          <w:szCs w:val="20"/>
          <w:color w:val="auto"/>
        </w:rPr>
      </w:pPr>
    </w:p>
    <w:p>
      <w:pPr>
        <w:ind w:left="660" w:hanging="652"/>
        <w:spacing w:after="0"/>
        <w:tabs>
          <w:tab w:leader="none" w:pos="660" w:val="left"/>
        </w:tabs>
        <w:numPr>
          <w:ilvl w:val="0"/>
          <w:numId w:val="8"/>
        </w:numPr>
        <w:rPr>
          <w:rFonts w:ascii="Arial" w:cs="Arial" w:eastAsia="Arial" w:hAnsi="Arial"/>
          <w:sz w:val="22"/>
          <w:szCs w:val="22"/>
          <w:color w:val="auto"/>
        </w:rPr>
      </w:pPr>
      <w:r>
        <w:rPr>
          <w:rFonts w:ascii="Arial" w:cs="Arial" w:eastAsia="Arial" w:hAnsi="Arial"/>
          <w:sz w:val="22"/>
          <w:szCs w:val="22"/>
          <w:color w:val="auto"/>
        </w:rPr>
        <w:t>PROPERTY AND EQUIPMENT, Net</w:t>
      </w:r>
    </w:p>
    <w:p>
      <w:pPr>
        <w:spacing w:after="0" w:line="233" w:lineRule="exact"/>
        <w:rPr>
          <w:rFonts w:ascii="Arial" w:cs="Arial" w:eastAsia="Arial" w:hAnsi="Arial"/>
          <w:sz w:val="22"/>
          <w:szCs w:val="22"/>
          <w:color w:val="auto"/>
        </w:rPr>
      </w:pPr>
    </w:p>
    <w:p>
      <w:pPr>
        <w:ind w:left="660"/>
        <w:spacing w:after="0"/>
        <w:rPr>
          <w:rFonts w:ascii="Arial" w:cs="Arial" w:eastAsia="Arial" w:hAnsi="Arial"/>
          <w:sz w:val="22"/>
          <w:szCs w:val="22"/>
          <w:color w:val="auto"/>
        </w:rPr>
      </w:pPr>
      <w:r>
        <w:rPr>
          <w:rFonts w:ascii="Arial" w:cs="Arial" w:eastAsia="Arial" w:hAnsi="Arial"/>
          <w:sz w:val="22"/>
          <w:szCs w:val="22"/>
          <w:color w:val="auto"/>
        </w:rPr>
        <w:t>Property and equipment consist of the following at:</w:t>
      </w:r>
    </w:p>
    <w:p>
      <w:pPr>
        <w:spacing w:after="0" w:line="241" w:lineRule="exact"/>
        <w:rPr>
          <w:sz w:val="20"/>
          <w:szCs w:val="20"/>
          <w:color w:val="auto"/>
        </w:rPr>
      </w:pPr>
    </w:p>
    <w:tbl>
      <w:tblPr>
        <w:tblLayout w:type="fixed"/>
        <w:tblInd w:w="660" w:type="dxa"/>
        <w:tblCellMar>
          <w:top w:w="0" w:type="dxa"/>
          <w:left w:w="0" w:type="dxa"/>
          <w:bottom w:w="0" w:type="dxa"/>
          <w:right w:w="0" w:type="dxa"/>
        </w:tblCellMar>
      </w:tblPr>
      <w:tr>
        <w:trPr>
          <w:trHeight w:val="243"/>
        </w:trPr>
        <w:tc>
          <w:tcPr>
            <w:tcW w:w="6660" w:type="dxa"/>
            <w:vAlign w:val="bottom"/>
          </w:tcPr>
          <w:p>
            <w:pPr>
              <w:spacing w:after="0"/>
              <w:rPr>
                <w:sz w:val="21"/>
                <w:szCs w:val="21"/>
                <w:color w:val="auto"/>
              </w:rPr>
            </w:pPr>
          </w:p>
        </w:tc>
        <w:tc>
          <w:tcPr>
            <w:tcW w:w="2340" w:type="dxa"/>
            <w:vAlign w:val="bottom"/>
            <w:gridSpan w:val="3"/>
          </w:tcPr>
          <w:p>
            <w:pPr>
              <w:ind w:left="180"/>
              <w:spacing w:after="0"/>
              <w:rPr>
                <w:sz w:val="20"/>
                <w:szCs w:val="20"/>
                <w:color w:val="auto"/>
              </w:rPr>
            </w:pPr>
            <w:r>
              <w:rPr>
                <w:rFonts w:ascii="Arial" w:cs="Arial" w:eastAsia="Arial" w:hAnsi="Arial"/>
                <w:sz w:val="21"/>
                <w:szCs w:val="21"/>
                <w:color w:val="auto"/>
              </w:rPr>
              <w:t>September 30,</w:t>
            </w:r>
          </w:p>
        </w:tc>
        <w:tc>
          <w:tcPr>
            <w:tcW w:w="1640" w:type="dxa"/>
            <w:vAlign w:val="bottom"/>
            <w:gridSpan w:val="2"/>
          </w:tcPr>
          <w:p>
            <w:pPr>
              <w:jc w:val="right"/>
              <w:ind w:right="196"/>
              <w:spacing w:after="0"/>
              <w:rPr>
                <w:sz w:val="20"/>
                <w:szCs w:val="20"/>
                <w:color w:val="auto"/>
              </w:rPr>
            </w:pPr>
            <w:r>
              <w:rPr>
                <w:rFonts w:ascii="Arial" w:cs="Arial" w:eastAsia="Arial" w:hAnsi="Arial"/>
                <w:sz w:val="21"/>
                <w:szCs w:val="21"/>
                <w:color w:val="auto"/>
              </w:rPr>
              <w:t>December 31,</w:t>
            </w:r>
          </w:p>
        </w:tc>
      </w:tr>
      <w:tr>
        <w:trPr>
          <w:trHeight w:val="256"/>
        </w:trPr>
        <w:tc>
          <w:tcPr>
            <w:tcW w:w="666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76"/>
              <w:spacing w:after="0"/>
              <w:rPr>
                <w:sz w:val="20"/>
                <w:szCs w:val="20"/>
                <w:color w:val="auto"/>
              </w:rPr>
            </w:pPr>
            <w:r>
              <w:rPr>
                <w:rFonts w:ascii="Arial" w:cs="Arial" w:eastAsia="Arial" w:hAnsi="Arial"/>
                <w:sz w:val="21"/>
                <w:szCs w:val="21"/>
                <w:color w:val="auto"/>
              </w:rPr>
              <w:t>2012</w:t>
            </w:r>
          </w:p>
        </w:tc>
        <w:tc>
          <w:tcPr>
            <w:tcW w:w="68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56"/>
              <w:spacing w:after="0"/>
              <w:rPr>
                <w:sz w:val="20"/>
                <w:szCs w:val="20"/>
                <w:color w:val="auto"/>
              </w:rPr>
            </w:pPr>
            <w:r>
              <w:rPr>
                <w:rFonts w:ascii="Arial" w:cs="Arial" w:eastAsia="Arial" w:hAnsi="Arial"/>
                <w:sz w:val="21"/>
                <w:szCs w:val="21"/>
                <w:color w:val="auto"/>
              </w:rPr>
              <w:t>2011</w:t>
            </w:r>
          </w:p>
        </w:tc>
      </w:tr>
      <w:tr>
        <w:trPr>
          <w:trHeight w:val="237"/>
        </w:trPr>
        <w:tc>
          <w:tcPr>
            <w:tcW w:w="6660" w:type="dxa"/>
            <w:vAlign w:val="bottom"/>
            <w:shd w:val="clear" w:color="auto" w:fill="CCEEFF"/>
          </w:tcPr>
          <w:p>
            <w:pPr>
              <w:spacing w:after="0" w:line="237" w:lineRule="exact"/>
              <w:rPr>
                <w:sz w:val="20"/>
                <w:szCs w:val="20"/>
                <w:color w:val="auto"/>
              </w:rPr>
            </w:pPr>
            <w:r>
              <w:rPr>
                <w:rFonts w:ascii="Arial" w:cs="Arial" w:eastAsia="Arial" w:hAnsi="Arial"/>
                <w:sz w:val="21"/>
                <w:szCs w:val="21"/>
                <w:color w:val="auto"/>
              </w:rPr>
              <w:t>Land</w:t>
            </w:r>
          </w:p>
        </w:tc>
        <w:tc>
          <w:tcPr>
            <w:tcW w:w="400" w:type="dxa"/>
            <w:vAlign w:val="bottom"/>
            <w:shd w:val="clear" w:color="auto" w:fill="CCEEFF"/>
          </w:tcPr>
          <w:p>
            <w:pPr>
              <w:jc w:val="right"/>
              <w:ind w:right="56"/>
              <w:spacing w:after="0" w:line="237" w:lineRule="exact"/>
              <w:rPr>
                <w:sz w:val="20"/>
                <w:szCs w:val="20"/>
                <w:color w:val="auto"/>
              </w:rPr>
            </w:pPr>
            <w:r>
              <w:rPr>
                <w:rFonts w:ascii="Arial" w:cs="Arial" w:eastAsia="Arial" w:hAnsi="Arial"/>
                <w:sz w:val="21"/>
                <w:szCs w:val="21"/>
                <w:color w:val="auto"/>
              </w:rPr>
              <w:t>$</w:t>
            </w:r>
          </w:p>
        </w:tc>
        <w:tc>
          <w:tcPr>
            <w:tcW w:w="1260" w:type="dxa"/>
            <w:vAlign w:val="bottom"/>
            <w:shd w:val="clear" w:color="auto" w:fill="CCEEFF"/>
          </w:tcPr>
          <w:p>
            <w:pPr>
              <w:jc w:val="right"/>
              <w:ind w:right="16"/>
              <w:spacing w:after="0" w:line="237" w:lineRule="exact"/>
              <w:rPr>
                <w:sz w:val="20"/>
                <w:szCs w:val="20"/>
                <w:color w:val="auto"/>
              </w:rPr>
            </w:pPr>
            <w:r>
              <w:rPr>
                <w:rFonts w:ascii="Arial" w:cs="Arial" w:eastAsia="Arial" w:hAnsi="Arial"/>
                <w:sz w:val="21"/>
                <w:szCs w:val="21"/>
                <w:color w:val="auto"/>
              </w:rPr>
              <w:t>3,923</w:t>
            </w:r>
          </w:p>
        </w:tc>
        <w:tc>
          <w:tcPr>
            <w:tcW w:w="68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56"/>
              <w:spacing w:after="0" w:line="237" w:lineRule="exact"/>
              <w:rPr>
                <w:sz w:val="20"/>
                <w:szCs w:val="20"/>
                <w:color w:val="auto"/>
              </w:rPr>
            </w:pPr>
            <w:r>
              <w:rPr>
                <w:rFonts w:ascii="Arial" w:cs="Arial" w:eastAsia="Arial" w:hAnsi="Arial"/>
                <w:sz w:val="21"/>
                <w:szCs w:val="21"/>
                <w:color w:val="auto"/>
              </w:rPr>
              <w:t>$</w:t>
            </w:r>
          </w:p>
        </w:tc>
        <w:tc>
          <w:tcPr>
            <w:tcW w:w="1240" w:type="dxa"/>
            <w:vAlign w:val="bottom"/>
            <w:shd w:val="clear" w:color="auto" w:fill="CCEEFF"/>
          </w:tcPr>
          <w:p>
            <w:pPr>
              <w:jc w:val="right"/>
              <w:spacing w:after="0" w:line="237" w:lineRule="exact"/>
              <w:rPr>
                <w:sz w:val="20"/>
                <w:szCs w:val="20"/>
                <w:color w:val="auto"/>
              </w:rPr>
            </w:pPr>
            <w:r>
              <w:rPr>
                <w:rFonts w:ascii="Arial" w:cs="Arial" w:eastAsia="Arial" w:hAnsi="Arial"/>
                <w:sz w:val="21"/>
                <w:szCs w:val="21"/>
                <w:color w:val="auto"/>
              </w:rPr>
              <w:t>3,626</w:t>
            </w:r>
          </w:p>
        </w:tc>
      </w:tr>
      <w:tr>
        <w:trPr>
          <w:trHeight w:val="243"/>
        </w:trPr>
        <w:tc>
          <w:tcPr>
            <w:tcW w:w="6660" w:type="dxa"/>
            <w:vAlign w:val="bottom"/>
          </w:tcPr>
          <w:p>
            <w:pPr>
              <w:spacing w:after="0"/>
              <w:rPr>
                <w:sz w:val="20"/>
                <w:szCs w:val="20"/>
                <w:color w:val="auto"/>
              </w:rPr>
            </w:pPr>
            <w:r>
              <w:rPr>
                <w:rFonts w:ascii="Arial" w:cs="Arial" w:eastAsia="Arial" w:hAnsi="Arial"/>
                <w:sz w:val="21"/>
                <w:szCs w:val="21"/>
                <w:color w:val="auto"/>
              </w:rPr>
              <w:t>Leasehold improvements</w:t>
            </w:r>
          </w:p>
        </w:tc>
        <w:tc>
          <w:tcPr>
            <w:tcW w:w="400" w:type="dxa"/>
            <w:vAlign w:val="bottom"/>
          </w:tcPr>
          <w:p>
            <w:pPr>
              <w:spacing w:after="0"/>
              <w:rPr>
                <w:sz w:val="21"/>
                <w:szCs w:val="21"/>
                <w:color w:val="auto"/>
              </w:rPr>
            </w:pPr>
          </w:p>
        </w:tc>
        <w:tc>
          <w:tcPr>
            <w:tcW w:w="1260" w:type="dxa"/>
            <w:vAlign w:val="bottom"/>
          </w:tcPr>
          <w:p>
            <w:pPr>
              <w:jc w:val="right"/>
              <w:ind w:right="16"/>
              <w:spacing w:after="0"/>
              <w:rPr>
                <w:sz w:val="20"/>
                <w:szCs w:val="20"/>
                <w:color w:val="auto"/>
              </w:rPr>
            </w:pPr>
            <w:r>
              <w:rPr>
                <w:rFonts w:ascii="Arial" w:cs="Arial" w:eastAsia="Arial" w:hAnsi="Arial"/>
                <w:sz w:val="21"/>
                <w:szCs w:val="21"/>
                <w:color w:val="auto"/>
              </w:rPr>
              <w:t>2,311</w:t>
            </w:r>
          </w:p>
        </w:tc>
        <w:tc>
          <w:tcPr>
            <w:tcW w:w="6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21"/>
                <w:szCs w:val="21"/>
                <w:color w:val="auto"/>
              </w:rPr>
              <w:t>2,132</w:t>
            </w:r>
          </w:p>
        </w:tc>
      </w:tr>
      <w:tr>
        <w:trPr>
          <w:trHeight w:val="243"/>
        </w:trPr>
        <w:tc>
          <w:tcPr>
            <w:tcW w:w="6660" w:type="dxa"/>
            <w:vAlign w:val="bottom"/>
            <w:shd w:val="clear" w:color="auto" w:fill="CCEEFF"/>
          </w:tcPr>
          <w:p>
            <w:pPr>
              <w:spacing w:after="0"/>
              <w:rPr>
                <w:sz w:val="20"/>
                <w:szCs w:val="20"/>
                <w:color w:val="auto"/>
              </w:rPr>
            </w:pPr>
            <w:r>
              <w:rPr>
                <w:rFonts w:ascii="Arial" w:cs="Arial" w:eastAsia="Arial" w:hAnsi="Arial"/>
                <w:sz w:val="21"/>
                <w:szCs w:val="21"/>
                <w:color w:val="auto"/>
              </w:rPr>
              <w:t>Furniture and fixtures</w:t>
            </w:r>
          </w:p>
        </w:tc>
        <w:tc>
          <w:tcPr>
            <w:tcW w:w="40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16"/>
              <w:spacing w:after="0"/>
              <w:rPr>
                <w:sz w:val="20"/>
                <w:szCs w:val="20"/>
                <w:color w:val="auto"/>
              </w:rPr>
            </w:pPr>
            <w:r>
              <w:rPr>
                <w:rFonts w:ascii="Arial" w:cs="Arial" w:eastAsia="Arial" w:hAnsi="Arial"/>
                <w:sz w:val="21"/>
                <w:szCs w:val="21"/>
                <w:color w:val="auto"/>
              </w:rPr>
              <w:t>2,089</w:t>
            </w:r>
          </w:p>
        </w:tc>
        <w:tc>
          <w:tcPr>
            <w:tcW w:w="6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21"/>
                <w:szCs w:val="21"/>
                <w:color w:val="auto"/>
              </w:rPr>
              <w:t>2,000</w:t>
            </w:r>
          </w:p>
        </w:tc>
      </w:tr>
      <w:tr>
        <w:trPr>
          <w:trHeight w:val="243"/>
        </w:trPr>
        <w:tc>
          <w:tcPr>
            <w:tcW w:w="6660" w:type="dxa"/>
            <w:vAlign w:val="bottom"/>
          </w:tcPr>
          <w:p>
            <w:pPr>
              <w:spacing w:after="0"/>
              <w:rPr>
                <w:sz w:val="20"/>
                <w:szCs w:val="20"/>
                <w:color w:val="auto"/>
              </w:rPr>
            </w:pPr>
            <w:r>
              <w:rPr>
                <w:rFonts w:ascii="Arial" w:cs="Arial" w:eastAsia="Arial" w:hAnsi="Arial"/>
                <w:sz w:val="21"/>
                <w:szCs w:val="21"/>
                <w:color w:val="auto"/>
              </w:rPr>
              <w:t>Office and computer equipment</w:t>
            </w:r>
          </w:p>
        </w:tc>
        <w:tc>
          <w:tcPr>
            <w:tcW w:w="400" w:type="dxa"/>
            <w:vAlign w:val="bottom"/>
          </w:tcPr>
          <w:p>
            <w:pPr>
              <w:spacing w:after="0"/>
              <w:rPr>
                <w:sz w:val="21"/>
                <w:szCs w:val="21"/>
                <w:color w:val="auto"/>
              </w:rPr>
            </w:pPr>
          </w:p>
        </w:tc>
        <w:tc>
          <w:tcPr>
            <w:tcW w:w="1260" w:type="dxa"/>
            <w:vAlign w:val="bottom"/>
          </w:tcPr>
          <w:p>
            <w:pPr>
              <w:jc w:val="right"/>
              <w:ind w:right="16"/>
              <w:spacing w:after="0"/>
              <w:rPr>
                <w:sz w:val="20"/>
                <w:szCs w:val="20"/>
                <w:color w:val="auto"/>
              </w:rPr>
            </w:pPr>
            <w:r>
              <w:rPr>
                <w:rFonts w:ascii="Arial" w:cs="Arial" w:eastAsia="Arial" w:hAnsi="Arial"/>
                <w:sz w:val="21"/>
                <w:szCs w:val="21"/>
                <w:color w:val="auto"/>
              </w:rPr>
              <w:t>7,997</w:t>
            </w:r>
          </w:p>
        </w:tc>
        <w:tc>
          <w:tcPr>
            <w:tcW w:w="6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21"/>
                <w:szCs w:val="21"/>
                <w:color w:val="auto"/>
              </w:rPr>
              <w:t>6,727</w:t>
            </w:r>
          </w:p>
        </w:tc>
      </w:tr>
      <w:tr>
        <w:trPr>
          <w:trHeight w:val="243"/>
        </w:trPr>
        <w:tc>
          <w:tcPr>
            <w:tcW w:w="6660" w:type="dxa"/>
            <w:vAlign w:val="bottom"/>
            <w:shd w:val="clear" w:color="auto" w:fill="CCEEFF"/>
          </w:tcPr>
          <w:p>
            <w:pPr>
              <w:spacing w:after="0"/>
              <w:rPr>
                <w:sz w:val="20"/>
                <w:szCs w:val="20"/>
                <w:color w:val="auto"/>
              </w:rPr>
            </w:pPr>
            <w:r>
              <w:rPr>
                <w:rFonts w:ascii="Arial" w:cs="Arial" w:eastAsia="Arial" w:hAnsi="Arial"/>
                <w:sz w:val="21"/>
                <w:szCs w:val="21"/>
                <w:color w:val="auto"/>
              </w:rPr>
              <w:t>Computer software</w:t>
            </w:r>
          </w:p>
        </w:tc>
        <w:tc>
          <w:tcPr>
            <w:tcW w:w="40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16"/>
              <w:spacing w:after="0"/>
              <w:rPr>
                <w:sz w:val="20"/>
                <w:szCs w:val="20"/>
                <w:color w:val="auto"/>
              </w:rPr>
            </w:pPr>
            <w:r>
              <w:rPr>
                <w:rFonts w:ascii="Arial" w:cs="Arial" w:eastAsia="Arial" w:hAnsi="Arial"/>
                <w:sz w:val="21"/>
                <w:szCs w:val="21"/>
                <w:color w:val="auto"/>
              </w:rPr>
              <w:t>9,722</w:t>
            </w:r>
          </w:p>
        </w:tc>
        <w:tc>
          <w:tcPr>
            <w:tcW w:w="6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21"/>
                <w:szCs w:val="21"/>
                <w:color w:val="auto"/>
              </w:rPr>
              <w:t>9,303</w:t>
            </w:r>
          </w:p>
        </w:tc>
      </w:tr>
      <w:tr>
        <w:trPr>
          <w:trHeight w:val="243"/>
        </w:trPr>
        <w:tc>
          <w:tcPr>
            <w:tcW w:w="6660" w:type="dxa"/>
            <w:vAlign w:val="bottom"/>
          </w:tcPr>
          <w:p>
            <w:pPr>
              <w:spacing w:after="0"/>
              <w:rPr>
                <w:sz w:val="20"/>
                <w:szCs w:val="20"/>
                <w:color w:val="auto"/>
              </w:rPr>
            </w:pPr>
            <w:r>
              <w:rPr>
                <w:rFonts w:ascii="Arial" w:cs="Arial" w:eastAsia="Arial" w:hAnsi="Arial"/>
                <w:sz w:val="21"/>
                <w:szCs w:val="21"/>
                <w:color w:val="auto"/>
              </w:rPr>
              <w:t>Equipment</w:t>
            </w:r>
          </w:p>
        </w:tc>
        <w:tc>
          <w:tcPr>
            <w:tcW w:w="400" w:type="dxa"/>
            <w:vAlign w:val="bottom"/>
          </w:tcPr>
          <w:p>
            <w:pPr>
              <w:spacing w:after="0"/>
              <w:rPr>
                <w:sz w:val="21"/>
                <w:szCs w:val="21"/>
                <w:color w:val="auto"/>
              </w:rPr>
            </w:pPr>
          </w:p>
        </w:tc>
        <w:tc>
          <w:tcPr>
            <w:tcW w:w="1260" w:type="dxa"/>
            <w:vAlign w:val="bottom"/>
          </w:tcPr>
          <w:p>
            <w:pPr>
              <w:jc w:val="right"/>
              <w:ind w:right="16"/>
              <w:spacing w:after="0"/>
              <w:rPr>
                <w:sz w:val="20"/>
                <w:szCs w:val="20"/>
                <w:color w:val="auto"/>
              </w:rPr>
            </w:pPr>
            <w:r>
              <w:rPr>
                <w:rFonts w:ascii="Arial" w:cs="Arial" w:eastAsia="Arial" w:hAnsi="Arial"/>
                <w:sz w:val="21"/>
                <w:szCs w:val="21"/>
                <w:color w:val="auto"/>
              </w:rPr>
              <w:t>44,437</w:t>
            </w:r>
          </w:p>
        </w:tc>
        <w:tc>
          <w:tcPr>
            <w:tcW w:w="6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21"/>
                <w:szCs w:val="21"/>
                <w:color w:val="auto"/>
              </w:rPr>
              <w:t>33,286</w:t>
            </w:r>
          </w:p>
        </w:tc>
      </w:tr>
      <w:tr>
        <w:trPr>
          <w:trHeight w:val="243"/>
        </w:trPr>
        <w:tc>
          <w:tcPr>
            <w:tcW w:w="6660" w:type="dxa"/>
            <w:vAlign w:val="bottom"/>
            <w:shd w:val="clear" w:color="auto" w:fill="CCEEFF"/>
          </w:tcPr>
          <w:p>
            <w:pPr>
              <w:spacing w:after="0"/>
              <w:rPr>
                <w:sz w:val="20"/>
                <w:szCs w:val="20"/>
                <w:color w:val="auto"/>
              </w:rPr>
            </w:pPr>
            <w:r>
              <w:rPr>
                <w:rFonts w:ascii="Arial" w:cs="Arial" w:eastAsia="Arial" w:hAnsi="Arial"/>
                <w:sz w:val="21"/>
                <w:szCs w:val="21"/>
                <w:color w:val="auto"/>
              </w:rPr>
              <w:t>Buildings</w:t>
            </w:r>
          </w:p>
        </w:tc>
        <w:tc>
          <w:tcPr>
            <w:tcW w:w="40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16"/>
              <w:spacing w:after="0"/>
              <w:rPr>
                <w:sz w:val="20"/>
                <w:szCs w:val="20"/>
                <w:color w:val="auto"/>
              </w:rPr>
            </w:pPr>
            <w:r>
              <w:rPr>
                <w:rFonts w:ascii="Arial" w:cs="Arial" w:eastAsia="Arial" w:hAnsi="Arial"/>
                <w:sz w:val="21"/>
                <w:szCs w:val="21"/>
                <w:color w:val="auto"/>
              </w:rPr>
              <w:t>12,709</w:t>
            </w:r>
          </w:p>
        </w:tc>
        <w:tc>
          <w:tcPr>
            <w:tcW w:w="6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21"/>
                <w:szCs w:val="21"/>
                <w:color w:val="auto"/>
              </w:rPr>
              <w:t>3,211</w:t>
            </w:r>
          </w:p>
        </w:tc>
      </w:tr>
      <w:tr>
        <w:trPr>
          <w:trHeight w:val="243"/>
        </w:trPr>
        <w:tc>
          <w:tcPr>
            <w:tcW w:w="6660" w:type="dxa"/>
            <w:vAlign w:val="bottom"/>
            <w:tcBorders>
              <w:bottom w:val="single" w:sz="8" w:color="CCEEFF"/>
            </w:tcBorders>
          </w:tcPr>
          <w:p>
            <w:pPr>
              <w:spacing w:after="0"/>
              <w:rPr>
                <w:sz w:val="20"/>
                <w:szCs w:val="20"/>
                <w:color w:val="auto"/>
              </w:rPr>
            </w:pPr>
            <w:r>
              <w:rPr>
                <w:rFonts w:ascii="Arial" w:cs="Arial" w:eastAsia="Arial" w:hAnsi="Arial"/>
                <w:sz w:val="21"/>
                <w:szCs w:val="21"/>
                <w:color w:val="auto"/>
              </w:rPr>
              <w:t>Vehicles</w:t>
            </w:r>
          </w:p>
        </w:tc>
        <w:tc>
          <w:tcPr>
            <w:tcW w:w="4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16"/>
              <w:spacing w:after="0"/>
              <w:rPr>
                <w:sz w:val="20"/>
                <w:szCs w:val="20"/>
                <w:color w:val="auto"/>
              </w:rPr>
            </w:pPr>
            <w:r>
              <w:rPr>
                <w:rFonts w:ascii="Arial" w:cs="Arial" w:eastAsia="Arial" w:hAnsi="Arial"/>
                <w:sz w:val="21"/>
                <w:szCs w:val="21"/>
                <w:color w:val="auto"/>
              </w:rPr>
              <w:t>25,949</w:t>
            </w:r>
          </w:p>
        </w:tc>
        <w:tc>
          <w:tcPr>
            <w:tcW w:w="68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1"/>
                <w:szCs w:val="21"/>
                <w:color w:val="auto"/>
              </w:rPr>
              <w:t>21,827</w:t>
            </w:r>
          </w:p>
        </w:tc>
      </w:tr>
      <w:tr>
        <w:trPr>
          <w:trHeight w:val="237"/>
        </w:trPr>
        <w:tc>
          <w:tcPr>
            <w:tcW w:w="66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60" w:type="dxa"/>
            <w:vAlign w:val="bottom"/>
            <w:shd w:val="clear" w:color="auto" w:fill="CCEEFF"/>
          </w:tcPr>
          <w:p>
            <w:pPr>
              <w:jc w:val="right"/>
              <w:ind w:right="16"/>
              <w:spacing w:after="0" w:line="237" w:lineRule="exact"/>
              <w:rPr>
                <w:sz w:val="20"/>
                <w:szCs w:val="20"/>
                <w:color w:val="auto"/>
              </w:rPr>
            </w:pPr>
            <w:r>
              <w:rPr>
                <w:rFonts w:ascii="Arial" w:cs="Arial" w:eastAsia="Arial" w:hAnsi="Arial"/>
                <w:sz w:val="21"/>
                <w:szCs w:val="21"/>
                <w:color w:val="auto"/>
              </w:rPr>
              <w:t>109,137</w:t>
            </w:r>
          </w:p>
        </w:tc>
        <w:tc>
          <w:tcPr>
            <w:tcW w:w="6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line="237" w:lineRule="exact"/>
              <w:rPr>
                <w:sz w:val="20"/>
                <w:szCs w:val="20"/>
                <w:color w:val="auto"/>
              </w:rPr>
            </w:pPr>
            <w:r>
              <w:rPr>
                <w:rFonts w:ascii="Arial" w:cs="Arial" w:eastAsia="Arial" w:hAnsi="Arial"/>
                <w:sz w:val="21"/>
                <w:szCs w:val="21"/>
                <w:color w:val="auto"/>
              </w:rPr>
              <w:t>82,112</w:t>
            </w:r>
          </w:p>
        </w:tc>
      </w:tr>
      <w:tr>
        <w:trPr>
          <w:trHeight w:val="243"/>
        </w:trPr>
        <w:tc>
          <w:tcPr>
            <w:tcW w:w="6660" w:type="dxa"/>
            <w:vAlign w:val="bottom"/>
            <w:tcBorders>
              <w:bottom w:val="single" w:sz="8" w:color="CCEEFF"/>
            </w:tcBorders>
          </w:tcPr>
          <w:p>
            <w:pPr>
              <w:spacing w:after="0"/>
              <w:rPr>
                <w:sz w:val="20"/>
                <w:szCs w:val="20"/>
                <w:color w:val="auto"/>
              </w:rPr>
            </w:pPr>
            <w:r>
              <w:rPr>
                <w:rFonts w:ascii="Arial" w:cs="Arial" w:eastAsia="Arial" w:hAnsi="Arial"/>
                <w:sz w:val="21"/>
                <w:szCs w:val="21"/>
                <w:color w:val="auto"/>
              </w:rPr>
              <w:t>Less: accumulated depreciation and amortization</w:t>
            </w:r>
          </w:p>
        </w:tc>
        <w:tc>
          <w:tcPr>
            <w:tcW w:w="4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21"/>
                <w:szCs w:val="21"/>
                <w:color w:val="auto"/>
              </w:rPr>
              <w:t>(51,563)</w:t>
            </w:r>
          </w:p>
        </w:tc>
        <w:tc>
          <w:tcPr>
            <w:tcW w:w="68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1"/>
                <w:szCs w:val="21"/>
                <w:color w:val="auto"/>
              </w:rPr>
              <w:t>(36,961)</w:t>
            </w:r>
          </w:p>
        </w:tc>
      </w:tr>
      <w:tr>
        <w:trPr>
          <w:trHeight w:val="237"/>
        </w:trPr>
        <w:tc>
          <w:tcPr>
            <w:tcW w:w="666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56"/>
              <w:spacing w:after="0" w:line="237" w:lineRule="exact"/>
              <w:rPr>
                <w:sz w:val="20"/>
                <w:szCs w:val="20"/>
                <w:color w:val="auto"/>
              </w:rPr>
            </w:pPr>
            <w:r>
              <w:rPr>
                <w:rFonts w:ascii="Arial" w:cs="Arial" w:eastAsia="Arial" w:hAnsi="Arial"/>
                <w:sz w:val="21"/>
                <w:szCs w:val="21"/>
                <w:color w:val="auto"/>
              </w:rPr>
              <w:t>$</w:t>
            </w:r>
          </w:p>
        </w:tc>
        <w:tc>
          <w:tcPr>
            <w:tcW w:w="1260" w:type="dxa"/>
            <w:vAlign w:val="bottom"/>
            <w:tcBorders>
              <w:bottom w:val="single" w:sz="8" w:color="auto"/>
            </w:tcBorders>
            <w:shd w:val="clear" w:color="auto" w:fill="CCEEFF"/>
          </w:tcPr>
          <w:p>
            <w:pPr>
              <w:jc w:val="right"/>
              <w:ind w:right="16"/>
              <w:spacing w:after="0" w:line="237" w:lineRule="exact"/>
              <w:rPr>
                <w:sz w:val="20"/>
                <w:szCs w:val="20"/>
                <w:color w:val="auto"/>
              </w:rPr>
            </w:pPr>
            <w:r>
              <w:rPr>
                <w:rFonts w:ascii="Arial" w:cs="Arial" w:eastAsia="Arial" w:hAnsi="Arial"/>
                <w:sz w:val="21"/>
                <w:szCs w:val="21"/>
                <w:color w:val="auto"/>
              </w:rPr>
              <w:t>57,574</w:t>
            </w:r>
          </w:p>
        </w:tc>
        <w:tc>
          <w:tcPr>
            <w:tcW w:w="6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56"/>
              <w:spacing w:after="0" w:line="237" w:lineRule="exact"/>
              <w:rPr>
                <w:sz w:val="20"/>
                <w:szCs w:val="20"/>
                <w:color w:val="auto"/>
              </w:rPr>
            </w:pPr>
            <w:r>
              <w:rPr>
                <w:rFonts w:ascii="Arial" w:cs="Arial" w:eastAsia="Arial" w:hAnsi="Arial"/>
                <w:sz w:val="21"/>
                <w:szCs w:val="21"/>
                <w:color w:val="auto"/>
              </w:rPr>
              <w:t>$</w:t>
            </w:r>
          </w:p>
        </w:tc>
        <w:tc>
          <w:tcPr>
            <w:tcW w:w="1240" w:type="dxa"/>
            <w:vAlign w:val="bottom"/>
            <w:tcBorders>
              <w:bottom w:val="single" w:sz="8" w:color="auto"/>
            </w:tcBorders>
            <w:shd w:val="clear" w:color="auto" w:fill="CCEEFF"/>
          </w:tcPr>
          <w:p>
            <w:pPr>
              <w:jc w:val="right"/>
              <w:spacing w:after="0" w:line="237" w:lineRule="exact"/>
              <w:rPr>
                <w:sz w:val="20"/>
                <w:szCs w:val="20"/>
                <w:color w:val="auto"/>
              </w:rPr>
            </w:pPr>
            <w:r>
              <w:rPr>
                <w:rFonts w:ascii="Arial" w:cs="Arial" w:eastAsia="Arial" w:hAnsi="Arial"/>
                <w:sz w:val="21"/>
                <w:szCs w:val="21"/>
                <w:color w:val="auto"/>
              </w:rPr>
              <w:t>45,151</w:t>
            </w:r>
          </w:p>
        </w:tc>
      </w:tr>
      <w:tr>
        <w:trPr>
          <w:trHeight w:val="20"/>
        </w:trPr>
        <w:tc>
          <w:tcPr>
            <w:tcW w:w="66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26" w:lineRule="exact"/>
        <w:rPr>
          <w:sz w:val="20"/>
          <w:szCs w:val="20"/>
          <w:color w:val="auto"/>
        </w:rPr>
      </w:pPr>
    </w:p>
    <w:p>
      <w:pPr>
        <w:ind w:left="640" w:hanging="632"/>
        <w:spacing w:after="0"/>
        <w:tabs>
          <w:tab w:leader="none" w:pos="640" w:val="left"/>
        </w:tabs>
        <w:numPr>
          <w:ilvl w:val="0"/>
          <w:numId w:val="9"/>
        </w:numPr>
        <w:rPr>
          <w:rFonts w:ascii="Arial" w:cs="Arial" w:eastAsia="Arial" w:hAnsi="Arial"/>
          <w:sz w:val="20"/>
          <w:szCs w:val="20"/>
          <w:color w:val="auto"/>
        </w:rPr>
      </w:pPr>
      <w:r>
        <w:rPr>
          <w:rFonts w:ascii="Arial" w:cs="Arial" w:eastAsia="Arial" w:hAnsi="Arial"/>
          <w:sz w:val="20"/>
          <w:szCs w:val="20"/>
          <w:color w:val="auto"/>
        </w:rPr>
        <w:t>INTANGIBLES, Net</w:t>
      </w:r>
    </w:p>
    <w:p>
      <w:pPr>
        <w:spacing w:after="0" w:line="238" w:lineRule="exact"/>
        <w:rPr>
          <w:rFonts w:ascii="Arial" w:cs="Arial" w:eastAsia="Arial" w:hAnsi="Arial"/>
          <w:sz w:val="20"/>
          <w:szCs w:val="20"/>
          <w:color w:val="auto"/>
        </w:rPr>
      </w:pPr>
    </w:p>
    <w:p>
      <w:pPr>
        <w:ind w:left="660"/>
        <w:spacing w:after="0"/>
        <w:rPr>
          <w:rFonts w:ascii="Arial" w:cs="Arial" w:eastAsia="Arial" w:hAnsi="Arial"/>
          <w:sz w:val="20"/>
          <w:szCs w:val="20"/>
          <w:color w:val="auto"/>
        </w:rPr>
      </w:pPr>
      <w:r>
        <w:rPr>
          <w:rFonts w:ascii="Arial" w:cs="Arial" w:eastAsia="Arial" w:hAnsi="Arial"/>
          <w:sz w:val="22"/>
          <w:szCs w:val="22"/>
          <w:color w:val="auto"/>
        </w:rPr>
        <w:t>Intangibles consist of the following at:</w:t>
      </w:r>
    </w:p>
    <w:p>
      <w:pPr>
        <w:spacing w:after="0" w:line="241" w:lineRule="exact"/>
        <w:rPr>
          <w:sz w:val="20"/>
          <w:szCs w:val="20"/>
          <w:color w:val="auto"/>
        </w:rPr>
      </w:pPr>
    </w:p>
    <w:tbl>
      <w:tblPr>
        <w:tblLayout w:type="fixed"/>
        <w:tblInd w:w="660" w:type="dxa"/>
        <w:tblCellMar>
          <w:top w:w="0" w:type="dxa"/>
          <w:left w:w="0" w:type="dxa"/>
          <w:bottom w:w="0" w:type="dxa"/>
          <w:right w:w="0" w:type="dxa"/>
        </w:tblCellMar>
      </w:tblPr>
      <w:tr>
        <w:trPr>
          <w:trHeight w:val="243"/>
        </w:trPr>
        <w:tc>
          <w:tcPr>
            <w:tcW w:w="6660" w:type="dxa"/>
            <w:vAlign w:val="bottom"/>
          </w:tcPr>
          <w:p>
            <w:pPr>
              <w:spacing w:after="0"/>
              <w:rPr>
                <w:sz w:val="21"/>
                <w:szCs w:val="21"/>
                <w:color w:val="auto"/>
              </w:rPr>
            </w:pPr>
          </w:p>
        </w:tc>
        <w:tc>
          <w:tcPr>
            <w:tcW w:w="2340" w:type="dxa"/>
            <w:vAlign w:val="bottom"/>
            <w:gridSpan w:val="3"/>
          </w:tcPr>
          <w:p>
            <w:pPr>
              <w:ind w:left="180"/>
              <w:spacing w:after="0"/>
              <w:rPr>
                <w:sz w:val="20"/>
                <w:szCs w:val="20"/>
                <w:color w:val="auto"/>
              </w:rPr>
            </w:pPr>
            <w:r>
              <w:rPr>
                <w:rFonts w:ascii="Arial" w:cs="Arial" w:eastAsia="Arial" w:hAnsi="Arial"/>
                <w:sz w:val="21"/>
                <w:szCs w:val="21"/>
                <w:color w:val="auto"/>
              </w:rPr>
              <w:t>September 30,</w:t>
            </w:r>
          </w:p>
        </w:tc>
        <w:tc>
          <w:tcPr>
            <w:tcW w:w="1640" w:type="dxa"/>
            <w:vAlign w:val="bottom"/>
            <w:gridSpan w:val="2"/>
          </w:tcPr>
          <w:p>
            <w:pPr>
              <w:jc w:val="right"/>
              <w:ind w:right="196"/>
              <w:spacing w:after="0"/>
              <w:rPr>
                <w:sz w:val="20"/>
                <w:szCs w:val="20"/>
                <w:color w:val="auto"/>
              </w:rPr>
            </w:pPr>
            <w:r>
              <w:rPr>
                <w:rFonts w:ascii="Arial" w:cs="Arial" w:eastAsia="Arial" w:hAnsi="Arial"/>
                <w:sz w:val="21"/>
                <w:szCs w:val="21"/>
                <w:color w:val="auto"/>
              </w:rPr>
              <w:t>December 31,</w:t>
            </w:r>
          </w:p>
        </w:tc>
      </w:tr>
      <w:tr>
        <w:trPr>
          <w:trHeight w:val="256"/>
        </w:trPr>
        <w:tc>
          <w:tcPr>
            <w:tcW w:w="666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76"/>
              <w:spacing w:after="0"/>
              <w:rPr>
                <w:sz w:val="20"/>
                <w:szCs w:val="20"/>
                <w:color w:val="auto"/>
              </w:rPr>
            </w:pPr>
            <w:r>
              <w:rPr>
                <w:rFonts w:ascii="Arial" w:cs="Arial" w:eastAsia="Arial" w:hAnsi="Arial"/>
                <w:sz w:val="21"/>
                <w:szCs w:val="21"/>
                <w:color w:val="auto"/>
              </w:rPr>
              <w:t>2012</w:t>
            </w:r>
          </w:p>
        </w:tc>
        <w:tc>
          <w:tcPr>
            <w:tcW w:w="68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56"/>
              <w:spacing w:after="0"/>
              <w:rPr>
                <w:sz w:val="20"/>
                <w:szCs w:val="20"/>
                <w:color w:val="auto"/>
              </w:rPr>
            </w:pPr>
            <w:r>
              <w:rPr>
                <w:rFonts w:ascii="Arial" w:cs="Arial" w:eastAsia="Arial" w:hAnsi="Arial"/>
                <w:sz w:val="21"/>
                <w:szCs w:val="21"/>
                <w:color w:val="auto"/>
              </w:rPr>
              <w:t>2011</w:t>
            </w:r>
          </w:p>
        </w:tc>
      </w:tr>
      <w:tr>
        <w:trPr>
          <w:trHeight w:val="237"/>
        </w:trPr>
        <w:tc>
          <w:tcPr>
            <w:tcW w:w="6660" w:type="dxa"/>
            <w:vAlign w:val="bottom"/>
            <w:shd w:val="clear" w:color="auto" w:fill="CCEEFF"/>
          </w:tcPr>
          <w:p>
            <w:pPr>
              <w:spacing w:after="0" w:line="237" w:lineRule="exact"/>
              <w:rPr>
                <w:sz w:val="20"/>
                <w:szCs w:val="20"/>
                <w:color w:val="auto"/>
              </w:rPr>
            </w:pPr>
            <w:r>
              <w:rPr>
                <w:rFonts w:ascii="Arial" w:cs="Arial" w:eastAsia="Arial" w:hAnsi="Arial"/>
                <w:sz w:val="21"/>
                <w:szCs w:val="21"/>
                <w:color w:val="auto"/>
              </w:rPr>
              <w:t>Amortizing intangibles</w:t>
            </w:r>
          </w:p>
        </w:tc>
        <w:tc>
          <w:tcPr>
            <w:tcW w:w="400" w:type="dxa"/>
            <w:vAlign w:val="bottom"/>
            <w:shd w:val="clear" w:color="auto" w:fill="CCEEFF"/>
          </w:tcPr>
          <w:p>
            <w:pPr>
              <w:jc w:val="right"/>
              <w:ind w:right="56"/>
              <w:spacing w:after="0" w:line="237" w:lineRule="exact"/>
              <w:rPr>
                <w:sz w:val="20"/>
                <w:szCs w:val="20"/>
                <w:color w:val="auto"/>
              </w:rPr>
            </w:pPr>
            <w:r>
              <w:rPr>
                <w:rFonts w:ascii="Arial" w:cs="Arial" w:eastAsia="Arial" w:hAnsi="Arial"/>
                <w:sz w:val="21"/>
                <w:szCs w:val="21"/>
                <w:color w:val="auto"/>
              </w:rPr>
              <w:t>$</w:t>
            </w:r>
          </w:p>
        </w:tc>
        <w:tc>
          <w:tcPr>
            <w:tcW w:w="1260" w:type="dxa"/>
            <w:vAlign w:val="bottom"/>
            <w:shd w:val="clear" w:color="auto" w:fill="CCEEFF"/>
          </w:tcPr>
          <w:p>
            <w:pPr>
              <w:jc w:val="right"/>
              <w:ind w:right="16"/>
              <w:spacing w:after="0" w:line="237" w:lineRule="exact"/>
              <w:rPr>
                <w:sz w:val="20"/>
                <w:szCs w:val="20"/>
                <w:color w:val="auto"/>
              </w:rPr>
            </w:pPr>
            <w:r>
              <w:rPr>
                <w:rFonts w:ascii="Arial" w:cs="Arial" w:eastAsia="Arial" w:hAnsi="Arial"/>
                <w:sz w:val="21"/>
                <w:szCs w:val="21"/>
                <w:color w:val="auto"/>
              </w:rPr>
              <w:t>1,061</w:t>
            </w:r>
          </w:p>
        </w:tc>
        <w:tc>
          <w:tcPr>
            <w:tcW w:w="68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56"/>
              <w:spacing w:after="0" w:line="237" w:lineRule="exact"/>
              <w:rPr>
                <w:sz w:val="20"/>
                <w:szCs w:val="20"/>
                <w:color w:val="auto"/>
              </w:rPr>
            </w:pPr>
            <w:r>
              <w:rPr>
                <w:rFonts w:ascii="Arial" w:cs="Arial" w:eastAsia="Arial" w:hAnsi="Arial"/>
                <w:sz w:val="21"/>
                <w:szCs w:val="21"/>
                <w:color w:val="auto"/>
              </w:rPr>
              <w:t>$</w:t>
            </w:r>
          </w:p>
        </w:tc>
        <w:tc>
          <w:tcPr>
            <w:tcW w:w="1240" w:type="dxa"/>
            <w:vAlign w:val="bottom"/>
            <w:shd w:val="clear" w:color="auto" w:fill="CCEEFF"/>
          </w:tcPr>
          <w:p>
            <w:pPr>
              <w:jc w:val="right"/>
              <w:spacing w:after="0" w:line="237" w:lineRule="exact"/>
              <w:rPr>
                <w:sz w:val="20"/>
                <w:szCs w:val="20"/>
                <w:color w:val="auto"/>
              </w:rPr>
            </w:pPr>
            <w:r>
              <w:rPr>
                <w:rFonts w:ascii="Arial" w:cs="Arial" w:eastAsia="Arial" w:hAnsi="Arial"/>
                <w:sz w:val="21"/>
                <w:szCs w:val="21"/>
                <w:color w:val="auto"/>
              </w:rPr>
              <w:t>1,059</w:t>
            </w:r>
          </w:p>
        </w:tc>
      </w:tr>
      <w:tr>
        <w:trPr>
          <w:trHeight w:val="243"/>
        </w:trPr>
        <w:tc>
          <w:tcPr>
            <w:tcW w:w="6660" w:type="dxa"/>
            <w:vAlign w:val="bottom"/>
            <w:tcBorders>
              <w:bottom w:val="single" w:sz="8" w:color="CCEEFF"/>
            </w:tcBorders>
          </w:tcPr>
          <w:p>
            <w:pPr>
              <w:spacing w:after="0"/>
              <w:rPr>
                <w:sz w:val="20"/>
                <w:szCs w:val="20"/>
                <w:color w:val="auto"/>
              </w:rPr>
            </w:pPr>
            <w:r>
              <w:rPr>
                <w:rFonts w:ascii="Arial" w:cs="Arial" w:eastAsia="Arial" w:hAnsi="Arial"/>
                <w:sz w:val="21"/>
                <w:szCs w:val="21"/>
                <w:color w:val="auto"/>
              </w:rPr>
              <w:t>Accumulated amortization</w:t>
            </w:r>
          </w:p>
        </w:tc>
        <w:tc>
          <w:tcPr>
            <w:tcW w:w="4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21"/>
                <w:szCs w:val="21"/>
                <w:color w:val="auto"/>
              </w:rPr>
              <w:t>(541)</w:t>
            </w:r>
          </w:p>
        </w:tc>
        <w:tc>
          <w:tcPr>
            <w:tcW w:w="68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1"/>
                <w:szCs w:val="21"/>
                <w:color w:val="auto"/>
              </w:rPr>
              <w:t>(504)</w:t>
            </w:r>
          </w:p>
        </w:tc>
      </w:tr>
      <w:tr>
        <w:trPr>
          <w:trHeight w:val="237"/>
        </w:trPr>
        <w:tc>
          <w:tcPr>
            <w:tcW w:w="66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60" w:type="dxa"/>
            <w:vAlign w:val="bottom"/>
            <w:shd w:val="clear" w:color="auto" w:fill="CCEEFF"/>
          </w:tcPr>
          <w:p>
            <w:pPr>
              <w:jc w:val="right"/>
              <w:ind w:right="16"/>
              <w:spacing w:after="0" w:line="237" w:lineRule="exact"/>
              <w:rPr>
                <w:sz w:val="20"/>
                <w:szCs w:val="20"/>
                <w:color w:val="auto"/>
              </w:rPr>
            </w:pPr>
            <w:r>
              <w:rPr>
                <w:rFonts w:ascii="Arial" w:cs="Arial" w:eastAsia="Arial" w:hAnsi="Arial"/>
                <w:sz w:val="21"/>
                <w:szCs w:val="21"/>
                <w:color w:val="auto"/>
              </w:rPr>
              <w:t>520</w:t>
            </w:r>
          </w:p>
        </w:tc>
        <w:tc>
          <w:tcPr>
            <w:tcW w:w="6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line="237" w:lineRule="exact"/>
              <w:rPr>
                <w:sz w:val="20"/>
                <w:szCs w:val="20"/>
                <w:color w:val="auto"/>
              </w:rPr>
            </w:pPr>
            <w:r>
              <w:rPr>
                <w:rFonts w:ascii="Arial" w:cs="Arial" w:eastAsia="Arial" w:hAnsi="Arial"/>
                <w:sz w:val="21"/>
                <w:szCs w:val="21"/>
                <w:color w:val="auto"/>
              </w:rPr>
              <w:t>555</w:t>
            </w:r>
          </w:p>
        </w:tc>
      </w:tr>
      <w:tr>
        <w:trPr>
          <w:trHeight w:val="243"/>
        </w:trPr>
        <w:tc>
          <w:tcPr>
            <w:tcW w:w="6660" w:type="dxa"/>
            <w:vAlign w:val="bottom"/>
            <w:tcBorders>
              <w:bottom w:val="single" w:sz="8" w:color="CCEEFF"/>
            </w:tcBorders>
          </w:tcPr>
          <w:p>
            <w:pPr>
              <w:spacing w:after="0"/>
              <w:rPr>
                <w:sz w:val="20"/>
                <w:szCs w:val="20"/>
                <w:color w:val="auto"/>
              </w:rPr>
            </w:pPr>
            <w:r>
              <w:rPr>
                <w:rFonts w:ascii="Arial" w:cs="Arial" w:eastAsia="Arial" w:hAnsi="Arial"/>
                <w:sz w:val="21"/>
                <w:szCs w:val="21"/>
                <w:color w:val="auto"/>
              </w:rPr>
              <w:t>Non-amortizing intangibles</w:t>
            </w:r>
          </w:p>
        </w:tc>
        <w:tc>
          <w:tcPr>
            <w:tcW w:w="4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16"/>
              <w:spacing w:after="0"/>
              <w:rPr>
                <w:sz w:val="20"/>
                <w:szCs w:val="20"/>
                <w:color w:val="auto"/>
              </w:rPr>
            </w:pPr>
            <w:r>
              <w:rPr>
                <w:rFonts w:ascii="Arial" w:cs="Arial" w:eastAsia="Arial" w:hAnsi="Arial"/>
                <w:sz w:val="21"/>
                <w:szCs w:val="21"/>
                <w:color w:val="auto"/>
              </w:rPr>
              <w:t>52,331</w:t>
            </w:r>
          </w:p>
        </w:tc>
        <w:tc>
          <w:tcPr>
            <w:tcW w:w="68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1"/>
                <w:szCs w:val="21"/>
                <w:color w:val="auto"/>
              </w:rPr>
              <w:t>47,841</w:t>
            </w:r>
          </w:p>
        </w:tc>
      </w:tr>
      <w:tr>
        <w:trPr>
          <w:trHeight w:val="237"/>
        </w:trPr>
        <w:tc>
          <w:tcPr>
            <w:tcW w:w="666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56"/>
              <w:spacing w:after="0" w:line="237" w:lineRule="exact"/>
              <w:rPr>
                <w:sz w:val="20"/>
                <w:szCs w:val="20"/>
                <w:color w:val="auto"/>
              </w:rPr>
            </w:pPr>
            <w:r>
              <w:rPr>
                <w:rFonts w:ascii="Arial" w:cs="Arial" w:eastAsia="Arial" w:hAnsi="Arial"/>
                <w:sz w:val="21"/>
                <w:szCs w:val="21"/>
                <w:color w:val="auto"/>
              </w:rPr>
              <w:t>$</w:t>
            </w:r>
          </w:p>
        </w:tc>
        <w:tc>
          <w:tcPr>
            <w:tcW w:w="1260" w:type="dxa"/>
            <w:vAlign w:val="bottom"/>
            <w:tcBorders>
              <w:bottom w:val="single" w:sz="8" w:color="auto"/>
            </w:tcBorders>
            <w:shd w:val="clear" w:color="auto" w:fill="CCEEFF"/>
          </w:tcPr>
          <w:p>
            <w:pPr>
              <w:jc w:val="right"/>
              <w:ind w:right="16"/>
              <w:spacing w:after="0" w:line="237" w:lineRule="exact"/>
              <w:rPr>
                <w:sz w:val="20"/>
                <w:szCs w:val="20"/>
                <w:color w:val="auto"/>
              </w:rPr>
            </w:pPr>
            <w:r>
              <w:rPr>
                <w:rFonts w:ascii="Arial" w:cs="Arial" w:eastAsia="Arial" w:hAnsi="Arial"/>
                <w:sz w:val="21"/>
                <w:szCs w:val="21"/>
                <w:color w:val="auto"/>
              </w:rPr>
              <w:t>52,851</w:t>
            </w:r>
          </w:p>
        </w:tc>
        <w:tc>
          <w:tcPr>
            <w:tcW w:w="6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56"/>
              <w:spacing w:after="0" w:line="237" w:lineRule="exact"/>
              <w:rPr>
                <w:sz w:val="20"/>
                <w:szCs w:val="20"/>
                <w:color w:val="auto"/>
              </w:rPr>
            </w:pPr>
            <w:r>
              <w:rPr>
                <w:rFonts w:ascii="Arial" w:cs="Arial" w:eastAsia="Arial" w:hAnsi="Arial"/>
                <w:sz w:val="21"/>
                <w:szCs w:val="21"/>
                <w:color w:val="auto"/>
              </w:rPr>
              <w:t>$</w:t>
            </w:r>
          </w:p>
        </w:tc>
        <w:tc>
          <w:tcPr>
            <w:tcW w:w="1240" w:type="dxa"/>
            <w:vAlign w:val="bottom"/>
            <w:tcBorders>
              <w:bottom w:val="single" w:sz="8" w:color="auto"/>
            </w:tcBorders>
            <w:shd w:val="clear" w:color="auto" w:fill="CCEEFF"/>
          </w:tcPr>
          <w:p>
            <w:pPr>
              <w:jc w:val="right"/>
              <w:spacing w:after="0" w:line="237" w:lineRule="exact"/>
              <w:rPr>
                <w:sz w:val="20"/>
                <w:szCs w:val="20"/>
                <w:color w:val="auto"/>
              </w:rPr>
            </w:pPr>
            <w:r>
              <w:rPr>
                <w:rFonts w:ascii="Arial" w:cs="Arial" w:eastAsia="Arial" w:hAnsi="Arial"/>
                <w:sz w:val="21"/>
                <w:szCs w:val="21"/>
                <w:color w:val="auto"/>
              </w:rPr>
              <w:t>48,396</w:t>
            </w:r>
          </w:p>
        </w:tc>
      </w:tr>
      <w:tr>
        <w:trPr>
          <w:trHeight w:val="20"/>
        </w:trPr>
        <w:tc>
          <w:tcPr>
            <w:tcW w:w="66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22" w:lineRule="exact"/>
        <w:rPr>
          <w:sz w:val="20"/>
          <w:szCs w:val="20"/>
          <w:color w:val="auto"/>
        </w:rPr>
      </w:pPr>
    </w:p>
    <w:p>
      <w:pPr>
        <w:jc w:val="both"/>
        <w:ind w:right="40" w:firstLine="648"/>
        <w:spacing w:after="0" w:line="287" w:lineRule="auto"/>
        <w:rPr>
          <w:sz w:val="20"/>
          <w:szCs w:val="20"/>
          <w:color w:val="auto"/>
        </w:rPr>
      </w:pPr>
      <w:r>
        <w:rPr>
          <w:rFonts w:ascii="Arial" w:cs="Arial" w:eastAsia="Arial" w:hAnsi="Arial"/>
          <w:sz w:val="19"/>
          <w:szCs w:val="19"/>
          <w:color w:val="auto"/>
        </w:rPr>
        <w:t>All amortizing intangibles have been assigned an estimated useful life and such intangibles are amortized on a straight-line basis over the number of years that approximate their respective useful lives ranging from one to 25 years (weighted-average life of 20 years). Amortization expense was $0.01 million and $0.02 million for the three-months ended September 30, 2012 and 2011, respectively. Amortization expense was $0.04 million for both the nine-months ended September 30, 2012 and 2011.</w:t>
      </w:r>
    </w:p>
    <w:p>
      <w:pPr>
        <w:spacing w:after="0" w:line="170" w:lineRule="exact"/>
        <w:rPr>
          <w:sz w:val="20"/>
          <w:szCs w:val="20"/>
          <w:color w:val="auto"/>
        </w:rPr>
      </w:pPr>
    </w:p>
    <w:p>
      <w:pPr>
        <w:ind w:left="660" w:hanging="652"/>
        <w:spacing w:after="0"/>
        <w:tabs>
          <w:tab w:leader="none" w:pos="660" w:val="left"/>
        </w:tabs>
        <w:numPr>
          <w:ilvl w:val="0"/>
          <w:numId w:val="10"/>
        </w:numPr>
        <w:rPr>
          <w:rFonts w:ascii="Arial" w:cs="Arial" w:eastAsia="Arial" w:hAnsi="Arial"/>
          <w:sz w:val="22"/>
          <w:szCs w:val="22"/>
          <w:color w:val="auto"/>
        </w:rPr>
      </w:pPr>
      <w:r>
        <w:rPr>
          <w:rFonts w:ascii="Arial" w:cs="Arial" w:eastAsia="Arial" w:hAnsi="Arial"/>
          <w:sz w:val="22"/>
          <w:szCs w:val="22"/>
          <w:color w:val="auto"/>
        </w:rPr>
        <w:t>DISTRIBUTION AGREEMENTS</w:t>
      </w:r>
    </w:p>
    <w:p>
      <w:pPr>
        <w:spacing w:after="0" w:line="233" w:lineRule="exact"/>
        <w:rPr>
          <w:sz w:val="20"/>
          <w:szCs w:val="20"/>
          <w:color w:val="auto"/>
        </w:rPr>
      </w:pPr>
    </w:p>
    <w:p>
      <w:pPr>
        <w:jc w:val="both"/>
        <w:ind w:right="40" w:firstLine="648"/>
        <w:spacing w:after="0" w:line="235" w:lineRule="auto"/>
        <w:rPr>
          <w:sz w:val="20"/>
          <w:szCs w:val="20"/>
          <w:color w:val="auto"/>
        </w:rPr>
      </w:pPr>
      <w:r>
        <w:rPr>
          <w:rFonts w:ascii="Arial" w:cs="Arial" w:eastAsia="Arial" w:hAnsi="Arial"/>
          <w:sz w:val="22"/>
          <w:szCs w:val="22"/>
          <w:color w:val="auto"/>
        </w:rPr>
        <w:t>Amounts received pursuant to new and/or amended distribution agreements entered into with certain distributors, relating to the costs associated with terminating agreements with the Company’s prior distributors, have been accounted for as deferred revenue in the accompanying condensed consolidated balance sheets and are recognized as revenue ratably over the anticipated life of the respective distribution agreement, generally 20 years. Revenue recognized was $1.9 million for both the three-months ended September 30, 2012 and 2011. Revenue recognized was $6.3 million and $5.8 million for the nine-months ended September 30, 2012 and 2011, respectively.</w:t>
      </w:r>
    </w:p>
    <w:p>
      <w:pPr>
        <w:sectPr>
          <w:pgSz w:w="11900" w:h="16838" w:orient="portrait"/>
          <w:cols w:equalWidth="0" w:num="1">
            <w:col w:w="11460"/>
          </w:cols>
          <w:pgMar w:left="240" w:top="126" w:right="199" w:bottom="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MONSTER BEVERAGE CORPORATION AND SUBSIDIARIES</w:t>
      </w:r>
    </w:p>
    <w:p>
      <w:pPr>
        <w:spacing w:after="0" w:line="14" w:lineRule="exact"/>
        <w:rPr>
          <w:sz w:val="20"/>
          <w:szCs w:val="20"/>
          <w:color w:val="auto"/>
        </w:rPr>
      </w:pPr>
    </w:p>
    <w:p>
      <w:pPr>
        <w:ind w:right="4340"/>
        <w:spacing w:after="0" w:line="308"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71" w:lineRule="exact"/>
        <w:rPr>
          <w:sz w:val="20"/>
          <w:szCs w:val="20"/>
          <w:color w:val="auto"/>
        </w:rPr>
      </w:pPr>
    </w:p>
    <w:p>
      <w:pPr>
        <w:ind w:left="660" w:hanging="652"/>
        <w:spacing w:after="0"/>
        <w:tabs>
          <w:tab w:leader="none" w:pos="660" w:val="left"/>
        </w:tabs>
        <w:numPr>
          <w:ilvl w:val="0"/>
          <w:numId w:val="11"/>
        </w:numPr>
        <w:rPr>
          <w:rFonts w:ascii="Arial" w:cs="Arial" w:eastAsia="Arial" w:hAnsi="Arial"/>
          <w:sz w:val="22"/>
          <w:szCs w:val="22"/>
          <w:color w:val="auto"/>
        </w:rPr>
      </w:pPr>
      <w:r>
        <w:rPr>
          <w:rFonts w:ascii="Arial" w:cs="Arial" w:eastAsia="Arial" w:hAnsi="Arial"/>
          <w:sz w:val="22"/>
          <w:szCs w:val="22"/>
          <w:color w:val="auto"/>
        </w:rPr>
        <w:t>COMMITMENTS AND CONTINGENCIES</w:t>
      </w:r>
    </w:p>
    <w:p>
      <w:pPr>
        <w:spacing w:after="0" w:line="233"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The Company had purchase commitments aggregating approximately $66.2 million at September 30, 2012, which represented commitments made by the Company and its subsidiaries to various suppliers of raw materials for the production of its products. These obligations vary in terms, but are generally satisfied within one year.</w:t>
      </w:r>
    </w:p>
    <w:p>
      <w:pPr>
        <w:spacing w:after="0" w:line="213" w:lineRule="exact"/>
        <w:rPr>
          <w:sz w:val="20"/>
          <w:szCs w:val="20"/>
          <w:color w:val="auto"/>
        </w:rPr>
      </w:pPr>
    </w:p>
    <w:p>
      <w:pPr>
        <w:jc w:val="both"/>
        <w:ind w:right="20" w:firstLine="648"/>
        <w:spacing w:after="0" w:line="251" w:lineRule="auto"/>
        <w:rPr>
          <w:sz w:val="20"/>
          <w:szCs w:val="20"/>
          <w:color w:val="auto"/>
        </w:rPr>
      </w:pPr>
      <w:r>
        <w:rPr>
          <w:rFonts w:ascii="Arial" w:cs="Arial" w:eastAsia="Arial" w:hAnsi="Arial"/>
          <w:sz w:val="22"/>
          <w:szCs w:val="22"/>
          <w:color w:val="auto"/>
        </w:rPr>
        <w:t>The Company had contractual obligations aggregating approximately $72.3 million at September 30, 2012, which related primarily to sponsorships and other marketing activities.</w:t>
      </w:r>
    </w:p>
    <w:p>
      <w:pPr>
        <w:spacing w:after="0" w:line="200"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The Company had operating lease commitments aggregating approximately $15.8 million at September 30, 2012, which related primarily to warehouse and office space.</w:t>
      </w:r>
    </w:p>
    <w:p>
      <w:pPr>
        <w:spacing w:after="0" w:line="20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9"/>
          <w:szCs w:val="19"/>
          <w:color w:val="auto"/>
        </w:rPr>
        <w:t>In March 2012, the Company acquired an approximately 75,425 square foot, free standing, three-story office building, including the real property thereunder and improvements thereon, located in Corona, CA (the “March 2012 Property”) for a purchase price of $9.7 million. In October 2012, the Company acquired an approximately 141,000 square foot, free standing, six-story office building, including the real property thereunder and improvements thereon, located in Corona, CA (the “October 2012 Property”) adjacent to the March 2012 Property, for a purchase price of $18.8 million. The Company intends to complete the necessary improvements to the October 2012 Property and occupy the building as the Company’s new corporate headquarters at some time in the future. The October 2012 Property should more effectively address the future growth needs of the Company.</w:t>
      </w:r>
    </w:p>
    <w:p>
      <w:pPr>
        <w:spacing w:after="0" w:line="18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9"/>
          <w:szCs w:val="19"/>
          <w:i w:val="1"/>
          <w:iCs w:val="1"/>
          <w:color w:val="auto"/>
        </w:rPr>
        <w:t xml:space="preserve">Litigation </w:t>
      </w:r>
      <w:r>
        <w:rPr>
          <w:rFonts w:ascii="Arial" w:cs="Arial" w:eastAsia="Arial" w:hAnsi="Arial"/>
          <w:sz w:val="19"/>
          <w:szCs w:val="19"/>
          <w:color w:val="auto"/>
        </w:rPr>
        <w:t>— In September 2006, Christopher Chavez purporting to act on behalf of himself and a certain class of</w:t>
      </w:r>
      <w:r>
        <w:rPr>
          <w:rFonts w:ascii="Arial" w:cs="Arial" w:eastAsia="Arial" w:hAnsi="Arial"/>
          <w:sz w:val="19"/>
          <w:szCs w:val="19"/>
          <w:i w:val="1"/>
          <w:iCs w:val="1"/>
          <w:color w:val="auto"/>
        </w:rPr>
        <w:t xml:space="preserve"> </w:t>
      </w:r>
      <w:r>
        <w:rPr>
          <w:rFonts w:ascii="Arial" w:cs="Arial" w:eastAsia="Arial" w:hAnsi="Arial"/>
          <w:sz w:val="19"/>
          <w:szCs w:val="19"/>
          <w:color w:val="auto"/>
        </w:rPr>
        <w:t>consumers filed an action in the Superior Court of the State of California, County of San Francisco, against the Company and its subsidiaries for unfair business practices, false advertising, violation of California Consumers Legal Remedies Act (“CLRA”), fraud, deceit and/or misrepresentation alleging that the Company misleadingly labels its Blue Sky® beverages as manufactured and canned/bottled wholly in Santa Fe, New Mexico. Defendants removed this Superior Court action to the United States District Court for the Northern District of California (the “District Court”) under the Class Action Fairness Act and filed motions for dismissal or transfer. On June 11, 2007, the District Court granted the Company’s motion to dismiss Chavez’s complaint with prejudice. On June 23, 2009, the United States Court of Appeals for the Ninth Circuit (“Ninth Circuit”) filed a memorandum opinion reversing the decision of the District Court and remanded the case to the District Court for further proceedings. The Company filed a motion to dismiss the CLRA claims; the plaintiff filed a motion for a decision on a preemption issue; and the plaintiff filed a motion for class certification. On June 18, 2010, the District Court entered an order certifying the class, ruled that there was no preemption by federal law, and denied the Company’s motion to dismiss. The class that the District Court certified initially consists of all persons who purchased any beverage bearing the Blue Sky mark or brand in the United States at any time between May 16, 2002 and June 30, 2006. On September 9, 2010, the District Court approved the form of the class notice and its distribution plan; and set an opt-out date of December 10, 2010. On January 27, 2012, the parties entered into a settlement agreement on terms acceptable to the Company. On June 1, 2012, the District Court granted final approval of the settlement and entered judgment. On June 26, 2012,</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MONSTER BEVERAGE CORPORATION AND SUBSIDIARIES</w:t>
      </w:r>
    </w:p>
    <w:p>
      <w:pPr>
        <w:spacing w:after="0" w:line="14" w:lineRule="exact"/>
        <w:rPr>
          <w:sz w:val="20"/>
          <w:szCs w:val="20"/>
          <w:color w:val="auto"/>
        </w:rPr>
      </w:pPr>
    </w:p>
    <w:p>
      <w:pPr>
        <w:ind w:right="4340"/>
        <w:spacing w:after="0" w:line="308"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85" w:lineRule="exact"/>
        <w:rPr>
          <w:sz w:val="20"/>
          <w:szCs w:val="20"/>
          <w:color w:val="auto"/>
        </w:rPr>
      </w:pPr>
    </w:p>
    <w:p>
      <w:pPr>
        <w:jc w:val="both"/>
        <w:spacing w:after="0"/>
        <w:rPr>
          <w:sz w:val="20"/>
          <w:szCs w:val="20"/>
          <w:color w:val="auto"/>
        </w:rPr>
      </w:pPr>
      <w:r>
        <w:rPr>
          <w:rFonts w:ascii="Arial" w:cs="Arial" w:eastAsia="Arial" w:hAnsi="Arial"/>
          <w:sz w:val="22"/>
          <w:szCs w:val="22"/>
          <w:color w:val="auto"/>
        </w:rPr>
        <w:t>an objector to the settlement filed a notice appealing the District Court’s judgment, which is now pending in the Ninth Circuit Court of Appeals. The Company does not believe that the settlement or the pending appeal will have a material adverse effect on the Company’s financial position or results of operations.</w:t>
      </w:r>
    </w:p>
    <w:p>
      <w:pPr>
        <w:spacing w:after="0" w:line="213"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9"/>
          <w:szCs w:val="19"/>
          <w:color w:val="auto"/>
        </w:rPr>
        <w:t>In May 2009, Avraham Wellman, purporting to act on behalf of himself and a class of consumers in Canada, filed a putative class action in the Ontario Superior Court of Justice, in the City of Toronto, Ontario, Canada, against the Company and its former Canadian distributor, Pepsi-Cola Canada Ltd., as defendants. The plaintiff alleges that the defendants misleadingly packaged and labeled Monster Energy® products in Canada by not including sufficiently specific statements with respect to contra-indications and/or adverse reactions associated with the consumption of the energy drink products. The plaintiff’s claims against the defendants are for negligence, unjust enrichment, and making misleading/false representations in violation of the Competition Act (Canada), the Food and Drugs Act (Canada) and the Consumer Protection Act, 2002 (Ontario). The plaintiff claims general damages on behalf of the putative class in the amount of CDN$20 million, together with punitive damages of CDN$5 million, plus legal costs and interest. The plaintiff’s certification motion materials have not yet been filed. The Company believes that any such</w:t>
      </w:r>
    </w:p>
    <w:p>
      <w:pPr>
        <w:sectPr>
          <w:pgSz w:w="11900" w:h="16839" w:orient="portrait"/>
          <w:cols w:equalWidth="0" w:num="1">
            <w:col w:w="11420"/>
          </w:cols>
          <w:pgMar w:left="240" w:top="125" w:right="239" w:bottom="0" w:gutter="0" w:footer="0" w:header="0"/>
        </w:sectPr>
      </w:pPr>
    </w:p>
    <w:bookmarkStart w:id="12" w:name="page13"/>
    <w:bookmarkEnd w:id="12"/>
    <w:p>
      <w:pPr>
        <w:jc w:val="both"/>
        <w:spacing w:after="0" w:line="298" w:lineRule="auto"/>
        <w:rPr>
          <w:sz w:val="20"/>
          <w:szCs w:val="20"/>
          <w:color w:val="auto"/>
        </w:rPr>
      </w:pPr>
      <w:r>
        <w:rPr>
          <w:rFonts w:ascii="Arial" w:cs="Arial" w:eastAsia="Arial" w:hAnsi="Arial"/>
          <w:sz w:val="19"/>
          <w:szCs w:val="19"/>
          <w:color w:val="auto"/>
        </w:rPr>
        <w:t>damages, if awarded, would not have a material adverse effect on the Company’s financial position or results of operations. In accordance with class action practices in Ontario, the Company will not file an answer to the complaint until after the determination of the certification motion. The Company believes that the plaintiff’s complaint is without merit and plans a vigorous defense.</w:t>
      </w:r>
    </w:p>
    <w:p>
      <w:pPr>
        <w:spacing w:after="0" w:line="159"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1"/>
          <w:szCs w:val="21"/>
          <w:color w:val="auto"/>
        </w:rPr>
        <w:t>On October 17, 2012, Wendy Crossland and Richard Fournier filed a lawsuit in the Superior Court of the State of California, County of Riverside, against the Company claiming that the death of their 14 year old daughter (Anais Fournier) was caused by her consumption of two 24-ounce Monster Energy® drinks over the course of two days in December 2011. The plaintiffs allege strict product liability, negligence, fraudulent concealment, breach of implied warranties and wrongful death. The plaintiffs claim general damages in excess of $25,000 and punitive damages. The Company believes that the plaintiffs’ complaint is without merit and plans a vigorous defense. The Company also believes that any such damages, if awarded, would not have a material adverse effect on the Company’s financial position or results of operations.</w:t>
      </w:r>
    </w:p>
    <w:p>
      <w:pPr>
        <w:spacing w:after="0" w:line="205"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i w:val="1"/>
          <w:iCs w:val="1"/>
          <w:color w:val="auto"/>
        </w:rPr>
        <w:t xml:space="preserve">Securities Litigation </w:t>
      </w:r>
      <w:r>
        <w:rPr>
          <w:rFonts w:ascii="Arial" w:cs="Arial" w:eastAsia="Arial" w:hAnsi="Arial"/>
          <w:sz w:val="22"/>
          <w:szCs w:val="22"/>
          <w:color w:val="auto"/>
        </w:rPr>
        <w:t>— On September 11, 2008, a federal securities class action complaint styled</w:t>
      </w:r>
      <w:r>
        <w:rPr>
          <w:rFonts w:ascii="Arial" w:cs="Arial" w:eastAsia="Arial" w:hAnsi="Arial"/>
          <w:sz w:val="22"/>
          <w:szCs w:val="22"/>
          <w:i w:val="1"/>
          <w:iCs w:val="1"/>
          <w:color w:val="auto"/>
        </w:rPr>
        <w:t xml:space="preserve"> Cunha v. Hansen Natural Corp., et al. </w:t>
      </w:r>
      <w:r>
        <w:rPr>
          <w:rFonts w:ascii="Arial" w:cs="Arial" w:eastAsia="Arial" w:hAnsi="Arial"/>
          <w:sz w:val="22"/>
          <w:szCs w:val="22"/>
          <w:color w:val="auto"/>
        </w:rPr>
        <w:t>was filed in the United States District Court for the Central District of California (the “District Court”). On</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September 17, 2008, a second federal securities class action complaint styled </w:t>
      </w:r>
      <w:r>
        <w:rPr>
          <w:rFonts w:ascii="Arial" w:cs="Arial" w:eastAsia="Arial" w:hAnsi="Arial"/>
          <w:sz w:val="22"/>
          <w:szCs w:val="22"/>
          <w:i w:val="1"/>
          <w:iCs w:val="1"/>
          <w:color w:val="auto"/>
        </w:rPr>
        <w:t>Brown v. Hansen Natural Corp., et al.</w:t>
      </w:r>
      <w:r>
        <w:rPr>
          <w:rFonts w:ascii="Arial" w:cs="Arial" w:eastAsia="Arial" w:hAnsi="Arial"/>
          <w:sz w:val="22"/>
          <w:szCs w:val="22"/>
          <w:color w:val="auto"/>
        </w:rPr>
        <w:t xml:space="preserve"> was also filed in the District Court.</w:t>
      </w:r>
    </w:p>
    <w:p>
      <w:pPr>
        <w:spacing w:after="0" w:line="212"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On July 14, 2009, the District Court entered an order consolidating the actions and appointing lead counsel and the Structural Ironworkers Local Union #1 Pension Fund as lead plaintiff. On August 28, 2009, lead plaintiff filed a Consolidated Complaint for Violations of Federal Securities Laws (the “Consolidated Class Action Complaint”). The Consolidated Class Action Complaint purported to be brought on behalf of a class of purchasers of the Company’s stock during the period November 9, 2006 through November 8, 2007 (the “Class Period”). It named as defendants the Company, Rodney C. Sacks, Hilton H. Schlosberg, and Thomas J. Kelly. Plaintiff principally alleged</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MONSTER BEVERAGE CORPORATION AND SUBSIDIARIES</w:t>
      </w:r>
    </w:p>
    <w:p>
      <w:pPr>
        <w:spacing w:after="0" w:line="14" w:lineRule="exact"/>
        <w:rPr>
          <w:sz w:val="20"/>
          <w:szCs w:val="20"/>
          <w:color w:val="auto"/>
        </w:rPr>
      </w:pPr>
    </w:p>
    <w:p>
      <w:pPr>
        <w:ind w:right="4340"/>
        <w:spacing w:after="0" w:line="308"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71"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that, during the Class Period, the defendants made false and misleading statements relating to the Company’s distribution coordination agreements with Anheuser-Busch, Inc. (“AB”) and its sales of “Allied” energy drink lines, and engaged in sales of shares in the Company on the basis of material non-public information. Plaintiff also alleged that the Company’s financial statements for the second quarter of 2007 did not include certain promotional expenses. The Consolidated Class Action Complaint alleged violations of Sections 10(b) and 20(a) of the Securities Exchange Act of 1934, as amended (the “Exchange Act”) and Rule 10b-5 promulgated thereunder, and sought an unspecified amount of damages.</w:t>
      </w:r>
    </w:p>
    <w:p>
      <w:pPr>
        <w:spacing w:after="0" w:line="204"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On November 16, 2009, the defendants filed their motion to dismiss the Consolidated Class Action Complaint pursuant to Federal Rules of Civil Procedure 12(b)(6) and 9(b), as well as the Private Securities Litigation Reform Act. On July 12, 2010, following a hearing, the District Court granted the defendants’ motion to dismiss the Consolidated Class Action Complaint, with leave to amend, on the grounds, among others, that it failed to specify which statements plaintiff claimed were false or misleading, failed adequately to allege that certain statements were actionable or false or misleading, and failed adequately to demonstrate that defendants acted with scienter.</w:t>
      </w:r>
    </w:p>
    <w:p>
      <w:pPr>
        <w:spacing w:after="0" w:line="21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9"/>
          <w:szCs w:val="19"/>
          <w:color w:val="auto"/>
        </w:rPr>
        <w:t>On August 27, 2010, plaintiff filed a Consolidated Amended Class Action Complaint for Violations of Federal Securities Laws (the “Amended Class Action Complaint”). While similar in many respects to the Consolidated Class Action Complaint, the Amended Class Action Complaint drops certain of the allegations set forth in the Consolidated Class Action Complaint and makes certain new allegations, including that the Company engaged in “channel stuffing” during the Class Period that rendered false or misleading the Company’s reported sales results and certain other statements made by the defendants. In addition, it no longer names Thomas J. Kelly as a defendant. The Amended Class Action Complaint continues to allege violations of Sections 10(b) and 20(a) of the Exchange Act and Rule 10b-5 promulgated thereunder, and seeks an unspecified amount of damages.</w:t>
      </w:r>
    </w:p>
    <w:p>
      <w:pPr>
        <w:spacing w:after="0" w:line="180"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9"/>
          <w:szCs w:val="19"/>
          <w:color w:val="auto"/>
        </w:rPr>
        <w:t>Defendants filed a motion to dismiss the Amended Class Action Complaint on November 8, 2010. At a hearing on defendants’ motion to dismiss the Amended Class Action Complaint held on May 12, 2011, the District Court issued a tentative ruling granting the motion to dismiss as to certain of plaintiff’s claims, including plaintiff’s allegations relating to promotional expenses, but denying the motion to dismiss with regard to the majority of plaintiff’s claims, including plaintiff’s channel stuffing allegations. On September 4, 2012, the District Court issued a Notice of Ruling (the “Order”) adopting the May 12, 2011 tentative ruling as its final ruling on defendants’ motion to dismiss. On October 22, 2012, the District Court denied defendants’ motion for reconsideration of the Order or certification of an interlocutory appeal from the Order. The District Court has set a schedule for briefing and discovery in connection with plaintiff’s motion for class certification, and has scheduled a hearing on that motion for April 1, 2013. Fact discovery in the action has been stayed pending resolution of the class certification motion.</w:t>
      </w:r>
    </w:p>
    <w:p>
      <w:pPr>
        <w:spacing w:after="0" w:line="186" w:lineRule="exact"/>
        <w:rPr>
          <w:sz w:val="20"/>
          <w:szCs w:val="20"/>
          <w:color w:val="auto"/>
        </w:rPr>
      </w:pPr>
    </w:p>
    <w:p>
      <w:pPr>
        <w:jc w:val="both"/>
        <w:ind w:firstLine="648"/>
        <w:spacing w:after="0" w:line="328" w:lineRule="auto"/>
        <w:rPr>
          <w:sz w:val="20"/>
          <w:szCs w:val="20"/>
          <w:color w:val="auto"/>
        </w:rPr>
      </w:pPr>
      <w:r>
        <w:rPr>
          <w:rFonts w:ascii="Arial" w:cs="Arial" w:eastAsia="Arial" w:hAnsi="Arial"/>
          <w:sz w:val="19"/>
          <w:szCs w:val="19"/>
          <w:color w:val="auto"/>
        </w:rPr>
        <w:t>The Amended Class Action Complaint seeks an unspecified amount of damages. As a result, the amount or range of reasonably possible litigation losses to which the Company is exposed cannot be estimated. Although the ultimate outcome of this</w:t>
      </w:r>
    </w:p>
    <w:p>
      <w:pPr>
        <w:sectPr>
          <w:pgSz w:w="11900" w:h="16838" w:orient="portrait"/>
          <w:cols w:equalWidth="0" w:num="1">
            <w:col w:w="11420"/>
          </w:cols>
          <w:pgMar w:left="240" w:top="118" w:right="239" w:bottom="0" w:gutter="0" w:footer="0" w:header="0"/>
        </w:sectPr>
      </w:pPr>
    </w:p>
    <w:bookmarkStart w:id="13" w:name="page14"/>
    <w:bookmarkEnd w:id="13"/>
    <w:p>
      <w:pPr>
        <w:spacing w:after="0" w:line="5"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action cannot be determined with certainty, the Company believes that the allegations in the Amended Class Action Complaint are without merit. The Company intends to vigorously defend against this lawsuit.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MONSTER BEVERAGE CORPORATION AND SUBSIDIARIES</w:t>
      </w:r>
    </w:p>
    <w:p>
      <w:pPr>
        <w:spacing w:after="0" w:line="14" w:lineRule="exact"/>
        <w:rPr>
          <w:sz w:val="20"/>
          <w:szCs w:val="20"/>
          <w:color w:val="auto"/>
        </w:rPr>
      </w:pPr>
    </w:p>
    <w:p>
      <w:pPr>
        <w:ind w:right="4340"/>
        <w:spacing w:after="0" w:line="308"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71"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9"/>
          <w:szCs w:val="19"/>
          <w:i w:val="1"/>
          <w:iCs w:val="1"/>
          <w:color w:val="auto"/>
        </w:rPr>
        <w:t xml:space="preserve">State Attorney General Inquiry </w:t>
      </w:r>
      <w:r>
        <w:rPr>
          <w:rFonts w:ascii="Arial" w:cs="Arial" w:eastAsia="Arial" w:hAnsi="Arial"/>
          <w:sz w:val="19"/>
          <w:szCs w:val="19"/>
          <w:color w:val="auto"/>
        </w:rPr>
        <w:t>— In July 2012, the Company received a subpoena from a state attorney general in</w:t>
      </w:r>
      <w:r>
        <w:rPr>
          <w:rFonts w:ascii="Arial" w:cs="Arial" w:eastAsia="Arial" w:hAnsi="Arial"/>
          <w:sz w:val="19"/>
          <w:szCs w:val="19"/>
          <w:i w:val="1"/>
          <w:iCs w:val="1"/>
          <w:color w:val="auto"/>
        </w:rPr>
        <w:t xml:space="preserve"> </w:t>
      </w:r>
      <w:r>
        <w:rPr>
          <w:rFonts w:ascii="Arial" w:cs="Arial" w:eastAsia="Arial" w:hAnsi="Arial"/>
          <w:sz w:val="19"/>
          <w:szCs w:val="19"/>
          <w:color w:val="auto"/>
        </w:rPr>
        <w:t>connection with an investigation concerning the Company’s advertising, marketing, promotion, ingredients, usage and sale of its Monster Energy® brand of energy drinks. As the investigation is in an early stage, it is unknown what, if any, action the state attorney general may take against the Company, the relief which may be sought in the event of any such proceeding or whether such proceeding could have a material adverse effect on the Company’s business, financial condition or results of operations.</w:t>
      </w:r>
    </w:p>
    <w:p>
      <w:pPr>
        <w:spacing w:after="0" w:line="175"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i w:val="1"/>
          <w:iCs w:val="1"/>
          <w:color w:val="auto"/>
        </w:rPr>
        <w:t xml:space="preserve">Derivative Litigation </w:t>
      </w:r>
      <w:r>
        <w:rPr>
          <w:rFonts w:ascii="Arial" w:cs="Arial" w:eastAsia="Arial" w:hAnsi="Arial"/>
          <w:sz w:val="22"/>
          <w:szCs w:val="22"/>
          <w:color w:val="auto"/>
        </w:rPr>
        <w:t>— On September 13, 2012, two derivative complaints were filed in California Superior Courts,</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purportedly on behalf of the Company, by shareholders of the Company who made no prior demand on the Company’s Board of Directors. One action, in the Superior Court for the County of Riverside, is styled </w:t>
      </w:r>
      <w:r>
        <w:rPr>
          <w:rFonts w:ascii="Arial" w:cs="Arial" w:eastAsia="Arial" w:hAnsi="Arial"/>
          <w:sz w:val="22"/>
          <w:szCs w:val="22"/>
          <w:i w:val="1"/>
          <w:iCs w:val="1"/>
          <w:color w:val="auto"/>
        </w:rPr>
        <w:t>Iron Workers District Council of Tennessee</w:t>
      </w:r>
      <w:r>
        <w:rPr>
          <w:rFonts w:ascii="Arial" w:cs="Arial" w:eastAsia="Arial" w:hAnsi="Arial"/>
          <w:sz w:val="22"/>
          <w:szCs w:val="22"/>
          <w:color w:val="auto"/>
        </w:rPr>
        <w:t xml:space="preserve"> </w:t>
      </w:r>
      <w:r>
        <w:rPr>
          <w:rFonts w:ascii="Arial" w:cs="Arial" w:eastAsia="Arial" w:hAnsi="Arial"/>
          <w:sz w:val="22"/>
          <w:szCs w:val="22"/>
          <w:i w:val="1"/>
          <w:iCs w:val="1"/>
          <w:color w:val="auto"/>
        </w:rPr>
        <w:t xml:space="preserve">Valley &amp; Vicinity Pension Plan v. Sacks, et al. </w:t>
      </w:r>
      <w:r>
        <w:rPr>
          <w:rFonts w:ascii="Arial" w:cs="Arial" w:eastAsia="Arial" w:hAnsi="Arial"/>
          <w:sz w:val="22"/>
          <w:szCs w:val="22"/>
          <w:color w:val="auto"/>
        </w:rPr>
        <w:t>The other action, in the Superior Court for the County of Los Angeles, is styled</w:t>
      </w:r>
      <w:r>
        <w:rPr>
          <w:rFonts w:ascii="Arial" w:cs="Arial" w:eastAsia="Arial" w:hAnsi="Arial"/>
          <w:sz w:val="22"/>
          <w:szCs w:val="22"/>
          <w:i w:val="1"/>
          <w:iCs w:val="1"/>
          <w:color w:val="auto"/>
        </w:rPr>
        <w:t xml:space="preserve"> Rumbaugh v. Sacks, et al.</w:t>
      </w:r>
    </w:p>
    <w:p>
      <w:pPr>
        <w:spacing w:after="0" w:line="21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9"/>
          <w:szCs w:val="19"/>
          <w:color w:val="auto"/>
        </w:rPr>
        <w:t xml:space="preserve">The </w:t>
      </w:r>
      <w:r>
        <w:rPr>
          <w:rFonts w:ascii="Arial" w:cs="Arial" w:eastAsia="Arial" w:hAnsi="Arial"/>
          <w:sz w:val="19"/>
          <w:szCs w:val="19"/>
          <w:i w:val="1"/>
          <w:iCs w:val="1"/>
          <w:color w:val="auto"/>
        </w:rPr>
        <w:t>Iron Workers</w:t>
      </w:r>
      <w:r>
        <w:rPr>
          <w:rFonts w:ascii="Arial" w:cs="Arial" w:eastAsia="Arial" w:hAnsi="Arial"/>
          <w:sz w:val="19"/>
          <w:szCs w:val="19"/>
          <w:color w:val="auto"/>
        </w:rPr>
        <w:t xml:space="preserve"> complaint names as defendants certain officers, directors, and employees of the Company, including Sacks, Schlosberg, Harold C. Taber, Jr., Benjamin M. Polk, Norman C. Epstein, Mark S. Vidergauz, Sydney Selati, and Thomas J. Kelly. The </w:t>
      </w:r>
      <w:r>
        <w:rPr>
          <w:rFonts w:ascii="Arial" w:cs="Arial" w:eastAsia="Arial" w:hAnsi="Arial"/>
          <w:sz w:val="19"/>
          <w:szCs w:val="19"/>
          <w:i w:val="1"/>
          <w:iCs w:val="1"/>
          <w:color w:val="auto"/>
        </w:rPr>
        <w:t>Rumbaugh</w:t>
      </w:r>
      <w:r>
        <w:rPr>
          <w:rFonts w:ascii="Arial" w:cs="Arial" w:eastAsia="Arial" w:hAnsi="Arial"/>
          <w:sz w:val="19"/>
          <w:szCs w:val="19"/>
          <w:color w:val="auto"/>
        </w:rPr>
        <w:t xml:space="preserve"> complaint names each of the same individuals as defendants, with the exception of Thomas J. Kelly. The Company is named as a nominal defendant in each action. The factual allegations of the two complaints are substantially similar. Each alleges, among other things, that the Individual Defendants breached their fiduciary duties to the Company by causing the Company to market, advertise, and promote its Monster Energy® brand of energy drinks in a way that has exposed, and will continue to expose, the Company to costly investigations into its compliance with federal and state laws and regulations pertaining to food and beverage advertising. The complaints further allege that, beginning in February 2012, the Individual Defendants further breached their fiduciary duties by making statements in press releases and public filings about the Company’s earnings and financial condition and by failing to disclose that the Company was improperly advertising, marketing, and promoting its Monster Energy® brand of energy drinks. The </w:t>
      </w:r>
      <w:r>
        <w:rPr>
          <w:rFonts w:ascii="Arial" w:cs="Arial" w:eastAsia="Arial" w:hAnsi="Arial"/>
          <w:sz w:val="19"/>
          <w:szCs w:val="19"/>
          <w:i w:val="1"/>
          <w:iCs w:val="1"/>
          <w:color w:val="auto"/>
        </w:rPr>
        <w:t>Iron Workers</w:t>
      </w:r>
      <w:r>
        <w:rPr>
          <w:rFonts w:ascii="Arial" w:cs="Arial" w:eastAsia="Arial" w:hAnsi="Arial"/>
          <w:sz w:val="19"/>
          <w:szCs w:val="19"/>
          <w:color w:val="auto"/>
        </w:rPr>
        <w:t xml:space="preserve"> complaint further alleges that while the Company’s shares were purportedly artificially inflated because of those improper statements, certain defendants sold Company stock while in possession of material non-public information regarding the Company’s “true” business health. The </w:t>
      </w:r>
      <w:r>
        <w:rPr>
          <w:rFonts w:ascii="Arial" w:cs="Arial" w:eastAsia="Arial" w:hAnsi="Arial"/>
          <w:sz w:val="19"/>
          <w:szCs w:val="19"/>
          <w:i w:val="1"/>
          <w:iCs w:val="1"/>
          <w:color w:val="auto"/>
        </w:rPr>
        <w:t>Iron Workers</w:t>
      </w:r>
      <w:r>
        <w:rPr>
          <w:rFonts w:ascii="Arial" w:cs="Arial" w:eastAsia="Arial" w:hAnsi="Arial"/>
          <w:sz w:val="19"/>
          <w:szCs w:val="19"/>
          <w:color w:val="auto"/>
        </w:rPr>
        <w:t xml:space="preserve"> complaint asserts causes of action for breach of fiduciary duty and unjust enrichment. In addition to those causes of action, the </w:t>
      </w:r>
      <w:r>
        <w:rPr>
          <w:rFonts w:ascii="Arial" w:cs="Arial" w:eastAsia="Arial" w:hAnsi="Arial"/>
          <w:sz w:val="19"/>
          <w:szCs w:val="19"/>
          <w:i w:val="1"/>
          <w:iCs w:val="1"/>
          <w:color w:val="auto"/>
        </w:rPr>
        <w:t>Rumbaugh</w:t>
      </w:r>
      <w:r>
        <w:rPr>
          <w:rFonts w:ascii="Arial" w:cs="Arial" w:eastAsia="Arial" w:hAnsi="Arial"/>
          <w:sz w:val="19"/>
          <w:szCs w:val="19"/>
          <w:color w:val="auto"/>
        </w:rPr>
        <w:t xml:space="preserve"> complaint also asserts causes of action for abuse of control, gross mismanagement and waste of corporate assets. The plaintiffs seek an unspecified amount of damages to be paid to the Company, adoption of corporate governance reforms, and equitable and injunctive relief.</w:t>
      </w:r>
    </w:p>
    <w:p>
      <w:pPr>
        <w:spacing w:after="0" w:line="185"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 xml:space="preserve">The complaints have been served on certain of the defendants named therein. The Company intends to seek transfer of the </w:t>
      </w:r>
      <w:r>
        <w:rPr>
          <w:rFonts w:ascii="Arial" w:cs="Arial" w:eastAsia="Arial" w:hAnsi="Arial"/>
          <w:sz w:val="22"/>
          <w:szCs w:val="22"/>
          <w:i w:val="1"/>
          <w:iCs w:val="1"/>
          <w:color w:val="auto"/>
        </w:rPr>
        <w:t xml:space="preserve">Rumbaugh </w:t>
      </w:r>
      <w:r>
        <w:rPr>
          <w:rFonts w:ascii="Arial" w:cs="Arial" w:eastAsia="Arial" w:hAnsi="Arial"/>
          <w:sz w:val="22"/>
          <w:szCs w:val="22"/>
          <w:color w:val="auto"/>
        </w:rPr>
        <w:t>complaint to Riverside, where it can be consolidated with the</w:t>
      </w:r>
      <w:r>
        <w:rPr>
          <w:rFonts w:ascii="Arial" w:cs="Arial" w:eastAsia="Arial" w:hAnsi="Arial"/>
          <w:sz w:val="22"/>
          <w:szCs w:val="22"/>
          <w:i w:val="1"/>
          <w:iCs w:val="1"/>
          <w:color w:val="auto"/>
        </w:rPr>
        <w:t xml:space="preserve"> Iron Workers </w:t>
      </w:r>
      <w:r>
        <w:rPr>
          <w:rFonts w:ascii="Arial" w:cs="Arial" w:eastAsia="Arial" w:hAnsi="Arial"/>
          <w:sz w:val="22"/>
          <w:szCs w:val="22"/>
          <w:color w:val="auto"/>
        </w:rPr>
        <w:t>complaint. The deadline for response to the</w:t>
      </w:r>
      <w:r>
        <w:rPr>
          <w:rFonts w:ascii="Arial" w:cs="Arial" w:eastAsia="Arial" w:hAnsi="Arial"/>
          <w:sz w:val="22"/>
          <w:szCs w:val="22"/>
          <w:i w:val="1"/>
          <w:iCs w:val="1"/>
          <w:color w:val="auto"/>
        </w:rPr>
        <w:t xml:space="preserve"> Iron Workers </w:t>
      </w:r>
      <w:r>
        <w:rPr>
          <w:rFonts w:ascii="Arial" w:cs="Arial" w:eastAsia="Arial" w:hAnsi="Arial"/>
          <w:sz w:val="22"/>
          <w:szCs w:val="22"/>
          <w:color w:val="auto"/>
        </w:rPr>
        <w:t>complaint has been extended until after the motion to transfer is decided. Although the ultimate outcome of these</w:t>
      </w:r>
      <w:r>
        <w:rPr>
          <w:rFonts w:ascii="Arial" w:cs="Arial" w:eastAsia="Arial" w:hAnsi="Arial"/>
          <w:sz w:val="22"/>
          <w:szCs w:val="22"/>
          <w:i w:val="1"/>
          <w:iCs w:val="1"/>
          <w:color w:val="auto"/>
        </w:rPr>
        <w:t xml:space="preserve"> </w:t>
      </w:r>
      <w:r>
        <w:rPr>
          <w:rFonts w:ascii="Arial" w:cs="Arial" w:eastAsia="Arial" w:hAnsi="Arial"/>
          <w:sz w:val="22"/>
          <w:szCs w:val="22"/>
          <w:color w:val="auto"/>
        </w:rPr>
        <w:t>matters cannot be determined with certainty, the Company believes that the complaints are without merit. The Company intends to vigorously defend against these lawsuits.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MONSTER BEVERAGE CORPORATION AND SUBSIDIARIES</w:t>
      </w:r>
    </w:p>
    <w:p>
      <w:pPr>
        <w:spacing w:after="0" w:line="14" w:lineRule="exact"/>
        <w:rPr>
          <w:sz w:val="20"/>
          <w:szCs w:val="20"/>
          <w:color w:val="auto"/>
        </w:rPr>
      </w:pPr>
    </w:p>
    <w:p>
      <w:pPr>
        <w:ind w:right="4340"/>
        <w:spacing w:after="0" w:line="308"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85"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1"/>
          <w:szCs w:val="21"/>
          <w:color w:val="auto"/>
        </w:rPr>
        <w:t>In addition to the above matters, the Company is subject to litigation from time to time in the normal course of business, including claims from terminated distributors. Although it is not possible to predict the outcome of such litigation, based on the facts known to the Company and after consultation with counsel, management believes that such litigation in the aggregate will likely not have a material adverse effect on the Company’s financial position or results of operations.</w:t>
      </w:r>
    </w:p>
    <w:p>
      <w:pPr>
        <w:spacing w:after="0" w:line="201" w:lineRule="exact"/>
        <w:rPr>
          <w:sz w:val="20"/>
          <w:szCs w:val="20"/>
          <w:color w:val="auto"/>
        </w:rPr>
      </w:pPr>
    </w:p>
    <w:p>
      <w:pPr>
        <w:ind w:left="660" w:hanging="652"/>
        <w:spacing w:after="0"/>
        <w:tabs>
          <w:tab w:leader="none" w:pos="660" w:val="left"/>
        </w:tabs>
        <w:numPr>
          <w:ilvl w:val="0"/>
          <w:numId w:val="12"/>
        </w:numPr>
        <w:rPr>
          <w:rFonts w:ascii="Arial" w:cs="Arial" w:eastAsia="Arial" w:hAnsi="Arial"/>
          <w:sz w:val="22"/>
          <w:szCs w:val="22"/>
          <w:color w:val="auto"/>
        </w:rPr>
      </w:pPr>
      <w:r>
        <w:rPr>
          <w:rFonts w:ascii="Arial" w:cs="Arial" w:eastAsia="Arial" w:hAnsi="Arial"/>
          <w:sz w:val="22"/>
          <w:szCs w:val="22"/>
          <w:color w:val="auto"/>
        </w:rPr>
        <w:t>ACCUMULATED OTHER COMPREHENSIVE INCOME (LOSS)</w:t>
      </w:r>
    </w:p>
    <w:p>
      <w:pPr>
        <w:spacing w:after="0" w:line="233" w:lineRule="exact"/>
        <w:rPr>
          <w:rFonts w:ascii="Arial" w:cs="Arial" w:eastAsia="Arial" w:hAnsi="Arial"/>
          <w:sz w:val="22"/>
          <w:szCs w:val="22"/>
          <w:color w:val="auto"/>
        </w:rPr>
      </w:pPr>
    </w:p>
    <w:p>
      <w:pPr>
        <w:ind w:left="660"/>
        <w:spacing w:after="0"/>
        <w:rPr>
          <w:rFonts w:ascii="Arial" w:cs="Arial" w:eastAsia="Arial" w:hAnsi="Arial"/>
          <w:sz w:val="22"/>
          <w:szCs w:val="22"/>
          <w:color w:val="auto"/>
        </w:rPr>
      </w:pPr>
      <w:r>
        <w:rPr>
          <w:rFonts w:ascii="Arial" w:cs="Arial" w:eastAsia="Arial" w:hAnsi="Arial"/>
          <w:sz w:val="22"/>
          <w:szCs w:val="22"/>
          <w:color w:val="auto"/>
        </w:rPr>
        <w:t>The components of accumulated other comprehensive income (loss) are as follows:</w:t>
      </w:r>
    </w:p>
    <w:p>
      <w:pPr>
        <w:spacing w:after="0" w:line="241" w:lineRule="exact"/>
        <w:rPr>
          <w:sz w:val="20"/>
          <w:szCs w:val="20"/>
          <w:color w:val="auto"/>
        </w:rPr>
      </w:pPr>
    </w:p>
    <w:tbl>
      <w:tblPr>
        <w:tblLayout w:type="fixed"/>
        <w:tblInd w:w="660" w:type="dxa"/>
        <w:tblCellMar>
          <w:top w:w="0" w:type="dxa"/>
          <w:left w:w="0" w:type="dxa"/>
          <w:bottom w:w="0" w:type="dxa"/>
          <w:right w:w="0" w:type="dxa"/>
        </w:tblCellMar>
      </w:tblPr>
      <w:tr>
        <w:trPr>
          <w:trHeight w:val="256"/>
        </w:trPr>
        <w:tc>
          <w:tcPr>
            <w:tcW w:w="59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260" w:type="dxa"/>
            <w:vAlign w:val="bottom"/>
            <w:gridSpan w:val="2"/>
          </w:tcPr>
          <w:p>
            <w:pPr>
              <w:ind w:left="20"/>
              <w:spacing w:after="0"/>
              <w:rPr>
                <w:sz w:val="20"/>
                <w:szCs w:val="20"/>
                <w:color w:val="auto"/>
              </w:rPr>
            </w:pPr>
            <w:r>
              <w:rPr>
                <w:rFonts w:ascii="Arial" w:cs="Arial" w:eastAsia="Arial" w:hAnsi="Arial"/>
                <w:sz w:val="21"/>
                <w:szCs w:val="21"/>
                <w:color w:val="auto"/>
              </w:rPr>
              <w:t>September 30, 2012</w:t>
            </w:r>
          </w:p>
        </w:tc>
        <w:tc>
          <w:tcPr>
            <w:tcW w:w="260" w:type="dxa"/>
            <w:vAlign w:val="bottom"/>
          </w:tcPr>
          <w:p>
            <w:pPr>
              <w:spacing w:after="0"/>
              <w:rPr>
                <w:sz w:val="22"/>
                <w:szCs w:val="22"/>
                <w:color w:val="auto"/>
              </w:rPr>
            </w:pPr>
          </w:p>
        </w:tc>
        <w:tc>
          <w:tcPr>
            <w:tcW w:w="1940" w:type="dxa"/>
            <w:vAlign w:val="bottom"/>
          </w:tcPr>
          <w:p>
            <w:pPr>
              <w:jc w:val="right"/>
              <w:ind w:right="196"/>
              <w:spacing w:after="0"/>
              <w:rPr>
                <w:sz w:val="20"/>
                <w:szCs w:val="20"/>
                <w:color w:val="auto"/>
              </w:rPr>
            </w:pPr>
            <w:r>
              <w:rPr>
                <w:rFonts w:ascii="Arial" w:cs="Arial" w:eastAsia="Arial" w:hAnsi="Arial"/>
                <w:sz w:val="21"/>
                <w:szCs w:val="21"/>
                <w:color w:val="auto"/>
                <w:w w:val="87"/>
              </w:rPr>
              <w:t>December 31, 2011</w:t>
            </w:r>
          </w:p>
        </w:tc>
      </w:tr>
      <w:tr>
        <w:trPr>
          <w:trHeight w:val="237"/>
        </w:trPr>
        <w:tc>
          <w:tcPr>
            <w:tcW w:w="5920" w:type="dxa"/>
            <w:vAlign w:val="bottom"/>
            <w:tcBorders>
              <w:top w:val="single" w:sz="8" w:color="CCEEFF"/>
            </w:tcBorders>
            <w:shd w:val="clear" w:color="auto" w:fill="CCEEFF"/>
          </w:tcPr>
          <w:p>
            <w:pPr>
              <w:spacing w:after="0" w:line="237" w:lineRule="exact"/>
              <w:rPr>
                <w:sz w:val="20"/>
                <w:szCs w:val="20"/>
                <w:color w:val="auto"/>
              </w:rPr>
            </w:pPr>
            <w:r>
              <w:rPr>
                <w:rFonts w:ascii="Arial" w:cs="Arial" w:eastAsia="Arial" w:hAnsi="Arial"/>
                <w:sz w:val="21"/>
                <w:szCs w:val="21"/>
                <w:color w:val="auto"/>
              </w:rPr>
              <w:t>Foreign currency translation adjustments</w:t>
            </w:r>
          </w:p>
        </w:tc>
        <w:tc>
          <w:tcPr>
            <w:tcW w:w="260" w:type="dxa"/>
            <w:vAlign w:val="bottom"/>
            <w:tcBorders>
              <w:top w:val="single" w:sz="8" w:color="auto"/>
              <w:bottom w:val="single" w:sz="8" w:color="auto"/>
            </w:tcBorders>
            <w:shd w:val="clear" w:color="auto" w:fill="CCEEFF"/>
          </w:tcPr>
          <w:p>
            <w:pPr>
              <w:jc w:val="right"/>
              <w:spacing w:after="0" w:line="237" w:lineRule="exact"/>
              <w:rPr>
                <w:sz w:val="20"/>
                <w:szCs w:val="20"/>
                <w:color w:val="auto"/>
              </w:rPr>
            </w:pPr>
            <w:r>
              <w:rPr>
                <w:rFonts w:ascii="Arial" w:cs="Arial" w:eastAsia="Arial" w:hAnsi="Arial"/>
                <w:sz w:val="21"/>
                <w:szCs w:val="21"/>
                <w:color w:val="auto"/>
              </w:rPr>
              <w:t>$</w:t>
            </w:r>
          </w:p>
        </w:tc>
        <w:tc>
          <w:tcPr>
            <w:tcW w:w="1980" w:type="dxa"/>
            <w:vAlign w:val="bottom"/>
            <w:tcBorders>
              <w:top w:val="single" w:sz="8" w:color="auto"/>
              <w:bottom w:val="single" w:sz="8" w:color="auto"/>
            </w:tcBorders>
            <w:shd w:val="clear" w:color="auto" w:fill="CCEEFF"/>
          </w:tcPr>
          <w:p>
            <w:pPr>
              <w:jc w:val="right"/>
              <w:ind w:right="16"/>
              <w:spacing w:after="0" w:line="237" w:lineRule="exact"/>
              <w:rPr>
                <w:sz w:val="20"/>
                <w:szCs w:val="20"/>
                <w:color w:val="auto"/>
              </w:rPr>
            </w:pPr>
            <w:r>
              <w:rPr>
                <w:rFonts w:ascii="Arial" w:cs="Arial" w:eastAsia="Arial" w:hAnsi="Arial"/>
                <w:sz w:val="21"/>
                <w:szCs w:val="21"/>
                <w:color w:val="auto"/>
              </w:rPr>
              <w:t>905</w:t>
            </w:r>
          </w:p>
        </w:tc>
        <w:tc>
          <w:tcPr>
            <w:tcW w:w="28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spacing w:after="0" w:line="237" w:lineRule="exact"/>
              <w:rPr>
                <w:sz w:val="20"/>
                <w:szCs w:val="20"/>
                <w:color w:val="auto"/>
              </w:rPr>
            </w:pPr>
            <w:r>
              <w:rPr>
                <w:rFonts w:ascii="Arial" w:cs="Arial" w:eastAsia="Arial" w:hAnsi="Arial"/>
                <w:sz w:val="21"/>
                <w:szCs w:val="21"/>
                <w:color w:val="auto"/>
              </w:rPr>
              <w:t>$</w:t>
            </w:r>
          </w:p>
        </w:tc>
        <w:tc>
          <w:tcPr>
            <w:tcW w:w="1940" w:type="dxa"/>
            <w:vAlign w:val="bottom"/>
            <w:tcBorders>
              <w:top w:val="single" w:sz="8" w:color="auto"/>
              <w:bottom w:val="single" w:sz="8" w:color="auto"/>
            </w:tcBorders>
            <w:shd w:val="clear" w:color="auto" w:fill="CCEEFF"/>
          </w:tcPr>
          <w:p>
            <w:pPr>
              <w:jc w:val="right"/>
              <w:spacing w:after="0" w:line="237" w:lineRule="exact"/>
              <w:rPr>
                <w:sz w:val="20"/>
                <w:szCs w:val="20"/>
                <w:color w:val="auto"/>
              </w:rPr>
            </w:pPr>
            <w:r>
              <w:rPr>
                <w:rFonts w:ascii="Arial" w:cs="Arial" w:eastAsia="Arial" w:hAnsi="Arial"/>
                <w:sz w:val="21"/>
                <w:szCs w:val="21"/>
                <w:color w:val="auto"/>
              </w:rPr>
              <w:t>(1,547)</w:t>
            </w:r>
          </w:p>
        </w:tc>
      </w:tr>
      <w:tr>
        <w:trPr>
          <w:trHeight w:val="237"/>
        </w:trPr>
        <w:tc>
          <w:tcPr>
            <w:tcW w:w="5920" w:type="dxa"/>
            <w:vAlign w:val="bottom"/>
          </w:tcPr>
          <w:p>
            <w:pPr>
              <w:spacing w:after="0" w:line="237" w:lineRule="exact"/>
              <w:rPr>
                <w:sz w:val="20"/>
                <w:szCs w:val="20"/>
                <w:color w:val="auto"/>
              </w:rPr>
            </w:pPr>
            <w:r>
              <w:rPr>
                <w:rFonts w:ascii="Arial" w:cs="Arial" w:eastAsia="Arial" w:hAnsi="Arial"/>
                <w:sz w:val="21"/>
                <w:szCs w:val="21"/>
                <w:color w:val="auto"/>
              </w:rPr>
              <w:t>Total accumulated other comprehensive income (loss)</w:t>
            </w:r>
          </w:p>
        </w:tc>
        <w:tc>
          <w:tcPr>
            <w:tcW w:w="26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1"/>
                <w:szCs w:val="21"/>
                <w:color w:val="auto"/>
              </w:rPr>
              <w:t>$</w:t>
            </w:r>
          </w:p>
        </w:tc>
        <w:tc>
          <w:tcPr>
            <w:tcW w:w="1980" w:type="dxa"/>
            <w:vAlign w:val="bottom"/>
            <w:tcBorders>
              <w:bottom w:val="single" w:sz="8" w:color="auto"/>
            </w:tcBorders>
          </w:tcPr>
          <w:p>
            <w:pPr>
              <w:jc w:val="right"/>
              <w:ind w:right="16"/>
              <w:spacing w:after="0" w:line="237" w:lineRule="exact"/>
              <w:rPr>
                <w:sz w:val="20"/>
                <w:szCs w:val="20"/>
                <w:color w:val="auto"/>
              </w:rPr>
            </w:pPr>
            <w:r>
              <w:rPr>
                <w:rFonts w:ascii="Arial" w:cs="Arial" w:eastAsia="Arial" w:hAnsi="Arial"/>
                <w:sz w:val="21"/>
                <w:szCs w:val="21"/>
                <w:color w:val="auto"/>
              </w:rPr>
              <w:t>905</w:t>
            </w:r>
          </w:p>
        </w:tc>
        <w:tc>
          <w:tcPr>
            <w:tcW w:w="280" w:type="dxa"/>
            <w:vAlign w:val="bottom"/>
          </w:tcPr>
          <w:p>
            <w:pPr>
              <w:spacing w:after="0"/>
              <w:rPr>
                <w:sz w:val="20"/>
                <w:szCs w:val="20"/>
                <w:color w:val="auto"/>
              </w:rPr>
            </w:pPr>
          </w:p>
        </w:tc>
        <w:tc>
          <w:tcPr>
            <w:tcW w:w="26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1"/>
                <w:szCs w:val="21"/>
                <w:color w:val="auto"/>
              </w:rPr>
              <w:t>$</w:t>
            </w:r>
          </w:p>
        </w:tc>
        <w:tc>
          <w:tcPr>
            <w:tcW w:w="194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1"/>
                <w:szCs w:val="21"/>
                <w:color w:val="auto"/>
              </w:rPr>
              <w:t>(1,547)</w:t>
            </w:r>
          </w:p>
        </w:tc>
      </w:tr>
      <w:tr>
        <w:trPr>
          <w:trHeight w:val="20"/>
        </w:trPr>
        <w:tc>
          <w:tcPr>
            <w:tcW w:w="59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bl>
    <w:p>
      <w:pPr>
        <w:sectPr>
          <w:pgSz w:w="11900" w:h="16843" w:orient="portrait"/>
          <w:cols w:equalWidth="0" w:num="1">
            <w:col w:w="11420"/>
          </w:cols>
          <w:pgMar w:left="240" w:top="118" w:right="239" w:bottom="0" w:gutter="0" w:footer="0" w:header="0"/>
        </w:sectPr>
      </w:pPr>
    </w:p>
    <w:bookmarkStart w:id="14" w:name="page15"/>
    <w:bookmarkEnd w:id="14"/>
    <w:p>
      <w:pPr>
        <w:ind w:left="640" w:hanging="632"/>
        <w:spacing w:after="0"/>
        <w:tabs>
          <w:tab w:leader="none" w:pos="640" w:val="left"/>
        </w:tabs>
        <w:numPr>
          <w:ilvl w:val="0"/>
          <w:numId w:val="13"/>
        </w:numPr>
        <w:rPr>
          <w:rFonts w:ascii="Arial" w:cs="Arial" w:eastAsia="Arial" w:hAnsi="Arial"/>
          <w:sz w:val="22"/>
          <w:szCs w:val="22"/>
          <w:color w:val="auto"/>
        </w:rPr>
      </w:pPr>
      <w:r>
        <w:rPr>
          <w:rFonts w:ascii="Arial" w:cs="Arial" w:eastAsia="Arial" w:hAnsi="Arial"/>
          <w:sz w:val="22"/>
          <w:szCs w:val="22"/>
          <w:color w:val="auto"/>
        </w:rPr>
        <w:t>TREASURY STOCK PURCHASE</w:t>
      </w:r>
    </w:p>
    <w:p>
      <w:pPr>
        <w:spacing w:after="0" w:line="23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9"/>
          <w:szCs w:val="19"/>
          <w:color w:val="auto"/>
        </w:rPr>
        <w:t>On October 12, 2011, the Company’s Board of Directors authorized a new share repurchase program for the repurchase of up to $250.0 million of the Company’s outstanding common stock and on August 13, 2012, the Company’s Board of Directors approved the authorization of an increase of an additional $250.0 million (collectively the “2011-2012 Repurchase Plan”), increasing the total amount available under the 2011-2012 Repurchase Plan at that time to $500.0 million. During the three- and nine-months ended September 30, 2012, the Company purchased 6.9 million shares of common stock at an average purchase price of $57.99 per share for a total amount of $397.5 million (excluding broker commissions), which the Company holds in treasury.</w:t>
      </w:r>
    </w:p>
    <w:p>
      <w:pPr>
        <w:spacing w:after="0" w:line="178" w:lineRule="exact"/>
        <w:rPr>
          <w:sz w:val="20"/>
          <w:szCs w:val="20"/>
          <w:color w:val="auto"/>
        </w:rPr>
      </w:pPr>
    </w:p>
    <w:p>
      <w:pPr>
        <w:jc w:val="both"/>
        <w:ind w:right="20" w:firstLine="648"/>
        <w:spacing w:after="0" w:line="251" w:lineRule="auto"/>
        <w:rPr>
          <w:sz w:val="20"/>
          <w:szCs w:val="20"/>
          <w:color w:val="auto"/>
        </w:rPr>
      </w:pPr>
      <w:r>
        <w:rPr>
          <w:rFonts w:ascii="Arial" w:cs="Arial" w:eastAsia="Arial" w:hAnsi="Arial"/>
          <w:sz w:val="22"/>
          <w:szCs w:val="22"/>
          <w:color w:val="auto"/>
        </w:rPr>
        <w:t>Subsequent to September 30, 2012, the Company purchased an additional 1.9 million shares at an average purchase price of $54.99 per share, which exhausted the availability under the 2011-2012 Repurchase Plan.</w:t>
      </w:r>
    </w:p>
    <w:p>
      <w:pPr>
        <w:spacing w:after="0" w:line="200" w:lineRule="exact"/>
        <w:rPr>
          <w:sz w:val="20"/>
          <w:szCs w:val="20"/>
          <w:color w:val="auto"/>
        </w:rPr>
      </w:pPr>
    </w:p>
    <w:p>
      <w:pPr>
        <w:ind w:left="660" w:hanging="652"/>
        <w:spacing w:after="0"/>
        <w:tabs>
          <w:tab w:leader="none" w:pos="660" w:val="left"/>
        </w:tabs>
        <w:numPr>
          <w:ilvl w:val="0"/>
          <w:numId w:val="14"/>
        </w:numPr>
        <w:rPr>
          <w:rFonts w:ascii="Arial" w:cs="Arial" w:eastAsia="Arial" w:hAnsi="Arial"/>
          <w:sz w:val="22"/>
          <w:szCs w:val="22"/>
          <w:color w:val="auto"/>
        </w:rPr>
      </w:pPr>
      <w:r>
        <w:rPr>
          <w:rFonts w:ascii="Arial" w:cs="Arial" w:eastAsia="Arial" w:hAnsi="Arial"/>
          <w:sz w:val="22"/>
          <w:szCs w:val="22"/>
          <w:color w:val="auto"/>
        </w:rPr>
        <w:t>STOCK-BASED COMPENSATION</w:t>
      </w:r>
    </w:p>
    <w:p>
      <w:pPr>
        <w:spacing w:after="0" w:line="233"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1"/>
          <w:szCs w:val="21"/>
          <w:color w:val="auto"/>
        </w:rPr>
        <w:t>The Company has two stock-based compensation plans under which shares were available for grant at September 30, 2012: the Monster Beverage Corporation 2011 Omnibus Incentive Plan (the “2011 Omnibus Incentive Plan”) and the 2009 Monster Beverage Corporation Stock Incentive Plan for Non-Employee Directors (the “2009 Directors Plan”).</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MONSTER BEVERAGE CORPORATION AND SUBSIDIARIES</w:t>
      </w:r>
    </w:p>
    <w:p>
      <w:pPr>
        <w:spacing w:after="0" w:line="14" w:lineRule="exact"/>
        <w:rPr>
          <w:sz w:val="20"/>
          <w:szCs w:val="20"/>
          <w:color w:val="auto"/>
        </w:rPr>
      </w:pPr>
    </w:p>
    <w:p>
      <w:pPr>
        <w:ind w:right="4340"/>
        <w:spacing w:after="0" w:line="308"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71"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The Company recorded $7.9 million and $4.9 million of compensation expense relating to outstanding options, restricted stock awards, stock appreciation rights and restricted stock units during the three-months ended September 30, 2012 and 2011, respectively. The Company recorded $21.6 million and $12.8 million of compensation expense relating to outstanding options, restricted stock awards, stock appreciation rights and restricted stock units during the nine-months ended September 30, 2012 and 2011, respectively.</w:t>
      </w:r>
    </w:p>
    <w:p>
      <w:pPr>
        <w:spacing w:after="0" w:line="21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9"/>
          <w:szCs w:val="19"/>
          <w:color w:val="auto"/>
        </w:rPr>
        <w:t>The excess tax benefit realized for tax deductions from non-qualified stock option exercises, disqualifying dispositions of incentive stock options, vesting of restricted stock units and restricted stock awards for the three-months ended September 30, 2012 and 2011 was $1.4 million and $2.2 million, respectively. The excess tax benefit realized for tax deductions from non-qualified stock option exercises, disqualifying dispositions of incentive stock options, vesting of restricted stock units and restricted stock awards for the nine-months ended September 30, 2012 and 2011 was $4.3 million and $3.4 million, respectively.</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i w:val="1"/>
          <w:iCs w:val="1"/>
          <w:u w:val="single" w:color="auto"/>
          <w:color w:val="auto"/>
        </w:rPr>
        <w:t>Stock Options</w:t>
      </w:r>
    </w:p>
    <w:p>
      <w:pPr>
        <w:spacing w:after="0" w:line="233"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9"/>
          <w:szCs w:val="19"/>
          <w:color w:val="auto"/>
        </w:rPr>
        <w:t>Under the Company’s stock-based compensation plans, all stock options granted as of September 30, 2012 were granted at prices based on the fair value of the Company’s common stock on the date of grant. The Company records compensation expense for employee stock options based on the estimated fair value of the options on the date of grant using the Black-Scholes-Merton option pricing formula with the assumptions included in the table below. The Company records compensation expense for non-employee stock options based on the estimated fair value of the options as of the earlier of (1) the date at which a commitment for performance by the non-employee to earn the stock option is reached or (2) the date at which the non-employee’s performance is complete, using the Black-Scholes-Merton option pricing formula with the assumptions included in the table below. The Company uses historical data to determine the exercise behavior, volatility and forfeiture rate of the options.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following weighted-average assumptions were used to estimate the fair value of options granted during:</w:t>
      </w:r>
    </w:p>
    <w:p>
      <w:pPr>
        <w:spacing w:after="0" w:line="238" w:lineRule="exact"/>
        <w:rPr>
          <w:sz w:val="20"/>
          <w:szCs w:val="20"/>
          <w:color w:val="auto"/>
        </w:rPr>
      </w:pPr>
    </w:p>
    <w:tbl>
      <w:tblPr>
        <w:tblLayout w:type="fixed"/>
        <w:tblInd w:w="840" w:type="dxa"/>
        <w:tblCellMar>
          <w:top w:w="0" w:type="dxa"/>
          <w:left w:w="0" w:type="dxa"/>
          <w:bottom w:w="0" w:type="dxa"/>
          <w:right w:w="0" w:type="dxa"/>
        </w:tblCellMar>
      </w:tblPr>
      <w:tr>
        <w:trPr>
          <w:trHeight w:val="246"/>
        </w:trPr>
        <w:tc>
          <w:tcPr>
            <w:tcW w:w="2900" w:type="dxa"/>
            <w:vAlign w:val="bottom"/>
          </w:tcPr>
          <w:p>
            <w:pPr>
              <w:spacing w:after="0"/>
              <w:rPr>
                <w:sz w:val="21"/>
                <w:szCs w:val="21"/>
                <w:color w:val="auto"/>
              </w:rPr>
            </w:pPr>
          </w:p>
        </w:tc>
        <w:tc>
          <w:tcPr>
            <w:tcW w:w="3920" w:type="dxa"/>
            <w:vAlign w:val="bottom"/>
            <w:gridSpan w:val="4"/>
          </w:tcPr>
          <w:p>
            <w:pPr>
              <w:ind w:left="400"/>
              <w:spacing w:after="0"/>
              <w:rPr>
                <w:sz w:val="20"/>
                <w:szCs w:val="20"/>
                <w:color w:val="auto"/>
              </w:rPr>
            </w:pPr>
            <w:r>
              <w:rPr>
                <w:rFonts w:ascii="Arial" w:cs="Arial" w:eastAsia="Arial" w:hAnsi="Arial"/>
                <w:sz w:val="20"/>
                <w:szCs w:val="20"/>
                <w:color w:val="auto"/>
              </w:rPr>
              <w:t>Three-Months Ended September 30,</w:t>
            </w:r>
          </w:p>
        </w:tc>
        <w:tc>
          <w:tcPr>
            <w:tcW w:w="3600" w:type="dxa"/>
            <w:vAlign w:val="bottom"/>
            <w:gridSpan w:val="3"/>
          </w:tcPr>
          <w:p>
            <w:pPr>
              <w:jc w:val="right"/>
              <w:ind w:right="301"/>
              <w:spacing w:after="0"/>
              <w:rPr>
                <w:sz w:val="20"/>
                <w:szCs w:val="20"/>
                <w:color w:val="auto"/>
              </w:rPr>
            </w:pPr>
            <w:r>
              <w:rPr>
                <w:rFonts w:ascii="Arial" w:cs="Arial" w:eastAsia="Arial" w:hAnsi="Arial"/>
                <w:sz w:val="20"/>
                <w:szCs w:val="20"/>
                <w:color w:val="auto"/>
              </w:rPr>
              <w:t>Nine-Months Ended September 30,</w:t>
            </w:r>
          </w:p>
        </w:tc>
      </w:tr>
      <w:tr>
        <w:trPr>
          <w:trHeight w:val="223"/>
        </w:trPr>
        <w:tc>
          <w:tcPr>
            <w:tcW w:w="2900" w:type="dxa"/>
            <w:vAlign w:val="bottom"/>
            <w:tcBorders>
              <w:bottom w:val="single" w:sz="8" w:color="CCEEFF"/>
            </w:tcBorders>
          </w:tcPr>
          <w:p>
            <w:pPr>
              <w:spacing w:after="0"/>
              <w:rPr>
                <w:sz w:val="19"/>
                <w:szCs w:val="19"/>
                <w:color w:val="auto"/>
              </w:rPr>
            </w:pPr>
          </w:p>
        </w:tc>
        <w:tc>
          <w:tcPr>
            <w:tcW w:w="1680" w:type="dxa"/>
            <w:vAlign w:val="bottom"/>
            <w:tcBorders>
              <w:top w:val="single" w:sz="8" w:color="auto"/>
              <w:bottom w:val="single" w:sz="8" w:color="auto"/>
            </w:tcBorders>
          </w:tcPr>
          <w:p>
            <w:pPr>
              <w:jc w:val="right"/>
              <w:ind w:right="541"/>
              <w:spacing w:after="0" w:line="223" w:lineRule="exact"/>
              <w:rPr>
                <w:sz w:val="20"/>
                <w:szCs w:val="20"/>
                <w:color w:val="auto"/>
              </w:rPr>
            </w:pPr>
            <w:r>
              <w:rPr>
                <w:rFonts w:ascii="Arial" w:cs="Arial" w:eastAsia="Arial" w:hAnsi="Arial"/>
                <w:sz w:val="20"/>
                <w:szCs w:val="20"/>
                <w:color w:val="auto"/>
              </w:rPr>
              <w:t>2012</w:t>
            </w:r>
          </w:p>
        </w:tc>
        <w:tc>
          <w:tcPr>
            <w:tcW w:w="300" w:type="dxa"/>
            <w:vAlign w:val="bottom"/>
            <w:tcBorders>
              <w:top w:val="single" w:sz="8" w:color="auto"/>
              <w:bottom w:val="single" w:sz="8" w:color="CCEEFF"/>
            </w:tcBorders>
          </w:tcPr>
          <w:p>
            <w:pPr>
              <w:spacing w:after="0"/>
              <w:rPr>
                <w:sz w:val="19"/>
                <w:szCs w:val="19"/>
                <w:color w:val="auto"/>
              </w:rPr>
            </w:pPr>
          </w:p>
        </w:tc>
        <w:tc>
          <w:tcPr>
            <w:tcW w:w="1660" w:type="dxa"/>
            <w:vAlign w:val="bottom"/>
            <w:tcBorders>
              <w:top w:val="single" w:sz="8" w:color="auto"/>
              <w:bottom w:val="single" w:sz="8" w:color="auto"/>
            </w:tcBorders>
          </w:tcPr>
          <w:p>
            <w:pPr>
              <w:jc w:val="right"/>
              <w:ind w:right="521"/>
              <w:spacing w:after="0" w:line="223" w:lineRule="exact"/>
              <w:rPr>
                <w:sz w:val="20"/>
                <w:szCs w:val="20"/>
                <w:color w:val="auto"/>
              </w:rPr>
            </w:pPr>
            <w:r>
              <w:rPr>
                <w:rFonts w:ascii="Arial" w:cs="Arial" w:eastAsia="Arial" w:hAnsi="Arial"/>
                <w:sz w:val="20"/>
                <w:szCs w:val="20"/>
                <w:color w:val="auto"/>
              </w:rPr>
              <w:t>2011</w:t>
            </w:r>
          </w:p>
        </w:tc>
        <w:tc>
          <w:tcPr>
            <w:tcW w:w="280" w:type="dxa"/>
            <w:vAlign w:val="bottom"/>
            <w:tcBorders>
              <w:bottom w:val="single" w:sz="8" w:color="CCEEFF"/>
            </w:tcBorders>
          </w:tcPr>
          <w:p>
            <w:pPr>
              <w:spacing w:after="0"/>
              <w:rPr>
                <w:sz w:val="19"/>
                <w:szCs w:val="19"/>
                <w:color w:val="auto"/>
              </w:rPr>
            </w:pPr>
          </w:p>
        </w:tc>
        <w:tc>
          <w:tcPr>
            <w:tcW w:w="1660" w:type="dxa"/>
            <w:vAlign w:val="bottom"/>
            <w:tcBorders>
              <w:top w:val="single" w:sz="8" w:color="auto"/>
              <w:bottom w:val="single" w:sz="8" w:color="auto"/>
            </w:tcBorders>
          </w:tcPr>
          <w:p>
            <w:pPr>
              <w:jc w:val="right"/>
              <w:ind w:right="521"/>
              <w:spacing w:after="0" w:line="223" w:lineRule="exact"/>
              <w:rPr>
                <w:sz w:val="20"/>
                <w:szCs w:val="20"/>
                <w:color w:val="auto"/>
              </w:rPr>
            </w:pPr>
            <w:r>
              <w:rPr>
                <w:rFonts w:ascii="Arial" w:cs="Arial" w:eastAsia="Arial" w:hAnsi="Arial"/>
                <w:sz w:val="20"/>
                <w:szCs w:val="20"/>
                <w:color w:val="auto"/>
              </w:rPr>
              <w:t>2012</w:t>
            </w:r>
          </w:p>
        </w:tc>
        <w:tc>
          <w:tcPr>
            <w:tcW w:w="300" w:type="dxa"/>
            <w:vAlign w:val="bottom"/>
            <w:tcBorders>
              <w:top w:val="single" w:sz="8" w:color="auto"/>
              <w:bottom w:val="single" w:sz="8" w:color="CCEEFF"/>
            </w:tcBorders>
          </w:tcPr>
          <w:p>
            <w:pPr>
              <w:spacing w:after="0"/>
              <w:rPr>
                <w:sz w:val="19"/>
                <w:szCs w:val="19"/>
                <w:color w:val="auto"/>
              </w:rPr>
            </w:pPr>
          </w:p>
        </w:tc>
        <w:tc>
          <w:tcPr>
            <w:tcW w:w="1640" w:type="dxa"/>
            <w:vAlign w:val="bottom"/>
            <w:tcBorders>
              <w:top w:val="single" w:sz="8" w:color="auto"/>
              <w:bottom w:val="single" w:sz="8" w:color="auto"/>
            </w:tcBorders>
          </w:tcPr>
          <w:p>
            <w:pPr>
              <w:jc w:val="right"/>
              <w:ind w:right="521"/>
              <w:spacing w:after="0" w:line="223" w:lineRule="exact"/>
              <w:rPr>
                <w:sz w:val="20"/>
                <w:szCs w:val="20"/>
                <w:color w:val="auto"/>
              </w:rPr>
            </w:pPr>
            <w:r>
              <w:rPr>
                <w:rFonts w:ascii="Arial" w:cs="Arial" w:eastAsia="Arial" w:hAnsi="Arial"/>
                <w:sz w:val="20"/>
                <w:szCs w:val="20"/>
                <w:color w:val="auto"/>
              </w:rPr>
              <w:t>2011</w:t>
            </w:r>
          </w:p>
        </w:tc>
      </w:tr>
      <w:tr>
        <w:trPr>
          <w:trHeight w:val="223"/>
        </w:trPr>
        <w:tc>
          <w:tcPr>
            <w:tcW w:w="2900" w:type="dxa"/>
            <w:vAlign w:val="bottom"/>
            <w:shd w:val="clear" w:color="auto" w:fill="CCEEFF"/>
          </w:tcPr>
          <w:p>
            <w:pPr>
              <w:ind w:left="20"/>
              <w:spacing w:after="0" w:line="223" w:lineRule="exact"/>
              <w:rPr>
                <w:sz w:val="20"/>
                <w:szCs w:val="20"/>
                <w:color w:val="auto"/>
              </w:rPr>
            </w:pPr>
            <w:r>
              <w:rPr>
                <w:rFonts w:ascii="Arial" w:cs="Arial" w:eastAsia="Arial" w:hAnsi="Arial"/>
                <w:sz w:val="20"/>
                <w:szCs w:val="20"/>
                <w:color w:val="auto"/>
              </w:rPr>
              <w:t>Dividend yield</w:t>
            </w:r>
          </w:p>
        </w:tc>
        <w:tc>
          <w:tcPr>
            <w:tcW w:w="1680" w:type="dxa"/>
            <w:vAlign w:val="bottom"/>
            <w:shd w:val="clear" w:color="auto" w:fill="CCEEFF"/>
          </w:tcPr>
          <w:p>
            <w:pPr>
              <w:jc w:val="right"/>
              <w:spacing w:after="0" w:line="223" w:lineRule="exact"/>
              <w:rPr>
                <w:sz w:val="20"/>
                <w:szCs w:val="20"/>
                <w:color w:val="auto"/>
              </w:rPr>
            </w:pPr>
            <w:r>
              <w:rPr>
                <w:rFonts w:ascii="Arial" w:cs="Arial" w:eastAsia="Arial" w:hAnsi="Arial"/>
                <w:sz w:val="20"/>
                <w:szCs w:val="20"/>
                <w:color w:val="auto"/>
              </w:rPr>
              <w:t>0.0 %</w:t>
            </w:r>
          </w:p>
        </w:tc>
        <w:tc>
          <w:tcPr>
            <w:tcW w:w="3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line="223" w:lineRule="exact"/>
              <w:rPr>
                <w:sz w:val="20"/>
                <w:szCs w:val="20"/>
                <w:color w:val="auto"/>
              </w:rPr>
            </w:pPr>
            <w:r>
              <w:rPr>
                <w:rFonts w:ascii="Arial" w:cs="Arial" w:eastAsia="Arial" w:hAnsi="Arial"/>
                <w:sz w:val="20"/>
                <w:szCs w:val="20"/>
                <w:color w:val="auto"/>
              </w:rPr>
              <w:t>0.0 %</w:t>
            </w:r>
          </w:p>
        </w:tc>
        <w:tc>
          <w:tcPr>
            <w:tcW w:w="2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line="223" w:lineRule="exact"/>
              <w:rPr>
                <w:sz w:val="20"/>
                <w:szCs w:val="20"/>
                <w:color w:val="auto"/>
              </w:rPr>
            </w:pPr>
            <w:r>
              <w:rPr>
                <w:rFonts w:ascii="Arial" w:cs="Arial" w:eastAsia="Arial" w:hAnsi="Arial"/>
                <w:sz w:val="20"/>
                <w:szCs w:val="20"/>
                <w:color w:val="auto"/>
              </w:rPr>
              <w:t>0.0 %</w:t>
            </w:r>
          </w:p>
        </w:tc>
        <w:tc>
          <w:tcPr>
            <w:tcW w:w="3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line="223" w:lineRule="exact"/>
              <w:rPr>
                <w:sz w:val="20"/>
                <w:szCs w:val="20"/>
                <w:color w:val="auto"/>
              </w:rPr>
            </w:pPr>
            <w:r>
              <w:rPr>
                <w:rFonts w:ascii="Arial" w:cs="Arial" w:eastAsia="Arial" w:hAnsi="Arial"/>
                <w:sz w:val="20"/>
                <w:szCs w:val="20"/>
                <w:color w:val="auto"/>
              </w:rPr>
              <w:t>0.0 %</w:t>
            </w:r>
          </w:p>
        </w:tc>
      </w:tr>
      <w:tr>
        <w:trPr>
          <w:trHeight w:val="230"/>
        </w:trPr>
        <w:tc>
          <w:tcPr>
            <w:tcW w:w="2900" w:type="dxa"/>
            <w:vAlign w:val="bottom"/>
          </w:tcPr>
          <w:p>
            <w:pPr>
              <w:ind w:left="20"/>
              <w:spacing w:after="0"/>
              <w:rPr>
                <w:sz w:val="20"/>
                <w:szCs w:val="20"/>
                <w:color w:val="auto"/>
              </w:rPr>
            </w:pPr>
            <w:r>
              <w:rPr>
                <w:rFonts w:ascii="Arial" w:cs="Arial" w:eastAsia="Arial" w:hAnsi="Arial"/>
                <w:sz w:val="20"/>
                <w:szCs w:val="20"/>
                <w:color w:val="auto"/>
              </w:rPr>
              <w:t>Expected volatility</w:t>
            </w:r>
          </w:p>
        </w:tc>
        <w:tc>
          <w:tcPr>
            <w:tcW w:w="1680" w:type="dxa"/>
            <w:vAlign w:val="bottom"/>
          </w:tcPr>
          <w:p>
            <w:pPr>
              <w:jc w:val="right"/>
              <w:spacing w:after="0"/>
              <w:rPr>
                <w:sz w:val="20"/>
                <w:szCs w:val="20"/>
                <w:color w:val="auto"/>
              </w:rPr>
            </w:pPr>
            <w:r>
              <w:rPr>
                <w:rFonts w:ascii="Arial" w:cs="Arial" w:eastAsia="Arial" w:hAnsi="Arial"/>
                <w:sz w:val="20"/>
                <w:szCs w:val="20"/>
                <w:color w:val="auto"/>
              </w:rPr>
              <w:t>47.7 %</w:t>
            </w:r>
          </w:p>
        </w:tc>
        <w:tc>
          <w:tcPr>
            <w:tcW w:w="3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20"/>
                <w:szCs w:val="20"/>
                <w:color w:val="auto"/>
              </w:rPr>
              <w:t>52.7 %</w:t>
            </w:r>
          </w:p>
        </w:tc>
        <w:tc>
          <w:tcPr>
            <w:tcW w:w="2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20"/>
                <w:szCs w:val="20"/>
                <w:color w:val="auto"/>
              </w:rPr>
              <w:t>47.9 %</w:t>
            </w:r>
          </w:p>
        </w:tc>
        <w:tc>
          <w:tcPr>
            <w:tcW w:w="3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20"/>
                <w:szCs w:val="20"/>
                <w:color w:val="auto"/>
              </w:rPr>
              <w:t>54.1 %</w:t>
            </w:r>
          </w:p>
        </w:tc>
      </w:tr>
      <w:tr>
        <w:trPr>
          <w:trHeight w:val="230"/>
        </w:trPr>
        <w:tc>
          <w:tcPr>
            <w:tcW w:w="2900" w:type="dxa"/>
            <w:vAlign w:val="bottom"/>
            <w:shd w:val="clear" w:color="auto" w:fill="CCEEFF"/>
          </w:tcPr>
          <w:p>
            <w:pPr>
              <w:ind w:left="20"/>
              <w:spacing w:after="0"/>
              <w:rPr>
                <w:sz w:val="20"/>
                <w:szCs w:val="20"/>
                <w:color w:val="auto"/>
              </w:rPr>
            </w:pPr>
            <w:r>
              <w:rPr>
                <w:rFonts w:ascii="Arial" w:cs="Arial" w:eastAsia="Arial" w:hAnsi="Arial"/>
                <w:sz w:val="20"/>
                <w:szCs w:val="20"/>
                <w:color w:val="auto"/>
              </w:rPr>
              <w:t>Risk-free interest rate</w:t>
            </w:r>
          </w:p>
        </w:tc>
        <w:tc>
          <w:tcPr>
            <w:tcW w:w="16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0.6 %</w:t>
            </w:r>
          </w:p>
        </w:tc>
        <w:tc>
          <w:tcPr>
            <w:tcW w:w="3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1.3 %</w:t>
            </w:r>
          </w:p>
        </w:tc>
        <w:tc>
          <w:tcPr>
            <w:tcW w:w="2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0.7 %</w:t>
            </w:r>
          </w:p>
        </w:tc>
        <w:tc>
          <w:tcPr>
            <w:tcW w:w="3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1.7 %</w:t>
            </w:r>
          </w:p>
        </w:tc>
      </w:tr>
      <w:tr>
        <w:trPr>
          <w:trHeight w:val="250"/>
        </w:trPr>
        <w:tc>
          <w:tcPr>
            <w:tcW w:w="2900" w:type="dxa"/>
            <w:vAlign w:val="bottom"/>
          </w:tcPr>
          <w:p>
            <w:pPr>
              <w:ind w:left="20"/>
              <w:spacing w:after="0"/>
              <w:rPr>
                <w:sz w:val="20"/>
                <w:szCs w:val="20"/>
                <w:color w:val="auto"/>
              </w:rPr>
            </w:pPr>
            <w:r>
              <w:rPr>
                <w:rFonts w:ascii="Arial" w:cs="Arial" w:eastAsia="Arial" w:hAnsi="Arial"/>
                <w:sz w:val="20"/>
                <w:szCs w:val="20"/>
                <w:color w:val="auto"/>
              </w:rPr>
              <w:t>Expected term</w:t>
            </w:r>
          </w:p>
        </w:tc>
        <w:tc>
          <w:tcPr>
            <w:tcW w:w="1980" w:type="dxa"/>
            <w:vAlign w:val="bottom"/>
            <w:gridSpan w:val="2"/>
          </w:tcPr>
          <w:p>
            <w:pPr>
              <w:ind w:left="880"/>
              <w:spacing w:after="0"/>
              <w:rPr>
                <w:sz w:val="20"/>
                <w:szCs w:val="20"/>
                <w:color w:val="auto"/>
              </w:rPr>
            </w:pPr>
            <w:r>
              <w:rPr>
                <w:rFonts w:ascii="Arial" w:cs="Arial" w:eastAsia="Arial" w:hAnsi="Arial"/>
                <w:sz w:val="20"/>
                <w:szCs w:val="20"/>
                <w:color w:val="auto"/>
              </w:rPr>
              <w:t>5.4 Years</w:t>
            </w:r>
          </w:p>
        </w:tc>
        <w:tc>
          <w:tcPr>
            <w:tcW w:w="1940" w:type="dxa"/>
            <w:vAlign w:val="bottom"/>
            <w:gridSpan w:val="2"/>
          </w:tcPr>
          <w:p>
            <w:pPr>
              <w:ind w:left="860"/>
              <w:spacing w:after="0"/>
              <w:rPr>
                <w:sz w:val="20"/>
                <w:szCs w:val="20"/>
                <w:color w:val="auto"/>
              </w:rPr>
            </w:pPr>
            <w:r>
              <w:rPr>
                <w:rFonts w:ascii="Arial" w:cs="Arial" w:eastAsia="Arial" w:hAnsi="Arial"/>
                <w:sz w:val="20"/>
                <w:szCs w:val="20"/>
                <w:color w:val="auto"/>
              </w:rPr>
              <w:t>5.7 Years</w:t>
            </w:r>
          </w:p>
        </w:tc>
        <w:tc>
          <w:tcPr>
            <w:tcW w:w="1960" w:type="dxa"/>
            <w:vAlign w:val="bottom"/>
            <w:gridSpan w:val="2"/>
          </w:tcPr>
          <w:p>
            <w:pPr>
              <w:ind w:left="860"/>
              <w:spacing w:after="0"/>
              <w:rPr>
                <w:sz w:val="20"/>
                <w:szCs w:val="20"/>
                <w:color w:val="auto"/>
              </w:rPr>
            </w:pPr>
            <w:r>
              <w:rPr>
                <w:rFonts w:ascii="Arial" w:cs="Arial" w:eastAsia="Arial" w:hAnsi="Arial"/>
                <w:sz w:val="20"/>
                <w:szCs w:val="20"/>
                <w:color w:val="auto"/>
              </w:rPr>
              <w:t>5.4 Years</w:t>
            </w:r>
          </w:p>
        </w:tc>
        <w:tc>
          <w:tcPr>
            <w:tcW w:w="1640" w:type="dxa"/>
            <w:vAlign w:val="bottom"/>
          </w:tcPr>
          <w:p>
            <w:pPr>
              <w:jc w:val="right"/>
              <w:spacing w:after="0"/>
              <w:rPr>
                <w:sz w:val="20"/>
                <w:szCs w:val="20"/>
                <w:color w:val="auto"/>
              </w:rPr>
            </w:pPr>
            <w:r>
              <w:rPr>
                <w:rFonts w:ascii="Arial" w:cs="Arial" w:eastAsia="Arial" w:hAnsi="Arial"/>
                <w:sz w:val="20"/>
                <w:szCs w:val="20"/>
                <w:color w:val="auto"/>
              </w:rPr>
              <w:t>5.9 Years</w:t>
            </w:r>
          </w:p>
        </w:tc>
      </w:tr>
    </w:tbl>
    <w:p>
      <w:pPr>
        <w:spacing w:after="0" w:line="201" w:lineRule="exact"/>
        <w:rPr>
          <w:sz w:val="20"/>
          <w:szCs w:val="20"/>
          <w:color w:val="auto"/>
        </w:rPr>
      </w:pPr>
    </w:p>
    <w:p>
      <w:pPr>
        <w:jc w:val="both"/>
        <w:ind w:firstLine="648"/>
        <w:spacing w:after="0"/>
        <w:rPr>
          <w:sz w:val="20"/>
          <w:szCs w:val="20"/>
          <w:color w:val="auto"/>
        </w:rPr>
      </w:pPr>
      <w:r>
        <w:rPr>
          <w:rFonts w:ascii="Arial" w:cs="Arial" w:eastAsia="Arial" w:hAnsi="Arial"/>
          <w:sz w:val="22"/>
          <w:szCs w:val="22"/>
          <w:i w:val="1"/>
          <w:iCs w:val="1"/>
          <w:color w:val="auto"/>
        </w:rPr>
        <w:t>Expected Volatility</w:t>
      </w:r>
      <w:r>
        <w:rPr>
          <w:rFonts w:ascii="Arial" w:cs="Arial" w:eastAsia="Arial" w:hAnsi="Arial"/>
          <w:sz w:val="22"/>
          <w:szCs w:val="22"/>
          <w:color w:val="auto"/>
        </w:rPr>
        <w:t>: The Company uses historical volatility as it provides a reasonable estimate of the expected volatility.</w:t>
      </w:r>
      <w:r>
        <w:rPr>
          <w:rFonts w:ascii="Arial" w:cs="Arial" w:eastAsia="Arial" w:hAnsi="Arial"/>
          <w:sz w:val="22"/>
          <w:szCs w:val="22"/>
          <w:i w:val="1"/>
          <w:iCs w:val="1"/>
          <w:color w:val="auto"/>
        </w:rPr>
        <w:t xml:space="preserve"> </w:t>
      </w:r>
      <w:r>
        <w:rPr>
          <w:rFonts w:ascii="Arial" w:cs="Arial" w:eastAsia="Arial" w:hAnsi="Arial"/>
          <w:sz w:val="22"/>
          <w:szCs w:val="22"/>
          <w:color w:val="auto"/>
        </w:rPr>
        <w:t>Historical volatility is based on the most recent volatility of the stock price over a period of time equivalent to the expected term of the option.</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ectPr>
          <w:pgSz w:w="11900" w:h="16838" w:orient="portrait"/>
          <w:cols w:equalWidth="0" w:num="1">
            <w:col w:w="11420"/>
          </w:cols>
          <w:pgMar w:left="240" w:top="361" w:right="239" w:bottom="0" w:gutter="0" w:footer="0" w:header="0"/>
        </w:sectPr>
      </w:pPr>
    </w:p>
    <w:bookmarkStart w:id="15" w:name="page16"/>
    <w:bookmarkEnd w:id="15"/>
    <w:p>
      <w:pPr>
        <w:spacing w:after="0"/>
        <w:rPr>
          <w:sz w:val="20"/>
          <w:szCs w:val="20"/>
          <w:color w:val="auto"/>
        </w:rPr>
      </w:pPr>
      <w:r>
        <w:rPr>
          <w:rFonts w:ascii="Arial" w:cs="Arial" w:eastAsia="Arial" w:hAnsi="Arial"/>
          <w:sz w:val="22"/>
          <w:szCs w:val="22"/>
          <w:b w:val="1"/>
          <w:bCs w:val="1"/>
          <w:color w:val="auto"/>
        </w:rPr>
        <w:t>MONSTER BEVERAGE CORPORATION AND SUBSIDIARIES</w:t>
      </w:r>
    </w:p>
    <w:p>
      <w:pPr>
        <w:spacing w:after="0" w:line="14" w:lineRule="exact"/>
        <w:rPr>
          <w:sz w:val="20"/>
          <w:szCs w:val="20"/>
          <w:color w:val="auto"/>
        </w:rPr>
      </w:pPr>
    </w:p>
    <w:p>
      <w:pPr>
        <w:ind w:right="4340"/>
        <w:spacing w:after="0" w:line="308"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44"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i w:val="1"/>
          <w:iCs w:val="1"/>
          <w:color w:val="auto"/>
        </w:rPr>
        <w:t>Risk-Free Interest Rate</w:t>
      </w:r>
      <w:r>
        <w:rPr>
          <w:rFonts w:ascii="Arial" w:cs="Arial" w:eastAsia="Arial" w:hAnsi="Arial"/>
          <w:sz w:val="22"/>
          <w:szCs w:val="22"/>
          <w:color w:val="auto"/>
        </w:rPr>
        <w:t>: The risk-free interest rate is based on the U.S. Treasury zero coupon yield curve in effect at the time</w:t>
      </w:r>
      <w:r>
        <w:rPr>
          <w:rFonts w:ascii="Arial" w:cs="Arial" w:eastAsia="Arial" w:hAnsi="Arial"/>
          <w:sz w:val="22"/>
          <w:szCs w:val="22"/>
          <w:i w:val="1"/>
          <w:iCs w:val="1"/>
          <w:color w:val="auto"/>
        </w:rPr>
        <w:t xml:space="preserve"> </w:t>
      </w:r>
      <w:r>
        <w:rPr>
          <w:rFonts w:ascii="Arial" w:cs="Arial" w:eastAsia="Arial" w:hAnsi="Arial"/>
          <w:sz w:val="22"/>
          <w:szCs w:val="22"/>
          <w:color w:val="auto"/>
        </w:rPr>
        <w:t>of grant for the expected term of the option.</w:t>
      </w:r>
    </w:p>
    <w:p>
      <w:pPr>
        <w:spacing w:after="0" w:line="200"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i w:val="1"/>
          <w:iCs w:val="1"/>
          <w:color w:val="auto"/>
        </w:rPr>
        <w:t>Expected Term</w:t>
      </w:r>
      <w:r>
        <w:rPr>
          <w:rFonts w:ascii="Arial" w:cs="Arial" w:eastAsia="Arial" w:hAnsi="Arial"/>
          <w:sz w:val="22"/>
          <w:szCs w:val="22"/>
          <w:color w:val="auto"/>
        </w:rPr>
        <w:t>: The Company’s expected term represents the weighted-average period that the Company’s stock options are</w:t>
      </w:r>
      <w:r>
        <w:rPr>
          <w:rFonts w:ascii="Arial" w:cs="Arial" w:eastAsia="Arial" w:hAnsi="Arial"/>
          <w:sz w:val="22"/>
          <w:szCs w:val="22"/>
          <w:i w:val="1"/>
          <w:iCs w:val="1"/>
          <w:color w:val="auto"/>
        </w:rPr>
        <w:t xml:space="preserve"> </w:t>
      </w:r>
      <w:r>
        <w:rPr>
          <w:rFonts w:ascii="Arial" w:cs="Arial" w:eastAsia="Arial" w:hAnsi="Arial"/>
          <w:sz w:val="22"/>
          <w:szCs w:val="22"/>
          <w:color w:val="auto"/>
        </w:rPr>
        <w:t>expected to be outstanding. The expected term is based on the expected time to post-vesting exercise of options by employees. The Company uses historical exercise patterns of previously granted options to derive employee behavioral patterns used to forecast expected exercise patterns.</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following table summarizes the Company’s activities with respect to its stock option plans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7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580" w:type="dxa"/>
            <w:vAlign w:val="bottom"/>
          </w:tcPr>
          <w:p>
            <w:pPr>
              <w:jc w:val="center"/>
              <w:ind w:right="16"/>
              <w:spacing w:after="0"/>
              <w:rPr>
                <w:sz w:val="20"/>
                <w:szCs w:val="20"/>
                <w:color w:val="auto"/>
              </w:rPr>
            </w:pPr>
            <w:r>
              <w:rPr>
                <w:rFonts w:ascii="Arial" w:cs="Arial" w:eastAsia="Arial" w:hAnsi="Arial"/>
                <w:sz w:val="21"/>
                <w:szCs w:val="21"/>
                <w:color w:val="auto"/>
                <w:w w:val="89"/>
              </w:rPr>
              <w:t>Weighted-</w:t>
            </w:r>
          </w:p>
        </w:tc>
        <w:tc>
          <w:tcPr>
            <w:tcW w:w="34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43"/>
        </w:trPr>
        <w:tc>
          <w:tcPr>
            <w:tcW w:w="47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center"/>
              <w:ind w:right="256"/>
              <w:spacing w:after="0"/>
              <w:rPr>
                <w:sz w:val="20"/>
                <w:szCs w:val="20"/>
                <w:color w:val="auto"/>
              </w:rPr>
            </w:pPr>
            <w:r>
              <w:rPr>
                <w:rFonts w:ascii="Arial" w:cs="Arial" w:eastAsia="Arial" w:hAnsi="Arial"/>
                <w:sz w:val="21"/>
                <w:szCs w:val="21"/>
                <w:color w:val="auto"/>
                <w:w w:val="89"/>
              </w:rPr>
              <w:t>Weighted-</w:t>
            </w:r>
          </w:p>
        </w:tc>
        <w:tc>
          <w:tcPr>
            <w:tcW w:w="1580" w:type="dxa"/>
            <w:vAlign w:val="bottom"/>
          </w:tcPr>
          <w:p>
            <w:pPr>
              <w:jc w:val="center"/>
              <w:spacing w:after="0"/>
              <w:rPr>
                <w:sz w:val="20"/>
                <w:szCs w:val="20"/>
                <w:color w:val="auto"/>
              </w:rPr>
            </w:pPr>
            <w:r>
              <w:rPr>
                <w:rFonts w:ascii="Arial" w:cs="Arial" w:eastAsia="Arial" w:hAnsi="Arial"/>
                <w:sz w:val="21"/>
                <w:szCs w:val="21"/>
                <w:color w:val="auto"/>
                <w:w w:val="86"/>
              </w:rPr>
              <w:t>Average</w:t>
            </w:r>
          </w:p>
        </w:tc>
        <w:tc>
          <w:tcPr>
            <w:tcW w:w="34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43"/>
        </w:trPr>
        <w:tc>
          <w:tcPr>
            <w:tcW w:w="47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center"/>
              <w:ind w:right="276"/>
              <w:spacing w:after="0"/>
              <w:rPr>
                <w:sz w:val="20"/>
                <w:szCs w:val="20"/>
                <w:color w:val="auto"/>
              </w:rPr>
            </w:pPr>
            <w:r>
              <w:rPr>
                <w:rFonts w:ascii="Arial" w:cs="Arial" w:eastAsia="Arial" w:hAnsi="Arial"/>
                <w:sz w:val="21"/>
                <w:szCs w:val="21"/>
                <w:color w:val="auto"/>
                <w:w w:val="86"/>
              </w:rPr>
              <w:t>Average</w:t>
            </w:r>
          </w:p>
        </w:tc>
        <w:tc>
          <w:tcPr>
            <w:tcW w:w="1580" w:type="dxa"/>
            <w:vAlign w:val="bottom"/>
          </w:tcPr>
          <w:p>
            <w:pPr>
              <w:jc w:val="center"/>
              <w:spacing w:after="0"/>
              <w:rPr>
                <w:sz w:val="20"/>
                <w:szCs w:val="20"/>
                <w:color w:val="auto"/>
              </w:rPr>
            </w:pPr>
            <w:r>
              <w:rPr>
                <w:rFonts w:ascii="Arial" w:cs="Arial" w:eastAsia="Arial" w:hAnsi="Arial"/>
                <w:sz w:val="21"/>
                <w:szCs w:val="21"/>
                <w:color w:val="auto"/>
                <w:w w:val="91"/>
              </w:rPr>
              <w:t>Remaining</w:t>
            </w:r>
          </w:p>
        </w:tc>
        <w:tc>
          <w:tcPr>
            <w:tcW w:w="34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43"/>
        </w:trPr>
        <w:tc>
          <w:tcPr>
            <w:tcW w:w="470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21"/>
                <w:szCs w:val="21"/>
                <w:color w:val="auto"/>
                <w:w w:val="91"/>
              </w:rPr>
              <w:t>Number of</w:t>
            </w:r>
          </w:p>
        </w:tc>
        <w:tc>
          <w:tcPr>
            <w:tcW w:w="400" w:type="dxa"/>
            <w:vAlign w:val="bottom"/>
          </w:tcPr>
          <w:p>
            <w:pPr>
              <w:spacing w:after="0"/>
              <w:rPr>
                <w:sz w:val="21"/>
                <w:szCs w:val="21"/>
                <w:color w:val="auto"/>
              </w:rPr>
            </w:pPr>
          </w:p>
        </w:tc>
        <w:tc>
          <w:tcPr>
            <w:tcW w:w="1300" w:type="dxa"/>
            <w:vAlign w:val="bottom"/>
          </w:tcPr>
          <w:p>
            <w:pPr>
              <w:jc w:val="center"/>
              <w:ind w:right="276"/>
              <w:spacing w:after="0"/>
              <w:rPr>
                <w:sz w:val="20"/>
                <w:szCs w:val="20"/>
                <w:color w:val="auto"/>
              </w:rPr>
            </w:pPr>
            <w:r>
              <w:rPr>
                <w:rFonts w:ascii="Arial" w:cs="Arial" w:eastAsia="Arial" w:hAnsi="Arial"/>
                <w:sz w:val="21"/>
                <w:szCs w:val="21"/>
                <w:color w:val="auto"/>
                <w:w w:val="89"/>
              </w:rPr>
              <w:t>Exercise</w:t>
            </w:r>
          </w:p>
        </w:tc>
        <w:tc>
          <w:tcPr>
            <w:tcW w:w="1580" w:type="dxa"/>
            <w:vAlign w:val="bottom"/>
          </w:tcPr>
          <w:p>
            <w:pPr>
              <w:jc w:val="center"/>
              <w:spacing w:after="0"/>
              <w:rPr>
                <w:sz w:val="20"/>
                <w:szCs w:val="20"/>
                <w:color w:val="auto"/>
              </w:rPr>
            </w:pPr>
            <w:r>
              <w:rPr>
                <w:rFonts w:ascii="Arial" w:cs="Arial" w:eastAsia="Arial" w:hAnsi="Arial"/>
                <w:sz w:val="21"/>
                <w:szCs w:val="21"/>
                <w:color w:val="auto"/>
                <w:w w:val="89"/>
              </w:rPr>
              <w:t>Contractual</w:t>
            </w:r>
          </w:p>
        </w:tc>
        <w:tc>
          <w:tcPr>
            <w:tcW w:w="340" w:type="dxa"/>
            <w:vAlign w:val="bottom"/>
          </w:tcPr>
          <w:p>
            <w:pPr>
              <w:spacing w:after="0"/>
              <w:rPr>
                <w:sz w:val="21"/>
                <w:szCs w:val="21"/>
                <w:color w:val="auto"/>
              </w:rPr>
            </w:pPr>
          </w:p>
        </w:tc>
        <w:tc>
          <w:tcPr>
            <w:tcW w:w="1340" w:type="dxa"/>
            <w:vAlign w:val="bottom"/>
          </w:tcPr>
          <w:p>
            <w:pPr>
              <w:jc w:val="center"/>
              <w:ind w:right="216"/>
              <w:spacing w:after="0"/>
              <w:rPr>
                <w:sz w:val="20"/>
                <w:szCs w:val="20"/>
                <w:color w:val="auto"/>
              </w:rPr>
            </w:pPr>
            <w:r>
              <w:rPr>
                <w:rFonts w:ascii="Arial" w:cs="Arial" w:eastAsia="Arial" w:hAnsi="Arial"/>
                <w:sz w:val="21"/>
                <w:szCs w:val="21"/>
                <w:color w:val="auto"/>
                <w:w w:val="88"/>
              </w:rPr>
              <w:t>Aggregate</w:t>
            </w:r>
          </w:p>
        </w:tc>
      </w:tr>
      <w:tr>
        <w:trPr>
          <w:trHeight w:val="243"/>
        </w:trPr>
        <w:tc>
          <w:tcPr>
            <w:tcW w:w="470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21"/>
                <w:szCs w:val="21"/>
                <w:color w:val="auto"/>
                <w:w w:val="86"/>
              </w:rPr>
              <w:t>Shares (In</w:t>
            </w:r>
          </w:p>
        </w:tc>
        <w:tc>
          <w:tcPr>
            <w:tcW w:w="400" w:type="dxa"/>
            <w:vAlign w:val="bottom"/>
          </w:tcPr>
          <w:p>
            <w:pPr>
              <w:spacing w:after="0"/>
              <w:rPr>
                <w:sz w:val="21"/>
                <w:szCs w:val="21"/>
                <w:color w:val="auto"/>
              </w:rPr>
            </w:pPr>
          </w:p>
        </w:tc>
        <w:tc>
          <w:tcPr>
            <w:tcW w:w="1300" w:type="dxa"/>
            <w:vAlign w:val="bottom"/>
          </w:tcPr>
          <w:p>
            <w:pPr>
              <w:jc w:val="center"/>
              <w:ind w:right="276"/>
              <w:spacing w:after="0"/>
              <w:rPr>
                <w:sz w:val="20"/>
                <w:szCs w:val="20"/>
                <w:color w:val="auto"/>
              </w:rPr>
            </w:pPr>
            <w:r>
              <w:rPr>
                <w:rFonts w:ascii="Arial" w:cs="Arial" w:eastAsia="Arial" w:hAnsi="Arial"/>
                <w:sz w:val="21"/>
                <w:szCs w:val="21"/>
                <w:color w:val="auto"/>
                <w:w w:val="87"/>
              </w:rPr>
              <w:t>Price Per</w:t>
            </w:r>
          </w:p>
        </w:tc>
        <w:tc>
          <w:tcPr>
            <w:tcW w:w="1580" w:type="dxa"/>
            <w:vAlign w:val="bottom"/>
          </w:tcPr>
          <w:p>
            <w:pPr>
              <w:jc w:val="center"/>
              <w:spacing w:after="0"/>
              <w:rPr>
                <w:sz w:val="20"/>
                <w:szCs w:val="20"/>
                <w:color w:val="auto"/>
              </w:rPr>
            </w:pPr>
            <w:r>
              <w:rPr>
                <w:rFonts w:ascii="Arial" w:cs="Arial" w:eastAsia="Arial" w:hAnsi="Arial"/>
                <w:sz w:val="21"/>
                <w:szCs w:val="21"/>
                <w:color w:val="auto"/>
                <w:w w:val="90"/>
              </w:rPr>
              <w:t>Term (In</w:t>
            </w:r>
          </w:p>
        </w:tc>
        <w:tc>
          <w:tcPr>
            <w:tcW w:w="340" w:type="dxa"/>
            <w:vAlign w:val="bottom"/>
          </w:tcPr>
          <w:p>
            <w:pPr>
              <w:spacing w:after="0"/>
              <w:rPr>
                <w:sz w:val="21"/>
                <w:szCs w:val="21"/>
                <w:color w:val="auto"/>
              </w:rPr>
            </w:pPr>
          </w:p>
        </w:tc>
        <w:tc>
          <w:tcPr>
            <w:tcW w:w="1340" w:type="dxa"/>
            <w:vAlign w:val="bottom"/>
          </w:tcPr>
          <w:p>
            <w:pPr>
              <w:jc w:val="center"/>
              <w:ind w:right="196"/>
              <w:spacing w:after="0"/>
              <w:rPr>
                <w:sz w:val="20"/>
                <w:szCs w:val="20"/>
                <w:color w:val="auto"/>
              </w:rPr>
            </w:pPr>
            <w:r>
              <w:rPr>
                <w:rFonts w:ascii="Arial" w:cs="Arial" w:eastAsia="Arial" w:hAnsi="Arial"/>
                <w:sz w:val="21"/>
                <w:szCs w:val="21"/>
                <w:color w:val="auto"/>
                <w:w w:val="93"/>
              </w:rPr>
              <w:t>Intrinsic</w:t>
            </w:r>
          </w:p>
        </w:tc>
      </w:tr>
      <w:tr>
        <w:trPr>
          <w:trHeight w:val="256"/>
        </w:trPr>
        <w:tc>
          <w:tcPr>
            <w:tcW w:w="4700" w:type="dxa"/>
            <w:vAlign w:val="bottom"/>
            <w:tcBorders>
              <w:bottom w:val="single" w:sz="8" w:color="auto"/>
            </w:tcBorders>
          </w:tcPr>
          <w:p>
            <w:pPr>
              <w:ind w:left="1880"/>
              <w:spacing w:after="0"/>
              <w:rPr>
                <w:sz w:val="20"/>
                <w:szCs w:val="20"/>
                <w:color w:val="auto"/>
              </w:rPr>
            </w:pPr>
            <w:r>
              <w:rPr>
                <w:rFonts w:ascii="Arial" w:cs="Arial" w:eastAsia="Arial" w:hAnsi="Arial"/>
                <w:sz w:val="21"/>
                <w:szCs w:val="21"/>
                <w:color w:val="auto"/>
              </w:rPr>
              <w:t>Options</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21"/>
                <w:szCs w:val="21"/>
                <w:color w:val="auto"/>
                <w:w w:val="86"/>
              </w:rPr>
              <w:t>Thousands)</w:t>
            </w:r>
          </w:p>
        </w:tc>
        <w:tc>
          <w:tcPr>
            <w:tcW w:w="4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center"/>
              <w:ind w:right="276"/>
              <w:spacing w:after="0"/>
              <w:rPr>
                <w:sz w:val="20"/>
                <w:szCs w:val="20"/>
                <w:color w:val="auto"/>
              </w:rPr>
            </w:pPr>
            <w:r>
              <w:rPr>
                <w:rFonts w:ascii="Arial" w:cs="Arial" w:eastAsia="Arial" w:hAnsi="Arial"/>
                <w:sz w:val="21"/>
                <w:szCs w:val="21"/>
                <w:color w:val="auto"/>
                <w:w w:val="85"/>
              </w:rPr>
              <w:t>Share</w:t>
            </w: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21"/>
                <w:szCs w:val="21"/>
                <w:color w:val="auto"/>
                <w:w w:val="84"/>
              </w:rPr>
              <w:t>Years)</w:t>
            </w:r>
          </w:p>
        </w:tc>
        <w:tc>
          <w:tcPr>
            <w:tcW w:w="3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center"/>
              <w:ind w:right="196"/>
              <w:spacing w:after="0"/>
              <w:rPr>
                <w:sz w:val="20"/>
                <w:szCs w:val="20"/>
                <w:color w:val="auto"/>
              </w:rPr>
            </w:pPr>
            <w:r>
              <w:rPr>
                <w:rFonts w:ascii="Arial" w:cs="Arial" w:eastAsia="Arial" w:hAnsi="Arial"/>
                <w:sz w:val="21"/>
                <w:szCs w:val="21"/>
                <w:color w:val="auto"/>
                <w:w w:val="89"/>
              </w:rPr>
              <w:t>Value</w:t>
            </w:r>
          </w:p>
        </w:tc>
      </w:tr>
      <w:tr>
        <w:trPr>
          <w:trHeight w:val="237"/>
        </w:trPr>
        <w:tc>
          <w:tcPr>
            <w:tcW w:w="4700" w:type="dxa"/>
            <w:vAlign w:val="bottom"/>
            <w:shd w:val="clear" w:color="auto" w:fill="CCEEFF"/>
          </w:tcPr>
          <w:p>
            <w:pPr>
              <w:spacing w:after="0" w:line="237" w:lineRule="exact"/>
              <w:rPr>
                <w:sz w:val="20"/>
                <w:szCs w:val="20"/>
                <w:color w:val="auto"/>
              </w:rPr>
            </w:pPr>
            <w:r>
              <w:rPr>
                <w:rFonts w:ascii="Arial" w:cs="Arial" w:eastAsia="Arial" w:hAnsi="Arial"/>
                <w:sz w:val="21"/>
                <w:szCs w:val="21"/>
                <w:color w:val="auto"/>
              </w:rPr>
              <w:t>Balance at January 1, 2012</w:t>
            </w:r>
          </w:p>
        </w:tc>
        <w:tc>
          <w:tcPr>
            <w:tcW w:w="1360" w:type="dxa"/>
            <w:vAlign w:val="bottom"/>
            <w:shd w:val="clear" w:color="auto" w:fill="CCEEFF"/>
          </w:tcPr>
          <w:p>
            <w:pPr>
              <w:jc w:val="right"/>
              <w:spacing w:after="0" w:line="237" w:lineRule="exact"/>
              <w:rPr>
                <w:sz w:val="20"/>
                <w:szCs w:val="20"/>
                <w:color w:val="auto"/>
              </w:rPr>
            </w:pPr>
            <w:r>
              <w:rPr>
                <w:rFonts w:ascii="Arial" w:cs="Arial" w:eastAsia="Arial" w:hAnsi="Arial"/>
                <w:sz w:val="21"/>
                <w:szCs w:val="21"/>
                <w:color w:val="auto"/>
              </w:rPr>
              <w:t>18,569</w:t>
            </w:r>
          </w:p>
        </w:tc>
        <w:tc>
          <w:tcPr>
            <w:tcW w:w="400" w:type="dxa"/>
            <w:vAlign w:val="bottom"/>
            <w:shd w:val="clear" w:color="auto" w:fill="CCEEFF"/>
          </w:tcPr>
          <w:p>
            <w:pPr>
              <w:jc w:val="right"/>
              <w:spacing w:after="0" w:line="237" w:lineRule="exact"/>
              <w:rPr>
                <w:sz w:val="20"/>
                <w:szCs w:val="20"/>
                <w:color w:val="auto"/>
              </w:rPr>
            </w:pPr>
            <w:r>
              <w:rPr>
                <w:rFonts w:ascii="Arial" w:cs="Arial" w:eastAsia="Arial" w:hAnsi="Arial"/>
                <w:sz w:val="21"/>
                <w:szCs w:val="21"/>
                <w:color w:val="auto"/>
              </w:rPr>
              <w:t>$</w:t>
            </w:r>
          </w:p>
        </w:tc>
        <w:tc>
          <w:tcPr>
            <w:tcW w:w="1300" w:type="dxa"/>
            <w:vAlign w:val="bottom"/>
            <w:shd w:val="clear" w:color="auto" w:fill="CCEEFF"/>
          </w:tcPr>
          <w:p>
            <w:pPr>
              <w:jc w:val="right"/>
              <w:ind w:right="156"/>
              <w:spacing w:after="0" w:line="237" w:lineRule="exact"/>
              <w:rPr>
                <w:sz w:val="20"/>
                <w:szCs w:val="20"/>
                <w:color w:val="auto"/>
              </w:rPr>
            </w:pPr>
            <w:r>
              <w:rPr>
                <w:rFonts w:ascii="Arial" w:cs="Arial" w:eastAsia="Arial" w:hAnsi="Arial"/>
                <w:sz w:val="21"/>
                <w:szCs w:val="21"/>
                <w:color w:val="auto"/>
              </w:rPr>
              <w:t>8.57</w:t>
            </w:r>
          </w:p>
        </w:tc>
        <w:tc>
          <w:tcPr>
            <w:tcW w:w="1580" w:type="dxa"/>
            <w:vAlign w:val="bottom"/>
            <w:shd w:val="clear" w:color="auto" w:fill="CCEEFF"/>
          </w:tcPr>
          <w:p>
            <w:pPr>
              <w:jc w:val="right"/>
              <w:ind w:right="36"/>
              <w:spacing w:after="0" w:line="237" w:lineRule="exact"/>
              <w:rPr>
                <w:sz w:val="20"/>
                <w:szCs w:val="20"/>
                <w:color w:val="auto"/>
              </w:rPr>
            </w:pPr>
            <w:r>
              <w:rPr>
                <w:rFonts w:ascii="Arial" w:cs="Arial" w:eastAsia="Arial" w:hAnsi="Arial"/>
                <w:sz w:val="21"/>
                <w:szCs w:val="21"/>
                <w:color w:val="auto"/>
              </w:rPr>
              <w:t>4.1</w:t>
            </w:r>
          </w:p>
        </w:tc>
        <w:tc>
          <w:tcPr>
            <w:tcW w:w="340" w:type="dxa"/>
            <w:vAlign w:val="bottom"/>
            <w:shd w:val="clear" w:color="auto" w:fill="CCEEFF"/>
          </w:tcPr>
          <w:p>
            <w:pPr>
              <w:jc w:val="right"/>
              <w:spacing w:after="0" w:line="237" w:lineRule="exact"/>
              <w:rPr>
                <w:sz w:val="20"/>
                <w:szCs w:val="20"/>
                <w:color w:val="auto"/>
              </w:rPr>
            </w:pPr>
            <w:r>
              <w:rPr>
                <w:rFonts w:ascii="Arial" w:cs="Arial" w:eastAsia="Arial" w:hAnsi="Arial"/>
                <w:sz w:val="21"/>
                <w:szCs w:val="21"/>
                <w:color w:val="auto"/>
              </w:rPr>
              <w:t>$</w:t>
            </w:r>
          </w:p>
        </w:tc>
        <w:tc>
          <w:tcPr>
            <w:tcW w:w="1340" w:type="dxa"/>
            <w:vAlign w:val="bottom"/>
            <w:shd w:val="clear" w:color="auto" w:fill="CCEEFF"/>
          </w:tcPr>
          <w:p>
            <w:pPr>
              <w:jc w:val="right"/>
              <w:ind w:right="16"/>
              <w:spacing w:after="0" w:line="237" w:lineRule="exact"/>
              <w:rPr>
                <w:sz w:val="20"/>
                <w:szCs w:val="20"/>
                <w:color w:val="auto"/>
              </w:rPr>
            </w:pPr>
            <w:r>
              <w:rPr>
                <w:rFonts w:ascii="Arial" w:cs="Arial" w:eastAsia="Arial" w:hAnsi="Arial"/>
                <w:sz w:val="21"/>
                <w:szCs w:val="21"/>
                <w:color w:val="auto"/>
              </w:rPr>
              <w:t>696,371</w:t>
            </w:r>
          </w:p>
        </w:tc>
      </w:tr>
      <w:tr>
        <w:trPr>
          <w:trHeight w:val="243"/>
        </w:trPr>
        <w:tc>
          <w:tcPr>
            <w:tcW w:w="4700" w:type="dxa"/>
            <w:vAlign w:val="bottom"/>
          </w:tcPr>
          <w:p>
            <w:pPr>
              <w:ind w:left="380"/>
              <w:spacing w:after="0"/>
              <w:rPr>
                <w:sz w:val="20"/>
                <w:szCs w:val="20"/>
                <w:color w:val="auto"/>
              </w:rPr>
            </w:pPr>
            <w:r>
              <w:rPr>
                <w:rFonts w:ascii="Arial" w:cs="Arial" w:eastAsia="Arial" w:hAnsi="Arial"/>
                <w:sz w:val="21"/>
                <w:szCs w:val="21"/>
                <w:color w:val="auto"/>
              </w:rPr>
              <w:t>Granted 01/01/12 - 03/31/12</w:t>
            </w:r>
          </w:p>
        </w:tc>
        <w:tc>
          <w:tcPr>
            <w:tcW w:w="1360" w:type="dxa"/>
            <w:vAlign w:val="bottom"/>
          </w:tcPr>
          <w:p>
            <w:pPr>
              <w:jc w:val="right"/>
              <w:spacing w:after="0"/>
              <w:rPr>
                <w:sz w:val="20"/>
                <w:szCs w:val="20"/>
                <w:color w:val="auto"/>
              </w:rPr>
            </w:pPr>
            <w:r>
              <w:rPr>
                <w:rFonts w:ascii="Arial" w:cs="Arial" w:eastAsia="Arial" w:hAnsi="Arial"/>
                <w:sz w:val="21"/>
                <w:szCs w:val="21"/>
                <w:color w:val="auto"/>
              </w:rPr>
              <w:t>120</w:t>
            </w:r>
          </w:p>
        </w:tc>
        <w:tc>
          <w:tcPr>
            <w:tcW w:w="400" w:type="dxa"/>
            <w:vAlign w:val="bottom"/>
          </w:tcPr>
          <w:p>
            <w:pPr>
              <w:jc w:val="right"/>
              <w:spacing w:after="0"/>
              <w:rPr>
                <w:sz w:val="20"/>
                <w:szCs w:val="20"/>
                <w:color w:val="auto"/>
              </w:rPr>
            </w:pPr>
            <w:r>
              <w:rPr>
                <w:rFonts w:ascii="Arial" w:cs="Arial" w:eastAsia="Arial" w:hAnsi="Arial"/>
                <w:sz w:val="21"/>
                <w:szCs w:val="21"/>
                <w:color w:val="auto"/>
              </w:rPr>
              <w:t>$</w:t>
            </w:r>
          </w:p>
        </w:tc>
        <w:tc>
          <w:tcPr>
            <w:tcW w:w="1300" w:type="dxa"/>
            <w:vAlign w:val="bottom"/>
          </w:tcPr>
          <w:p>
            <w:pPr>
              <w:jc w:val="right"/>
              <w:ind w:right="156"/>
              <w:spacing w:after="0"/>
              <w:rPr>
                <w:sz w:val="20"/>
                <w:szCs w:val="20"/>
                <w:color w:val="auto"/>
              </w:rPr>
            </w:pPr>
            <w:r>
              <w:rPr>
                <w:rFonts w:ascii="Arial" w:cs="Arial" w:eastAsia="Arial" w:hAnsi="Arial"/>
                <w:sz w:val="21"/>
                <w:szCs w:val="21"/>
                <w:color w:val="auto"/>
              </w:rPr>
              <w:t>57.45</w:t>
            </w:r>
          </w:p>
        </w:tc>
        <w:tc>
          <w:tcPr>
            <w:tcW w:w="15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43"/>
        </w:trPr>
        <w:tc>
          <w:tcPr>
            <w:tcW w:w="4700" w:type="dxa"/>
            <w:vAlign w:val="bottom"/>
            <w:shd w:val="clear" w:color="auto" w:fill="CCEEFF"/>
          </w:tcPr>
          <w:p>
            <w:pPr>
              <w:ind w:left="380"/>
              <w:spacing w:after="0"/>
              <w:rPr>
                <w:sz w:val="20"/>
                <w:szCs w:val="20"/>
                <w:color w:val="auto"/>
              </w:rPr>
            </w:pPr>
            <w:r>
              <w:rPr>
                <w:rFonts w:ascii="Arial" w:cs="Arial" w:eastAsia="Arial" w:hAnsi="Arial"/>
                <w:sz w:val="21"/>
                <w:szCs w:val="21"/>
                <w:color w:val="auto"/>
              </w:rPr>
              <w:t>Granted 04/01/12 - 06/30/12</w:t>
            </w:r>
          </w:p>
        </w:tc>
        <w:tc>
          <w:tcPr>
            <w:tcW w:w="1360" w:type="dxa"/>
            <w:vAlign w:val="bottom"/>
            <w:shd w:val="clear" w:color="auto" w:fill="CCEEFF"/>
          </w:tcPr>
          <w:p>
            <w:pPr>
              <w:jc w:val="right"/>
              <w:spacing w:after="0"/>
              <w:rPr>
                <w:sz w:val="20"/>
                <w:szCs w:val="20"/>
                <w:color w:val="auto"/>
              </w:rPr>
            </w:pPr>
            <w:r>
              <w:rPr>
                <w:rFonts w:ascii="Arial" w:cs="Arial" w:eastAsia="Arial" w:hAnsi="Arial"/>
                <w:sz w:val="21"/>
                <w:szCs w:val="21"/>
                <w:color w:val="auto"/>
              </w:rPr>
              <w:t>65</w:t>
            </w:r>
          </w:p>
        </w:tc>
        <w:tc>
          <w:tcPr>
            <w:tcW w:w="400" w:type="dxa"/>
            <w:vAlign w:val="bottom"/>
            <w:shd w:val="clear" w:color="auto" w:fill="CCEEFF"/>
          </w:tcPr>
          <w:p>
            <w:pPr>
              <w:jc w:val="right"/>
              <w:spacing w:after="0"/>
              <w:rPr>
                <w:sz w:val="20"/>
                <w:szCs w:val="20"/>
                <w:color w:val="auto"/>
              </w:rPr>
            </w:pPr>
            <w:r>
              <w:rPr>
                <w:rFonts w:ascii="Arial" w:cs="Arial" w:eastAsia="Arial" w:hAnsi="Arial"/>
                <w:sz w:val="21"/>
                <w:szCs w:val="21"/>
                <w:color w:val="auto"/>
              </w:rPr>
              <w:t>$</w:t>
            </w:r>
          </w:p>
        </w:tc>
        <w:tc>
          <w:tcPr>
            <w:tcW w:w="1300" w:type="dxa"/>
            <w:vAlign w:val="bottom"/>
            <w:shd w:val="clear" w:color="auto" w:fill="CCEEFF"/>
          </w:tcPr>
          <w:p>
            <w:pPr>
              <w:jc w:val="right"/>
              <w:ind w:right="156"/>
              <w:spacing w:after="0"/>
              <w:rPr>
                <w:sz w:val="20"/>
                <w:szCs w:val="20"/>
                <w:color w:val="auto"/>
              </w:rPr>
            </w:pPr>
            <w:r>
              <w:rPr>
                <w:rFonts w:ascii="Arial" w:cs="Arial" w:eastAsia="Arial" w:hAnsi="Arial"/>
                <w:sz w:val="21"/>
                <w:szCs w:val="21"/>
                <w:color w:val="auto"/>
              </w:rPr>
              <w:t>66.43</w:t>
            </w:r>
          </w:p>
        </w:tc>
        <w:tc>
          <w:tcPr>
            <w:tcW w:w="15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21"/>
                <w:szCs w:val="21"/>
                <w:color w:val="auto"/>
              </w:rPr>
              <w:t>Granted 07/01/12 - 09/30/12</w:t>
            </w:r>
          </w:p>
        </w:tc>
        <w:tc>
          <w:tcPr>
            <w:tcW w:w="1360" w:type="dxa"/>
            <w:vAlign w:val="bottom"/>
          </w:tcPr>
          <w:p>
            <w:pPr>
              <w:jc w:val="right"/>
              <w:spacing w:after="0"/>
              <w:rPr>
                <w:sz w:val="20"/>
                <w:szCs w:val="20"/>
                <w:color w:val="auto"/>
              </w:rPr>
            </w:pPr>
            <w:r>
              <w:rPr>
                <w:rFonts w:ascii="Arial" w:cs="Arial" w:eastAsia="Arial" w:hAnsi="Arial"/>
                <w:sz w:val="21"/>
                <w:szCs w:val="21"/>
                <w:color w:val="auto"/>
              </w:rPr>
              <w:t>207</w:t>
            </w:r>
          </w:p>
        </w:tc>
        <w:tc>
          <w:tcPr>
            <w:tcW w:w="400" w:type="dxa"/>
            <w:vAlign w:val="bottom"/>
          </w:tcPr>
          <w:p>
            <w:pPr>
              <w:jc w:val="right"/>
              <w:spacing w:after="0"/>
              <w:rPr>
                <w:sz w:val="20"/>
                <w:szCs w:val="20"/>
                <w:color w:val="auto"/>
              </w:rPr>
            </w:pPr>
            <w:r>
              <w:rPr>
                <w:rFonts w:ascii="Arial" w:cs="Arial" w:eastAsia="Arial" w:hAnsi="Arial"/>
                <w:sz w:val="21"/>
                <w:szCs w:val="21"/>
                <w:color w:val="auto"/>
              </w:rPr>
              <w:t>$</w:t>
            </w:r>
          </w:p>
        </w:tc>
        <w:tc>
          <w:tcPr>
            <w:tcW w:w="1300" w:type="dxa"/>
            <w:vAlign w:val="bottom"/>
          </w:tcPr>
          <w:p>
            <w:pPr>
              <w:jc w:val="right"/>
              <w:ind w:right="156"/>
              <w:spacing w:after="0"/>
              <w:rPr>
                <w:sz w:val="20"/>
                <w:szCs w:val="20"/>
                <w:color w:val="auto"/>
              </w:rPr>
            </w:pPr>
            <w:r>
              <w:rPr>
                <w:rFonts w:ascii="Arial" w:cs="Arial" w:eastAsia="Arial" w:hAnsi="Arial"/>
                <w:sz w:val="21"/>
                <w:szCs w:val="21"/>
                <w:color w:val="auto"/>
              </w:rPr>
              <w:t>57.99</w:t>
            </w:r>
          </w:p>
        </w:tc>
        <w:tc>
          <w:tcPr>
            <w:tcW w:w="15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43"/>
        </w:trPr>
        <w:tc>
          <w:tcPr>
            <w:tcW w:w="4700" w:type="dxa"/>
            <w:vAlign w:val="bottom"/>
            <w:shd w:val="clear" w:color="auto" w:fill="CCEEFF"/>
          </w:tcPr>
          <w:p>
            <w:pPr>
              <w:ind w:left="380"/>
              <w:spacing w:after="0"/>
              <w:rPr>
                <w:sz w:val="20"/>
                <w:szCs w:val="20"/>
                <w:color w:val="auto"/>
              </w:rPr>
            </w:pPr>
            <w:r>
              <w:rPr>
                <w:rFonts w:ascii="Arial" w:cs="Arial" w:eastAsia="Arial" w:hAnsi="Arial"/>
                <w:sz w:val="21"/>
                <w:szCs w:val="21"/>
                <w:color w:val="auto"/>
              </w:rPr>
              <w:t>Exercised</w:t>
            </w:r>
          </w:p>
        </w:tc>
        <w:tc>
          <w:tcPr>
            <w:tcW w:w="1360" w:type="dxa"/>
            <w:vAlign w:val="bottom"/>
            <w:shd w:val="clear" w:color="auto" w:fill="CCEEFF"/>
          </w:tcPr>
          <w:p>
            <w:pPr>
              <w:jc w:val="right"/>
              <w:spacing w:after="0"/>
              <w:rPr>
                <w:sz w:val="20"/>
                <w:szCs w:val="20"/>
                <w:color w:val="auto"/>
              </w:rPr>
            </w:pPr>
            <w:r>
              <w:rPr>
                <w:rFonts w:ascii="Arial" w:cs="Arial" w:eastAsia="Arial" w:hAnsi="Arial"/>
                <w:sz w:val="21"/>
                <w:szCs w:val="21"/>
                <w:color w:val="auto"/>
              </w:rPr>
              <w:t>(3,722)</w:t>
            </w:r>
          </w:p>
        </w:tc>
        <w:tc>
          <w:tcPr>
            <w:tcW w:w="400" w:type="dxa"/>
            <w:vAlign w:val="bottom"/>
            <w:shd w:val="clear" w:color="auto" w:fill="CCEEFF"/>
          </w:tcPr>
          <w:p>
            <w:pPr>
              <w:jc w:val="right"/>
              <w:spacing w:after="0"/>
              <w:rPr>
                <w:sz w:val="20"/>
                <w:szCs w:val="20"/>
                <w:color w:val="auto"/>
              </w:rPr>
            </w:pPr>
            <w:r>
              <w:rPr>
                <w:rFonts w:ascii="Arial" w:cs="Arial" w:eastAsia="Arial" w:hAnsi="Arial"/>
                <w:sz w:val="21"/>
                <w:szCs w:val="21"/>
                <w:color w:val="auto"/>
              </w:rPr>
              <w:t>$</w:t>
            </w:r>
          </w:p>
        </w:tc>
        <w:tc>
          <w:tcPr>
            <w:tcW w:w="1300" w:type="dxa"/>
            <w:vAlign w:val="bottom"/>
            <w:shd w:val="clear" w:color="auto" w:fill="CCEEFF"/>
          </w:tcPr>
          <w:p>
            <w:pPr>
              <w:jc w:val="right"/>
              <w:ind w:right="156"/>
              <w:spacing w:after="0"/>
              <w:rPr>
                <w:sz w:val="20"/>
                <w:szCs w:val="20"/>
                <w:color w:val="auto"/>
              </w:rPr>
            </w:pPr>
            <w:r>
              <w:rPr>
                <w:rFonts w:ascii="Arial" w:cs="Arial" w:eastAsia="Arial" w:hAnsi="Arial"/>
                <w:sz w:val="21"/>
                <w:szCs w:val="21"/>
                <w:color w:val="auto"/>
              </w:rPr>
              <w:t>2.25</w:t>
            </w:r>
          </w:p>
        </w:tc>
        <w:tc>
          <w:tcPr>
            <w:tcW w:w="15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r>
      <w:tr>
        <w:trPr>
          <w:trHeight w:val="243"/>
        </w:trPr>
        <w:tc>
          <w:tcPr>
            <w:tcW w:w="4700" w:type="dxa"/>
            <w:vAlign w:val="bottom"/>
            <w:tcBorders>
              <w:bottom w:val="single" w:sz="8" w:color="CCEEFF"/>
            </w:tcBorders>
          </w:tcPr>
          <w:p>
            <w:pPr>
              <w:ind w:left="380"/>
              <w:spacing w:after="0"/>
              <w:rPr>
                <w:sz w:val="20"/>
                <w:szCs w:val="20"/>
                <w:color w:val="auto"/>
              </w:rPr>
            </w:pPr>
            <w:r>
              <w:rPr>
                <w:rFonts w:ascii="Arial" w:cs="Arial" w:eastAsia="Arial" w:hAnsi="Arial"/>
                <w:sz w:val="21"/>
                <w:szCs w:val="21"/>
                <w:color w:val="auto"/>
              </w:rPr>
              <w:t>Cancelled or forfeited</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21"/>
                <w:szCs w:val="21"/>
                <w:color w:val="auto"/>
              </w:rPr>
              <w:t>(147)</w:t>
            </w:r>
          </w:p>
        </w:tc>
        <w:tc>
          <w:tcPr>
            <w:tcW w:w="400" w:type="dxa"/>
            <w:vAlign w:val="bottom"/>
            <w:tcBorders>
              <w:bottom w:val="single" w:sz="8" w:color="CCEEFF"/>
            </w:tcBorders>
          </w:tcPr>
          <w:p>
            <w:pPr>
              <w:jc w:val="right"/>
              <w:spacing w:after="0"/>
              <w:rPr>
                <w:sz w:val="20"/>
                <w:szCs w:val="20"/>
                <w:color w:val="auto"/>
              </w:rPr>
            </w:pPr>
            <w:r>
              <w:rPr>
                <w:rFonts w:ascii="Arial" w:cs="Arial" w:eastAsia="Arial" w:hAnsi="Arial"/>
                <w:sz w:val="21"/>
                <w:szCs w:val="21"/>
                <w:color w:val="auto"/>
              </w:rPr>
              <w:t>$</w:t>
            </w:r>
          </w:p>
        </w:tc>
        <w:tc>
          <w:tcPr>
            <w:tcW w:w="1300" w:type="dxa"/>
            <w:vAlign w:val="bottom"/>
            <w:tcBorders>
              <w:bottom w:val="single" w:sz="8" w:color="CCEEFF"/>
            </w:tcBorders>
          </w:tcPr>
          <w:p>
            <w:pPr>
              <w:jc w:val="right"/>
              <w:ind w:right="156"/>
              <w:spacing w:after="0"/>
              <w:rPr>
                <w:sz w:val="20"/>
                <w:szCs w:val="20"/>
                <w:color w:val="auto"/>
              </w:rPr>
            </w:pPr>
            <w:r>
              <w:rPr>
                <w:rFonts w:ascii="Arial" w:cs="Arial" w:eastAsia="Arial" w:hAnsi="Arial"/>
                <w:sz w:val="21"/>
                <w:szCs w:val="21"/>
                <w:color w:val="auto"/>
              </w:rPr>
              <w:t>20.13</w:t>
            </w:r>
          </w:p>
        </w:tc>
        <w:tc>
          <w:tcPr>
            <w:tcW w:w="1580" w:type="dxa"/>
            <w:vAlign w:val="bottom"/>
            <w:tcBorders>
              <w:bottom w:val="single" w:sz="8" w:color="CCEEFF"/>
            </w:tcBorders>
          </w:tcPr>
          <w:p>
            <w:pPr>
              <w:spacing w:after="0"/>
              <w:rPr>
                <w:sz w:val="21"/>
                <w:szCs w:val="21"/>
                <w:color w:val="auto"/>
              </w:rPr>
            </w:pPr>
          </w:p>
        </w:tc>
        <w:tc>
          <w:tcPr>
            <w:tcW w:w="340" w:type="dxa"/>
            <w:vAlign w:val="bottom"/>
            <w:tcBorders>
              <w:bottom w:val="single" w:sz="8" w:color="CCEEFF"/>
            </w:tcBorders>
          </w:tcPr>
          <w:p>
            <w:pPr>
              <w:spacing w:after="0"/>
              <w:rPr>
                <w:sz w:val="21"/>
                <w:szCs w:val="21"/>
                <w:color w:val="auto"/>
              </w:rPr>
            </w:pPr>
          </w:p>
        </w:tc>
        <w:tc>
          <w:tcPr>
            <w:tcW w:w="1340" w:type="dxa"/>
            <w:vAlign w:val="bottom"/>
            <w:tcBorders>
              <w:bottom w:val="single" w:sz="8" w:color="CCEEFF"/>
            </w:tcBorders>
          </w:tcPr>
          <w:p>
            <w:pPr>
              <w:spacing w:after="0"/>
              <w:rPr>
                <w:sz w:val="21"/>
                <w:szCs w:val="21"/>
                <w:color w:val="auto"/>
              </w:rPr>
            </w:pPr>
          </w:p>
        </w:tc>
      </w:tr>
      <w:tr>
        <w:trPr>
          <w:trHeight w:val="237"/>
        </w:trPr>
        <w:tc>
          <w:tcPr>
            <w:tcW w:w="4700" w:type="dxa"/>
            <w:vAlign w:val="bottom"/>
            <w:shd w:val="clear" w:color="auto" w:fill="CCEEFF"/>
          </w:tcPr>
          <w:p>
            <w:pPr>
              <w:spacing w:after="0" w:line="237" w:lineRule="exact"/>
              <w:rPr>
                <w:sz w:val="20"/>
                <w:szCs w:val="20"/>
                <w:color w:val="auto"/>
              </w:rPr>
            </w:pPr>
            <w:r>
              <w:rPr>
                <w:rFonts w:ascii="Arial" w:cs="Arial" w:eastAsia="Arial" w:hAnsi="Arial"/>
                <w:sz w:val="21"/>
                <w:szCs w:val="21"/>
                <w:color w:val="auto"/>
              </w:rPr>
              <w:t>Outstanding at September 30, 2012</w:t>
            </w:r>
          </w:p>
        </w:tc>
        <w:tc>
          <w:tcPr>
            <w:tcW w:w="1360" w:type="dxa"/>
            <w:vAlign w:val="bottom"/>
            <w:shd w:val="clear" w:color="auto" w:fill="CCEEFF"/>
          </w:tcPr>
          <w:p>
            <w:pPr>
              <w:jc w:val="right"/>
              <w:spacing w:after="0" w:line="237" w:lineRule="exact"/>
              <w:rPr>
                <w:sz w:val="20"/>
                <w:szCs w:val="20"/>
                <w:color w:val="auto"/>
              </w:rPr>
            </w:pPr>
            <w:r>
              <w:rPr>
                <w:rFonts w:ascii="Arial" w:cs="Arial" w:eastAsia="Arial" w:hAnsi="Arial"/>
                <w:sz w:val="21"/>
                <w:szCs w:val="21"/>
                <w:color w:val="auto"/>
              </w:rPr>
              <w:t>15,092</w:t>
            </w:r>
          </w:p>
        </w:tc>
        <w:tc>
          <w:tcPr>
            <w:tcW w:w="400" w:type="dxa"/>
            <w:vAlign w:val="bottom"/>
            <w:shd w:val="clear" w:color="auto" w:fill="CCEEFF"/>
          </w:tcPr>
          <w:p>
            <w:pPr>
              <w:jc w:val="right"/>
              <w:spacing w:after="0" w:line="237" w:lineRule="exact"/>
              <w:rPr>
                <w:sz w:val="20"/>
                <w:szCs w:val="20"/>
                <w:color w:val="auto"/>
              </w:rPr>
            </w:pPr>
            <w:r>
              <w:rPr>
                <w:rFonts w:ascii="Arial" w:cs="Arial" w:eastAsia="Arial" w:hAnsi="Arial"/>
                <w:sz w:val="21"/>
                <w:szCs w:val="21"/>
                <w:color w:val="auto"/>
              </w:rPr>
              <w:t>$</w:t>
            </w:r>
          </w:p>
        </w:tc>
        <w:tc>
          <w:tcPr>
            <w:tcW w:w="1300" w:type="dxa"/>
            <w:vAlign w:val="bottom"/>
            <w:shd w:val="clear" w:color="auto" w:fill="CCEEFF"/>
          </w:tcPr>
          <w:p>
            <w:pPr>
              <w:jc w:val="right"/>
              <w:ind w:right="156"/>
              <w:spacing w:after="0" w:line="237" w:lineRule="exact"/>
              <w:rPr>
                <w:sz w:val="20"/>
                <w:szCs w:val="20"/>
                <w:color w:val="auto"/>
              </w:rPr>
            </w:pPr>
            <w:r>
              <w:rPr>
                <w:rFonts w:ascii="Arial" w:cs="Arial" w:eastAsia="Arial" w:hAnsi="Arial"/>
                <w:sz w:val="21"/>
                <w:szCs w:val="21"/>
                <w:color w:val="auto"/>
              </w:rPr>
              <w:t>11.33</w:t>
            </w:r>
          </w:p>
        </w:tc>
        <w:tc>
          <w:tcPr>
            <w:tcW w:w="1580" w:type="dxa"/>
            <w:vAlign w:val="bottom"/>
            <w:shd w:val="clear" w:color="auto" w:fill="CCEEFF"/>
          </w:tcPr>
          <w:p>
            <w:pPr>
              <w:jc w:val="right"/>
              <w:ind w:right="36"/>
              <w:spacing w:after="0" w:line="237" w:lineRule="exact"/>
              <w:rPr>
                <w:sz w:val="20"/>
                <w:szCs w:val="20"/>
                <w:color w:val="auto"/>
              </w:rPr>
            </w:pPr>
            <w:r>
              <w:rPr>
                <w:rFonts w:ascii="Arial" w:cs="Arial" w:eastAsia="Arial" w:hAnsi="Arial"/>
                <w:sz w:val="21"/>
                <w:szCs w:val="21"/>
                <w:color w:val="auto"/>
              </w:rPr>
              <w:t>4.1</w:t>
            </w:r>
          </w:p>
        </w:tc>
        <w:tc>
          <w:tcPr>
            <w:tcW w:w="340" w:type="dxa"/>
            <w:vAlign w:val="bottom"/>
            <w:shd w:val="clear" w:color="auto" w:fill="CCEEFF"/>
          </w:tcPr>
          <w:p>
            <w:pPr>
              <w:jc w:val="right"/>
              <w:spacing w:after="0" w:line="237" w:lineRule="exact"/>
              <w:rPr>
                <w:sz w:val="20"/>
                <w:szCs w:val="20"/>
                <w:color w:val="auto"/>
              </w:rPr>
            </w:pPr>
            <w:r>
              <w:rPr>
                <w:rFonts w:ascii="Arial" w:cs="Arial" w:eastAsia="Arial" w:hAnsi="Arial"/>
                <w:sz w:val="21"/>
                <w:szCs w:val="21"/>
                <w:color w:val="auto"/>
              </w:rPr>
              <w:t>$</w:t>
            </w:r>
          </w:p>
        </w:tc>
        <w:tc>
          <w:tcPr>
            <w:tcW w:w="1340" w:type="dxa"/>
            <w:vAlign w:val="bottom"/>
            <w:shd w:val="clear" w:color="auto" w:fill="CCEEFF"/>
          </w:tcPr>
          <w:p>
            <w:pPr>
              <w:jc w:val="right"/>
              <w:ind w:right="16"/>
              <w:spacing w:after="0" w:line="237" w:lineRule="exact"/>
              <w:rPr>
                <w:sz w:val="20"/>
                <w:szCs w:val="20"/>
                <w:color w:val="auto"/>
              </w:rPr>
            </w:pPr>
            <w:r>
              <w:rPr>
                <w:rFonts w:ascii="Arial" w:cs="Arial" w:eastAsia="Arial" w:hAnsi="Arial"/>
                <w:sz w:val="21"/>
                <w:szCs w:val="21"/>
                <w:color w:val="auto"/>
              </w:rPr>
              <w:t>646,916</w:t>
            </w:r>
          </w:p>
        </w:tc>
      </w:tr>
      <w:tr>
        <w:trPr>
          <w:trHeight w:val="230"/>
        </w:trPr>
        <w:tc>
          <w:tcPr>
            <w:tcW w:w="4700" w:type="dxa"/>
            <w:vAlign w:val="bottom"/>
          </w:tcPr>
          <w:p>
            <w:pPr>
              <w:spacing w:after="0" w:line="230" w:lineRule="exact"/>
              <w:rPr>
                <w:sz w:val="20"/>
                <w:szCs w:val="20"/>
                <w:color w:val="auto"/>
              </w:rPr>
            </w:pPr>
            <w:r>
              <w:rPr>
                <w:rFonts w:ascii="Arial" w:cs="Arial" w:eastAsia="Arial" w:hAnsi="Arial"/>
                <w:sz w:val="21"/>
                <w:szCs w:val="21"/>
                <w:color w:val="auto"/>
              </w:rPr>
              <w:t>Vested and expected to vest in the future at</w:t>
            </w:r>
          </w:p>
        </w:tc>
        <w:tc>
          <w:tcPr>
            <w:tcW w:w="13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56"/>
        </w:trPr>
        <w:tc>
          <w:tcPr>
            <w:tcW w:w="4700" w:type="dxa"/>
            <w:vAlign w:val="bottom"/>
          </w:tcPr>
          <w:p>
            <w:pPr>
              <w:ind w:left="380"/>
              <w:spacing w:after="0"/>
              <w:rPr>
                <w:sz w:val="20"/>
                <w:szCs w:val="20"/>
                <w:color w:val="auto"/>
              </w:rPr>
            </w:pPr>
            <w:r>
              <w:rPr>
                <w:rFonts w:ascii="Arial" w:cs="Arial" w:eastAsia="Arial" w:hAnsi="Arial"/>
                <w:sz w:val="21"/>
                <w:szCs w:val="21"/>
                <w:color w:val="auto"/>
              </w:rPr>
              <w:t>September 30, 2012</w:t>
            </w:r>
          </w:p>
        </w:tc>
        <w:tc>
          <w:tcPr>
            <w:tcW w:w="1360" w:type="dxa"/>
            <w:vAlign w:val="bottom"/>
          </w:tcPr>
          <w:p>
            <w:pPr>
              <w:jc w:val="right"/>
              <w:spacing w:after="0"/>
              <w:rPr>
                <w:sz w:val="20"/>
                <w:szCs w:val="20"/>
                <w:color w:val="auto"/>
              </w:rPr>
            </w:pPr>
            <w:r>
              <w:rPr>
                <w:rFonts w:ascii="Arial" w:cs="Arial" w:eastAsia="Arial" w:hAnsi="Arial"/>
                <w:sz w:val="21"/>
                <w:szCs w:val="21"/>
                <w:color w:val="auto"/>
              </w:rPr>
              <w:t>14,568</w:t>
            </w:r>
          </w:p>
        </w:tc>
        <w:tc>
          <w:tcPr>
            <w:tcW w:w="400" w:type="dxa"/>
            <w:vAlign w:val="bottom"/>
          </w:tcPr>
          <w:p>
            <w:pPr>
              <w:jc w:val="right"/>
              <w:spacing w:after="0"/>
              <w:rPr>
                <w:sz w:val="20"/>
                <w:szCs w:val="20"/>
                <w:color w:val="auto"/>
              </w:rPr>
            </w:pPr>
            <w:r>
              <w:rPr>
                <w:rFonts w:ascii="Arial" w:cs="Arial" w:eastAsia="Arial" w:hAnsi="Arial"/>
                <w:sz w:val="21"/>
                <w:szCs w:val="21"/>
                <w:color w:val="auto"/>
              </w:rPr>
              <w:t>$</w:t>
            </w:r>
          </w:p>
        </w:tc>
        <w:tc>
          <w:tcPr>
            <w:tcW w:w="1300" w:type="dxa"/>
            <w:vAlign w:val="bottom"/>
          </w:tcPr>
          <w:p>
            <w:pPr>
              <w:jc w:val="right"/>
              <w:ind w:right="156"/>
              <w:spacing w:after="0"/>
              <w:rPr>
                <w:sz w:val="20"/>
                <w:szCs w:val="20"/>
                <w:color w:val="auto"/>
              </w:rPr>
            </w:pPr>
            <w:r>
              <w:rPr>
                <w:rFonts w:ascii="Arial" w:cs="Arial" w:eastAsia="Arial" w:hAnsi="Arial"/>
                <w:sz w:val="21"/>
                <w:szCs w:val="21"/>
                <w:color w:val="auto"/>
              </w:rPr>
              <w:t>10.61</w:t>
            </w:r>
          </w:p>
        </w:tc>
        <w:tc>
          <w:tcPr>
            <w:tcW w:w="1580" w:type="dxa"/>
            <w:vAlign w:val="bottom"/>
          </w:tcPr>
          <w:p>
            <w:pPr>
              <w:jc w:val="right"/>
              <w:ind w:right="36"/>
              <w:spacing w:after="0"/>
              <w:rPr>
                <w:sz w:val="20"/>
                <w:szCs w:val="20"/>
                <w:color w:val="auto"/>
              </w:rPr>
            </w:pPr>
            <w:r>
              <w:rPr>
                <w:rFonts w:ascii="Arial" w:cs="Arial" w:eastAsia="Arial" w:hAnsi="Arial"/>
                <w:sz w:val="21"/>
                <w:szCs w:val="21"/>
                <w:color w:val="auto"/>
              </w:rPr>
              <w:t>4.0</w:t>
            </w:r>
          </w:p>
        </w:tc>
        <w:tc>
          <w:tcPr>
            <w:tcW w:w="340" w:type="dxa"/>
            <w:vAlign w:val="bottom"/>
          </w:tcPr>
          <w:p>
            <w:pPr>
              <w:jc w:val="right"/>
              <w:spacing w:after="0"/>
              <w:rPr>
                <w:sz w:val="20"/>
                <w:szCs w:val="20"/>
                <w:color w:val="auto"/>
              </w:rPr>
            </w:pPr>
            <w:r>
              <w:rPr>
                <w:rFonts w:ascii="Arial" w:cs="Arial" w:eastAsia="Arial" w:hAnsi="Arial"/>
                <w:sz w:val="21"/>
                <w:szCs w:val="21"/>
                <w:color w:val="auto"/>
              </w:rPr>
              <w:t>$</w:t>
            </w:r>
          </w:p>
        </w:tc>
        <w:tc>
          <w:tcPr>
            <w:tcW w:w="1340" w:type="dxa"/>
            <w:vAlign w:val="bottom"/>
          </w:tcPr>
          <w:p>
            <w:pPr>
              <w:jc w:val="right"/>
              <w:ind w:right="16"/>
              <w:spacing w:after="0"/>
              <w:rPr>
                <w:sz w:val="20"/>
                <w:szCs w:val="20"/>
                <w:color w:val="auto"/>
              </w:rPr>
            </w:pPr>
            <w:r>
              <w:rPr>
                <w:rFonts w:ascii="Arial" w:cs="Arial" w:eastAsia="Arial" w:hAnsi="Arial"/>
                <w:sz w:val="21"/>
                <w:szCs w:val="21"/>
                <w:color w:val="auto"/>
              </w:rPr>
              <w:t>634,377</w:t>
            </w:r>
          </w:p>
        </w:tc>
      </w:tr>
      <w:tr>
        <w:trPr>
          <w:trHeight w:val="243"/>
        </w:trPr>
        <w:tc>
          <w:tcPr>
            <w:tcW w:w="4700" w:type="dxa"/>
            <w:vAlign w:val="bottom"/>
            <w:shd w:val="clear" w:color="auto" w:fill="CCEEFF"/>
          </w:tcPr>
          <w:p>
            <w:pPr>
              <w:spacing w:after="0"/>
              <w:rPr>
                <w:sz w:val="20"/>
                <w:szCs w:val="20"/>
                <w:color w:val="auto"/>
              </w:rPr>
            </w:pPr>
            <w:r>
              <w:rPr>
                <w:rFonts w:ascii="Arial" w:cs="Arial" w:eastAsia="Arial" w:hAnsi="Arial"/>
                <w:sz w:val="21"/>
                <w:szCs w:val="21"/>
                <w:color w:val="auto"/>
              </w:rPr>
              <w:t>Exercisable at September 30, 2012</w:t>
            </w:r>
          </w:p>
        </w:tc>
        <w:tc>
          <w:tcPr>
            <w:tcW w:w="1360" w:type="dxa"/>
            <w:vAlign w:val="bottom"/>
            <w:shd w:val="clear" w:color="auto" w:fill="CCEEFF"/>
          </w:tcPr>
          <w:p>
            <w:pPr>
              <w:jc w:val="right"/>
              <w:spacing w:after="0"/>
              <w:rPr>
                <w:sz w:val="20"/>
                <w:szCs w:val="20"/>
                <w:color w:val="auto"/>
              </w:rPr>
            </w:pPr>
            <w:r>
              <w:rPr>
                <w:rFonts w:ascii="Arial" w:cs="Arial" w:eastAsia="Arial" w:hAnsi="Arial"/>
                <w:sz w:val="21"/>
                <w:szCs w:val="21"/>
                <w:color w:val="auto"/>
              </w:rPr>
              <w:t>11,627</w:t>
            </w:r>
          </w:p>
        </w:tc>
        <w:tc>
          <w:tcPr>
            <w:tcW w:w="400" w:type="dxa"/>
            <w:vAlign w:val="bottom"/>
            <w:shd w:val="clear" w:color="auto" w:fill="CCEEFF"/>
          </w:tcPr>
          <w:p>
            <w:pPr>
              <w:jc w:val="right"/>
              <w:spacing w:after="0"/>
              <w:rPr>
                <w:sz w:val="20"/>
                <w:szCs w:val="20"/>
                <w:color w:val="auto"/>
              </w:rPr>
            </w:pPr>
            <w:r>
              <w:rPr>
                <w:rFonts w:ascii="Arial" w:cs="Arial" w:eastAsia="Arial" w:hAnsi="Arial"/>
                <w:sz w:val="21"/>
                <w:szCs w:val="21"/>
                <w:color w:val="auto"/>
              </w:rPr>
              <w:t>$</w:t>
            </w:r>
          </w:p>
        </w:tc>
        <w:tc>
          <w:tcPr>
            <w:tcW w:w="1300" w:type="dxa"/>
            <w:vAlign w:val="bottom"/>
            <w:shd w:val="clear" w:color="auto" w:fill="CCEEFF"/>
          </w:tcPr>
          <w:p>
            <w:pPr>
              <w:jc w:val="right"/>
              <w:ind w:right="156"/>
              <w:spacing w:after="0"/>
              <w:rPr>
                <w:sz w:val="20"/>
                <w:szCs w:val="20"/>
                <w:color w:val="auto"/>
              </w:rPr>
            </w:pPr>
            <w:r>
              <w:rPr>
                <w:rFonts w:ascii="Arial" w:cs="Arial" w:eastAsia="Arial" w:hAnsi="Arial"/>
                <w:sz w:val="21"/>
                <w:szCs w:val="21"/>
                <w:color w:val="auto"/>
              </w:rPr>
              <w:t>7.21</w:t>
            </w:r>
          </w:p>
        </w:tc>
        <w:tc>
          <w:tcPr>
            <w:tcW w:w="1580" w:type="dxa"/>
            <w:vAlign w:val="bottom"/>
            <w:shd w:val="clear" w:color="auto" w:fill="CCEEFF"/>
          </w:tcPr>
          <w:p>
            <w:pPr>
              <w:jc w:val="right"/>
              <w:ind w:right="36"/>
              <w:spacing w:after="0"/>
              <w:rPr>
                <w:sz w:val="20"/>
                <w:szCs w:val="20"/>
                <w:color w:val="auto"/>
              </w:rPr>
            </w:pPr>
            <w:r>
              <w:rPr>
                <w:rFonts w:ascii="Arial" w:cs="Arial" w:eastAsia="Arial" w:hAnsi="Arial"/>
                <w:sz w:val="21"/>
                <w:szCs w:val="21"/>
                <w:color w:val="auto"/>
              </w:rPr>
              <w:t>3.2</w:t>
            </w:r>
          </w:p>
        </w:tc>
        <w:tc>
          <w:tcPr>
            <w:tcW w:w="340" w:type="dxa"/>
            <w:vAlign w:val="bottom"/>
            <w:shd w:val="clear" w:color="auto" w:fill="CCEEFF"/>
          </w:tcPr>
          <w:p>
            <w:pPr>
              <w:jc w:val="right"/>
              <w:spacing w:after="0"/>
              <w:rPr>
                <w:sz w:val="20"/>
                <w:szCs w:val="20"/>
                <w:color w:val="auto"/>
              </w:rPr>
            </w:pPr>
            <w:r>
              <w:rPr>
                <w:rFonts w:ascii="Arial" w:cs="Arial" w:eastAsia="Arial" w:hAnsi="Arial"/>
                <w:sz w:val="21"/>
                <w:szCs w:val="21"/>
                <w:color w:val="auto"/>
              </w:rPr>
              <w:t>$</w:t>
            </w:r>
          </w:p>
        </w:tc>
        <w:tc>
          <w:tcPr>
            <w:tcW w:w="1340" w:type="dxa"/>
            <w:vAlign w:val="bottom"/>
            <w:shd w:val="clear" w:color="auto" w:fill="CCEEFF"/>
          </w:tcPr>
          <w:p>
            <w:pPr>
              <w:jc w:val="right"/>
              <w:ind w:right="16"/>
              <w:spacing w:after="0"/>
              <w:rPr>
                <w:sz w:val="20"/>
                <w:szCs w:val="20"/>
                <w:color w:val="auto"/>
              </w:rPr>
            </w:pPr>
            <w:r>
              <w:rPr>
                <w:rFonts w:ascii="Arial" w:cs="Arial" w:eastAsia="Arial" w:hAnsi="Arial"/>
                <w:sz w:val="21"/>
                <w:szCs w:val="21"/>
                <w:color w:val="auto"/>
              </w:rPr>
              <w:t>544,650</w:t>
            </w:r>
          </w:p>
        </w:tc>
      </w:tr>
    </w:tbl>
    <w:p>
      <w:pPr>
        <w:spacing w:after="0" w:line="195"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The weighted-average grant-date fair value of options granted during the three-months ended September 30, 2012 and 2011 was $24.88 per share and $19.79 per share, respectively. The weighted-average grant-date fair value of options granted during the nine-months ended September 30, 2012 and 2011 was $25.73 per share and $17.64 per share, respectively. The total intrinsic value of options exercised during the three-months ended September 30, 2012 and 2011 was $84.6 million and $9.9 million, respectively. The total intrinsic value of options exercised during the nine-months ended September 30, 2012 and 2011 was $204.3 million and $19.4 million, respectively.</w:t>
      </w:r>
    </w:p>
    <w:p>
      <w:pPr>
        <w:spacing w:after="0" w:line="215"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1"/>
          <w:szCs w:val="21"/>
          <w:color w:val="auto"/>
        </w:rPr>
        <w:t>Cash received from option exercises under all plans for the three-months ended September 30, 2012 and 2011 was approximately $1.9 million and $6.5 million, respectively. Cash received from option exercises under all plans for the nine-months ended September 30, 2012 and 2011 was approximately $8.4 million and $17.8 million, respectively.</w:t>
      </w:r>
    </w:p>
    <w:p>
      <w:pPr>
        <w:spacing w:after="0" w:line="194" w:lineRule="exact"/>
        <w:rPr>
          <w:sz w:val="20"/>
          <w:szCs w:val="20"/>
          <w:color w:val="auto"/>
        </w:rPr>
      </w:pPr>
    </w:p>
    <w:p>
      <w:pPr>
        <w:jc w:val="both"/>
        <w:ind w:right="20" w:firstLine="648"/>
        <w:spacing w:after="0"/>
        <w:rPr>
          <w:sz w:val="20"/>
          <w:szCs w:val="20"/>
          <w:color w:val="auto"/>
        </w:rPr>
      </w:pPr>
      <w:r>
        <w:rPr>
          <w:rFonts w:ascii="Arial" w:cs="Arial" w:eastAsia="Arial" w:hAnsi="Arial"/>
          <w:sz w:val="22"/>
          <w:szCs w:val="22"/>
          <w:color w:val="auto"/>
        </w:rPr>
        <w:t>At September 30, 2012, there was $36.8 million of total unrecognized compensation expense related to non-vested options granted under the Company’s share-based payment plans. That cost is expected to be recognized over a weighted-average period of 2.4 years.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MONSTER BEVERAGE CORPORATION AND SUBSIDIARIES</w:t>
      </w:r>
    </w:p>
    <w:p>
      <w:pPr>
        <w:spacing w:after="0" w:line="14" w:lineRule="exact"/>
        <w:rPr>
          <w:sz w:val="20"/>
          <w:szCs w:val="20"/>
          <w:color w:val="auto"/>
        </w:rPr>
      </w:pPr>
    </w:p>
    <w:p>
      <w:pPr>
        <w:ind w:right="4340"/>
        <w:spacing w:after="0" w:line="308"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58" w:lineRule="exact"/>
        <w:rPr>
          <w:sz w:val="20"/>
          <w:szCs w:val="20"/>
          <w:color w:val="auto"/>
        </w:rPr>
      </w:pPr>
    </w:p>
    <w:p>
      <w:pPr>
        <w:spacing w:after="0"/>
        <w:rPr>
          <w:sz w:val="20"/>
          <w:szCs w:val="20"/>
          <w:color w:val="auto"/>
        </w:rPr>
      </w:pPr>
      <w:r>
        <w:rPr>
          <w:rFonts w:ascii="Arial" w:cs="Arial" w:eastAsia="Arial" w:hAnsi="Arial"/>
          <w:sz w:val="22"/>
          <w:szCs w:val="22"/>
          <w:i w:val="1"/>
          <w:iCs w:val="1"/>
          <w:u w:val="single" w:color="auto"/>
          <w:color w:val="auto"/>
        </w:rPr>
        <w:t>Restricted Stock Awards and Restricted Stock Units</w:t>
      </w:r>
    </w:p>
    <w:p>
      <w:pPr>
        <w:spacing w:after="0" w:line="233"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1"/>
          <w:szCs w:val="21"/>
          <w:color w:val="auto"/>
        </w:rPr>
        <w:t>Stock-based compensation cost for restricted stock awards and restricted stock units is measured based on the closing fair market value of the Company’s common stock at the date of grant. In the event that the Company has the option and intent to settle a restricted stock unit in cash, the award is classified as a liability and revalued at each balance sheet date. Total cash paid to settle restricted stock unit liabilities and the increase in the liabilities for future cash settlements during the nine-months ended September 30, 2012 and the year ended December 31, 2011 were not material.</w:t>
      </w:r>
    </w:p>
    <w:p>
      <w:pPr>
        <w:spacing w:after="0" w:line="206" w:lineRule="exact"/>
        <w:rPr>
          <w:sz w:val="20"/>
          <w:szCs w:val="20"/>
          <w:color w:val="auto"/>
        </w:rPr>
      </w:pPr>
    </w:p>
    <w:p>
      <w:pPr>
        <w:jc w:val="both"/>
        <w:ind w:right="20" w:firstLine="648"/>
        <w:spacing w:after="0" w:line="251" w:lineRule="auto"/>
        <w:rPr>
          <w:sz w:val="20"/>
          <w:szCs w:val="20"/>
          <w:color w:val="auto"/>
        </w:rPr>
      </w:pPr>
      <w:r>
        <w:rPr>
          <w:rFonts w:ascii="Arial" w:cs="Arial" w:eastAsia="Arial" w:hAnsi="Arial"/>
          <w:sz w:val="22"/>
          <w:szCs w:val="22"/>
          <w:color w:val="auto"/>
        </w:rPr>
        <w:t>The following table summarizes the Company’s activities with respect to non-vested restricted stock awards and non-vested restricted stock units as follows:</w:t>
      </w:r>
    </w:p>
    <w:p>
      <w:pPr>
        <w:spacing w:after="0" w:line="200" w:lineRule="exact"/>
        <w:rPr>
          <w:sz w:val="20"/>
          <w:szCs w:val="20"/>
          <w:color w:val="auto"/>
        </w:rPr>
      </w:pPr>
    </w:p>
    <w:p>
      <w:pPr>
        <w:ind w:left="6340"/>
        <w:spacing w:after="0"/>
        <w:tabs>
          <w:tab w:leader="none" w:pos="8440" w:val="left"/>
        </w:tabs>
        <w:rPr>
          <w:sz w:val="20"/>
          <w:szCs w:val="20"/>
          <w:color w:val="auto"/>
        </w:rPr>
      </w:pPr>
      <w:r>
        <w:rPr>
          <w:rFonts w:ascii="Arial" w:cs="Arial" w:eastAsia="Arial" w:hAnsi="Arial"/>
          <w:sz w:val="22"/>
          <w:szCs w:val="22"/>
          <w:color w:val="auto"/>
        </w:rPr>
        <w:t>Number of</w:t>
      </w:r>
      <w:r>
        <w:rPr>
          <w:sz w:val="20"/>
          <w:szCs w:val="20"/>
          <w:color w:val="auto"/>
        </w:rPr>
        <w:tab/>
      </w:r>
      <w:r>
        <w:rPr>
          <w:rFonts w:ascii="Arial" w:cs="Arial" w:eastAsia="Arial" w:hAnsi="Arial"/>
          <w:sz w:val="19"/>
          <w:szCs w:val="19"/>
          <w:color w:val="auto"/>
        </w:rPr>
        <w:t>Weighted-</w:t>
      </w:r>
    </w:p>
    <w:p>
      <w:pPr>
        <w:sectPr>
          <w:pgSz w:w="11900" w:h="16838" w:orient="portrait"/>
          <w:cols w:equalWidth="0" w:num="1">
            <w:col w:w="11420"/>
          </w:cols>
          <w:pgMar w:left="240" w:top="328" w:right="239" w:bottom="0" w:gutter="0" w:footer="0" w:header="0"/>
        </w:sectPr>
      </w:pPr>
    </w:p>
    <w:bookmarkStart w:id="16" w:name="page17"/>
    <w:bookmarkEnd w:id="16"/>
    <w:tbl>
      <w:tblPr>
        <w:tblLayout w:type="fixed"/>
        <w:tblInd w:w="660" w:type="dxa"/>
        <w:tblCellMar>
          <w:top w:w="0" w:type="dxa"/>
          <w:left w:w="0" w:type="dxa"/>
          <w:bottom w:w="0" w:type="dxa"/>
          <w:right w:w="0" w:type="dxa"/>
        </w:tblCellMar>
      </w:tblPr>
      <w:tr>
        <w:trPr>
          <w:trHeight w:val="253"/>
        </w:trPr>
        <w:tc>
          <w:tcPr>
            <w:tcW w:w="5400" w:type="dxa"/>
            <w:vAlign w:val="bottom"/>
          </w:tcPr>
          <w:p>
            <w:pPr>
              <w:spacing w:after="0"/>
              <w:rPr>
                <w:sz w:val="21"/>
                <w:szCs w:val="21"/>
                <w:color w:val="auto"/>
              </w:rPr>
            </w:pPr>
          </w:p>
        </w:tc>
        <w:tc>
          <w:tcPr>
            <w:tcW w:w="1640" w:type="dxa"/>
            <w:vAlign w:val="bottom"/>
          </w:tcPr>
          <w:p>
            <w:pPr>
              <w:jc w:val="right"/>
              <w:ind w:right="352"/>
              <w:spacing w:after="0"/>
              <w:rPr>
                <w:sz w:val="20"/>
                <w:szCs w:val="20"/>
                <w:color w:val="auto"/>
              </w:rPr>
            </w:pPr>
            <w:r>
              <w:rPr>
                <w:rFonts w:ascii="Arial" w:cs="Arial" w:eastAsia="Arial" w:hAnsi="Arial"/>
                <w:sz w:val="22"/>
                <w:szCs w:val="22"/>
                <w:color w:val="auto"/>
              </w:rPr>
              <w:t>Shares (in</w:t>
            </w: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center"/>
              <w:ind w:right="372"/>
              <w:spacing w:after="0"/>
              <w:rPr>
                <w:sz w:val="20"/>
                <w:szCs w:val="20"/>
                <w:color w:val="auto"/>
              </w:rPr>
            </w:pPr>
            <w:r>
              <w:rPr>
                <w:rFonts w:ascii="Arial" w:cs="Arial" w:eastAsia="Arial" w:hAnsi="Arial"/>
                <w:sz w:val="22"/>
                <w:szCs w:val="22"/>
                <w:color w:val="auto"/>
                <w:w w:val="87"/>
              </w:rPr>
              <w:t>Average</w:t>
            </w:r>
          </w:p>
        </w:tc>
      </w:tr>
      <w:tr>
        <w:trPr>
          <w:trHeight w:val="243"/>
        </w:trPr>
        <w:tc>
          <w:tcPr>
            <w:tcW w:w="5400" w:type="dxa"/>
            <w:vAlign w:val="bottom"/>
          </w:tcPr>
          <w:p>
            <w:pPr>
              <w:spacing w:after="0"/>
              <w:rPr>
                <w:sz w:val="21"/>
                <w:szCs w:val="21"/>
                <w:color w:val="auto"/>
              </w:rPr>
            </w:pPr>
          </w:p>
        </w:tc>
        <w:tc>
          <w:tcPr>
            <w:tcW w:w="1640" w:type="dxa"/>
            <w:vAlign w:val="bottom"/>
          </w:tcPr>
          <w:p>
            <w:pPr>
              <w:jc w:val="right"/>
              <w:ind w:right="332"/>
              <w:spacing w:after="0" w:line="243" w:lineRule="exact"/>
              <w:rPr>
                <w:sz w:val="20"/>
                <w:szCs w:val="20"/>
                <w:color w:val="auto"/>
              </w:rPr>
            </w:pPr>
            <w:r>
              <w:rPr>
                <w:rFonts w:ascii="Arial" w:cs="Arial" w:eastAsia="Arial" w:hAnsi="Arial"/>
                <w:sz w:val="22"/>
                <w:szCs w:val="22"/>
                <w:color w:val="auto"/>
              </w:rPr>
              <w:t>thousands)</w:t>
            </w: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0" w:type="dxa"/>
            <w:vAlign w:val="bottom"/>
            <w:gridSpan w:val="2"/>
          </w:tcPr>
          <w:p>
            <w:pPr>
              <w:ind w:left="240"/>
              <w:spacing w:after="0" w:line="243" w:lineRule="exact"/>
              <w:rPr>
                <w:sz w:val="20"/>
                <w:szCs w:val="20"/>
                <w:color w:val="auto"/>
              </w:rPr>
            </w:pPr>
            <w:r>
              <w:rPr>
                <w:rFonts w:ascii="Arial" w:cs="Arial" w:eastAsia="Arial" w:hAnsi="Arial"/>
                <w:sz w:val="22"/>
                <w:szCs w:val="22"/>
                <w:color w:val="auto"/>
              </w:rPr>
              <w:t>Grant-Date</w:t>
            </w:r>
          </w:p>
        </w:tc>
      </w:tr>
      <w:tr>
        <w:trPr>
          <w:trHeight w:val="265"/>
        </w:trPr>
        <w:tc>
          <w:tcPr>
            <w:tcW w:w="5400" w:type="dxa"/>
            <w:vAlign w:val="bottom"/>
            <w:tcBorders>
              <w:bottom w:val="single" w:sz="8" w:color="CCEEFF"/>
            </w:tcBorders>
          </w:tcPr>
          <w:p>
            <w:pPr>
              <w:spacing w:after="0"/>
              <w:rPr>
                <w:sz w:val="23"/>
                <w:szCs w:val="23"/>
                <w:color w:val="auto"/>
              </w:rPr>
            </w:pPr>
          </w:p>
        </w:tc>
        <w:tc>
          <w:tcPr>
            <w:tcW w:w="164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200" w:type="dxa"/>
            <w:vAlign w:val="bottom"/>
            <w:tcBorders>
              <w:bottom w:val="single" w:sz="8" w:color="CCEEFF"/>
            </w:tcBorders>
          </w:tcPr>
          <w:p>
            <w:pPr>
              <w:spacing w:after="0"/>
              <w:rPr>
                <w:sz w:val="23"/>
                <w:szCs w:val="23"/>
                <w:color w:val="auto"/>
              </w:rPr>
            </w:pPr>
          </w:p>
        </w:tc>
        <w:tc>
          <w:tcPr>
            <w:tcW w:w="1600" w:type="dxa"/>
            <w:vAlign w:val="bottom"/>
            <w:tcBorders>
              <w:bottom w:val="single" w:sz="8" w:color="auto"/>
            </w:tcBorders>
            <w:gridSpan w:val="2"/>
          </w:tcPr>
          <w:p>
            <w:pPr>
              <w:jc w:val="center"/>
              <w:ind w:right="32"/>
              <w:spacing w:after="0"/>
              <w:rPr>
                <w:sz w:val="20"/>
                <w:szCs w:val="20"/>
                <w:color w:val="auto"/>
              </w:rPr>
            </w:pPr>
            <w:r>
              <w:rPr>
                <w:rFonts w:ascii="Arial" w:cs="Arial" w:eastAsia="Arial" w:hAnsi="Arial"/>
                <w:sz w:val="22"/>
                <w:szCs w:val="22"/>
                <w:color w:val="auto"/>
                <w:w w:val="89"/>
              </w:rPr>
              <w:t>Fair Value</w:t>
            </w:r>
          </w:p>
        </w:tc>
      </w:tr>
      <w:tr>
        <w:trPr>
          <w:trHeight w:val="237"/>
        </w:trPr>
        <w:tc>
          <w:tcPr>
            <w:tcW w:w="5400" w:type="dxa"/>
            <w:vAlign w:val="bottom"/>
            <w:shd w:val="clear" w:color="auto" w:fill="CCEEFF"/>
          </w:tcPr>
          <w:p>
            <w:pPr>
              <w:spacing w:after="0" w:line="237" w:lineRule="exact"/>
              <w:rPr>
                <w:sz w:val="20"/>
                <w:szCs w:val="20"/>
                <w:color w:val="auto"/>
              </w:rPr>
            </w:pPr>
            <w:r>
              <w:rPr>
                <w:rFonts w:ascii="Arial" w:cs="Arial" w:eastAsia="Arial" w:hAnsi="Arial"/>
                <w:sz w:val="22"/>
                <w:szCs w:val="22"/>
                <w:color w:val="auto"/>
              </w:rPr>
              <w:t>Non-vested at January 1, 2012</w:t>
            </w:r>
          </w:p>
        </w:tc>
        <w:tc>
          <w:tcPr>
            <w:tcW w:w="1640" w:type="dxa"/>
            <w:vAlign w:val="bottom"/>
            <w:shd w:val="clear" w:color="auto" w:fill="CCEEFF"/>
          </w:tcPr>
          <w:p>
            <w:pPr>
              <w:jc w:val="right"/>
              <w:ind w:right="52"/>
              <w:spacing w:after="0" w:line="237" w:lineRule="exact"/>
              <w:rPr>
                <w:sz w:val="20"/>
                <w:szCs w:val="20"/>
                <w:color w:val="auto"/>
              </w:rPr>
            </w:pPr>
            <w:r>
              <w:rPr>
                <w:rFonts w:ascii="Arial" w:cs="Arial" w:eastAsia="Arial" w:hAnsi="Arial"/>
                <w:sz w:val="22"/>
                <w:szCs w:val="22"/>
                <w:color w:val="auto"/>
              </w:rPr>
              <w:t>724</w:t>
            </w:r>
          </w:p>
        </w:tc>
        <w:tc>
          <w:tcPr>
            <w:tcW w:w="2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60" w:type="dxa"/>
            <w:vAlign w:val="bottom"/>
            <w:shd w:val="clear" w:color="auto" w:fill="CCEEFF"/>
          </w:tcPr>
          <w:p>
            <w:pPr>
              <w:ind w:left="240"/>
              <w:spacing w:after="0" w:line="237" w:lineRule="exact"/>
              <w:rPr>
                <w:sz w:val="20"/>
                <w:szCs w:val="20"/>
                <w:color w:val="auto"/>
              </w:rPr>
            </w:pPr>
            <w:r>
              <w:rPr>
                <w:rFonts w:ascii="Arial" w:cs="Arial" w:eastAsia="Arial" w:hAnsi="Arial"/>
                <w:sz w:val="22"/>
                <w:szCs w:val="22"/>
                <w:color w:val="auto"/>
                <w:w w:val="81"/>
              </w:rPr>
              <w:t>$</w:t>
            </w:r>
          </w:p>
        </w:tc>
        <w:tc>
          <w:tcPr>
            <w:tcW w:w="1240" w:type="dxa"/>
            <w:vAlign w:val="bottom"/>
            <w:shd w:val="clear" w:color="auto" w:fill="CCEEFF"/>
          </w:tcPr>
          <w:p>
            <w:pPr>
              <w:jc w:val="center"/>
              <w:ind w:left="392"/>
              <w:spacing w:after="0" w:line="237" w:lineRule="exact"/>
              <w:rPr>
                <w:sz w:val="20"/>
                <w:szCs w:val="20"/>
                <w:color w:val="auto"/>
              </w:rPr>
            </w:pPr>
            <w:r>
              <w:rPr>
                <w:rFonts w:ascii="Arial" w:cs="Arial" w:eastAsia="Arial" w:hAnsi="Arial"/>
                <w:sz w:val="22"/>
                <w:szCs w:val="22"/>
                <w:color w:val="auto"/>
                <w:w w:val="90"/>
              </w:rPr>
              <w:t>41.66</w:t>
            </w:r>
          </w:p>
        </w:tc>
      </w:tr>
      <w:tr>
        <w:trPr>
          <w:trHeight w:val="243"/>
        </w:trPr>
        <w:tc>
          <w:tcPr>
            <w:tcW w:w="5400" w:type="dxa"/>
            <w:vAlign w:val="bottom"/>
          </w:tcPr>
          <w:p>
            <w:pPr>
              <w:ind w:left="360"/>
              <w:spacing w:after="0" w:line="243" w:lineRule="exact"/>
              <w:rPr>
                <w:sz w:val="20"/>
                <w:szCs w:val="20"/>
                <w:color w:val="auto"/>
              </w:rPr>
            </w:pPr>
            <w:r>
              <w:rPr>
                <w:rFonts w:ascii="Arial" w:cs="Arial" w:eastAsia="Arial" w:hAnsi="Arial"/>
                <w:sz w:val="22"/>
                <w:szCs w:val="22"/>
                <w:color w:val="auto"/>
              </w:rPr>
              <w:t>Granted 01/01/12 - 03/31/12</w:t>
            </w:r>
          </w:p>
        </w:tc>
        <w:tc>
          <w:tcPr>
            <w:tcW w:w="1640" w:type="dxa"/>
            <w:vAlign w:val="bottom"/>
          </w:tcPr>
          <w:p>
            <w:pPr>
              <w:jc w:val="right"/>
              <w:ind w:right="52"/>
              <w:spacing w:after="0" w:line="243" w:lineRule="exact"/>
              <w:rPr>
                <w:sz w:val="20"/>
                <w:szCs w:val="20"/>
                <w:color w:val="auto"/>
              </w:rPr>
            </w:pPr>
            <w:r>
              <w:rPr>
                <w:rFonts w:ascii="Arial" w:cs="Arial" w:eastAsia="Arial" w:hAnsi="Arial"/>
                <w:sz w:val="22"/>
                <w:szCs w:val="22"/>
                <w:color w:val="auto"/>
              </w:rPr>
              <w:t>91</w:t>
            </w:r>
          </w:p>
        </w:tc>
        <w:tc>
          <w:tcPr>
            <w:tcW w:w="840" w:type="dxa"/>
            <w:vAlign w:val="bottom"/>
            <w:gridSpan w:val="3"/>
          </w:tcPr>
          <w:p>
            <w:pPr>
              <w:ind w:left="720"/>
              <w:spacing w:after="0" w:line="243" w:lineRule="exact"/>
              <w:rPr>
                <w:sz w:val="20"/>
                <w:szCs w:val="20"/>
                <w:color w:val="auto"/>
              </w:rPr>
            </w:pPr>
            <w:r>
              <w:rPr>
                <w:rFonts w:ascii="Arial" w:cs="Arial" w:eastAsia="Arial" w:hAnsi="Arial"/>
                <w:sz w:val="22"/>
                <w:szCs w:val="22"/>
                <w:color w:val="auto"/>
                <w:w w:val="81"/>
              </w:rPr>
              <w:t>$</w:t>
            </w:r>
          </w:p>
        </w:tc>
        <w:tc>
          <w:tcPr>
            <w:tcW w:w="1240" w:type="dxa"/>
            <w:vAlign w:val="bottom"/>
          </w:tcPr>
          <w:p>
            <w:pPr>
              <w:jc w:val="center"/>
              <w:ind w:left="392"/>
              <w:spacing w:after="0" w:line="243" w:lineRule="exact"/>
              <w:rPr>
                <w:sz w:val="20"/>
                <w:szCs w:val="20"/>
                <w:color w:val="auto"/>
              </w:rPr>
            </w:pPr>
            <w:r>
              <w:rPr>
                <w:rFonts w:ascii="Arial" w:cs="Arial" w:eastAsia="Arial" w:hAnsi="Arial"/>
                <w:sz w:val="22"/>
                <w:szCs w:val="22"/>
                <w:color w:val="auto"/>
                <w:w w:val="90"/>
              </w:rPr>
              <w:t>57.45</w:t>
            </w:r>
          </w:p>
        </w:tc>
      </w:tr>
      <w:tr>
        <w:trPr>
          <w:trHeight w:val="243"/>
        </w:trPr>
        <w:tc>
          <w:tcPr>
            <w:tcW w:w="5400" w:type="dxa"/>
            <w:vAlign w:val="bottom"/>
            <w:shd w:val="clear" w:color="auto" w:fill="CCEEFF"/>
          </w:tcPr>
          <w:p>
            <w:pPr>
              <w:ind w:left="360"/>
              <w:spacing w:after="0" w:line="243" w:lineRule="exact"/>
              <w:rPr>
                <w:sz w:val="20"/>
                <w:szCs w:val="20"/>
                <w:color w:val="auto"/>
              </w:rPr>
            </w:pPr>
            <w:r>
              <w:rPr>
                <w:rFonts w:ascii="Arial" w:cs="Arial" w:eastAsia="Arial" w:hAnsi="Arial"/>
                <w:sz w:val="22"/>
                <w:szCs w:val="22"/>
                <w:color w:val="auto"/>
              </w:rPr>
              <w:t>Granted 04/01/12 - 06/30/12</w:t>
            </w:r>
          </w:p>
        </w:tc>
        <w:tc>
          <w:tcPr>
            <w:tcW w:w="1640" w:type="dxa"/>
            <w:vAlign w:val="bottom"/>
            <w:shd w:val="clear" w:color="auto" w:fill="CCEEFF"/>
          </w:tcPr>
          <w:p>
            <w:pPr>
              <w:jc w:val="right"/>
              <w:ind w:right="52"/>
              <w:spacing w:after="0" w:line="243" w:lineRule="exact"/>
              <w:rPr>
                <w:sz w:val="20"/>
                <w:szCs w:val="20"/>
                <w:color w:val="auto"/>
              </w:rPr>
            </w:pPr>
            <w:r>
              <w:rPr>
                <w:rFonts w:ascii="Arial" w:cs="Arial" w:eastAsia="Arial" w:hAnsi="Arial"/>
                <w:sz w:val="22"/>
                <w:szCs w:val="22"/>
                <w:color w:val="auto"/>
              </w:rPr>
              <w:t>60</w:t>
            </w:r>
          </w:p>
        </w:tc>
        <w:tc>
          <w:tcPr>
            <w:tcW w:w="840" w:type="dxa"/>
            <w:vAlign w:val="bottom"/>
            <w:gridSpan w:val="3"/>
            <w:shd w:val="clear" w:color="auto" w:fill="CCEEFF"/>
          </w:tcPr>
          <w:p>
            <w:pPr>
              <w:ind w:left="720"/>
              <w:spacing w:after="0" w:line="243" w:lineRule="exact"/>
              <w:rPr>
                <w:sz w:val="20"/>
                <w:szCs w:val="20"/>
                <w:color w:val="auto"/>
              </w:rPr>
            </w:pPr>
            <w:r>
              <w:rPr>
                <w:rFonts w:ascii="Arial" w:cs="Arial" w:eastAsia="Arial" w:hAnsi="Arial"/>
                <w:sz w:val="22"/>
                <w:szCs w:val="22"/>
                <w:color w:val="auto"/>
                <w:w w:val="81"/>
              </w:rPr>
              <w:t>$</w:t>
            </w:r>
          </w:p>
        </w:tc>
        <w:tc>
          <w:tcPr>
            <w:tcW w:w="1240" w:type="dxa"/>
            <w:vAlign w:val="bottom"/>
            <w:shd w:val="clear" w:color="auto" w:fill="CCEEFF"/>
          </w:tcPr>
          <w:p>
            <w:pPr>
              <w:jc w:val="center"/>
              <w:ind w:left="392"/>
              <w:spacing w:after="0" w:line="243" w:lineRule="exact"/>
              <w:rPr>
                <w:sz w:val="20"/>
                <w:szCs w:val="20"/>
                <w:color w:val="auto"/>
              </w:rPr>
            </w:pPr>
            <w:r>
              <w:rPr>
                <w:rFonts w:ascii="Arial" w:cs="Arial" w:eastAsia="Arial" w:hAnsi="Arial"/>
                <w:sz w:val="22"/>
                <w:szCs w:val="22"/>
                <w:color w:val="auto"/>
                <w:w w:val="90"/>
              </w:rPr>
              <w:t>69.98</w:t>
            </w:r>
          </w:p>
        </w:tc>
      </w:tr>
      <w:tr>
        <w:trPr>
          <w:trHeight w:val="243"/>
        </w:trPr>
        <w:tc>
          <w:tcPr>
            <w:tcW w:w="5400" w:type="dxa"/>
            <w:vAlign w:val="bottom"/>
          </w:tcPr>
          <w:p>
            <w:pPr>
              <w:ind w:left="360"/>
              <w:spacing w:after="0" w:line="243" w:lineRule="exact"/>
              <w:rPr>
                <w:sz w:val="20"/>
                <w:szCs w:val="20"/>
                <w:color w:val="auto"/>
              </w:rPr>
            </w:pPr>
            <w:r>
              <w:rPr>
                <w:rFonts w:ascii="Arial" w:cs="Arial" w:eastAsia="Arial" w:hAnsi="Arial"/>
                <w:sz w:val="22"/>
                <w:szCs w:val="22"/>
                <w:color w:val="auto"/>
              </w:rPr>
              <w:t>Granted 07/01/12 - 09/30/12</w:t>
            </w:r>
          </w:p>
        </w:tc>
        <w:tc>
          <w:tcPr>
            <w:tcW w:w="1640" w:type="dxa"/>
            <w:vAlign w:val="bottom"/>
          </w:tcPr>
          <w:p>
            <w:pPr>
              <w:jc w:val="right"/>
              <w:ind w:right="52"/>
              <w:spacing w:after="0" w:line="243" w:lineRule="exact"/>
              <w:rPr>
                <w:sz w:val="20"/>
                <w:szCs w:val="20"/>
                <w:color w:val="auto"/>
              </w:rPr>
            </w:pPr>
            <w:r>
              <w:rPr>
                <w:rFonts w:ascii="Arial" w:cs="Arial" w:eastAsia="Arial" w:hAnsi="Arial"/>
                <w:sz w:val="22"/>
                <w:szCs w:val="22"/>
                <w:color w:val="auto"/>
              </w:rPr>
              <w:t>10</w:t>
            </w:r>
          </w:p>
        </w:tc>
        <w:tc>
          <w:tcPr>
            <w:tcW w:w="840" w:type="dxa"/>
            <w:vAlign w:val="bottom"/>
            <w:gridSpan w:val="3"/>
          </w:tcPr>
          <w:p>
            <w:pPr>
              <w:ind w:left="720"/>
              <w:spacing w:after="0" w:line="243" w:lineRule="exact"/>
              <w:rPr>
                <w:sz w:val="20"/>
                <w:szCs w:val="20"/>
                <w:color w:val="auto"/>
              </w:rPr>
            </w:pPr>
            <w:r>
              <w:rPr>
                <w:rFonts w:ascii="Arial" w:cs="Arial" w:eastAsia="Arial" w:hAnsi="Arial"/>
                <w:sz w:val="22"/>
                <w:szCs w:val="22"/>
                <w:color w:val="auto"/>
                <w:w w:val="81"/>
              </w:rPr>
              <w:t>$</w:t>
            </w:r>
          </w:p>
        </w:tc>
        <w:tc>
          <w:tcPr>
            <w:tcW w:w="1240" w:type="dxa"/>
            <w:vAlign w:val="bottom"/>
          </w:tcPr>
          <w:p>
            <w:pPr>
              <w:jc w:val="center"/>
              <w:ind w:left="392"/>
              <w:spacing w:after="0" w:line="243" w:lineRule="exact"/>
              <w:rPr>
                <w:sz w:val="20"/>
                <w:szCs w:val="20"/>
                <w:color w:val="auto"/>
              </w:rPr>
            </w:pPr>
            <w:r>
              <w:rPr>
                <w:rFonts w:ascii="Arial" w:cs="Arial" w:eastAsia="Arial" w:hAnsi="Arial"/>
                <w:sz w:val="22"/>
                <w:szCs w:val="22"/>
                <w:color w:val="auto"/>
                <w:w w:val="90"/>
              </w:rPr>
              <w:t>59.87</w:t>
            </w:r>
          </w:p>
        </w:tc>
      </w:tr>
      <w:tr>
        <w:trPr>
          <w:trHeight w:val="243"/>
        </w:trPr>
        <w:tc>
          <w:tcPr>
            <w:tcW w:w="5400" w:type="dxa"/>
            <w:vAlign w:val="bottom"/>
            <w:shd w:val="clear" w:color="auto" w:fill="CCEEFF"/>
          </w:tcPr>
          <w:p>
            <w:pPr>
              <w:ind w:left="360"/>
              <w:spacing w:after="0" w:line="243" w:lineRule="exact"/>
              <w:rPr>
                <w:sz w:val="20"/>
                <w:szCs w:val="20"/>
                <w:color w:val="auto"/>
              </w:rPr>
            </w:pPr>
            <w:r>
              <w:rPr>
                <w:rFonts w:ascii="Arial" w:cs="Arial" w:eastAsia="Arial" w:hAnsi="Arial"/>
                <w:sz w:val="22"/>
                <w:szCs w:val="22"/>
                <w:color w:val="auto"/>
              </w:rPr>
              <w:t>Vested</w:t>
            </w:r>
          </w:p>
        </w:tc>
        <w:tc>
          <w:tcPr>
            <w:tcW w:w="164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(248)</w:t>
            </w:r>
          </w:p>
        </w:tc>
        <w:tc>
          <w:tcPr>
            <w:tcW w:w="840" w:type="dxa"/>
            <w:vAlign w:val="bottom"/>
            <w:gridSpan w:val="3"/>
            <w:shd w:val="clear" w:color="auto" w:fill="CCEEFF"/>
          </w:tcPr>
          <w:p>
            <w:pPr>
              <w:ind w:left="720"/>
              <w:spacing w:after="0" w:line="243" w:lineRule="exact"/>
              <w:rPr>
                <w:sz w:val="20"/>
                <w:szCs w:val="20"/>
                <w:color w:val="auto"/>
              </w:rPr>
            </w:pPr>
            <w:r>
              <w:rPr>
                <w:rFonts w:ascii="Arial" w:cs="Arial" w:eastAsia="Arial" w:hAnsi="Arial"/>
                <w:sz w:val="22"/>
                <w:szCs w:val="22"/>
                <w:color w:val="auto"/>
                <w:w w:val="81"/>
              </w:rPr>
              <w:t>$</w:t>
            </w:r>
          </w:p>
        </w:tc>
        <w:tc>
          <w:tcPr>
            <w:tcW w:w="1240" w:type="dxa"/>
            <w:vAlign w:val="bottom"/>
            <w:shd w:val="clear" w:color="auto" w:fill="CCEEFF"/>
          </w:tcPr>
          <w:p>
            <w:pPr>
              <w:jc w:val="center"/>
              <w:ind w:left="392"/>
              <w:spacing w:after="0" w:line="243" w:lineRule="exact"/>
              <w:rPr>
                <w:sz w:val="20"/>
                <w:szCs w:val="20"/>
                <w:color w:val="auto"/>
              </w:rPr>
            </w:pPr>
            <w:r>
              <w:rPr>
                <w:rFonts w:ascii="Arial" w:cs="Arial" w:eastAsia="Arial" w:hAnsi="Arial"/>
                <w:sz w:val="22"/>
                <w:szCs w:val="22"/>
                <w:color w:val="auto"/>
                <w:w w:val="90"/>
              </w:rPr>
              <w:t>41.38</w:t>
            </w:r>
          </w:p>
        </w:tc>
      </w:tr>
      <w:tr>
        <w:trPr>
          <w:trHeight w:val="243"/>
        </w:trPr>
        <w:tc>
          <w:tcPr>
            <w:tcW w:w="5400" w:type="dxa"/>
            <w:vAlign w:val="bottom"/>
            <w:tcBorders>
              <w:bottom w:val="single" w:sz="8" w:color="CCEEFF"/>
            </w:tcBorders>
          </w:tcPr>
          <w:p>
            <w:pPr>
              <w:ind w:left="360"/>
              <w:spacing w:after="0" w:line="243" w:lineRule="exact"/>
              <w:rPr>
                <w:sz w:val="20"/>
                <w:szCs w:val="20"/>
                <w:color w:val="auto"/>
              </w:rPr>
            </w:pPr>
            <w:r>
              <w:rPr>
                <w:rFonts w:ascii="Arial" w:cs="Arial" w:eastAsia="Arial" w:hAnsi="Arial"/>
                <w:sz w:val="22"/>
                <w:szCs w:val="22"/>
                <w:color w:val="auto"/>
              </w:rPr>
              <w:t>Forfeited/cancelled</w:t>
            </w:r>
          </w:p>
        </w:tc>
        <w:tc>
          <w:tcPr>
            <w:tcW w:w="1640" w:type="dxa"/>
            <w:vAlign w:val="bottom"/>
            <w:tcBorders>
              <w:bottom w:val="single" w:sz="8" w:color="auto"/>
            </w:tcBorders>
          </w:tcPr>
          <w:p>
            <w:pPr>
              <w:jc w:val="right"/>
              <w:ind w:right="52"/>
              <w:spacing w:after="0" w:line="243" w:lineRule="exact"/>
              <w:rPr>
                <w:sz w:val="20"/>
                <w:szCs w:val="20"/>
                <w:color w:val="auto"/>
              </w:rPr>
            </w:pPr>
            <w:r>
              <w:rPr>
                <w:rFonts w:ascii="Arial" w:cs="Arial" w:eastAsia="Arial" w:hAnsi="Arial"/>
                <w:sz w:val="22"/>
                <w:szCs w:val="22"/>
                <w:color w:val="auto"/>
              </w:rPr>
              <w:t>-</w:t>
            </w:r>
          </w:p>
        </w:tc>
        <w:tc>
          <w:tcPr>
            <w:tcW w:w="840" w:type="dxa"/>
            <w:vAlign w:val="bottom"/>
            <w:tcBorders>
              <w:bottom w:val="single" w:sz="8" w:color="CCEEFF"/>
            </w:tcBorders>
            <w:gridSpan w:val="3"/>
          </w:tcPr>
          <w:p>
            <w:pPr>
              <w:ind w:left="720"/>
              <w:spacing w:after="0" w:line="243" w:lineRule="exact"/>
              <w:rPr>
                <w:sz w:val="20"/>
                <w:szCs w:val="20"/>
                <w:color w:val="auto"/>
              </w:rPr>
            </w:pPr>
            <w:r>
              <w:rPr>
                <w:rFonts w:ascii="Arial" w:cs="Arial" w:eastAsia="Arial" w:hAnsi="Arial"/>
                <w:sz w:val="22"/>
                <w:szCs w:val="22"/>
                <w:color w:val="auto"/>
                <w:w w:val="81"/>
              </w:rPr>
              <w:t>$</w:t>
            </w:r>
          </w:p>
        </w:tc>
        <w:tc>
          <w:tcPr>
            <w:tcW w:w="1240" w:type="dxa"/>
            <w:vAlign w:val="bottom"/>
            <w:tcBorders>
              <w:bottom w:val="single" w:sz="8" w:color="CCEEFF"/>
            </w:tcBorders>
          </w:tcPr>
          <w:p>
            <w:pPr>
              <w:jc w:val="center"/>
              <w:ind w:left="372"/>
              <w:spacing w:after="0" w:line="243" w:lineRule="exact"/>
              <w:rPr>
                <w:sz w:val="20"/>
                <w:szCs w:val="20"/>
                <w:color w:val="auto"/>
              </w:rPr>
            </w:pPr>
            <w:r>
              <w:rPr>
                <w:rFonts w:ascii="Arial" w:cs="Arial" w:eastAsia="Arial" w:hAnsi="Arial"/>
                <w:sz w:val="22"/>
                <w:szCs w:val="22"/>
                <w:color w:val="auto"/>
              </w:rPr>
              <w:t>-</w:t>
            </w:r>
          </w:p>
        </w:tc>
      </w:tr>
      <w:tr>
        <w:trPr>
          <w:trHeight w:val="237"/>
        </w:trPr>
        <w:tc>
          <w:tcPr>
            <w:tcW w:w="5400" w:type="dxa"/>
            <w:vAlign w:val="bottom"/>
            <w:tcBorders>
              <w:bottom w:val="single" w:sz="8" w:color="CCEEFF"/>
            </w:tcBorders>
            <w:shd w:val="clear" w:color="auto" w:fill="CCEEFF"/>
          </w:tcPr>
          <w:p>
            <w:pPr>
              <w:spacing w:after="0" w:line="237" w:lineRule="exact"/>
              <w:rPr>
                <w:sz w:val="20"/>
                <w:szCs w:val="20"/>
                <w:color w:val="auto"/>
              </w:rPr>
            </w:pPr>
            <w:r>
              <w:rPr>
                <w:rFonts w:ascii="Arial" w:cs="Arial" w:eastAsia="Arial" w:hAnsi="Arial"/>
                <w:sz w:val="22"/>
                <w:szCs w:val="22"/>
                <w:color w:val="auto"/>
              </w:rPr>
              <w:t>Non-vested at September 30, 2012</w:t>
            </w:r>
          </w:p>
        </w:tc>
        <w:tc>
          <w:tcPr>
            <w:tcW w:w="1640" w:type="dxa"/>
            <w:vAlign w:val="bottom"/>
            <w:tcBorders>
              <w:bottom w:val="single" w:sz="8" w:color="auto"/>
            </w:tcBorders>
            <w:shd w:val="clear" w:color="auto" w:fill="CCEEFF"/>
          </w:tcPr>
          <w:p>
            <w:pPr>
              <w:jc w:val="right"/>
              <w:ind w:right="52"/>
              <w:spacing w:after="0" w:line="237" w:lineRule="exact"/>
              <w:rPr>
                <w:sz w:val="20"/>
                <w:szCs w:val="20"/>
                <w:color w:val="auto"/>
              </w:rPr>
            </w:pPr>
            <w:r>
              <w:rPr>
                <w:rFonts w:ascii="Arial" w:cs="Arial" w:eastAsia="Arial" w:hAnsi="Arial"/>
                <w:sz w:val="22"/>
                <w:szCs w:val="22"/>
                <w:color w:val="auto"/>
              </w:rPr>
              <w:t>637</w:t>
            </w:r>
          </w:p>
        </w:tc>
        <w:tc>
          <w:tcPr>
            <w:tcW w:w="840" w:type="dxa"/>
            <w:vAlign w:val="bottom"/>
            <w:tcBorders>
              <w:bottom w:val="single" w:sz="8" w:color="CCEEFF"/>
            </w:tcBorders>
            <w:gridSpan w:val="3"/>
            <w:shd w:val="clear" w:color="auto" w:fill="CCEEFF"/>
          </w:tcPr>
          <w:p>
            <w:pPr>
              <w:ind w:left="720"/>
              <w:spacing w:after="0" w:line="237" w:lineRule="exact"/>
              <w:rPr>
                <w:sz w:val="20"/>
                <w:szCs w:val="20"/>
                <w:color w:val="auto"/>
              </w:rPr>
            </w:pPr>
            <w:r>
              <w:rPr>
                <w:rFonts w:ascii="Arial" w:cs="Arial" w:eastAsia="Arial" w:hAnsi="Arial"/>
                <w:sz w:val="22"/>
                <w:szCs w:val="22"/>
                <w:color w:val="auto"/>
                <w:w w:val="81"/>
              </w:rPr>
              <w:t>$</w:t>
            </w:r>
          </w:p>
        </w:tc>
        <w:tc>
          <w:tcPr>
            <w:tcW w:w="1240" w:type="dxa"/>
            <w:vAlign w:val="bottom"/>
            <w:tcBorders>
              <w:bottom w:val="single" w:sz="8" w:color="CCEEFF"/>
            </w:tcBorders>
            <w:shd w:val="clear" w:color="auto" w:fill="CCEEFF"/>
          </w:tcPr>
          <w:p>
            <w:pPr>
              <w:jc w:val="center"/>
              <w:ind w:left="392"/>
              <w:spacing w:after="0" w:line="237" w:lineRule="exact"/>
              <w:rPr>
                <w:sz w:val="20"/>
                <w:szCs w:val="20"/>
                <w:color w:val="auto"/>
              </w:rPr>
            </w:pPr>
            <w:r>
              <w:rPr>
                <w:rFonts w:ascii="Arial" w:cs="Arial" w:eastAsia="Arial" w:hAnsi="Arial"/>
                <w:sz w:val="22"/>
                <w:szCs w:val="22"/>
                <w:color w:val="auto"/>
                <w:w w:val="90"/>
              </w:rPr>
              <w:t>47.00</w:t>
            </w:r>
          </w:p>
        </w:tc>
      </w:tr>
      <w:tr>
        <w:trPr>
          <w:trHeight w:val="20"/>
        </w:trPr>
        <w:tc>
          <w:tcPr>
            <w:tcW w:w="54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bl>
    <w:p>
      <w:pPr>
        <w:spacing w:after="0" w:line="222"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The weighted-average grant-date fair value of restricted stock units and restricted stock awards granted during the three-months ended September 30, 2012 and 2011 was $59.87 and $42.04, respectively. The weighted-average grant-date fair value of restricted stock units and restricted stock awards granted during the nine-months ended September 30, 2012 and 2011 was $62.31 and $41.56, respectively. As of September 30, 2012, 0.5 million restricted stock units and restricted stock awards are expected to vest in the future.</w:t>
      </w:r>
    </w:p>
    <w:p>
      <w:pPr>
        <w:spacing w:after="0" w:line="215" w:lineRule="exact"/>
        <w:rPr>
          <w:sz w:val="20"/>
          <w:szCs w:val="20"/>
          <w:color w:val="auto"/>
        </w:rPr>
      </w:pPr>
    </w:p>
    <w:p>
      <w:pPr>
        <w:jc w:val="both"/>
        <w:ind w:firstLine="648"/>
        <w:spacing w:after="0" w:line="328" w:lineRule="auto"/>
        <w:rPr>
          <w:sz w:val="20"/>
          <w:szCs w:val="20"/>
          <w:color w:val="auto"/>
        </w:rPr>
      </w:pPr>
      <w:r>
        <w:rPr>
          <w:rFonts w:ascii="Arial" w:cs="Arial" w:eastAsia="Arial" w:hAnsi="Arial"/>
          <w:sz w:val="19"/>
          <w:szCs w:val="19"/>
          <w:color w:val="auto"/>
        </w:rPr>
        <w:t>At September 30, 2012, total unrecognized compensation expense relating to non-vested restricted stock awards and non-vested restricted stock units was $27.5 million, which is expected to be recognized over a weighted-average period of 2.4 years.</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MONSTER BEVERAGE CORPORATION AND SUBSIDIARIES</w:t>
      </w:r>
    </w:p>
    <w:p>
      <w:pPr>
        <w:spacing w:after="0" w:line="14" w:lineRule="exact"/>
        <w:rPr>
          <w:sz w:val="20"/>
          <w:szCs w:val="20"/>
          <w:color w:val="auto"/>
        </w:rPr>
      </w:pPr>
    </w:p>
    <w:p>
      <w:pPr>
        <w:ind w:right="4340"/>
        <w:spacing w:after="0" w:line="308"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2466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44" w:lineRule="exact"/>
        <w:rPr>
          <w:sz w:val="20"/>
          <w:szCs w:val="20"/>
          <w:color w:val="auto"/>
        </w:rPr>
      </w:pPr>
    </w:p>
    <w:p>
      <w:pPr>
        <w:ind w:left="660" w:hanging="652"/>
        <w:spacing w:after="0"/>
        <w:tabs>
          <w:tab w:leader="none" w:pos="660" w:val="left"/>
        </w:tabs>
        <w:numPr>
          <w:ilvl w:val="0"/>
          <w:numId w:val="15"/>
        </w:numPr>
        <w:rPr>
          <w:rFonts w:ascii="Arial" w:cs="Arial" w:eastAsia="Arial" w:hAnsi="Arial"/>
          <w:sz w:val="22"/>
          <w:szCs w:val="22"/>
          <w:color w:val="auto"/>
        </w:rPr>
      </w:pPr>
      <w:r>
        <w:rPr>
          <w:rFonts w:ascii="Arial" w:cs="Arial" w:eastAsia="Arial" w:hAnsi="Arial"/>
          <w:sz w:val="22"/>
          <w:szCs w:val="22"/>
          <w:color w:val="auto"/>
        </w:rPr>
        <w:t>INCOME TAXES</w:t>
      </w:r>
    </w:p>
    <w:p>
      <w:pPr>
        <w:spacing w:after="0" w:line="23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The following is a roll-forward of the Company’s total gross unrecognized tax benefits, not including interest and penalties, for the nine-months ended September 30, 2012:</w:t>
      </w:r>
    </w:p>
    <w:p>
      <w:pPr>
        <w:spacing w:after="0" w:line="203" w:lineRule="exact"/>
        <w:rPr>
          <w:sz w:val="20"/>
          <w:szCs w:val="20"/>
          <w:color w:val="auto"/>
        </w:rPr>
      </w:pPr>
    </w:p>
    <w:tbl>
      <w:tblPr>
        <w:tblLayout w:type="fixed"/>
        <w:tblInd w:w="980" w:type="dxa"/>
        <w:tblCellMar>
          <w:top w:w="0" w:type="dxa"/>
          <w:left w:w="0" w:type="dxa"/>
          <w:bottom w:w="0" w:type="dxa"/>
          <w:right w:w="0" w:type="dxa"/>
        </w:tblCellMar>
      </w:tblPr>
      <w:tr>
        <w:trPr>
          <w:trHeight w:val="216"/>
        </w:trPr>
        <w:tc>
          <w:tcPr>
            <w:tcW w:w="4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360" w:type="dxa"/>
            <w:vAlign w:val="bottom"/>
          </w:tcPr>
          <w:p>
            <w:pPr>
              <w:jc w:val="right"/>
              <w:ind w:right="424"/>
              <w:spacing w:after="0"/>
              <w:rPr>
                <w:sz w:val="20"/>
                <w:szCs w:val="20"/>
                <w:color w:val="auto"/>
              </w:rPr>
            </w:pPr>
            <w:r>
              <w:rPr>
                <w:rFonts w:ascii="Arial" w:cs="Arial" w:eastAsia="Arial" w:hAnsi="Arial"/>
                <w:sz w:val="18"/>
                <w:szCs w:val="18"/>
                <w:b w:val="1"/>
                <w:bCs w:val="1"/>
                <w:color w:val="auto"/>
                <w:w w:val="98"/>
              </w:rPr>
              <w:t>Gross Unrealized Tax</w:t>
            </w:r>
          </w:p>
        </w:tc>
      </w:tr>
      <w:tr>
        <w:trPr>
          <w:trHeight w:val="234"/>
        </w:trPr>
        <w:tc>
          <w:tcPr>
            <w:tcW w:w="414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tcPr>
          <w:p>
            <w:pPr>
              <w:jc w:val="right"/>
              <w:ind w:right="944"/>
              <w:spacing w:after="0"/>
              <w:rPr>
                <w:sz w:val="20"/>
                <w:szCs w:val="20"/>
                <w:color w:val="auto"/>
              </w:rPr>
            </w:pPr>
            <w:r>
              <w:rPr>
                <w:rFonts w:ascii="Arial" w:cs="Arial" w:eastAsia="Arial" w:hAnsi="Arial"/>
                <w:sz w:val="18"/>
                <w:szCs w:val="18"/>
                <w:b w:val="1"/>
                <w:bCs w:val="1"/>
                <w:color w:val="auto"/>
              </w:rPr>
              <w:t>Benefits</w:t>
            </w:r>
          </w:p>
        </w:tc>
      </w:tr>
      <w:tr>
        <w:trPr>
          <w:trHeight w:val="223"/>
        </w:trPr>
        <w:tc>
          <w:tcPr>
            <w:tcW w:w="4140" w:type="dxa"/>
            <w:vAlign w:val="bottom"/>
            <w:shd w:val="clear" w:color="auto" w:fill="CCEEFF"/>
          </w:tcPr>
          <w:p>
            <w:pPr>
              <w:spacing w:after="0" w:line="223" w:lineRule="exact"/>
              <w:rPr>
                <w:sz w:val="20"/>
                <w:szCs w:val="20"/>
                <w:color w:val="auto"/>
              </w:rPr>
            </w:pPr>
            <w:r>
              <w:rPr>
                <w:rFonts w:ascii="Arial" w:cs="Arial" w:eastAsia="Arial" w:hAnsi="Arial"/>
                <w:sz w:val="20"/>
                <w:szCs w:val="20"/>
                <w:b w:val="1"/>
                <w:bCs w:val="1"/>
                <w:color w:val="auto"/>
              </w:rPr>
              <w:t>Balance at December 31, 2011</w:t>
            </w:r>
          </w:p>
        </w:tc>
        <w:tc>
          <w:tcPr>
            <w:tcW w:w="340" w:type="dxa"/>
            <w:vAlign w:val="bottom"/>
            <w:shd w:val="clear" w:color="auto" w:fill="CCEEFF"/>
          </w:tcPr>
          <w:p>
            <w:pPr>
              <w:jc w:val="right"/>
              <w:ind w:right="61"/>
              <w:spacing w:after="0" w:line="223" w:lineRule="exact"/>
              <w:rPr>
                <w:sz w:val="20"/>
                <w:szCs w:val="20"/>
                <w:color w:val="auto"/>
              </w:rPr>
            </w:pPr>
            <w:r>
              <w:rPr>
                <w:rFonts w:ascii="Arial" w:cs="Arial" w:eastAsia="Arial" w:hAnsi="Arial"/>
                <w:sz w:val="20"/>
                <w:szCs w:val="20"/>
                <w:color w:val="auto"/>
              </w:rPr>
              <w:t>$</w:t>
            </w:r>
          </w:p>
        </w:tc>
        <w:tc>
          <w:tcPr>
            <w:tcW w:w="2360" w:type="dxa"/>
            <w:vAlign w:val="bottom"/>
            <w:shd w:val="clear" w:color="auto" w:fill="CCEEFF"/>
          </w:tcPr>
          <w:p>
            <w:pPr>
              <w:jc w:val="right"/>
              <w:ind w:right="24"/>
              <w:spacing w:after="0" w:line="223" w:lineRule="exact"/>
              <w:rPr>
                <w:sz w:val="20"/>
                <w:szCs w:val="20"/>
                <w:color w:val="auto"/>
              </w:rPr>
            </w:pPr>
            <w:r>
              <w:rPr>
                <w:rFonts w:ascii="Arial" w:cs="Arial" w:eastAsia="Arial" w:hAnsi="Arial"/>
                <w:sz w:val="20"/>
                <w:szCs w:val="20"/>
                <w:color w:val="auto"/>
              </w:rPr>
              <w:t>1,910</w:t>
            </w:r>
          </w:p>
        </w:tc>
      </w:tr>
      <w:tr>
        <w:trPr>
          <w:trHeight w:val="213"/>
        </w:trPr>
        <w:tc>
          <w:tcPr>
            <w:tcW w:w="4140" w:type="dxa"/>
            <w:vAlign w:val="bottom"/>
          </w:tcPr>
          <w:p>
            <w:pPr>
              <w:spacing w:after="0" w:line="213" w:lineRule="exact"/>
              <w:rPr>
                <w:sz w:val="20"/>
                <w:szCs w:val="20"/>
                <w:color w:val="auto"/>
              </w:rPr>
            </w:pPr>
            <w:r>
              <w:rPr>
                <w:rFonts w:ascii="Arial" w:cs="Arial" w:eastAsia="Arial" w:hAnsi="Arial"/>
                <w:sz w:val="20"/>
                <w:szCs w:val="20"/>
                <w:color w:val="auto"/>
                <w:w w:val="98"/>
              </w:rPr>
              <w:t>Additions for tax positions related to the current</w:t>
            </w:r>
          </w:p>
        </w:tc>
        <w:tc>
          <w:tcPr>
            <w:tcW w:w="340" w:type="dxa"/>
            <w:vAlign w:val="bottom"/>
          </w:tcPr>
          <w:p>
            <w:pPr>
              <w:spacing w:after="0"/>
              <w:rPr>
                <w:sz w:val="18"/>
                <w:szCs w:val="18"/>
                <w:color w:val="auto"/>
              </w:rPr>
            </w:pPr>
          </w:p>
        </w:tc>
        <w:tc>
          <w:tcPr>
            <w:tcW w:w="2360" w:type="dxa"/>
            <w:vAlign w:val="bottom"/>
          </w:tcPr>
          <w:p>
            <w:pPr>
              <w:spacing w:after="0"/>
              <w:rPr>
                <w:sz w:val="18"/>
                <w:szCs w:val="18"/>
                <w:color w:val="auto"/>
              </w:rPr>
            </w:pPr>
          </w:p>
        </w:tc>
      </w:tr>
      <w:tr>
        <w:trPr>
          <w:trHeight w:val="246"/>
        </w:trPr>
        <w:tc>
          <w:tcPr>
            <w:tcW w:w="4140" w:type="dxa"/>
            <w:vAlign w:val="bottom"/>
          </w:tcPr>
          <w:p>
            <w:pPr>
              <w:ind w:left="180"/>
              <w:spacing w:after="0"/>
              <w:rPr>
                <w:sz w:val="20"/>
                <w:szCs w:val="20"/>
                <w:color w:val="auto"/>
              </w:rPr>
            </w:pPr>
            <w:r>
              <w:rPr>
                <w:rFonts w:ascii="Arial" w:cs="Arial" w:eastAsia="Arial" w:hAnsi="Arial"/>
                <w:sz w:val="20"/>
                <w:szCs w:val="20"/>
                <w:color w:val="auto"/>
              </w:rPr>
              <w:t>year</w:t>
            </w:r>
          </w:p>
        </w:tc>
        <w:tc>
          <w:tcPr>
            <w:tcW w:w="340" w:type="dxa"/>
            <w:vAlign w:val="bottom"/>
          </w:tcPr>
          <w:p>
            <w:pPr>
              <w:spacing w:after="0"/>
              <w:rPr>
                <w:sz w:val="21"/>
                <w:szCs w:val="21"/>
                <w:color w:val="auto"/>
              </w:rPr>
            </w:pPr>
          </w:p>
        </w:tc>
        <w:tc>
          <w:tcPr>
            <w:tcW w:w="2360" w:type="dxa"/>
            <w:vAlign w:val="bottom"/>
          </w:tcPr>
          <w:p>
            <w:pPr>
              <w:jc w:val="right"/>
              <w:ind w:right="24"/>
              <w:spacing w:after="0"/>
              <w:rPr>
                <w:sz w:val="20"/>
                <w:szCs w:val="20"/>
                <w:color w:val="auto"/>
              </w:rPr>
            </w:pPr>
            <w:r>
              <w:rPr>
                <w:rFonts w:ascii="Arial" w:cs="Arial" w:eastAsia="Arial" w:hAnsi="Arial"/>
                <w:sz w:val="20"/>
                <w:szCs w:val="20"/>
                <w:color w:val="auto"/>
              </w:rPr>
              <w:t>-</w:t>
            </w:r>
          </w:p>
        </w:tc>
      </w:tr>
      <w:tr>
        <w:trPr>
          <w:trHeight w:val="213"/>
        </w:trPr>
        <w:tc>
          <w:tcPr>
            <w:tcW w:w="4140" w:type="dxa"/>
            <w:vAlign w:val="bottom"/>
            <w:shd w:val="clear" w:color="auto" w:fill="CCEEFF"/>
          </w:tcPr>
          <w:p>
            <w:pPr>
              <w:spacing w:after="0" w:line="213" w:lineRule="exact"/>
              <w:rPr>
                <w:sz w:val="20"/>
                <w:szCs w:val="20"/>
                <w:color w:val="auto"/>
              </w:rPr>
            </w:pPr>
            <w:r>
              <w:rPr>
                <w:rFonts w:ascii="Arial" w:cs="Arial" w:eastAsia="Arial" w:hAnsi="Arial"/>
                <w:sz w:val="20"/>
                <w:szCs w:val="20"/>
                <w:color w:val="auto"/>
              </w:rPr>
              <w:t>Additions for tax positions related to the prior</w:t>
            </w:r>
          </w:p>
        </w:tc>
        <w:tc>
          <w:tcPr>
            <w:tcW w:w="34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r>
      <w:tr>
        <w:trPr>
          <w:trHeight w:val="246"/>
        </w:trPr>
        <w:tc>
          <w:tcPr>
            <w:tcW w:w="4140" w:type="dxa"/>
            <w:vAlign w:val="bottom"/>
            <w:shd w:val="clear" w:color="auto" w:fill="CCEEFF"/>
          </w:tcPr>
          <w:p>
            <w:pPr>
              <w:ind w:left="180"/>
              <w:spacing w:after="0"/>
              <w:rPr>
                <w:sz w:val="20"/>
                <w:szCs w:val="20"/>
                <w:color w:val="auto"/>
              </w:rPr>
            </w:pPr>
            <w:r>
              <w:rPr>
                <w:rFonts w:ascii="Arial" w:cs="Arial" w:eastAsia="Arial" w:hAnsi="Arial"/>
                <w:sz w:val="20"/>
                <w:szCs w:val="20"/>
                <w:color w:val="auto"/>
              </w:rPr>
              <w:t>year</w:t>
            </w:r>
          </w:p>
        </w:tc>
        <w:tc>
          <w:tcPr>
            <w:tcW w:w="340" w:type="dxa"/>
            <w:vAlign w:val="bottom"/>
            <w:shd w:val="clear" w:color="auto" w:fill="CCEEFF"/>
          </w:tcPr>
          <w:p>
            <w:pPr>
              <w:spacing w:after="0"/>
              <w:rPr>
                <w:sz w:val="21"/>
                <w:szCs w:val="21"/>
                <w:color w:val="auto"/>
              </w:rPr>
            </w:pPr>
          </w:p>
        </w:tc>
        <w:tc>
          <w:tcPr>
            <w:tcW w:w="2360" w:type="dxa"/>
            <w:vAlign w:val="bottom"/>
            <w:shd w:val="clear" w:color="auto" w:fill="CCEEFF"/>
          </w:tcPr>
          <w:p>
            <w:pPr>
              <w:jc w:val="right"/>
              <w:ind w:right="24"/>
              <w:spacing w:after="0"/>
              <w:rPr>
                <w:sz w:val="20"/>
                <w:szCs w:val="20"/>
                <w:color w:val="auto"/>
              </w:rPr>
            </w:pPr>
            <w:r>
              <w:rPr>
                <w:rFonts w:ascii="Arial" w:cs="Arial" w:eastAsia="Arial" w:hAnsi="Arial"/>
                <w:sz w:val="20"/>
                <w:szCs w:val="20"/>
                <w:color w:val="auto"/>
              </w:rPr>
              <w:t>-</w:t>
            </w:r>
          </w:p>
        </w:tc>
      </w:tr>
      <w:tr>
        <w:trPr>
          <w:trHeight w:val="213"/>
        </w:trPr>
        <w:tc>
          <w:tcPr>
            <w:tcW w:w="4140" w:type="dxa"/>
            <w:vAlign w:val="bottom"/>
          </w:tcPr>
          <w:p>
            <w:pPr>
              <w:spacing w:after="0" w:line="213" w:lineRule="exact"/>
              <w:rPr>
                <w:sz w:val="20"/>
                <w:szCs w:val="20"/>
                <w:color w:val="auto"/>
              </w:rPr>
            </w:pPr>
            <w:r>
              <w:rPr>
                <w:rFonts w:ascii="Arial" w:cs="Arial" w:eastAsia="Arial" w:hAnsi="Arial"/>
                <w:sz w:val="20"/>
                <w:szCs w:val="20"/>
                <w:color w:val="auto"/>
              </w:rPr>
              <w:t>Decreases related to settlement with taxing</w:t>
            </w:r>
          </w:p>
        </w:tc>
        <w:tc>
          <w:tcPr>
            <w:tcW w:w="340" w:type="dxa"/>
            <w:vAlign w:val="bottom"/>
          </w:tcPr>
          <w:p>
            <w:pPr>
              <w:spacing w:after="0"/>
              <w:rPr>
                <w:sz w:val="18"/>
                <w:szCs w:val="18"/>
                <w:color w:val="auto"/>
              </w:rPr>
            </w:pPr>
          </w:p>
        </w:tc>
        <w:tc>
          <w:tcPr>
            <w:tcW w:w="2360" w:type="dxa"/>
            <w:vAlign w:val="bottom"/>
          </w:tcPr>
          <w:p>
            <w:pPr>
              <w:spacing w:after="0"/>
              <w:rPr>
                <w:sz w:val="18"/>
                <w:szCs w:val="18"/>
                <w:color w:val="auto"/>
              </w:rPr>
            </w:pPr>
          </w:p>
        </w:tc>
      </w:tr>
      <w:tr>
        <w:trPr>
          <w:trHeight w:val="246"/>
        </w:trPr>
        <w:tc>
          <w:tcPr>
            <w:tcW w:w="4140" w:type="dxa"/>
            <w:vAlign w:val="bottom"/>
            <w:tcBorders>
              <w:bottom w:val="single" w:sz="8" w:color="CCEEFF"/>
            </w:tcBorders>
          </w:tcPr>
          <w:p>
            <w:pPr>
              <w:ind w:left="180"/>
              <w:spacing w:after="0"/>
              <w:rPr>
                <w:sz w:val="20"/>
                <w:szCs w:val="20"/>
                <w:color w:val="auto"/>
              </w:rPr>
            </w:pPr>
            <w:r>
              <w:rPr>
                <w:rFonts w:ascii="Arial" w:cs="Arial" w:eastAsia="Arial" w:hAnsi="Arial"/>
                <w:sz w:val="20"/>
                <w:szCs w:val="20"/>
                <w:color w:val="auto"/>
              </w:rPr>
              <w:t>authority</w:t>
            </w:r>
          </w:p>
        </w:tc>
        <w:tc>
          <w:tcPr>
            <w:tcW w:w="340" w:type="dxa"/>
            <w:vAlign w:val="bottom"/>
            <w:tcBorders>
              <w:bottom w:val="single" w:sz="8" w:color="auto"/>
            </w:tcBorders>
          </w:tcPr>
          <w:p>
            <w:pPr>
              <w:spacing w:after="0"/>
              <w:rPr>
                <w:sz w:val="21"/>
                <w:szCs w:val="21"/>
                <w:color w:val="auto"/>
              </w:rPr>
            </w:pPr>
          </w:p>
        </w:tc>
        <w:tc>
          <w:tcPr>
            <w:tcW w:w="23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(1,505)</w:t>
            </w:r>
          </w:p>
        </w:tc>
      </w:tr>
      <w:tr>
        <w:trPr>
          <w:trHeight w:val="223"/>
        </w:trPr>
        <w:tc>
          <w:tcPr>
            <w:tcW w:w="4140" w:type="dxa"/>
            <w:vAlign w:val="bottom"/>
            <w:tcBorders>
              <w:bottom w:val="single" w:sz="8" w:color="CCEEFF"/>
            </w:tcBorders>
            <w:shd w:val="clear" w:color="auto" w:fill="CCEEFF"/>
          </w:tcPr>
          <w:p>
            <w:pPr>
              <w:spacing w:after="0" w:line="223" w:lineRule="exact"/>
              <w:rPr>
                <w:sz w:val="20"/>
                <w:szCs w:val="20"/>
                <w:color w:val="auto"/>
              </w:rPr>
            </w:pPr>
            <w:r>
              <w:rPr>
                <w:rFonts w:ascii="Arial" w:cs="Arial" w:eastAsia="Arial" w:hAnsi="Arial"/>
                <w:sz w:val="20"/>
                <w:szCs w:val="20"/>
                <w:b w:val="1"/>
                <w:bCs w:val="1"/>
                <w:color w:val="auto"/>
              </w:rPr>
              <w:t>Balance at September 30, 2012</w:t>
            </w:r>
          </w:p>
        </w:tc>
        <w:tc>
          <w:tcPr>
            <w:tcW w:w="340" w:type="dxa"/>
            <w:vAlign w:val="bottom"/>
            <w:tcBorders>
              <w:bottom w:val="single" w:sz="8" w:color="auto"/>
            </w:tcBorders>
            <w:shd w:val="clear" w:color="auto" w:fill="CCEEFF"/>
          </w:tcPr>
          <w:p>
            <w:pPr>
              <w:jc w:val="right"/>
              <w:ind w:right="61"/>
              <w:spacing w:after="0" w:line="223" w:lineRule="exact"/>
              <w:rPr>
                <w:sz w:val="20"/>
                <w:szCs w:val="20"/>
                <w:color w:val="auto"/>
              </w:rPr>
            </w:pPr>
            <w:r>
              <w:rPr>
                <w:rFonts w:ascii="Arial" w:cs="Arial" w:eastAsia="Arial" w:hAnsi="Arial"/>
                <w:sz w:val="20"/>
                <w:szCs w:val="20"/>
                <w:color w:val="auto"/>
              </w:rPr>
              <w:t>$</w:t>
            </w:r>
          </w:p>
        </w:tc>
        <w:tc>
          <w:tcPr>
            <w:tcW w:w="2360" w:type="dxa"/>
            <w:vAlign w:val="bottom"/>
            <w:tcBorders>
              <w:bottom w:val="single" w:sz="8" w:color="auto"/>
            </w:tcBorders>
            <w:shd w:val="clear" w:color="auto" w:fill="CCEEFF"/>
          </w:tcPr>
          <w:p>
            <w:pPr>
              <w:jc w:val="right"/>
              <w:ind w:right="24"/>
              <w:spacing w:after="0" w:line="223" w:lineRule="exact"/>
              <w:rPr>
                <w:sz w:val="20"/>
                <w:szCs w:val="20"/>
                <w:color w:val="auto"/>
              </w:rPr>
            </w:pPr>
            <w:r>
              <w:rPr>
                <w:rFonts w:ascii="Arial" w:cs="Arial" w:eastAsia="Arial" w:hAnsi="Arial"/>
                <w:sz w:val="20"/>
                <w:szCs w:val="20"/>
                <w:color w:val="auto"/>
              </w:rPr>
              <w:t>405</w:t>
            </w:r>
          </w:p>
        </w:tc>
      </w:tr>
      <w:tr>
        <w:trPr>
          <w:trHeight w:val="20"/>
        </w:trPr>
        <w:tc>
          <w:tcPr>
            <w:tcW w:w="4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r>
    </w:tbl>
    <w:p>
      <w:pPr>
        <w:spacing w:after="0" w:line="222"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1"/>
          <w:szCs w:val="21"/>
          <w:color w:val="auto"/>
        </w:rPr>
        <w:t>The Company recognizes accrued interest and penalties related to unrecognized tax benefits in the provision for income taxes in the Company’s condensed consolidated financial statements. As of September 30, 2012, the Company had accrued approximately $0.2 million in interest and penalties related to unrecognized tax benefits. If the Company were to prevail on all uncertain tax positions, the resultant impact on the Company’s effective tax rate would not be significant. It is expected that the amount of unrecognized tax benefits will not change within the next 12 months.</w:t>
      </w:r>
    </w:p>
    <w:p>
      <w:pPr>
        <w:spacing w:after="0" w:line="206"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1"/>
          <w:szCs w:val="21"/>
          <w:color w:val="auto"/>
        </w:rPr>
        <w:t>On February 10, 2011, the Internal Revenue Service (“IRS”) began its examination of the Company’s U.S. federal income tax returns for the years ended December 31, 2008 and 2009. The examination was completed in April 2012 with no material adjustments. The Company is also currently under examination by certain state jurisdictions.</w:t>
      </w:r>
    </w:p>
    <w:p>
      <w:pPr>
        <w:spacing w:after="0" w:line="194"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The Company is subject to U.S. federal income tax as well as to income tax in multiple state and foreign jurisdictions. Federal income tax returns are subject to IRS examination for the 2010 and 2011 tax years. State income tax returns are subject to examination for the 2007 through 2011 tax years.</w:t>
      </w:r>
    </w:p>
    <w:p>
      <w:pPr>
        <w:spacing w:after="0" w:line="213" w:lineRule="exact"/>
        <w:rPr>
          <w:sz w:val="20"/>
          <w:szCs w:val="20"/>
          <w:color w:val="auto"/>
        </w:rPr>
      </w:pPr>
    </w:p>
    <w:p>
      <w:pPr>
        <w:ind w:left="660" w:hanging="652"/>
        <w:spacing w:after="0"/>
        <w:tabs>
          <w:tab w:leader="none" w:pos="660" w:val="left"/>
        </w:tabs>
        <w:numPr>
          <w:ilvl w:val="0"/>
          <w:numId w:val="16"/>
        </w:numPr>
        <w:rPr>
          <w:rFonts w:ascii="Arial" w:cs="Arial" w:eastAsia="Arial" w:hAnsi="Arial"/>
          <w:sz w:val="22"/>
          <w:szCs w:val="22"/>
          <w:color w:val="auto"/>
        </w:rPr>
      </w:pPr>
      <w:r>
        <w:rPr>
          <w:rFonts w:ascii="Arial" w:cs="Arial" w:eastAsia="Arial" w:hAnsi="Arial"/>
          <w:sz w:val="22"/>
          <w:szCs w:val="22"/>
          <w:color w:val="auto"/>
        </w:rPr>
        <w:t>EARNINGS PER SHARE</w:t>
      </w:r>
    </w:p>
    <w:p>
      <w:pPr>
        <w:spacing w:after="0" w:line="233" w:lineRule="exact"/>
        <w:rPr>
          <w:sz w:val="20"/>
          <w:szCs w:val="20"/>
          <w:color w:val="auto"/>
        </w:rPr>
      </w:pPr>
    </w:p>
    <w:p>
      <w:pPr>
        <w:ind w:right="20" w:firstLine="648"/>
        <w:spacing w:after="0" w:line="251" w:lineRule="auto"/>
        <w:rPr>
          <w:sz w:val="20"/>
          <w:szCs w:val="20"/>
          <w:color w:val="auto"/>
        </w:rPr>
      </w:pPr>
      <w:r>
        <w:rPr>
          <w:rFonts w:ascii="Arial" w:cs="Arial" w:eastAsia="Arial" w:hAnsi="Arial"/>
          <w:sz w:val="22"/>
          <w:szCs w:val="22"/>
          <w:color w:val="auto"/>
        </w:rPr>
        <w:t>A reconciliation of the weighted-average shares used in the basic and diluted earnings per common share computations is presented below:</w:t>
      </w:r>
    </w:p>
    <w:p>
      <w:pPr>
        <w:spacing w:after="0" w:line="208" w:lineRule="exact"/>
        <w:rPr>
          <w:sz w:val="20"/>
          <w:szCs w:val="20"/>
          <w:color w:val="auto"/>
        </w:rPr>
      </w:pPr>
    </w:p>
    <w:tbl>
      <w:tblPr>
        <w:tblLayout w:type="fixed"/>
        <w:tblInd w:w="4740" w:type="dxa"/>
        <w:tblCellMar>
          <w:top w:w="0" w:type="dxa"/>
          <w:left w:w="0" w:type="dxa"/>
          <w:bottom w:w="0" w:type="dxa"/>
          <w:right w:w="0" w:type="dxa"/>
        </w:tblCellMar>
      </w:tblPr>
      <w:tr>
        <w:trPr>
          <w:trHeight w:val="243"/>
        </w:trPr>
        <w:tc>
          <w:tcPr>
            <w:tcW w:w="3300" w:type="dxa"/>
            <w:vAlign w:val="bottom"/>
            <w:gridSpan w:val="3"/>
          </w:tcPr>
          <w:p>
            <w:pPr>
              <w:jc w:val="center"/>
              <w:ind w:right="300"/>
              <w:spacing w:after="0"/>
              <w:rPr>
                <w:sz w:val="20"/>
                <w:szCs w:val="20"/>
                <w:color w:val="auto"/>
              </w:rPr>
            </w:pPr>
            <w:r>
              <w:rPr>
                <w:rFonts w:ascii="Arial" w:cs="Arial" w:eastAsia="Arial" w:hAnsi="Arial"/>
                <w:sz w:val="21"/>
                <w:szCs w:val="21"/>
                <w:color w:val="auto"/>
                <w:w w:val="89"/>
              </w:rPr>
              <w:t>Three-Months Ended</w:t>
            </w:r>
          </w:p>
        </w:tc>
        <w:tc>
          <w:tcPr>
            <w:tcW w:w="2980" w:type="dxa"/>
            <w:vAlign w:val="bottom"/>
            <w:gridSpan w:val="2"/>
          </w:tcPr>
          <w:p>
            <w:pPr>
              <w:jc w:val="center"/>
              <w:spacing w:after="0"/>
              <w:rPr>
                <w:sz w:val="20"/>
                <w:szCs w:val="20"/>
                <w:color w:val="auto"/>
              </w:rPr>
            </w:pPr>
            <w:r>
              <w:rPr>
                <w:rFonts w:ascii="Arial" w:cs="Arial" w:eastAsia="Arial" w:hAnsi="Arial"/>
                <w:sz w:val="21"/>
                <w:szCs w:val="21"/>
                <w:color w:val="auto"/>
                <w:w w:val="90"/>
              </w:rPr>
              <w:t>Nine-Months Ended</w:t>
            </w:r>
          </w:p>
        </w:tc>
      </w:tr>
      <w:tr>
        <w:trPr>
          <w:trHeight w:val="256"/>
        </w:trPr>
        <w:tc>
          <w:tcPr>
            <w:tcW w:w="900" w:type="dxa"/>
            <w:vAlign w:val="bottom"/>
          </w:tcPr>
          <w:p>
            <w:pPr>
              <w:spacing w:after="0"/>
              <w:rPr>
                <w:sz w:val="22"/>
                <w:szCs w:val="22"/>
                <w:color w:val="auto"/>
              </w:rPr>
            </w:pPr>
          </w:p>
        </w:tc>
        <w:tc>
          <w:tcPr>
            <w:tcW w:w="2400" w:type="dxa"/>
            <w:vAlign w:val="bottom"/>
            <w:gridSpan w:val="2"/>
          </w:tcPr>
          <w:p>
            <w:pPr>
              <w:jc w:val="center"/>
              <w:ind w:right="1200"/>
              <w:spacing w:after="0"/>
              <w:rPr>
                <w:sz w:val="20"/>
                <w:szCs w:val="20"/>
                <w:color w:val="auto"/>
              </w:rPr>
            </w:pPr>
            <w:r>
              <w:rPr>
                <w:rFonts w:ascii="Arial" w:cs="Arial" w:eastAsia="Arial" w:hAnsi="Arial"/>
                <w:sz w:val="21"/>
                <w:szCs w:val="21"/>
                <w:color w:val="auto"/>
                <w:w w:val="87"/>
              </w:rPr>
              <w:t>September 30,</w:t>
            </w:r>
          </w:p>
        </w:tc>
        <w:tc>
          <w:tcPr>
            <w:tcW w:w="880" w:type="dxa"/>
            <w:vAlign w:val="bottom"/>
          </w:tcPr>
          <w:p>
            <w:pPr>
              <w:spacing w:after="0"/>
              <w:rPr>
                <w:sz w:val="22"/>
                <w:szCs w:val="22"/>
                <w:color w:val="auto"/>
              </w:rPr>
            </w:pPr>
          </w:p>
        </w:tc>
        <w:tc>
          <w:tcPr>
            <w:tcW w:w="2100" w:type="dxa"/>
            <w:vAlign w:val="bottom"/>
          </w:tcPr>
          <w:p>
            <w:pPr>
              <w:jc w:val="center"/>
              <w:ind w:right="796"/>
              <w:spacing w:after="0"/>
              <w:rPr>
                <w:sz w:val="20"/>
                <w:szCs w:val="20"/>
                <w:color w:val="auto"/>
              </w:rPr>
            </w:pPr>
            <w:r>
              <w:rPr>
                <w:rFonts w:ascii="Arial" w:cs="Arial" w:eastAsia="Arial" w:hAnsi="Arial"/>
                <w:sz w:val="21"/>
                <w:szCs w:val="21"/>
                <w:color w:val="auto"/>
                <w:w w:val="87"/>
              </w:rPr>
              <w:t>September 30,</w:t>
            </w:r>
          </w:p>
        </w:tc>
      </w:tr>
      <w:tr>
        <w:trPr>
          <w:trHeight w:val="241"/>
        </w:trPr>
        <w:tc>
          <w:tcPr>
            <w:tcW w:w="900" w:type="dxa"/>
            <w:vAlign w:val="bottom"/>
            <w:tcBorders>
              <w:top w:val="single" w:sz="8" w:color="auto"/>
            </w:tcBorders>
          </w:tcPr>
          <w:p>
            <w:pPr>
              <w:jc w:val="right"/>
              <w:spacing w:after="0"/>
              <w:rPr>
                <w:sz w:val="20"/>
                <w:szCs w:val="20"/>
                <w:color w:val="auto"/>
              </w:rPr>
            </w:pPr>
            <w:r>
              <w:rPr>
                <w:rFonts w:ascii="Arial" w:cs="Arial" w:eastAsia="Arial" w:hAnsi="Arial"/>
                <w:sz w:val="21"/>
                <w:szCs w:val="21"/>
                <w:color w:val="auto"/>
              </w:rPr>
              <w:t>2012</w:t>
            </w:r>
          </w:p>
        </w:tc>
        <w:tc>
          <w:tcPr>
            <w:tcW w:w="2120" w:type="dxa"/>
            <w:vAlign w:val="bottom"/>
            <w:tcBorders>
              <w:top w:val="single" w:sz="8" w:color="auto"/>
            </w:tcBorders>
          </w:tcPr>
          <w:p>
            <w:pPr>
              <w:jc w:val="right"/>
              <w:ind w:right="376"/>
              <w:spacing w:after="0"/>
              <w:rPr>
                <w:sz w:val="20"/>
                <w:szCs w:val="20"/>
                <w:color w:val="auto"/>
              </w:rPr>
            </w:pPr>
            <w:r>
              <w:rPr>
                <w:rFonts w:ascii="Arial" w:cs="Arial" w:eastAsia="Arial" w:hAnsi="Arial"/>
                <w:sz w:val="21"/>
                <w:szCs w:val="21"/>
                <w:color w:val="auto"/>
              </w:rPr>
              <w:t>2011</w:t>
            </w:r>
          </w:p>
        </w:tc>
        <w:tc>
          <w:tcPr>
            <w:tcW w:w="280" w:type="dxa"/>
            <w:vAlign w:val="bottom"/>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21"/>
                <w:szCs w:val="21"/>
                <w:color w:val="auto"/>
              </w:rPr>
              <w:t>2012</w:t>
            </w:r>
          </w:p>
        </w:tc>
        <w:tc>
          <w:tcPr>
            <w:tcW w:w="2100" w:type="dxa"/>
            <w:vAlign w:val="bottom"/>
            <w:tcBorders>
              <w:top w:val="single" w:sz="8" w:color="auto"/>
            </w:tcBorders>
          </w:tcPr>
          <w:p>
            <w:pPr>
              <w:jc w:val="right"/>
              <w:ind w:right="376"/>
              <w:spacing w:after="0"/>
              <w:rPr>
                <w:sz w:val="20"/>
                <w:szCs w:val="20"/>
                <w:color w:val="auto"/>
              </w:rPr>
            </w:pPr>
            <w:r>
              <w:rPr>
                <w:rFonts w:ascii="Arial" w:cs="Arial" w:eastAsia="Arial" w:hAnsi="Arial"/>
                <w:sz w:val="21"/>
                <w:szCs w:val="21"/>
                <w:color w:val="auto"/>
              </w:rPr>
              <w:t>2011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-2540</wp:posOffset>
            </wp:positionV>
            <wp:extent cx="6706235" cy="1543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706235" cy="154305"/>
                    </a:xfrm>
                    <a:prstGeom prst="rect">
                      <a:avLst/>
                    </a:prstGeom>
                    <a:noFill/>
                  </pic:spPr>
                </pic:pic>
              </a:graphicData>
            </a:graphic>
          </wp:anchor>
        </w:drawing>
      </w:r>
    </w:p>
    <w:p>
      <w:pPr>
        <w:ind w:left="460"/>
        <w:spacing w:after="0"/>
        <w:rPr>
          <w:sz w:val="20"/>
          <w:szCs w:val="20"/>
          <w:color w:val="auto"/>
        </w:rPr>
      </w:pPr>
      <w:r>
        <w:rPr>
          <w:rFonts w:ascii="Arial" w:cs="Arial" w:eastAsia="Arial" w:hAnsi="Arial"/>
          <w:sz w:val="21"/>
          <w:szCs w:val="21"/>
          <w:color w:val="auto"/>
        </w:rPr>
        <w:t>Weighted-average shares outstanding:</w:t>
      </w:r>
    </w:p>
    <w:p>
      <w:pPr>
        <w:sectPr>
          <w:pgSz w:w="11900" w:h="16838" w:orient="portrait"/>
          <w:cols w:equalWidth="0" w:num="1">
            <w:col w:w="11420"/>
          </w:cols>
          <w:pgMar w:left="240" w:top="108" w:right="239" w:bottom="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56"/>
        </w:trPr>
        <w:tc>
          <w:tcPr>
            <w:tcW w:w="460" w:type="dxa"/>
            <w:vAlign w:val="bottom"/>
          </w:tcPr>
          <w:p>
            <w:pPr>
              <w:spacing w:after="0"/>
              <w:rPr>
                <w:sz w:val="22"/>
                <w:szCs w:val="22"/>
                <w:color w:val="auto"/>
              </w:rPr>
            </w:pPr>
          </w:p>
        </w:tc>
        <w:tc>
          <w:tcPr>
            <w:tcW w:w="4280" w:type="dxa"/>
            <w:vAlign w:val="bottom"/>
          </w:tcPr>
          <w:p>
            <w:pPr>
              <w:ind w:left="180"/>
              <w:spacing w:after="0"/>
              <w:rPr>
                <w:sz w:val="20"/>
                <w:szCs w:val="20"/>
                <w:color w:val="auto"/>
              </w:rPr>
            </w:pPr>
            <w:r>
              <w:rPr>
                <w:rFonts w:ascii="Arial" w:cs="Arial" w:eastAsia="Arial" w:hAnsi="Arial"/>
                <w:sz w:val="21"/>
                <w:szCs w:val="21"/>
                <w:color w:val="auto"/>
              </w:rPr>
              <w:t>Basic</w:t>
            </w:r>
          </w:p>
        </w:tc>
        <w:tc>
          <w:tcPr>
            <w:tcW w:w="1380" w:type="dxa"/>
            <w:vAlign w:val="bottom"/>
          </w:tcPr>
          <w:p>
            <w:pPr>
              <w:jc w:val="right"/>
              <w:ind w:right="20"/>
              <w:spacing w:after="0"/>
              <w:rPr>
                <w:sz w:val="20"/>
                <w:szCs w:val="20"/>
                <w:color w:val="auto"/>
              </w:rPr>
            </w:pPr>
            <w:r>
              <w:rPr>
                <w:rFonts w:ascii="Arial" w:cs="Arial" w:eastAsia="Arial" w:hAnsi="Arial"/>
                <w:sz w:val="21"/>
                <w:szCs w:val="21"/>
                <w:color w:val="auto"/>
              </w:rPr>
              <w:t>175,026</w:t>
            </w:r>
          </w:p>
        </w:tc>
        <w:tc>
          <w:tcPr>
            <w:tcW w:w="28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21"/>
                <w:szCs w:val="21"/>
                <w:color w:val="auto"/>
              </w:rPr>
              <w:t>175,952</w:t>
            </w:r>
          </w:p>
        </w:tc>
        <w:tc>
          <w:tcPr>
            <w:tcW w:w="280" w:type="dxa"/>
            <w:vAlign w:val="bottom"/>
          </w:tcPr>
          <w:p>
            <w:pPr>
              <w:spacing w:after="0"/>
              <w:rPr>
                <w:sz w:val="22"/>
                <w:szCs w:val="22"/>
                <w:color w:val="auto"/>
              </w:rPr>
            </w:pPr>
          </w:p>
        </w:tc>
        <w:tc>
          <w:tcPr>
            <w:tcW w:w="1360" w:type="dxa"/>
            <w:vAlign w:val="bottom"/>
          </w:tcPr>
          <w:p>
            <w:pPr>
              <w:jc w:val="right"/>
              <w:ind w:right="16"/>
              <w:spacing w:after="0"/>
              <w:rPr>
                <w:sz w:val="20"/>
                <w:szCs w:val="20"/>
                <w:color w:val="auto"/>
              </w:rPr>
            </w:pPr>
            <w:r>
              <w:rPr>
                <w:rFonts w:ascii="Arial" w:cs="Arial" w:eastAsia="Arial" w:hAnsi="Arial"/>
                <w:sz w:val="21"/>
                <w:szCs w:val="21"/>
                <w:color w:val="auto"/>
              </w:rPr>
              <w:t>175,347</w:t>
            </w:r>
          </w:p>
        </w:tc>
        <w:tc>
          <w:tcPr>
            <w:tcW w:w="26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21"/>
                <w:szCs w:val="21"/>
                <w:color w:val="auto"/>
              </w:rPr>
              <w:t>176,916</w:t>
            </w:r>
          </w:p>
        </w:tc>
        <w:tc>
          <w:tcPr>
            <w:tcW w:w="440" w:type="dxa"/>
            <w:vAlign w:val="bottom"/>
          </w:tcPr>
          <w:p>
            <w:pPr>
              <w:spacing w:after="0"/>
              <w:rPr>
                <w:sz w:val="22"/>
                <w:szCs w:val="22"/>
                <w:color w:val="auto"/>
              </w:rPr>
            </w:pPr>
          </w:p>
        </w:tc>
      </w:tr>
      <w:tr>
        <w:trPr>
          <w:trHeight w:val="243"/>
        </w:trPr>
        <w:tc>
          <w:tcPr>
            <w:tcW w:w="460" w:type="dxa"/>
            <w:vAlign w:val="bottom"/>
          </w:tcPr>
          <w:p>
            <w:pPr>
              <w:spacing w:after="0"/>
              <w:rPr>
                <w:sz w:val="21"/>
                <w:szCs w:val="21"/>
                <w:color w:val="auto"/>
              </w:rPr>
            </w:pPr>
          </w:p>
        </w:tc>
        <w:tc>
          <w:tcPr>
            <w:tcW w:w="4280" w:type="dxa"/>
            <w:vAlign w:val="bottom"/>
            <w:shd w:val="clear" w:color="auto" w:fill="CCEEFF"/>
          </w:tcPr>
          <w:p>
            <w:pPr>
              <w:ind w:left="180"/>
              <w:spacing w:after="0"/>
              <w:rPr>
                <w:sz w:val="20"/>
                <w:szCs w:val="20"/>
                <w:color w:val="auto"/>
              </w:rPr>
            </w:pPr>
            <w:r>
              <w:rPr>
                <w:rFonts w:ascii="Arial" w:cs="Arial" w:eastAsia="Arial" w:hAnsi="Arial"/>
                <w:sz w:val="21"/>
                <w:szCs w:val="21"/>
                <w:color w:val="auto"/>
              </w:rPr>
              <w:t>Dilutive securities</w:t>
            </w:r>
          </w:p>
        </w:tc>
        <w:tc>
          <w:tcPr>
            <w:tcW w:w="13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21"/>
                <w:szCs w:val="21"/>
                <w:color w:val="auto"/>
              </w:rPr>
              <w:t>8,873</w:t>
            </w:r>
          </w:p>
        </w:tc>
        <w:tc>
          <w:tcPr>
            <w:tcW w:w="280" w:type="dxa"/>
            <w:vAlign w:val="bottom"/>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1"/>
                <w:szCs w:val="21"/>
                <w:color w:val="auto"/>
              </w:rPr>
              <w:t>10,688</w:t>
            </w:r>
          </w:p>
        </w:tc>
        <w:tc>
          <w:tcPr>
            <w:tcW w:w="280" w:type="dxa"/>
            <w:vAlign w:val="bottom"/>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21"/>
                <w:szCs w:val="21"/>
                <w:color w:val="auto"/>
              </w:rPr>
              <w:t>10,018</w:t>
            </w:r>
          </w:p>
        </w:tc>
        <w:tc>
          <w:tcPr>
            <w:tcW w:w="260" w:type="dxa"/>
            <w:vAlign w:val="bottom"/>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1"/>
                <w:szCs w:val="21"/>
                <w:color w:val="auto"/>
              </w:rPr>
              <w:t>10,248</w:t>
            </w:r>
          </w:p>
        </w:tc>
        <w:tc>
          <w:tcPr>
            <w:tcW w:w="440" w:type="dxa"/>
            <w:vAlign w:val="bottom"/>
          </w:tcPr>
          <w:p>
            <w:pPr>
              <w:spacing w:after="0"/>
              <w:rPr>
                <w:sz w:val="21"/>
                <w:szCs w:val="21"/>
                <w:color w:val="auto"/>
              </w:rPr>
            </w:pPr>
          </w:p>
        </w:tc>
      </w:tr>
      <w:tr>
        <w:trPr>
          <w:trHeight w:val="237"/>
        </w:trPr>
        <w:tc>
          <w:tcPr>
            <w:tcW w:w="460" w:type="dxa"/>
            <w:vAlign w:val="bottom"/>
          </w:tcPr>
          <w:p>
            <w:pPr>
              <w:spacing w:after="0"/>
              <w:rPr>
                <w:sz w:val="20"/>
                <w:szCs w:val="20"/>
                <w:color w:val="auto"/>
              </w:rPr>
            </w:pPr>
          </w:p>
        </w:tc>
        <w:tc>
          <w:tcPr>
            <w:tcW w:w="4280" w:type="dxa"/>
            <w:vAlign w:val="bottom"/>
          </w:tcPr>
          <w:p>
            <w:pPr>
              <w:ind w:left="180"/>
              <w:spacing w:after="0" w:line="237" w:lineRule="exact"/>
              <w:rPr>
                <w:sz w:val="20"/>
                <w:szCs w:val="20"/>
                <w:color w:val="auto"/>
              </w:rPr>
            </w:pPr>
            <w:r>
              <w:rPr>
                <w:rFonts w:ascii="Arial" w:cs="Arial" w:eastAsia="Arial" w:hAnsi="Arial"/>
                <w:sz w:val="21"/>
                <w:szCs w:val="21"/>
                <w:color w:val="auto"/>
              </w:rPr>
              <w:t>Diluted</w:t>
            </w:r>
          </w:p>
        </w:tc>
        <w:tc>
          <w:tcPr>
            <w:tcW w:w="1380" w:type="dxa"/>
            <w:vAlign w:val="bottom"/>
            <w:tcBorders>
              <w:bottom w:val="single" w:sz="8" w:color="auto"/>
            </w:tcBorders>
          </w:tcPr>
          <w:p>
            <w:pPr>
              <w:jc w:val="right"/>
              <w:ind w:right="20"/>
              <w:spacing w:after="0" w:line="237" w:lineRule="exact"/>
              <w:rPr>
                <w:sz w:val="20"/>
                <w:szCs w:val="20"/>
                <w:color w:val="auto"/>
              </w:rPr>
            </w:pPr>
            <w:r>
              <w:rPr>
                <w:rFonts w:ascii="Arial" w:cs="Arial" w:eastAsia="Arial" w:hAnsi="Arial"/>
                <w:sz w:val="21"/>
                <w:szCs w:val="21"/>
                <w:color w:val="auto"/>
              </w:rPr>
              <w:t>183,899</w:t>
            </w:r>
          </w:p>
        </w:tc>
        <w:tc>
          <w:tcPr>
            <w:tcW w:w="280" w:type="dxa"/>
            <w:vAlign w:val="bottom"/>
          </w:tcPr>
          <w:p>
            <w:pPr>
              <w:spacing w:after="0"/>
              <w:rPr>
                <w:sz w:val="20"/>
                <w:szCs w:val="20"/>
                <w:color w:val="auto"/>
              </w:rPr>
            </w:pPr>
          </w:p>
        </w:tc>
        <w:tc>
          <w:tcPr>
            <w:tcW w:w="136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1"/>
                <w:szCs w:val="21"/>
                <w:color w:val="auto"/>
              </w:rPr>
              <w:t>186,640</w:t>
            </w:r>
          </w:p>
        </w:tc>
        <w:tc>
          <w:tcPr>
            <w:tcW w:w="280" w:type="dxa"/>
            <w:vAlign w:val="bottom"/>
          </w:tcPr>
          <w:p>
            <w:pPr>
              <w:spacing w:after="0"/>
              <w:rPr>
                <w:sz w:val="20"/>
                <w:szCs w:val="20"/>
                <w:color w:val="auto"/>
              </w:rPr>
            </w:pPr>
          </w:p>
        </w:tc>
        <w:tc>
          <w:tcPr>
            <w:tcW w:w="1360" w:type="dxa"/>
            <w:vAlign w:val="bottom"/>
            <w:tcBorders>
              <w:bottom w:val="single" w:sz="8" w:color="auto"/>
            </w:tcBorders>
          </w:tcPr>
          <w:p>
            <w:pPr>
              <w:jc w:val="right"/>
              <w:ind w:right="16"/>
              <w:spacing w:after="0" w:line="237" w:lineRule="exact"/>
              <w:rPr>
                <w:sz w:val="20"/>
                <w:szCs w:val="20"/>
                <w:color w:val="auto"/>
              </w:rPr>
            </w:pPr>
            <w:r>
              <w:rPr>
                <w:rFonts w:ascii="Arial" w:cs="Arial" w:eastAsia="Arial" w:hAnsi="Arial"/>
                <w:sz w:val="21"/>
                <w:szCs w:val="21"/>
                <w:color w:val="auto"/>
              </w:rPr>
              <w:t>185,365</w:t>
            </w:r>
          </w:p>
        </w:tc>
        <w:tc>
          <w:tcPr>
            <w:tcW w:w="260" w:type="dxa"/>
            <w:vAlign w:val="bottom"/>
          </w:tcPr>
          <w:p>
            <w:pPr>
              <w:spacing w:after="0"/>
              <w:rPr>
                <w:sz w:val="20"/>
                <w:szCs w:val="20"/>
                <w:color w:val="auto"/>
              </w:rPr>
            </w:pPr>
          </w:p>
        </w:tc>
        <w:tc>
          <w:tcPr>
            <w:tcW w:w="136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1"/>
                <w:szCs w:val="21"/>
                <w:color w:val="auto"/>
              </w:rPr>
              <w:t>187,164</w:t>
            </w:r>
          </w:p>
        </w:tc>
        <w:tc>
          <w:tcPr>
            <w:tcW w:w="440" w:type="dxa"/>
            <w:vAlign w:val="bottom"/>
          </w:tcPr>
          <w:p>
            <w:pPr>
              <w:spacing w:after="0"/>
              <w:rPr>
                <w:sz w:val="20"/>
                <w:szCs w:val="20"/>
                <w:color w:val="auto"/>
              </w:rPr>
            </w:pPr>
          </w:p>
        </w:tc>
      </w:tr>
      <w:tr>
        <w:trPr>
          <w:trHeight w:val="20"/>
        </w:trPr>
        <w:tc>
          <w:tcPr>
            <w:tcW w:w="46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413"/>
        </w:trPr>
        <w:tc>
          <w:tcPr>
            <w:tcW w:w="46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1380" w:type="dxa"/>
            <w:vAlign w:val="bottom"/>
          </w:tcPr>
          <w:p>
            <w:pPr>
              <w:jc w:val="right"/>
              <w:ind w:right="220"/>
              <w:spacing w:after="0"/>
              <w:rPr>
                <w:sz w:val="20"/>
                <w:szCs w:val="20"/>
                <w:color w:val="auto"/>
              </w:rPr>
            </w:pPr>
            <w:r>
              <w:rPr>
                <w:rFonts w:ascii="Arial" w:cs="Arial" w:eastAsia="Arial" w:hAnsi="Arial"/>
                <w:sz w:val="18"/>
                <w:szCs w:val="18"/>
                <w:color w:val="auto"/>
              </w:rPr>
              <w:t>26</w:t>
            </w: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132"/>
        </w:trPr>
        <w:tc>
          <w:tcPr>
            <w:tcW w:w="460" w:type="dxa"/>
            <w:vAlign w:val="bottom"/>
            <w:tcBorders>
              <w:bottom w:val="single" w:sz="8" w:color="010101"/>
            </w:tcBorders>
          </w:tcPr>
          <w:p>
            <w:pPr>
              <w:spacing w:after="0"/>
              <w:rPr>
                <w:sz w:val="11"/>
                <w:szCs w:val="11"/>
                <w:color w:val="auto"/>
              </w:rPr>
            </w:pPr>
          </w:p>
        </w:tc>
        <w:tc>
          <w:tcPr>
            <w:tcW w:w="4280" w:type="dxa"/>
            <w:vAlign w:val="bottom"/>
            <w:tcBorders>
              <w:bottom w:val="single" w:sz="8" w:color="010101"/>
            </w:tcBorders>
          </w:tcPr>
          <w:p>
            <w:pPr>
              <w:spacing w:after="0"/>
              <w:rPr>
                <w:sz w:val="11"/>
                <w:szCs w:val="11"/>
                <w:color w:val="auto"/>
              </w:rPr>
            </w:pPr>
          </w:p>
        </w:tc>
        <w:tc>
          <w:tcPr>
            <w:tcW w:w="138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36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36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1360" w:type="dxa"/>
            <w:vAlign w:val="bottom"/>
            <w:tcBorders>
              <w:bottom w:val="single" w:sz="8" w:color="010101"/>
            </w:tcBorders>
          </w:tcPr>
          <w:p>
            <w:pPr>
              <w:spacing w:after="0"/>
              <w:rPr>
                <w:sz w:val="11"/>
                <w:szCs w:val="11"/>
                <w:color w:val="auto"/>
              </w:rPr>
            </w:pPr>
          </w:p>
        </w:tc>
        <w:tc>
          <w:tcPr>
            <w:tcW w:w="4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MONSTER BEVERAGE CORPORATION AND SUBSIDIARIES</w:t>
      </w:r>
    </w:p>
    <w:p>
      <w:pPr>
        <w:spacing w:after="0" w:line="14" w:lineRule="exact"/>
        <w:rPr>
          <w:sz w:val="20"/>
          <w:szCs w:val="20"/>
          <w:color w:val="auto"/>
        </w:rPr>
      </w:pPr>
    </w:p>
    <w:p>
      <w:pPr>
        <w:ind w:right="4380"/>
        <w:spacing w:after="0" w:line="308"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2466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44" w:lineRule="exact"/>
        <w:rPr>
          <w:sz w:val="20"/>
          <w:szCs w:val="20"/>
          <w:color w:val="auto"/>
        </w:rPr>
      </w:pPr>
    </w:p>
    <w:p>
      <w:pPr>
        <w:jc w:val="both"/>
        <w:ind w:right="40" w:firstLine="648"/>
        <w:spacing w:after="0" w:line="238" w:lineRule="auto"/>
        <w:rPr>
          <w:sz w:val="20"/>
          <w:szCs w:val="20"/>
          <w:color w:val="auto"/>
        </w:rPr>
      </w:pPr>
      <w:r>
        <w:rPr>
          <w:rFonts w:ascii="Arial" w:cs="Arial" w:eastAsia="Arial" w:hAnsi="Arial"/>
          <w:sz w:val="22"/>
          <w:szCs w:val="22"/>
          <w:color w:val="auto"/>
        </w:rPr>
        <w:t>For the three-months ended September 30, 2012 and 2011, options outstanding totaling 0.4 million and 0.1 million shares, respectively, were excluded from the calculations as their effect would have been antidilutive. For the nine-months ended September 30, 2012 and 2011, options outstanding totaling 0.2 million and 0.3 million shares, respectively, were excluded from the calculations as their effect would have been antidilutive.</w:t>
      </w:r>
    </w:p>
    <w:p>
      <w:pPr>
        <w:spacing w:after="0" w:line="212" w:lineRule="exact"/>
        <w:rPr>
          <w:sz w:val="20"/>
          <w:szCs w:val="20"/>
          <w:color w:val="auto"/>
        </w:rPr>
      </w:pPr>
    </w:p>
    <w:p>
      <w:pPr>
        <w:ind w:left="660" w:hanging="652"/>
        <w:spacing w:after="0"/>
        <w:tabs>
          <w:tab w:leader="none" w:pos="660" w:val="left"/>
        </w:tabs>
        <w:numPr>
          <w:ilvl w:val="0"/>
          <w:numId w:val="17"/>
        </w:numPr>
        <w:rPr>
          <w:rFonts w:ascii="Arial" w:cs="Arial" w:eastAsia="Arial" w:hAnsi="Arial"/>
          <w:sz w:val="22"/>
          <w:szCs w:val="22"/>
          <w:color w:val="auto"/>
        </w:rPr>
      </w:pPr>
      <w:r>
        <w:rPr>
          <w:rFonts w:ascii="Arial" w:cs="Arial" w:eastAsia="Arial" w:hAnsi="Arial"/>
          <w:sz w:val="22"/>
          <w:szCs w:val="22"/>
          <w:color w:val="auto"/>
        </w:rPr>
        <w:t>SEGMENT INFORMATION</w:t>
      </w:r>
    </w:p>
    <w:p>
      <w:pPr>
        <w:spacing w:after="0" w:line="233" w:lineRule="exact"/>
        <w:rPr>
          <w:sz w:val="20"/>
          <w:szCs w:val="20"/>
          <w:color w:val="auto"/>
        </w:rPr>
      </w:pPr>
    </w:p>
    <w:p>
      <w:pPr>
        <w:jc w:val="both"/>
        <w:ind w:right="40" w:firstLine="648"/>
        <w:spacing w:after="0" w:line="249" w:lineRule="auto"/>
        <w:rPr>
          <w:sz w:val="20"/>
          <w:szCs w:val="20"/>
          <w:color w:val="auto"/>
        </w:rPr>
      </w:pPr>
      <w:r>
        <w:rPr>
          <w:rFonts w:ascii="Arial" w:cs="Arial" w:eastAsia="Arial" w:hAnsi="Arial"/>
          <w:sz w:val="21"/>
          <w:szCs w:val="21"/>
          <w:color w:val="auto"/>
        </w:rPr>
        <w:t>The Company has two reportable segments, namely Direct Store Delivery (“DSD”), whose principal products comprise energy drinks, and Warehouse (“Warehouse”), whose principal products comprise juice-based and soda beverages. The DSD segment develops, markets and sells products primarily through an exclusive distributor network, whereas the Warehouse segment develops, markets and sells products primarily direct to retailers. Corporate and unallocated amounts that do not relate to DSD or Warehouse segments have been allocated to “Corporate &amp; Unallocated.”</w:t>
      </w:r>
    </w:p>
    <w:p>
      <w:pPr>
        <w:spacing w:after="0" w:line="206" w:lineRule="exact"/>
        <w:rPr>
          <w:sz w:val="20"/>
          <w:szCs w:val="20"/>
          <w:color w:val="auto"/>
        </w:rPr>
      </w:pPr>
    </w:p>
    <w:p>
      <w:pPr>
        <w:jc w:val="both"/>
        <w:ind w:right="40" w:firstLine="648"/>
        <w:spacing w:after="0" w:line="251" w:lineRule="auto"/>
        <w:rPr>
          <w:sz w:val="20"/>
          <w:szCs w:val="20"/>
          <w:color w:val="auto"/>
        </w:rPr>
      </w:pPr>
      <w:r>
        <w:rPr>
          <w:rFonts w:ascii="Arial" w:cs="Arial" w:eastAsia="Arial" w:hAnsi="Arial"/>
          <w:sz w:val="22"/>
          <w:szCs w:val="22"/>
          <w:color w:val="auto"/>
        </w:rPr>
        <w:t>The net revenues derived from the DSD and Warehouse segments and other financial information related thereto are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50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3540" w:type="dxa"/>
            <w:vAlign w:val="bottom"/>
            <w:tcBorders>
              <w:bottom w:val="single" w:sz="8" w:color="auto"/>
            </w:tcBorders>
            <w:gridSpan w:val="7"/>
          </w:tcPr>
          <w:p>
            <w:pPr>
              <w:ind w:left="140"/>
              <w:spacing w:after="0"/>
              <w:rPr>
                <w:sz w:val="20"/>
                <w:szCs w:val="20"/>
                <w:color w:val="auto"/>
              </w:rPr>
            </w:pPr>
            <w:r>
              <w:rPr>
                <w:rFonts w:ascii="Arial" w:cs="Arial" w:eastAsia="Arial" w:hAnsi="Arial"/>
                <w:sz w:val="20"/>
                <w:szCs w:val="20"/>
                <w:color w:val="auto"/>
                <w:w w:val="90"/>
              </w:rPr>
              <w:t>Three-Months Ended September 30, 2012</w:t>
            </w: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40" w:type="dxa"/>
            <w:vAlign w:val="bottom"/>
          </w:tcPr>
          <w:p>
            <w:pPr>
              <w:spacing w:after="0"/>
              <w:rPr>
                <w:sz w:val="21"/>
                <w:szCs w:val="21"/>
                <w:color w:val="auto"/>
              </w:rPr>
            </w:pPr>
          </w:p>
        </w:tc>
      </w:tr>
      <w:tr>
        <w:trPr>
          <w:trHeight w:val="206"/>
        </w:trPr>
        <w:tc>
          <w:tcPr>
            <w:tcW w:w="5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20" w:type="dxa"/>
            <w:vAlign w:val="bottom"/>
            <w:gridSpan w:val="3"/>
          </w:tcPr>
          <w:p>
            <w:pPr>
              <w:ind w:left="100"/>
              <w:spacing w:after="0" w:line="207" w:lineRule="exact"/>
              <w:rPr>
                <w:sz w:val="20"/>
                <w:szCs w:val="20"/>
                <w:color w:val="auto"/>
              </w:rPr>
            </w:pPr>
            <w:r>
              <w:rPr>
                <w:rFonts w:ascii="Arial" w:cs="Arial" w:eastAsia="Arial" w:hAnsi="Arial"/>
                <w:sz w:val="20"/>
                <w:szCs w:val="20"/>
                <w:color w:val="auto"/>
              </w:rPr>
              <w:t>Corporate and</w:t>
            </w: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46"/>
        </w:trPr>
        <w:tc>
          <w:tcPr>
            <w:tcW w:w="50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402"/>
              <w:spacing w:after="0"/>
              <w:rPr>
                <w:sz w:val="20"/>
                <w:szCs w:val="20"/>
                <w:color w:val="auto"/>
              </w:rPr>
            </w:pPr>
            <w:r>
              <w:rPr>
                <w:rFonts w:ascii="Arial" w:cs="Arial" w:eastAsia="Arial" w:hAnsi="Arial"/>
                <w:sz w:val="20"/>
                <w:szCs w:val="20"/>
                <w:color w:val="auto"/>
              </w:rPr>
              <w:t>DSD</w:t>
            </w: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20" w:type="dxa"/>
            <w:vAlign w:val="bottom"/>
            <w:gridSpan w:val="2"/>
          </w:tcPr>
          <w:p>
            <w:pPr>
              <w:ind w:left="20"/>
              <w:spacing w:after="0"/>
              <w:rPr>
                <w:sz w:val="20"/>
                <w:szCs w:val="20"/>
                <w:color w:val="auto"/>
              </w:rPr>
            </w:pPr>
            <w:r>
              <w:rPr>
                <w:rFonts w:ascii="Arial" w:cs="Arial" w:eastAsia="Arial" w:hAnsi="Arial"/>
                <w:sz w:val="20"/>
                <w:szCs w:val="20"/>
                <w:color w:val="auto"/>
              </w:rPr>
              <w:t>Warehouse</w:t>
            </w:r>
          </w:p>
        </w:tc>
        <w:tc>
          <w:tcPr>
            <w:tcW w:w="1620" w:type="dxa"/>
            <w:vAlign w:val="bottom"/>
            <w:gridSpan w:val="3"/>
          </w:tcPr>
          <w:p>
            <w:pPr>
              <w:ind w:left="200"/>
              <w:spacing w:after="0"/>
              <w:rPr>
                <w:sz w:val="20"/>
                <w:szCs w:val="20"/>
                <w:color w:val="auto"/>
              </w:rPr>
            </w:pPr>
            <w:r>
              <w:rPr>
                <w:rFonts w:ascii="Arial" w:cs="Arial" w:eastAsia="Arial" w:hAnsi="Arial"/>
                <w:sz w:val="20"/>
                <w:szCs w:val="20"/>
                <w:color w:val="auto"/>
              </w:rPr>
              <w:t>Unallocated</w:t>
            </w:r>
          </w:p>
        </w:tc>
        <w:tc>
          <w:tcPr>
            <w:tcW w:w="360" w:type="dxa"/>
            <w:vAlign w:val="bottom"/>
          </w:tcPr>
          <w:p>
            <w:pPr>
              <w:spacing w:after="0"/>
              <w:rPr>
                <w:sz w:val="21"/>
                <w:szCs w:val="21"/>
                <w:color w:val="auto"/>
              </w:rPr>
            </w:pPr>
          </w:p>
        </w:tc>
        <w:tc>
          <w:tcPr>
            <w:tcW w:w="1140" w:type="dxa"/>
            <w:vAlign w:val="bottom"/>
          </w:tcPr>
          <w:p>
            <w:pPr>
              <w:jc w:val="right"/>
              <w:ind w:right="481"/>
              <w:spacing w:after="0"/>
              <w:rPr>
                <w:sz w:val="20"/>
                <w:szCs w:val="20"/>
                <w:color w:val="auto"/>
              </w:rPr>
            </w:pPr>
            <w:r>
              <w:rPr>
                <w:rFonts w:ascii="Arial" w:cs="Arial" w:eastAsia="Arial" w:hAnsi="Arial"/>
                <w:sz w:val="20"/>
                <w:szCs w:val="20"/>
                <w:color w:val="auto"/>
              </w:rPr>
              <w:t>Total</w:t>
            </w:r>
          </w:p>
        </w:tc>
        <w:tc>
          <w:tcPr>
            <w:tcW w:w="40" w:type="dxa"/>
            <w:vAlign w:val="bottom"/>
          </w:tcPr>
          <w:p>
            <w:pPr>
              <w:spacing w:after="0"/>
              <w:rPr>
                <w:sz w:val="21"/>
                <w:szCs w:val="21"/>
                <w:color w:val="auto"/>
              </w:rPr>
            </w:pPr>
          </w:p>
        </w:tc>
      </w:tr>
      <w:tr>
        <w:trPr>
          <w:trHeight w:val="223"/>
        </w:trPr>
        <w:tc>
          <w:tcPr>
            <w:tcW w:w="5000" w:type="dxa"/>
            <w:vAlign w:val="bottom"/>
            <w:tcBorders>
              <w:top w:val="single" w:sz="8" w:color="CCEEFF"/>
            </w:tcBorders>
            <w:shd w:val="clear" w:color="auto" w:fill="CCEEFF"/>
          </w:tcPr>
          <w:p>
            <w:pPr>
              <w:spacing w:after="0" w:line="223" w:lineRule="exact"/>
              <w:rPr>
                <w:sz w:val="20"/>
                <w:szCs w:val="20"/>
                <w:color w:val="auto"/>
              </w:rPr>
            </w:pPr>
            <w:r>
              <w:rPr>
                <w:rFonts w:ascii="Arial" w:cs="Arial" w:eastAsia="Arial" w:hAnsi="Arial"/>
                <w:sz w:val="20"/>
                <w:szCs w:val="20"/>
                <w:color w:val="auto"/>
              </w:rPr>
              <w:t>Net sales</w:t>
            </w:r>
          </w:p>
        </w:tc>
        <w:tc>
          <w:tcPr>
            <w:tcW w:w="340" w:type="dxa"/>
            <w:vAlign w:val="bottom"/>
            <w:tcBorders>
              <w:top w:val="single" w:sz="8" w:color="auto"/>
            </w:tcBorders>
            <w:shd w:val="clear" w:color="auto" w:fill="CCEEFF"/>
          </w:tcPr>
          <w:p>
            <w:pPr>
              <w:jc w:val="right"/>
              <w:ind w:right="61"/>
              <w:spacing w:after="0" w:line="223" w:lineRule="exact"/>
              <w:rPr>
                <w:sz w:val="20"/>
                <w:szCs w:val="20"/>
                <w:color w:val="auto"/>
              </w:rPr>
            </w:pPr>
            <w:r>
              <w:rPr>
                <w:rFonts w:ascii="Arial" w:cs="Arial" w:eastAsia="Arial" w:hAnsi="Arial"/>
                <w:sz w:val="20"/>
                <w:szCs w:val="20"/>
                <w:color w:val="auto"/>
              </w:rPr>
              <w:t>$</w:t>
            </w:r>
          </w:p>
        </w:tc>
        <w:tc>
          <w:tcPr>
            <w:tcW w:w="1040" w:type="dxa"/>
            <w:vAlign w:val="bottom"/>
            <w:tcBorders>
              <w:top w:val="single" w:sz="8" w:color="auto"/>
            </w:tcBorders>
            <w:shd w:val="clear" w:color="auto" w:fill="CCEEFF"/>
          </w:tcPr>
          <w:p>
            <w:pPr>
              <w:jc w:val="right"/>
              <w:ind w:right="22"/>
              <w:spacing w:after="0" w:line="223" w:lineRule="exact"/>
              <w:rPr>
                <w:sz w:val="20"/>
                <w:szCs w:val="20"/>
                <w:color w:val="auto"/>
              </w:rPr>
            </w:pPr>
            <w:r>
              <w:rPr>
                <w:rFonts w:ascii="Arial" w:cs="Arial" w:eastAsia="Arial" w:hAnsi="Arial"/>
                <w:sz w:val="20"/>
                <w:szCs w:val="20"/>
                <w:color w:val="auto"/>
              </w:rPr>
              <w:t>516,268</w:t>
            </w:r>
          </w:p>
        </w:tc>
        <w:tc>
          <w:tcPr>
            <w:tcW w:w="2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rPr>
              <w:t>$</w:t>
            </w:r>
          </w:p>
        </w:tc>
        <w:tc>
          <w:tcPr>
            <w:tcW w:w="1140" w:type="dxa"/>
            <w:vAlign w:val="bottom"/>
            <w:tcBorders>
              <w:top w:val="single" w:sz="8" w:color="auto"/>
            </w:tcBorders>
            <w:shd w:val="clear" w:color="auto" w:fill="CCEEFF"/>
          </w:tcPr>
          <w:p>
            <w:pPr>
              <w:jc w:val="right"/>
              <w:ind w:right="21"/>
              <w:spacing w:after="0" w:line="223" w:lineRule="exact"/>
              <w:rPr>
                <w:sz w:val="20"/>
                <w:szCs w:val="20"/>
                <w:color w:val="auto"/>
              </w:rPr>
            </w:pPr>
            <w:r>
              <w:rPr>
                <w:rFonts w:ascii="Arial" w:cs="Arial" w:eastAsia="Arial" w:hAnsi="Arial"/>
                <w:sz w:val="20"/>
                <w:szCs w:val="20"/>
                <w:color w:val="auto"/>
              </w:rPr>
              <w:t>25,672</w:t>
            </w:r>
          </w:p>
        </w:tc>
        <w:tc>
          <w:tcPr>
            <w:tcW w:w="28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ind w:left="100"/>
              <w:spacing w:after="0" w:line="223" w:lineRule="exact"/>
              <w:rPr>
                <w:sz w:val="20"/>
                <w:szCs w:val="20"/>
                <w:color w:val="auto"/>
              </w:rPr>
            </w:pPr>
            <w:r>
              <w:rPr>
                <w:rFonts w:ascii="Arial" w:cs="Arial" w:eastAsia="Arial" w:hAnsi="Arial"/>
                <w:sz w:val="20"/>
                <w:szCs w:val="20"/>
                <w:color w:val="auto"/>
              </w:rPr>
              <w:t>$</w:t>
            </w:r>
          </w:p>
        </w:tc>
        <w:tc>
          <w:tcPr>
            <w:tcW w:w="940" w:type="dxa"/>
            <w:vAlign w:val="bottom"/>
            <w:tcBorders>
              <w:top w:val="single" w:sz="8" w:color="auto"/>
            </w:tcBorders>
            <w:shd w:val="clear" w:color="auto" w:fill="CCEEFF"/>
          </w:tcPr>
          <w:p>
            <w:pPr>
              <w:jc w:val="right"/>
              <w:ind w:right="21"/>
              <w:spacing w:after="0" w:line="223" w:lineRule="exact"/>
              <w:rPr>
                <w:sz w:val="20"/>
                <w:szCs w:val="20"/>
                <w:color w:val="auto"/>
              </w:rPr>
            </w:pPr>
            <w:r>
              <w:rPr>
                <w:rFonts w:ascii="Arial" w:cs="Arial" w:eastAsia="Arial" w:hAnsi="Arial"/>
                <w:sz w:val="20"/>
                <w:szCs w:val="20"/>
                <w:color w:val="auto"/>
              </w:rPr>
              <w:t>-</w:t>
            </w:r>
          </w:p>
        </w:tc>
        <w:tc>
          <w:tcPr>
            <w:tcW w:w="28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61"/>
              <w:spacing w:after="0" w:line="223" w:lineRule="exact"/>
              <w:rPr>
                <w:sz w:val="20"/>
                <w:szCs w:val="20"/>
                <w:color w:val="auto"/>
              </w:rPr>
            </w:pPr>
            <w:r>
              <w:rPr>
                <w:rFonts w:ascii="Arial" w:cs="Arial" w:eastAsia="Arial" w:hAnsi="Arial"/>
                <w:sz w:val="20"/>
                <w:szCs w:val="20"/>
                <w:color w:val="auto"/>
              </w:rPr>
              <w:t>$</w:t>
            </w:r>
          </w:p>
        </w:tc>
        <w:tc>
          <w:tcPr>
            <w:tcW w:w="1140" w:type="dxa"/>
            <w:vAlign w:val="bottom"/>
            <w:tcBorders>
              <w:top w:val="single" w:sz="8" w:color="auto"/>
              <w:right w:val="single" w:sz="8" w:color="CCEEFF"/>
            </w:tcBorders>
            <w:shd w:val="clear" w:color="auto" w:fill="CCEEFF"/>
          </w:tcPr>
          <w:p>
            <w:pPr>
              <w:jc w:val="right"/>
              <w:ind w:right="41"/>
              <w:spacing w:after="0" w:line="223" w:lineRule="exact"/>
              <w:rPr>
                <w:sz w:val="20"/>
                <w:szCs w:val="20"/>
                <w:color w:val="auto"/>
              </w:rPr>
            </w:pPr>
            <w:r>
              <w:rPr>
                <w:rFonts w:ascii="Arial" w:cs="Arial" w:eastAsia="Arial" w:hAnsi="Arial"/>
                <w:sz w:val="20"/>
                <w:szCs w:val="20"/>
                <w:color w:val="auto"/>
              </w:rPr>
              <w:t>541,940</w:t>
            </w:r>
          </w:p>
        </w:tc>
        <w:tc>
          <w:tcPr>
            <w:tcW w:w="40" w:type="dxa"/>
            <w:vAlign w:val="bottom"/>
          </w:tcPr>
          <w:p>
            <w:pPr>
              <w:spacing w:after="0"/>
              <w:rPr>
                <w:sz w:val="19"/>
                <w:szCs w:val="19"/>
                <w:color w:val="auto"/>
              </w:rPr>
            </w:pPr>
          </w:p>
        </w:tc>
      </w:tr>
      <w:tr>
        <w:trPr>
          <w:trHeight w:val="230"/>
        </w:trPr>
        <w:tc>
          <w:tcPr>
            <w:tcW w:w="5000" w:type="dxa"/>
            <w:vAlign w:val="bottom"/>
          </w:tcPr>
          <w:p>
            <w:pPr>
              <w:spacing w:after="0"/>
              <w:rPr>
                <w:sz w:val="20"/>
                <w:szCs w:val="20"/>
                <w:color w:val="auto"/>
              </w:rPr>
            </w:pPr>
            <w:r>
              <w:rPr>
                <w:rFonts w:ascii="Arial" w:cs="Arial" w:eastAsia="Arial" w:hAnsi="Arial"/>
                <w:sz w:val="20"/>
                <w:szCs w:val="20"/>
                <w:color w:val="auto"/>
              </w:rPr>
              <w:t>Contribution margin</w:t>
            </w:r>
          </w:p>
        </w:tc>
        <w:tc>
          <w:tcPr>
            <w:tcW w:w="340" w:type="dxa"/>
            <w:vAlign w:val="bottom"/>
          </w:tcPr>
          <w:p>
            <w:pPr>
              <w:spacing w:after="0"/>
              <w:rPr>
                <w:sz w:val="19"/>
                <w:szCs w:val="19"/>
                <w:color w:val="auto"/>
              </w:rPr>
            </w:pPr>
          </w:p>
        </w:tc>
        <w:tc>
          <w:tcPr>
            <w:tcW w:w="1040" w:type="dxa"/>
            <w:vAlign w:val="bottom"/>
          </w:tcPr>
          <w:p>
            <w:pPr>
              <w:jc w:val="right"/>
              <w:ind w:right="22"/>
              <w:spacing w:after="0"/>
              <w:rPr>
                <w:sz w:val="20"/>
                <w:szCs w:val="20"/>
                <w:color w:val="auto"/>
              </w:rPr>
            </w:pPr>
            <w:r>
              <w:rPr>
                <w:rFonts w:ascii="Arial" w:cs="Arial" w:eastAsia="Arial" w:hAnsi="Arial"/>
                <w:sz w:val="20"/>
                <w:szCs w:val="20"/>
                <w:color w:val="auto"/>
              </w:rPr>
              <w:t>170,096</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ind w:right="21"/>
              <w:spacing w:after="0"/>
              <w:rPr>
                <w:sz w:val="20"/>
                <w:szCs w:val="20"/>
                <w:color w:val="auto"/>
              </w:rPr>
            </w:pPr>
            <w:r>
              <w:rPr>
                <w:rFonts w:ascii="Arial" w:cs="Arial" w:eastAsia="Arial" w:hAnsi="Arial"/>
                <w:sz w:val="20"/>
                <w:szCs w:val="20"/>
                <w:color w:val="auto"/>
              </w:rPr>
              <w:t>41</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ind w:right="41"/>
              <w:spacing w:after="0"/>
              <w:rPr>
                <w:sz w:val="20"/>
                <w:szCs w:val="20"/>
                <w:color w:val="auto"/>
              </w:rPr>
            </w:pPr>
            <w:r>
              <w:rPr>
                <w:rFonts w:ascii="Arial" w:cs="Arial" w:eastAsia="Arial" w:hAnsi="Arial"/>
                <w:sz w:val="20"/>
                <w:szCs w:val="20"/>
                <w:color w:val="auto"/>
              </w:rPr>
              <w:t>170,137</w:t>
            </w:r>
          </w:p>
        </w:tc>
        <w:tc>
          <w:tcPr>
            <w:tcW w:w="40" w:type="dxa"/>
            <w:vAlign w:val="bottom"/>
          </w:tcPr>
          <w:p>
            <w:pPr>
              <w:spacing w:after="0"/>
              <w:rPr>
                <w:sz w:val="19"/>
                <w:szCs w:val="19"/>
                <w:color w:val="auto"/>
              </w:rPr>
            </w:pPr>
          </w:p>
        </w:tc>
      </w:tr>
      <w:tr>
        <w:trPr>
          <w:trHeight w:val="230"/>
        </w:trPr>
        <w:tc>
          <w:tcPr>
            <w:tcW w:w="5000" w:type="dxa"/>
            <w:vAlign w:val="bottom"/>
            <w:shd w:val="clear" w:color="auto" w:fill="CCEEFF"/>
          </w:tcPr>
          <w:p>
            <w:pPr>
              <w:spacing w:after="0"/>
              <w:rPr>
                <w:sz w:val="20"/>
                <w:szCs w:val="20"/>
                <w:color w:val="auto"/>
              </w:rPr>
            </w:pPr>
            <w:r>
              <w:rPr>
                <w:rFonts w:ascii="Arial" w:cs="Arial" w:eastAsia="Arial" w:hAnsi="Arial"/>
                <w:sz w:val="20"/>
                <w:szCs w:val="20"/>
                <w:color w:val="auto"/>
              </w:rPr>
              <w:t>Corporate and unallocated expenses</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22"/>
              <w:spacing w:after="0"/>
              <w:rPr>
                <w:sz w:val="20"/>
                <w:szCs w:val="20"/>
                <w:color w:val="auto"/>
              </w:rPr>
            </w:pPr>
            <w:r>
              <w:rPr>
                <w:rFonts w:ascii="Arial" w:cs="Arial" w:eastAsia="Arial" w:hAnsi="Arial"/>
                <w:sz w:val="20"/>
                <w:szCs w:val="20"/>
                <w:color w:val="auto"/>
              </w:rPr>
              <w:t>-</w:t>
            </w:r>
          </w:p>
        </w:tc>
        <w:tc>
          <w:tcPr>
            <w:tcW w:w="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(29,452)</w:t>
            </w:r>
          </w:p>
        </w:tc>
        <w:tc>
          <w:tcPr>
            <w:tcW w:w="2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(29,452)</w:t>
            </w:r>
          </w:p>
        </w:tc>
        <w:tc>
          <w:tcPr>
            <w:tcW w:w="40" w:type="dxa"/>
            <w:vAlign w:val="bottom"/>
          </w:tcPr>
          <w:p>
            <w:pPr>
              <w:spacing w:after="0"/>
              <w:rPr>
                <w:sz w:val="19"/>
                <w:szCs w:val="19"/>
                <w:color w:val="auto"/>
              </w:rPr>
            </w:pPr>
          </w:p>
        </w:tc>
      </w:tr>
      <w:tr>
        <w:trPr>
          <w:trHeight w:val="230"/>
        </w:trPr>
        <w:tc>
          <w:tcPr>
            <w:tcW w:w="5000" w:type="dxa"/>
            <w:vAlign w:val="bottom"/>
          </w:tcPr>
          <w:p>
            <w:pPr>
              <w:spacing w:after="0"/>
              <w:rPr>
                <w:sz w:val="20"/>
                <w:szCs w:val="20"/>
                <w:color w:val="auto"/>
              </w:rPr>
            </w:pPr>
            <w:r>
              <w:rPr>
                <w:rFonts w:ascii="Arial" w:cs="Arial" w:eastAsia="Arial" w:hAnsi="Arial"/>
                <w:sz w:val="20"/>
                <w:szCs w:val="20"/>
                <w:color w:val="auto"/>
              </w:rPr>
              <w:t>Operating income</w:t>
            </w: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ind w:right="41"/>
              <w:spacing w:after="0"/>
              <w:rPr>
                <w:sz w:val="20"/>
                <w:szCs w:val="20"/>
                <w:color w:val="auto"/>
              </w:rPr>
            </w:pPr>
            <w:r>
              <w:rPr>
                <w:rFonts w:ascii="Arial" w:cs="Arial" w:eastAsia="Arial" w:hAnsi="Arial"/>
                <w:sz w:val="20"/>
                <w:szCs w:val="20"/>
                <w:color w:val="auto"/>
              </w:rPr>
              <w:t>140,685</w:t>
            </w:r>
          </w:p>
        </w:tc>
        <w:tc>
          <w:tcPr>
            <w:tcW w:w="40" w:type="dxa"/>
            <w:vAlign w:val="bottom"/>
          </w:tcPr>
          <w:p>
            <w:pPr>
              <w:spacing w:after="0"/>
              <w:rPr>
                <w:sz w:val="19"/>
                <w:szCs w:val="19"/>
                <w:color w:val="auto"/>
              </w:rPr>
            </w:pPr>
          </w:p>
        </w:tc>
      </w:tr>
      <w:tr>
        <w:trPr>
          <w:trHeight w:val="230"/>
        </w:trPr>
        <w:tc>
          <w:tcPr>
            <w:tcW w:w="5000" w:type="dxa"/>
            <w:vAlign w:val="bottom"/>
            <w:shd w:val="clear" w:color="auto" w:fill="CCEEFF"/>
          </w:tcPr>
          <w:p>
            <w:pPr>
              <w:spacing w:after="0"/>
              <w:rPr>
                <w:sz w:val="20"/>
                <w:szCs w:val="20"/>
                <w:color w:val="auto"/>
              </w:rPr>
            </w:pPr>
            <w:r>
              <w:rPr>
                <w:rFonts w:ascii="Arial" w:cs="Arial" w:eastAsia="Arial" w:hAnsi="Arial"/>
                <w:sz w:val="20"/>
                <w:szCs w:val="20"/>
                <w:color w:val="auto"/>
              </w:rPr>
              <w:t>Other income (expense)</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22"/>
              <w:spacing w:after="0"/>
              <w:rPr>
                <w:sz w:val="20"/>
                <w:szCs w:val="20"/>
                <w:color w:val="auto"/>
              </w:rPr>
            </w:pPr>
            <w:r>
              <w:rPr>
                <w:rFonts w:ascii="Arial" w:cs="Arial" w:eastAsia="Arial" w:hAnsi="Arial"/>
                <w:sz w:val="20"/>
                <w:szCs w:val="20"/>
                <w:color w:val="auto"/>
              </w:rPr>
              <w:t>147</w:t>
            </w:r>
          </w:p>
        </w:tc>
        <w:tc>
          <w:tcPr>
            <w:tcW w:w="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406</w:t>
            </w:r>
          </w:p>
        </w:tc>
        <w:tc>
          <w:tcPr>
            <w:tcW w:w="2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tcBorders>
              <w:right w:val="single" w:sz="8" w:color="CCEEFF"/>
            </w:tcBorders>
            <w:shd w:val="clear" w:color="auto" w:fill="CCEEFF"/>
          </w:tcPr>
          <w:p>
            <w:pPr>
              <w:jc w:val="right"/>
              <w:ind w:right="41"/>
              <w:spacing w:after="0"/>
              <w:rPr>
                <w:sz w:val="20"/>
                <w:szCs w:val="20"/>
                <w:color w:val="auto"/>
              </w:rPr>
            </w:pPr>
            <w:r>
              <w:rPr>
                <w:rFonts w:ascii="Arial" w:cs="Arial" w:eastAsia="Arial" w:hAnsi="Arial"/>
                <w:sz w:val="20"/>
                <w:szCs w:val="20"/>
                <w:color w:val="auto"/>
              </w:rPr>
              <w:t>553</w:t>
            </w:r>
          </w:p>
        </w:tc>
        <w:tc>
          <w:tcPr>
            <w:tcW w:w="40" w:type="dxa"/>
            <w:vAlign w:val="bottom"/>
          </w:tcPr>
          <w:p>
            <w:pPr>
              <w:spacing w:after="0"/>
              <w:rPr>
                <w:sz w:val="19"/>
                <w:szCs w:val="19"/>
                <w:color w:val="auto"/>
              </w:rPr>
            </w:pPr>
          </w:p>
        </w:tc>
      </w:tr>
      <w:tr>
        <w:trPr>
          <w:trHeight w:val="230"/>
        </w:trPr>
        <w:tc>
          <w:tcPr>
            <w:tcW w:w="5000" w:type="dxa"/>
            <w:vAlign w:val="bottom"/>
          </w:tcPr>
          <w:p>
            <w:pPr>
              <w:spacing w:after="0"/>
              <w:rPr>
                <w:sz w:val="20"/>
                <w:szCs w:val="20"/>
                <w:color w:val="auto"/>
              </w:rPr>
            </w:pPr>
            <w:r>
              <w:rPr>
                <w:rFonts w:ascii="Arial" w:cs="Arial" w:eastAsia="Arial" w:hAnsi="Arial"/>
                <w:sz w:val="20"/>
                <w:szCs w:val="20"/>
                <w:color w:val="auto"/>
              </w:rPr>
              <w:t>Income before provision for income taxes</w:t>
            </w: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ind w:right="41"/>
              <w:spacing w:after="0"/>
              <w:rPr>
                <w:sz w:val="20"/>
                <w:szCs w:val="20"/>
                <w:color w:val="auto"/>
              </w:rPr>
            </w:pPr>
            <w:r>
              <w:rPr>
                <w:rFonts w:ascii="Arial" w:cs="Arial" w:eastAsia="Arial" w:hAnsi="Arial"/>
                <w:sz w:val="20"/>
                <w:szCs w:val="20"/>
                <w:color w:val="auto"/>
              </w:rPr>
              <w:t>141,238</w:t>
            </w:r>
          </w:p>
        </w:tc>
        <w:tc>
          <w:tcPr>
            <w:tcW w:w="40" w:type="dxa"/>
            <w:vAlign w:val="bottom"/>
          </w:tcPr>
          <w:p>
            <w:pPr>
              <w:spacing w:after="0"/>
              <w:rPr>
                <w:sz w:val="19"/>
                <w:szCs w:val="19"/>
                <w:color w:val="auto"/>
              </w:rPr>
            </w:pPr>
          </w:p>
        </w:tc>
      </w:tr>
      <w:tr>
        <w:trPr>
          <w:trHeight w:val="230"/>
        </w:trPr>
        <w:tc>
          <w:tcPr>
            <w:tcW w:w="5000" w:type="dxa"/>
            <w:vAlign w:val="bottom"/>
            <w:shd w:val="clear" w:color="auto" w:fill="CCEEFF"/>
          </w:tcPr>
          <w:p>
            <w:pPr>
              <w:spacing w:after="0"/>
              <w:rPr>
                <w:sz w:val="20"/>
                <w:szCs w:val="20"/>
                <w:color w:val="auto"/>
              </w:rPr>
            </w:pPr>
            <w:r>
              <w:rPr>
                <w:rFonts w:ascii="Arial" w:cs="Arial" w:eastAsia="Arial" w:hAnsi="Arial"/>
                <w:sz w:val="20"/>
                <w:szCs w:val="20"/>
                <w:color w:val="auto"/>
              </w:rPr>
              <w:t>Depreciation and amortization</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(3,884)</w:t>
            </w:r>
          </w:p>
        </w:tc>
        <w:tc>
          <w:tcPr>
            <w:tcW w:w="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(38)</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(1,233)</w:t>
            </w:r>
          </w:p>
        </w:tc>
        <w:tc>
          <w:tcPr>
            <w:tcW w:w="2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(5,155)</w:t>
            </w:r>
          </w:p>
        </w:tc>
        <w:tc>
          <w:tcPr>
            <w:tcW w:w="40" w:type="dxa"/>
            <w:vAlign w:val="bottom"/>
          </w:tcPr>
          <w:p>
            <w:pPr>
              <w:spacing w:after="0"/>
              <w:rPr>
                <w:sz w:val="19"/>
                <w:szCs w:val="19"/>
                <w:color w:val="auto"/>
              </w:rPr>
            </w:pPr>
          </w:p>
        </w:tc>
      </w:tr>
      <w:tr>
        <w:trPr>
          <w:trHeight w:val="250"/>
        </w:trPr>
        <w:tc>
          <w:tcPr>
            <w:tcW w:w="5000" w:type="dxa"/>
            <w:vAlign w:val="bottom"/>
          </w:tcPr>
          <w:p>
            <w:pPr>
              <w:spacing w:after="0"/>
              <w:rPr>
                <w:sz w:val="20"/>
                <w:szCs w:val="20"/>
                <w:color w:val="auto"/>
              </w:rPr>
            </w:pPr>
            <w:r>
              <w:rPr>
                <w:rFonts w:ascii="Arial" w:cs="Arial" w:eastAsia="Arial" w:hAnsi="Arial"/>
                <w:sz w:val="20"/>
                <w:szCs w:val="20"/>
                <w:color w:val="auto"/>
              </w:rPr>
              <w:t>Trademark amortization</w:t>
            </w:r>
          </w:p>
        </w:tc>
        <w:tc>
          <w:tcPr>
            <w:tcW w:w="340" w:type="dxa"/>
            <w:vAlign w:val="bottom"/>
          </w:tcPr>
          <w:p>
            <w:pPr>
              <w:spacing w:after="0"/>
              <w:rPr>
                <w:sz w:val="21"/>
                <w:szCs w:val="21"/>
                <w:color w:val="auto"/>
              </w:rPr>
            </w:pPr>
          </w:p>
        </w:tc>
        <w:tc>
          <w:tcPr>
            <w:tcW w:w="1040" w:type="dxa"/>
            <w:vAlign w:val="bottom"/>
          </w:tcPr>
          <w:p>
            <w:pPr>
              <w:jc w:val="right"/>
              <w:ind w:right="22"/>
              <w:spacing w:after="0"/>
              <w:rPr>
                <w:sz w:val="20"/>
                <w:szCs w:val="20"/>
                <w:color w:val="auto"/>
              </w:rPr>
            </w:pPr>
            <w:r>
              <w:rPr>
                <w:rFonts w:ascii="Arial" w:cs="Arial" w:eastAsia="Arial" w:hAnsi="Arial"/>
                <w:sz w:val="20"/>
                <w:szCs w:val="20"/>
                <w:color w:val="auto"/>
              </w:rPr>
              <w:t>-</w:t>
            </w: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(11)</w:t>
            </w:r>
          </w:p>
        </w:tc>
        <w:tc>
          <w:tcPr>
            <w:tcW w:w="2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(1)</w:t>
            </w: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(12)</w:t>
            </w:r>
          </w:p>
        </w:tc>
        <w:tc>
          <w:tcPr>
            <w:tcW w:w="40" w:type="dxa"/>
            <w:vAlign w:val="bottom"/>
          </w:tcPr>
          <w:p>
            <w:pPr>
              <w:spacing w:after="0"/>
              <w:rPr>
                <w:sz w:val="21"/>
                <w:szCs w:val="21"/>
                <w:color w:val="auto"/>
              </w:rPr>
            </w:pPr>
          </w:p>
        </w:tc>
      </w:tr>
      <w:tr>
        <w:trPr>
          <w:trHeight w:val="438"/>
        </w:trPr>
        <w:tc>
          <w:tcPr>
            <w:tcW w:w="50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gridSpan w:val="7"/>
          </w:tcPr>
          <w:p>
            <w:pPr>
              <w:ind w:left="140"/>
              <w:spacing w:after="0"/>
              <w:rPr>
                <w:sz w:val="20"/>
                <w:szCs w:val="20"/>
                <w:color w:val="auto"/>
              </w:rPr>
            </w:pPr>
            <w:r>
              <w:rPr>
                <w:rFonts w:ascii="Arial" w:cs="Arial" w:eastAsia="Arial" w:hAnsi="Arial"/>
                <w:sz w:val="20"/>
                <w:szCs w:val="20"/>
                <w:color w:val="auto"/>
                <w:w w:val="90"/>
              </w:rPr>
              <w:t>Three-Months Ended September 30, 2011</w:t>
            </w:r>
          </w:p>
        </w:tc>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206"/>
        </w:trPr>
        <w:tc>
          <w:tcPr>
            <w:tcW w:w="5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20" w:type="dxa"/>
            <w:vAlign w:val="bottom"/>
            <w:gridSpan w:val="3"/>
          </w:tcPr>
          <w:p>
            <w:pPr>
              <w:ind w:left="100"/>
              <w:spacing w:after="0" w:line="207" w:lineRule="exact"/>
              <w:rPr>
                <w:sz w:val="20"/>
                <w:szCs w:val="20"/>
                <w:color w:val="auto"/>
              </w:rPr>
            </w:pPr>
            <w:r>
              <w:rPr>
                <w:rFonts w:ascii="Arial" w:cs="Arial" w:eastAsia="Arial" w:hAnsi="Arial"/>
                <w:sz w:val="20"/>
                <w:szCs w:val="20"/>
                <w:color w:val="auto"/>
              </w:rPr>
              <w:t>Corporate and</w:t>
            </w: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46"/>
        </w:trPr>
        <w:tc>
          <w:tcPr>
            <w:tcW w:w="50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402"/>
              <w:spacing w:after="0"/>
              <w:rPr>
                <w:sz w:val="20"/>
                <w:szCs w:val="20"/>
                <w:color w:val="auto"/>
              </w:rPr>
            </w:pPr>
            <w:r>
              <w:rPr>
                <w:rFonts w:ascii="Arial" w:cs="Arial" w:eastAsia="Arial" w:hAnsi="Arial"/>
                <w:sz w:val="20"/>
                <w:szCs w:val="20"/>
                <w:color w:val="auto"/>
              </w:rPr>
              <w:t>DSD</w:t>
            </w: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20" w:type="dxa"/>
            <w:vAlign w:val="bottom"/>
            <w:gridSpan w:val="2"/>
          </w:tcPr>
          <w:p>
            <w:pPr>
              <w:ind w:left="20"/>
              <w:spacing w:after="0"/>
              <w:rPr>
                <w:sz w:val="20"/>
                <w:szCs w:val="20"/>
                <w:color w:val="auto"/>
              </w:rPr>
            </w:pPr>
            <w:r>
              <w:rPr>
                <w:rFonts w:ascii="Arial" w:cs="Arial" w:eastAsia="Arial" w:hAnsi="Arial"/>
                <w:sz w:val="20"/>
                <w:szCs w:val="20"/>
                <w:color w:val="auto"/>
              </w:rPr>
              <w:t>Warehouse</w:t>
            </w:r>
          </w:p>
        </w:tc>
        <w:tc>
          <w:tcPr>
            <w:tcW w:w="1620" w:type="dxa"/>
            <w:vAlign w:val="bottom"/>
            <w:gridSpan w:val="3"/>
          </w:tcPr>
          <w:p>
            <w:pPr>
              <w:ind w:left="200"/>
              <w:spacing w:after="0"/>
              <w:rPr>
                <w:sz w:val="20"/>
                <w:szCs w:val="20"/>
                <w:color w:val="auto"/>
              </w:rPr>
            </w:pPr>
            <w:r>
              <w:rPr>
                <w:rFonts w:ascii="Arial" w:cs="Arial" w:eastAsia="Arial" w:hAnsi="Arial"/>
                <w:sz w:val="20"/>
                <w:szCs w:val="20"/>
                <w:color w:val="auto"/>
              </w:rPr>
              <w:t>Unallocated</w:t>
            </w:r>
          </w:p>
        </w:tc>
        <w:tc>
          <w:tcPr>
            <w:tcW w:w="360" w:type="dxa"/>
            <w:vAlign w:val="bottom"/>
          </w:tcPr>
          <w:p>
            <w:pPr>
              <w:spacing w:after="0"/>
              <w:rPr>
                <w:sz w:val="21"/>
                <w:szCs w:val="21"/>
                <w:color w:val="auto"/>
              </w:rPr>
            </w:pPr>
          </w:p>
        </w:tc>
        <w:tc>
          <w:tcPr>
            <w:tcW w:w="1140" w:type="dxa"/>
            <w:vAlign w:val="bottom"/>
          </w:tcPr>
          <w:p>
            <w:pPr>
              <w:jc w:val="right"/>
              <w:ind w:right="481"/>
              <w:spacing w:after="0"/>
              <w:rPr>
                <w:sz w:val="20"/>
                <w:szCs w:val="20"/>
                <w:color w:val="auto"/>
              </w:rPr>
            </w:pPr>
            <w:r>
              <w:rPr>
                <w:rFonts w:ascii="Arial" w:cs="Arial" w:eastAsia="Arial" w:hAnsi="Arial"/>
                <w:sz w:val="20"/>
                <w:szCs w:val="20"/>
                <w:color w:val="auto"/>
              </w:rPr>
              <w:t>Total</w:t>
            </w:r>
          </w:p>
        </w:tc>
        <w:tc>
          <w:tcPr>
            <w:tcW w:w="40" w:type="dxa"/>
            <w:vAlign w:val="bottom"/>
          </w:tcPr>
          <w:p>
            <w:pPr>
              <w:spacing w:after="0"/>
              <w:rPr>
                <w:sz w:val="21"/>
                <w:szCs w:val="21"/>
                <w:color w:val="auto"/>
              </w:rPr>
            </w:pPr>
          </w:p>
        </w:tc>
      </w:tr>
      <w:tr>
        <w:trPr>
          <w:trHeight w:val="223"/>
        </w:trPr>
        <w:tc>
          <w:tcPr>
            <w:tcW w:w="5000" w:type="dxa"/>
            <w:vAlign w:val="bottom"/>
            <w:tcBorders>
              <w:top w:val="single" w:sz="8" w:color="CCEEFF"/>
            </w:tcBorders>
            <w:shd w:val="clear" w:color="auto" w:fill="CCEEFF"/>
          </w:tcPr>
          <w:p>
            <w:pPr>
              <w:spacing w:after="0" w:line="223" w:lineRule="exact"/>
              <w:rPr>
                <w:sz w:val="20"/>
                <w:szCs w:val="20"/>
                <w:color w:val="auto"/>
              </w:rPr>
            </w:pPr>
            <w:r>
              <w:rPr>
                <w:rFonts w:ascii="Arial" w:cs="Arial" w:eastAsia="Arial" w:hAnsi="Arial"/>
                <w:sz w:val="20"/>
                <w:szCs w:val="20"/>
                <w:color w:val="auto"/>
              </w:rPr>
              <w:t>Net sales</w:t>
            </w:r>
          </w:p>
        </w:tc>
        <w:tc>
          <w:tcPr>
            <w:tcW w:w="340" w:type="dxa"/>
            <w:vAlign w:val="bottom"/>
            <w:tcBorders>
              <w:top w:val="single" w:sz="8" w:color="auto"/>
            </w:tcBorders>
            <w:shd w:val="clear" w:color="auto" w:fill="CCEEFF"/>
          </w:tcPr>
          <w:p>
            <w:pPr>
              <w:jc w:val="right"/>
              <w:ind w:right="61"/>
              <w:spacing w:after="0" w:line="223" w:lineRule="exact"/>
              <w:rPr>
                <w:sz w:val="20"/>
                <w:szCs w:val="20"/>
                <w:color w:val="auto"/>
              </w:rPr>
            </w:pPr>
            <w:r>
              <w:rPr>
                <w:rFonts w:ascii="Arial" w:cs="Arial" w:eastAsia="Arial" w:hAnsi="Arial"/>
                <w:sz w:val="20"/>
                <w:szCs w:val="20"/>
                <w:color w:val="auto"/>
              </w:rPr>
              <w:t>$</w:t>
            </w:r>
          </w:p>
        </w:tc>
        <w:tc>
          <w:tcPr>
            <w:tcW w:w="1040" w:type="dxa"/>
            <w:vAlign w:val="bottom"/>
            <w:tcBorders>
              <w:top w:val="single" w:sz="8" w:color="auto"/>
            </w:tcBorders>
            <w:shd w:val="clear" w:color="auto" w:fill="CCEEFF"/>
          </w:tcPr>
          <w:p>
            <w:pPr>
              <w:jc w:val="right"/>
              <w:ind w:right="22"/>
              <w:spacing w:after="0" w:line="223" w:lineRule="exact"/>
              <w:rPr>
                <w:sz w:val="20"/>
                <w:szCs w:val="20"/>
                <w:color w:val="auto"/>
              </w:rPr>
            </w:pPr>
            <w:r>
              <w:rPr>
                <w:rFonts w:ascii="Arial" w:cs="Arial" w:eastAsia="Arial" w:hAnsi="Arial"/>
                <w:sz w:val="20"/>
                <w:szCs w:val="20"/>
                <w:color w:val="auto"/>
              </w:rPr>
              <w:t>447,113</w:t>
            </w:r>
          </w:p>
        </w:tc>
        <w:tc>
          <w:tcPr>
            <w:tcW w:w="2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rPr>
              <w:t>$</w:t>
            </w:r>
          </w:p>
        </w:tc>
        <w:tc>
          <w:tcPr>
            <w:tcW w:w="1140" w:type="dxa"/>
            <w:vAlign w:val="bottom"/>
            <w:tcBorders>
              <w:top w:val="single" w:sz="8" w:color="auto"/>
            </w:tcBorders>
            <w:shd w:val="clear" w:color="auto" w:fill="CCEEFF"/>
          </w:tcPr>
          <w:p>
            <w:pPr>
              <w:jc w:val="right"/>
              <w:ind w:right="21"/>
              <w:spacing w:after="0" w:line="223" w:lineRule="exact"/>
              <w:rPr>
                <w:sz w:val="20"/>
                <w:szCs w:val="20"/>
                <w:color w:val="auto"/>
              </w:rPr>
            </w:pPr>
            <w:r>
              <w:rPr>
                <w:rFonts w:ascii="Arial" w:cs="Arial" w:eastAsia="Arial" w:hAnsi="Arial"/>
                <w:sz w:val="20"/>
                <w:szCs w:val="20"/>
                <w:color w:val="auto"/>
              </w:rPr>
              <w:t>27,596</w:t>
            </w:r>
          </w:p>
        </w:tc>
        <w:tc>
          <w:tcPr>
            <w:tcW w:w="28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ind w:left="100"/>
              <w:spacing w:after="0" w:line="223" w:lineRule="exact"/>
              <w:rPr>
                <w:sz w:val="20"/>
                <w:szCs w:val="20"/>
                <w:color w:val="auto"/>
              </w:rPr>
            </w:pPr>
            <w:r>
              <w:rPr>
                <w:rFonts w:ascii="Arial" w:cs="Arial" w:eastAsia="Arial" w:hAnsi="Arial"/>
                <w:sz w:val="20"/>
                <w:szCs w:val="20"/>
                <w:color w:val="auto"/>
              </w:rPr>
              <w:t>$</w:t>
            </w:r>
          </w:p>
        </w:tc>
        <w:tc>
          <w:tcPr>
            <w:tcW w:w="940" w:type="dxa"/>
            <w:vAlign w:val="bottom"/>
            <w:tcBorders>
              <w:top w:val="single" w:sz="8" w:color="auto"/>
            </w:tcBorders>
            <w:shd w:val="clear" w:color="auto" w:fill="CCEEFF"/>
          </w:tcPr>
          <w:p>
            <w:pPr>
              <w:jc w:val="right"/>
              <w:ind w:right="21"/>
              <w:spacing w:after="0" w:line="223" w:lineRule="exact"/>
              <w:rPr>
                <w:sz w:val="20"/>
                <w:szCs w:val="20"/>
                <w:color w:val="auto"/>
              </w:rPr>
            </w:pPr>
            <w:r>
              <w:rPr>
                <w:rFonts w:ascii="Arial" w:cs="Arial" w:eastAsia="Arial" w:hAnsi="Arial"/>
                <w:sz w:val="20"/>
                <w:szCs w:val="20"/>
                <w:color w:val="auto"/>
              </w:rPr>
              <w:t>-</w:t>
            </w:r>
          </w:p>
        </w:tc>
        <w:tc>
          <w:tcPr>
            <w:tcW w:w="28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61"/>
              <w:spacing w:after="0" w:line="223" w:lineRule="exact"/>
              <w:rPr>
                <w:sz w:val="20"/>
                <w:szCs w:val="20"/>
                <w:color w:val="auto"/>
              </w:rPr>
            </w:pPr>
            <w:r>
              <w:rPr>
                <w:rFonts w:ascii="Arial" w:cs="Arial" w:eastAsia="Arial" w:hAnsi="Arial"/>
                <w:sz w:val="20"/>
                <w:szCs w:val="20"/>
                <w:color w:val="auto"/>
              </w:rPr>
              <w:t>$</w:t>
            </w:r>
          </w:p>
        </w:tc>
        <w:tc>
          <w:tcPr>
            <w:tcW w:w="1140" w:type="dxa"/>
            <w:vAlign w:val="bottom"/>
            <w:tcBorders>
              <w:top w:val="single" w:sz="8" w:color="auto"/>
              <w:right w:val="single" w:sz="8" w:color="CCEEFF"/>
            </w:tcBorders>
            <w:shd w:val="clear" w:color="auto" w:fill="CCEEFF"/>
          </w:tcPr>
          <w:p>
            <w:pPr>
              <w:jc w:val="right"/>
              <w:ind w:right="41"/>
              <w:spacing w:after="0" w:line="223" w:lineRule="exact"/>
              <w:rPr>
                <w:sz w:val="20"/>
                <w:szCs w:val="20"/>
                <w:color w:val="auto"/>
              </w:rPr>
            </w:pPr>
            <w:r>
              <w:rPr>
                <w:rFonts w:ascii="Arial" w:cs="Arial" w:eastAsia="Arial" w:hAnsi="Arial"/>
                <w:sz w:val="20"/>
                <w:szCs w:val="20"/>
                <w:color w:val="auto"/>
              </w:rPr>
              <w:t>474,709</w:t>
            </w:r>
          </w:p>
        </w:tc>
        <w:tc>
          <w:tcPr>
            <w:tcW w:w="40" w:type="dxa"/>
            <w:vAlign w:val="bottom"/>
          </w:tcPr>
          <w:p>
            <w:pPr>
              <w:spacing w:after="0"/>
              <w:rPr>
                <w:sz w:val="19"/>
                <w:szCs w:val="19"/>
                <w:color w:val="auto"/>
              </w:rPr>
            </w:pPr>
          </w:p>
        </w:tc>
      </w:tr>
      <w:tr>
        <w:trPr>
          <w:trHeight w:val="230"/>
        </w:trPr>
        <w:tc>
          <w:tcPr>
            <w:tcW w:w="5000" w:type="dxa"/>
            <w:vAlign w:val="bottom"/>
          </w:tcPr>
          <w:p>
            <w:pPr>
              <w:spacing w:after="0"/>
              <w:rPr>
                <w:sz w:val="20"/>
                <w:szCs w:val="20"/>
                <w:color w:val="auto"/>
              </w:rPr>
            </w:pPr>
            <w:r>
              <w:rPr>
                <w:rFonts w:ascii="Arial" w:cs="Arial" w:eastAsia="Arial" w:hAnsi="Arial"/>
                <w:sz w:val="20"/>
                <w:szCs w:val="20"/>
                <w:color w:val="auto"/>
              </w:rPr>
              <w:t>Contribution margin</w:t>
            </w:r>
          </w:p>
        </w:tc>
        <w:tc>
          <w:tcPr>
            <w:tcW w:w="340" w:type="dxa"/>
            <w:vAlign w:val="bottom"/>
          </w:tcPr>
          <w:p>
            <w:pPr>
              <w:spacing w:after="0"/>
              <w:rPr>
                <w:sz w:val="19"/>
                <w:szCs w:val="19"/>
                <w:color w:val="auto"/>
              </w:rPr>
            </w:pPr>
          </w:p>
        </w:tc>
        <w:tc>
          <w:tcPr>
            <w:tcW w:w="1040" w:type="dxa"/>
            <w:vAlign w:val="bottom"/>
          </w:tcPr>
          <w:p>
            <w:pPr>
              <w:jc w:val="right"/>
              <w:ind w:right="22"/>
              <w:spacing w:after="0"/>
              <w:rPr>
                <w:sz w:val="20"/>
                <w:szCs w:val="20"/>
                <w:color w:val="auto"/>
              </w:rPr>
            </w:pPr>
            <w:r>
              <w:rPr>
                <w:rFonts w:ascii="Arial" w:cs="Arial" w:eastAsia="Arial" w:hAnsi="Arial"/>
                <w:sz w:val="20"/>
                <w:szCs w:val="20"/>
                <w:color w:val="auto"/>
              </w:rPr>
              <w:t>153,098</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ind w:right="21"/>
              <w:spacing w:after="0"/>
              <w:rPr>
                <w:sz w:val="20"/>
                <w:szCs w:val="20"/>
                <w:color w:val="auto"/>
              </w:rPr>
            </w:pPr>
            <w:r>
              <w:rPr>
                <w:rFonts w:ascii="Arial" w:cs="Arial" w:eastAsia="Arial" w:hAnsi="Arial"/>
                <w:sz w:val="20"/>
                <w:szCs w:val="20"/>
                <w:color w:val="auto"/>
              </w:rPr>
              <w:t>2,482</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ind w:right="41"/>
              <w:spacing w:after="0"/>
              <w:rPr>
                <w:sz w:val="20"/>
                <w:szCs w:val="20"/>
                <w:color w:val="auto"/>
              </w:rPr>
            </w:pPr>
            <w:r>
              <w:rPr>
                <w:rFonts w:ascii="Arial" w:cs="Arial" w:eastAsia="Arial" w:hAnsi="Arial"/>
                <w:sz w:val="20"/>
                <w:szCs w:val="20"/>
                <w:color w:val="auto"/>
              </w:rPr>
              <w:t>155,580</w:t>
            </w:r>
          </w:p>
        </w:tc>
        <w:tc>
          <w:tcPr>
            <w:tcW w:w="40" w:type="dxa"/>
            <w:vAlign w:val="bottom"/>
          </w:tcPr>
          <w:p>
            <w:pPr>
              <w:spacing w:after="0"/>
              <w:rPr>
                <w:sz w:val="19"/>
                <w:szCs w:val="19"/>
                <w:color w:val="auto"/>
              </w:rPr>
            </w:pPr>
          </w:p>
        </w:tc>
      </w:tr>
      <w:tr>
        <w:trPr>
          <w:trHeight w:val="230"/>
        </w:trPr>
        <w:tc>
          <w:tcPr>
            <w:tcW w:w="5000" w:type="dxa"/>
            <w:vAlign w:val="bottom"/>
            <w:shd w:val="clear" w:color="auto" w:fill="CCEEFF"/>
          </w:tcPr>
          <w:p>
            <w:pPr>
              <w:spacing w:after="0"/>
              <w:rPr>
                <w:sz w:val="20"/>
                <w:szCs w:val="20"/>
                <w:color w:val="auto"/>
              </w:rPr>
            </w:pPr>
            <w:r>
              <w:rPr>
                <w:rFonts w:ascii="Arial" w:cs="Arial" w:eastAsia="Arial" w:hAnsi="Arial"/>
                <w:sz w:val="20"/>
                <w:szCs w:val="20"/>
                <w:color w:val="auto"/>
              </w:rPr>
              <w:t>Corporate and unallocated expenses</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22"/>
              <w:spacing w:after="0"/>
              <w:rPr>
                <w:sz w:val="20"/>
                <w:szCs w:val="20"/>
                <w:color w:val="auto"/>
              </w:rPr>
            </w:pPr>
            <w:r>
              <w:rPr>
                <w:rFonts w:ascii="Arial" w:cs="Arial" w:eastAsia="Arial" w:hAnsi="Arial"/>
                <w:sz w:val="20"/>
                <w:szCs w:val="20"/>
                <w:color w:val="auto"/>
              </w:rPr>
              <w:t>-</w:t>
            </w:r>
          </w:p>
        </w:tc>
        <w:tc>
          <w:tcPr>
            <w:tcW w:w="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(23,490)</w:t>
            </w:r>
          </w:p>
        </w:tc>
        <w:tc>
          <w:tcPr>
            <w:tcW w:w="2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(23,490)</w:t>
            </w:r>
          </w:p>
        </w:tc>
        <w:tc>
          <w:tcPr>
            <w:tcW w:w="40" w:type="dxa"/>
            <w:vAlign w:val="bottom"/>
          </w:tcPr>
          <w:p>
            <w:pPr>
              <w:spacing w:after="0"/>
              <w:rPr>
                <w:sz w:val="19"/>
                <w:szCs w:val="19"/>
                <w:color w:val="auto"/>
              </w:rPr>
            </w:pPr>
          </w:p>
        </w:tc>
      </w:tr>
      <w:tr>
        <w:trPr>
          <w:trHeight w:val="230"/>
        </w:trPr>
        <w:tc>
          <w:tcPr>
            <w:tcW w:w="5000" w:type="dxa"/>
            <w:vAlign w:val="bottom"/>
          </w:tcPr>
          <w:p>
            <w:pPr>
              <w:spacing w:after="0"/>
              <w:rPr>
                <w:sz w:val="20"/>
                <w:szCs w:val="20"/>
                <w:color w:val="auto"/>
              </w:rPr>
            </w:pPr>
            <w:r>
              <w:rPr>
                <w:rFonts w:ascii="Arial" w:cs="Arial" w:eastAsia="Arial" w:hAnsi="Arial"/>
                <w:sz w:val="20"/>
                <w:szCs w:val="20"/>
                <w:color w:val="auto"/>
              </w:rPr>
              <w:t>Operating income</w:t>
            </w: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ind w:right="41"/>
              <w:spacing w:after="0"/>
              <w:rPr>
                <w:sz w:val="20"/>
                <w:szCs w:val="20"/>
                <w:color w:val="auto"/>
              </w:rPr>
            </w:pPr>
            <w:r>
              <w:rPr>
                <w:rFonts w:ascii="Arial" w:cs="Arial" w:eastAsia="Arial" w:hAnsi="Arial"/>
                <w:sz w:val="20"/>
                <w:szCs w:val="20"/>
                <w:color w:val="auto"/>
              </w:rPr>
              <w:t>132,090</w:t>
            </w:r>
          </w:p>
        </w:tc>
        <w:tc>
          <w:tcPr>
            <w:tcW w:w="40" w:type="dxa"/>
            <w:vAlign w:val="bottom"/>
          </w:tcPr>
          <w:p>
            <w:pPr>
              <w:spacing w:after="0"/>
              <w:rPr>
                <w:sz w:val="19"/>
                <w:szCs w:val="19"/>
                <w:color w:val="auto"/>
              </w:rPr>
            </w:pPr>
          </w:p>
        </w:tc>
      </w:tr>
      <w:tr>
        <w:trPr>
          <w:trHeight w:val="230"/>
        </w:trPr>
        <w:tc>
          <w:tcPr>
            <w:tcW w:w="5000" w:type="dxa"/>
            <w:vAlign w:val="bottom"/>
            <w:shd w:val="clear" w:color="auto" w:fill="CCEEFF"/>
          </w:tcPr>
          <w:p>
            <w:pPr>
              <w:spacing w:after="0"/>
              <w:rPr>
                <w:sz w:val="20"/>
                <w:szCs w:val="20"/>
                <w:color w:val="auto"/>
              </w:rPr>
            </w:pPr>
            <w:r>
              <w:rPr>
                <w:rFonts w:ascii="Arial" w:cs="Arial" w:eastAsia="Arial" w:hAnsi="Arial"/>
                <w:sz w:val="20"/>
                <w:szCs w:val="20"/>
                <w:color w:val="auto"/>
              </w:rPr>
              <w:t>Other income (expense)</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(73)</w:t>
            </w:r>
          </w:p>
        </w:tc>
        <w:tc>
          <w:tcPr>
            <w:tcW w:w="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(789)</w:t>
            </w:r>
          </w:p>
        </w:tc>
        <w:tc>
          <w:tcPr>
            <w:tcW w:w="2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(862)</w:t>
            </w:r>
          </w:p>
        </w:tc>
        <w:tc>
          <w:tcPr>
            <w:tcW w:w="40" w:type="dxa"/>
            <w:vAlign w:val="bottom"/>
          </w:tcPr>
          <w:p>
            <w:pPr>
              <w:spacing w:after="0"/>
              <w:rPr>
                <w:sz w:val="19"/>
                <w:szCs w:val="19"/>
                <w:color w:val="auto"/>
              </w:rPr>
            </w:pPr>
          </w:p>
        </w:tc>
      </w:tr>
      <w:tr>
        <w:trPr>
          <w:trHeight w:val="230"/>
        </w:trPr>
        <w:tc>
          <w:tcPr>
            <w:tcW w:w="5000" w:type="dxa"/>
            <w:vAlign w:val="bottom"/>
          </w:tcPr>
          <w:p>
            <w:pPr>
              <w:spacing w:after="0"/>
              <w:rPr>
                <w:sz w:val="20"/>
                <w:szCs w:val="20"/>
                <w:color w:val="auto"/>
              </w:rPr>
            </w:pPr>
            <w:r>
              <w:rPr>
                <w:rFonts w:ascii="Arial" w:cs="Arial" w:eastAsia="Arial" w:hAnsi="Arial"/>
                <w:sz w:val="20"/>
                <w:szCs w:val="20"/>
                <w:color w:val="auto"/>
              </w:rPr>
              <w:t>Income before provision for income taxes</w:t>
            </w: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ind w:right="41"/>
              <w:spacing w:after="0"/>
              <w:rPr>
                <w:sz w:val="20"/>
                <w:szCs w:val="20"/>
                <w:color w:val="auto"/>
              </w:rPr>
            </w:pPr>
            <w:r>
              <w:rPr>
                <w:rFonts w:ascii="Arial" w:cs="Arial" w:eastAsia="Arial" w:hAnsi="Arial"/>
                <w:sz w:val="20"/>
                <w:szCs w:val="20"/>
                <w:color w:val="auto"/>
              </w:rPr>
              <w:t>131,228</w:t>
            </w:r>
          </w:p>
        </w:tc>
        <w:tc>
          <w:tcPr>
            <w:tcW w:w="40" w:type="dxa"/>
            <w:vAlign w:val="bottom"/>
          </w:tcPr>
          <w:p>
            <w:pPr>
              <w:spacing w:after="0"/>
              <w:rPr>
                <w:sz w:val="19"/>
                <w:szCs w:val="19"/>
                <w:color w:val="auto"/>
              </w:rPr>
            </w:pPr>
          </w:p>
        </w:tc>
      </w:tr>
      <w:tr>
        <w:trPr>
          <w:trHeight w:val="230"/>
        </w:trPr>
        <w:tc>
          <w:tcPr>
            <w:tcW w:w="5000" w:type="dxa"/>
            <w:vAlign w:val="bottom"/>
            <w:shd w:val="clear" w:color="auto" w:fill="CCEEFF"/>
          </w:tcPr>
          <w:p>
            <w:pPr>
              <w:spacing w:after="0"/>
              <w:rPr>
                <w:sz w:val="20"/>
                <w:szCs w:val="20"/>
                <w:color w:val="auto"/>
              </w:rPr>
            </w:pPr>
            <w:r>
              <w:rPr>
                <w:rFonts w:ascii="Arial" w:cs="Arial" w:eastAsia="Arial" w:hAnsi="Arial"/>
                <w:sz w:val="20"/>
                <w:szCs w:val="20"/>
                <w:color w:val="auto"/>
              </w:rPr>
              <w:t>Depreciation and amortization</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(3,358)</w:t>
            </w:r>
          </w:p>
        </w:tc>
        <w:tc>
          <w:tcPr>
            <w:tcW w:w="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(25)</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(1,101)</w:t>
            </w:r>
          </w:p>
        </w:tc>
        <w:tc>
          <w:tcPr>
            <w:tcW w:w="2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(4,484)</w:t>
            </w:r>
          </w:p>
        </w:tc>
        <w:tc>
          <w:tcPr>
            <w:tcW w:w="40" w:type="dxa"/>
            <w:vAlign w:val="bottom"/>
          </w:tcPr>
          <w:p>
            <w:pPr>
              <w:spacing w:after="0"/>
              <w:rPr>
                <w:sz w:val="19"/>
                <w:szCs w:val="19"/>
                <w:color w:val="auto"/>
              </w:rPr>
            </w:pPr>
          </w:p>
        </w:tc>
      </w:tr>
      <w:tr>
        <w:trPr>
          <w:trHeight w:val="250"/>
        </w:trPr>
        <w:tc>
          <w:tcPr>
            <w:tcW w:w="5000" w:type="dxa"/>
            <w:vAlign w:val="bottom"/>
          </w:tcPr>
          <w:p>
            <w:pPr>
              <w:spacing w:after="0"/>
              <w:rPr>
                <w:sz w:val="20"/>
                <w:szCs w:val="20"/>
                <w:color w:val="auto"/>
              </w:rPr>
            </w:pPr>
            <w:r>
              <w:rPr>
                <w:rFonts w:ascii="Arial" w:cs="Arial" w:eastAsia="Arial" w:hAnsi="Arial"/>
                <w:sz w:val="20"/>
                <w:szCs w:val="20"/>
                <w:color w:val="auto"/>
              </w:rPr>
              <w:t>Trademark amortization</w:t>
            </w:r>
          </w:p>
        </w:tc>
        <w:tc>
          <w:tcPr>
            <w:tcW w:w="340" w:type="dxa"/>
            <w:vAlign w:val="bottom"/>
          </w:tcPr>
          <w:p>
            <w:pPr>
              <w:spacing w:after="0"/>
              <w:rPr>
                <w:sz w:val="21"/>
                <w:szCs w:val="21"/>
                <w:color w:val="auto"/>
              </w:rPr>
            </w:pPr>
          </w:p>
        </w:tc>
        <w:tc>
          <w:tcPr>
            <w:tcW w:w="1040" w:type="dxa"/>
            <w:vAlign w:val="bottom"/>
          </w:tcPr>
          <w:p>
            <w:pPr>
              <w:jc w:val="right"/>
              <w:ind w:right="22"/>
              <w:spacing w:after="0"/>
              <w:rPr>
                <w:sz w:val="20"/>
                <w:szCs w:val="20"/>
                <w:color w:val="auto"/>
              </w:rPr>
            </w:pPr>
            <w:r>
              <w:rPr>
                <w:rFonts w:ascii="Arial" w:cs="Arial" w:eastAsia="Arial" w:hAnsi="Arial"/>
                <w:sz w:val="20"/>
                <w:szCs w:val="20"/>
                <w:color w:val="auto"/>
              </w:rPr>
              <w:t>-</w:t>
            </w: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(11)</w:t>
            </w:r>
          </w:p>
        </w:tc>
        <w:tc>
          <w:tcPr>
            <w:tcW w:w="2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(5)</w:t>
            </w: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(16)</w:t>
            </w:r>
          </w:p>
        </w:tc>
        <w:tc>
          <w:tcPr>
            <w:tcW w:w="40" w:type="dxa"/>
            <w:vAlign w:val="bottom"/>
          </w:tcPr>
          <w:p>
            <w:pPr>
              <w:spacing w:after="0"/>
              <w:rPr>
                <w:sz w:val="21"/>
                <w:szCs w:val="21"/>
                <w:color w:val="auto"/>
              </w:rPr>
            </w:pPr>
          </w:p>
        </w:tc>
      </w:tr>
      <w:tr>
        <w:trPr>
          <w:trHeight w:val="411"/>
        </w:trPr>
        <w:tc>
          <w:tcPr>
            <w:tcW w:w="5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jc w:val="right"/>
              <w:ind w:right="482"/>
              <w:spacing w:after="0"/>
              <w:rPr>
                <w:sz w:val="20"/>
                <w:szCs w:val="20"/>
                <w:color w:val="auto"/>
              </w:rPr>
            </w:pPr>
            <w:r>
              <w:rPr>
                <w:rFonts w:ascii="Arial" w:cs="Arial" w:eastAsia="Arial" w:hAnsi="Arial"/>
                <w:sz w:val="18"/>
                <w:szCs w:val="18"/>
                <w:color w:val="auto"/>
              </w:rPr>
              <w:t>27</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5000" w:type="dxa"/>
            <w:vAlign w:val="bottom"/>
            <w:tcBorders>
              <w:bottom w:val="single" w:sz="8" w:color="010101"/>
            </w:tcBorders>
          </w:tcPr>
          <w:p>
            <w:pPr>
              <w:spacing w:after="0"/>
              <w:rPr>
                <w:sz w:val="11"/>
                <w:szCs w:val="11"/>
                <w:color w:val="auto"/>
              </w:rPr>
            </w:pPr>
          </w:p>
        </w:tc>
        <w:tc>
          <w:tcPr>
            <w:tcW w:w="340" w:type="dxa"/>
            <w:vAlign w:val="bottom"/>
            <w:tcBorders>
              <w:bottom w:val="single" w:sz="8" w:color="010101"/>
            </w:tcBorders>
          </w:tcPr>
          <w:p>
            <w:pPr>
              <w:spacing w:after="0"/>
              <w:rPr>
                <w:sz w:val="11"/>
                <w:szCs w:val="11"/>
                <w:color w:val="auto"/>
              </w:rPr>
            </w:pPr>
          </w:p>
        </w:tc>
        <w:tc>
          <w:tcPr>
            <w:tcW w:w="104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14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400" w:type="dxa"/>
            <w:vAlign w:val="bottom"/>
            <w:tcBorders>
              <w:bottom w:val="single" w:sz="8" w:color="010101"/>
            </w:tcBorders>
          </w:tcPr>
          <w:p>
            <w:pPr>
              <w:spacing w:after="0"/>
              <w:rPr>
                <w:sz w:val="11"/>
                <w:szCs w:val="11"/>
                <w:color w:val="auto"/>
              </w:rPr>
            </w:pPr>
          </w:p>
        </w:tc>
        <w:tc>
          <w:tcPr>
            <w:tcW w:w="94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360" w:type="dxa"/>
            <w:vAlign w:val="bottom"/>
            <w:tcBorders>
              <w:bottom w:val="single" w:sz="8" w:color="010101"/>
            </w:tcBorders>
          </w:tcPr>
          <w:p>
            <w:pPr>
              <w:spacing w:after="0"/>
              <w:rPr>
                <w:sz w:val="11"/>
                <w:szCs w:val="11"/>
                <w:color w:val="auto"/>
              </w:rPr>
            </w:pPr>
          </w:p>
        </w:tc>
        <w:tc>
          <w:tcPr>
            <w:tcW w:w="114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MONSTER BEVERAGE CORPORATION AND SUBSIDIARIES</w:t>
      </w:r>
    </w:p>
    <w:p>
      <w:pPr>
        <w:spacing w:after="0" w:line="14" w:lineRule="exact"/>
        <w:rPr>
          <w:sz w:val="20"/>
          <w:szCs w:val="20"/>
          <w:color w:val="auto"/>
        </w:rPr>
      </w:pPr>
    </w:p>
    <w:p>
      <w:pPr>
        <w:ind w:right="4380"/>
        <w:spacing w:after="0" w:line="308"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72466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58" w:lineRule="exact"/>
        <w:rPr>
          <w:sz w:val="20"/>
          <w:szCs w:val="20"/>
          <w:color w:val="auto"/>
        </w:rPr>
      </w:pPr>
    </w:p>
    <w:p>
      <w:pPr>
        <w:jc w:val="both"/>
        <w:ind w:right="60" w:firstLine="648"/>
        <w:spacing w:after="0" w:line="251" w:lineRule="auto"/>
        <w:rPr>
          <w:sz w:val="20"/>
          <w:szCs w:val="20"/>
          <w:color w:val="auto"/>
        </w:rPr>
      </w:pPr>
      <w:r>
        <w:rPr>
          <w:rFonts w:ascii="Arial" w:cs="Arial" w:eastAsia="Arial" w:hAnsi="Arial"/>
          <w:sz w:val="22"/>
          <w:szCs w:val="22"/>
          <w:color w:val="auto"/>
        </w:rPr>
        <w:t>Revenue is derived from sales to external customers. Operating expenses that pertain to each segment are allocated to the appropriate segment.</w:t>
      </w:r>
    </w:p>
    <w:p>
      <w:pPr>
        <w:spacing w:after="0" w:line="200" w:lineRule="exact"/>
        <w:rPr>
          <w:sz w:val="20"/>
          <w:szCs w:val="20"/>
          <w:color w:val="auto"/>
        </w:rPr>
      </w:pPr>
    </w:p>
    <w:p>
      <w:pPr>
        <w:jc w:val="both"/>
        <w:ind w:right="40" w:firstLine="648"/>
        <w:spacing w:after="0" w:line="287" w:lineRule="auto"/>
        <w:rPr>
          <w:sz w:val="20"/>
          <w:szCs w:val="20"/>
          <w:color w:val="auto"/>
        </w:rPr>
      </w:pPr>
      <w:r>
        <w:rPr>
          <w:rFonts w:ascii="Arial" w:cs="Arial" w:eastAsia="Arial" w:hAnsi="Arial"/>
          <w:sz w:val="19"/>
          <w:szCs w:val="19"/>
          <w:color w:val="auto"/>
        </w:rPr>
        <w:t>Corporate and unallocated expenses were $29.5 million for the three-months ended September 30, 2012 and included $19.8 million of payroll costs, of which $7.9 million was attributable to stock-based compensation expense (see Note 12, “Stock-Based Compensation”), $4.5 million attributable to professional service expenses, including accounting and legal costs, $1.2 million of depreciation and $4.0 million of other operating expenses. Corporate and unallocated expenses were $23.5 million for the three-</w:t>
      </w:r>
    </w:p>
    <w:p>
      <w:pPr>
        <w:sectPr>
          <w:pgSz w:w="11900" w:h="16838" w:orient="portrait"/>
          <w:cols w:equalWidth="0" w:num="1">
            <w:col w:w="11460"/>
          </w:cols>
          <w:pgMar w:left="240" w:top="126" w:right="199" w:bottom="0" w:gutter="0" w:footer="0" w:header="0"/>
        </w:sectPr>
      </w:pPr>
    </w:p>
    <w:bookmarkStart w:id="18" w:name="page19"/>
    <w:bookmarkEnd w:id="18"/>
    <w:p>
      <w:pPr>
        <w:jc w:val="both"/>
        <w:spacing w:after="0" w:line="287" w:lineRule="auto"/>
        <w:rPr>
          <w:sz w:val="20"/>
          <w:szCs w:val="20"/>
          <w:color w:val="auto"/>
        </w:rPr>
      </w:pPr>
      <w:r>
        <w:rPr>
          <w:rFonts w:ascii="Arial" w:cs="Arial" w:eastAsia="Arial" w:hAnsi="Arial"/>
          <w:sz w:val="19"/>
          <w:szCs w:val="19"/>
          <w:color w:val="auto"/>
        </w:rPr>
        <w:t>months ended September 30, 2011 and included $14.1 million of payroll costs, of which $4.9 million was attributable to stock-based compensation expense (see Note 12, “Stock-Based Compensation”), $4.5 million attributable to professional service expenses, including accounting and legal costs, and $4.9 million of other operating expenses. Certain items, including operating assets and income taxes, are not allocated to individual segments and therefore are not presented above.</w:t>
      </w:r>
    </w:p>
    <w:p>
      <w:pPr>
        <w:spacing w:after="0" w:line="171"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Coca-Cola Refreshments USA Inc. (“CCR”), a customer of the DSD segment, accounted for approximately 28% and 29% of the Company’s net sales for the three-months ended September 30, 2012 and 2011, respectively.</w:t>
      </w:r>
    </w:p>
    <w:p>
      <w:pPr>
        <w:spacing w:after="0" w:line="200"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Net sales to customers outside the United States amounted to $114.5 million and $92.5 million for the three-months ended September 30, 2012 and 2011, respectively. Such sales were approximately 21.1% and 19.5% of net sales for the three-months ended September 30, 2012 and 2011, respectively.</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MONSTER BEVERAGE CORPORATION AND SUBSIDIARIES</w:t>
      </w:r>
    </w:p>
    <w:p>
      <w:pPr>
        <w:spacing w:after="0" w:line="14" w:lineRule="exact"/>
        <w:rPr>
          <w:sz w:val="20"/>
          <w:szCs w:val="20"/>
          <w:color w:val="auto"/>
        </w:rPr>
      </w:pPr>
    </w:p>
    <w:p>
      <w:pPr>
        <w:ind w:right="4340"/>
        <w:spacing w:after="0" w:line="308"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2466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44"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The net revenues derived from the DSD and Warehouse segments and other financial information related thereto are as follows: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74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3680" w:type="dxa"/>
            <w:vAlign w:val="bottom"/>
            <w:tcBorders>
              <w:bottom w:val="single" w:sz="8" w:color="auto"/>
            </w:tcBorders>
            <w:gridSpan w:val="11"/>
          </w:tcPr>
          <w:p>
            <w:pPr>
              <w:jc w:val="right"/>
              <w:ind w:right="240"/>
              <w:spacing w:after="0"/>
              <w:rPr>
                <w:sz w:val="20"/>
                <w:szCs w:val="20"/>
                <w:color w:val="auto"/>
              </w:rPr>
            </w:pPr>
            <w:r>
              <w:rPr>
                <w:rFonts w:ascii="Arial" w:cs="Arial" w:eastAsia="Arial" w:hAnsi="Arial"/>
                <w:sz w:val="20"/>
                <w:szCs w:val="20"/>
                <w:color w:val="auto"/>
                <w:w w:val="94"/>
              </w:rPr>
              <w:t>Nine-Months Ended September 30, 2012</w:t>
            </w: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r>
      <w:tr>
        <w:trPr>
          <w:trHeight w:val="206"/>
        </w:trPr>
        <w:tc>
          <w:tcPr>
            <w:tcW w:w="4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80" w:type="dxa"/>
            <w:vAlign w:val="bottom"/>
            <w:gridSpan w:val="4"/>
          </w:tcPr>
          <w:p>
            <w:pPr>
              <w:jc w:val="center"/>
              <w:ind w:right="340"/>
              <w:spacing w:after="0" w:line="207" w:lineRule="exact"/>
              <w:rPr>
                <w:sz w:val="20"/>
                <w:szCs w:val="20"/>
                <w:color w:val="auto"/>
              </w:rPr>
            </w:pPr>
            <w:r>
              <w:rPr>
                <w:rFonts w:ascii="Arial" w:cs="Arial" w:eastAsia="Arial" w:hAnsi="Arial"/>
                <w:sz w:val="20"/>
                <w:szCs w:val="20"/>
                <w:color w:val="auto"/>
                <w:w w:val="89"/>
              </w:rPr>
              <w:t>Corporate and</w:t>
            </w: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46"/>
        </w:trPr>
        <w:tc>
          <w:tcPr>
            <w:tcW w:w="4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ind w:right="541"/>
              <w:spacing w:after="0"/>
              <w:rPr>
                <w:sz w:val="20"/>
                <w:szCs w:val="20"/>
                <w:color w:val="auto"/>
              </w:rPr>
            </w:pPr>
            <w:r>
              <w:rPr>
                <w:rFonts w:ascii="Arial" w:cs="Arial" w:eastAsia="Arial" w:hAnsi="Arial"/>
                <w:sz w:val="20"/>
                <w:szCs w:val="20"/>
                <w:color w:val="auto"/>
              </w:rPr>
              <w:t>DSD</w:t>
            </w: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gridSpan w:val="3"/>
          </w:tcPr>
          <w:p>
            <w:pPr>
              <w:ind w:left="20"/>
              <w:spacing w:after="0"/>
              <w:rPr>
                <w:sz w:val="20"/>
                <w:szCs w:val="20"/>
                <w:color w:val="auto"/>
              </w:rPr>
            </w:pPr>
            <w:r>
              <w:rPr>
                <w:rFonts w:ascii="Arial" w:cs="Arial" w:eastAsia="Arial" w:hAnsi="Arial"/>
                <w:sz w:val="20"/>
                <w:szCs w:val="20"/>
                <w:color w:val="auto"/>
              </w:rPr>
              <w:t>Warehouse</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gridSpan w:val="3"/>
          </w:tcPr>
          <w:p>
            <w:pPr>
              <w:jc w:val="center"/>
              <w:ind w:right="520"/>
              <w:spacing w:after="0"/>
              <w:rPr>
                <w:sz w:val="20"/>
                <w:szCs w:val="20"/>
                <w:color w:val="auto"/>
              </w:rPr>
            </w:pPr>
            <w:r>
              <w:rPr>
                <w:rFonts w:ascii="Arial" w:cs="Arial" w:eastAsia="Arial" w:hAnsi="Arial"/>
                <w:sz w:val="20"/>
                <w:szCs w:val="20"/>
                <w:color w:val="auto"/>
                <w:w w:val="88"/>
              </w:rPr>
              <w:t>Unallocated</w:t>
            </w:r>
          </w:p>
        </w:tc>
        <w:tc>
          <w:tcPr>
            <w:tcW w:w="360" w:type="dxa"/>
            <w:vAlign w:val="bottom"/>
          </w:tcPr>
          <w:p>
            <w:pPr>
              <w:spacing w:after="0"/>
              <w:rPr>
                <w:sz w:val="21"/>
                <w:szCs w:val="21"/>
                <w:color w:val="auto"/>
              </w:rPr>
            </w:pPr>
          </w:p>
        </w:tc>
        <w:tc>
          <w:tcPr>
            <w:tcW w:w="1120" w:type="dxa"/>
            <w:vAlign w:val="bottom"/>
          </w:tcPr>
          <w:p>
            <w:pPr>
              <w:jc w:val="right"/>
              <w:ind w:right="501"/>
              <w:spacing w:after="0"/>
              <w:rPr>
                <w:sz w:val="20"/>
                <w:szCs w:val="20"/>
                <w:color w:val="auto"/>
              </w:rPr>
            </w:pPr>
            <w:r>
              <w:rPr>
                <w:rFonts w:ascii="Arial" w:cs="Arial" w:eastAsia="Arial" w:hAnsi="Arial"/>
                <w:sz w:val="20"/>
                <w:szCs w:val="20"/>
                <w:color w:val="auto"/>
              </w:rPr>
              <w:t>Total</w:t>
            </w:r>
          </w:p>
        </w:tc>
      </w:tr>
      <w:tr>
        <w:trPr>
          <w:trHeight w:val="223"/>
        </w:trPr>
        <w:tc>
          <w:tcPr>
            <w:tcW w:w="4740" w:type="dxa"/>
            <w:vAlign w:val="bottom"/>
            <w:tcBorders>
              <w:top w:val="single" w:sz="8" w:color="CCEEFF"/>
            </w:tcBorders>
            <w:shd w:val="clear" w:color="auto" w:fill="CCEEFF"/>
          </w:tcPr>
          <w:p>
            <w:pPr>
              <w:spacing w:after="0" w:line="223" w:lineRule="exact"/>
              <w:rPr>
                <w:sz w:val="20"/>
                <w:szCs w:val="20"/>
                <w:color w:val="auto"/>
              </w:rPr>
            </w:pPr>
            <w:r>
              <w:rPr>
                <w:rFonts w:ascii="Arial" w:cs="Arial" w:eastAsia="Arial" w:hAnsi="Arial"/>
                <w:sz w:val="20"/>
                <w:szCs w:val="20"/>
                <w:color w:val="auto"/>
              </w:rPr>
              <w:t>Net sales</w:t>
            </w:r>
          </w:p>
        </w:tc>
        <w:tc>
          <w:tcPr>
            <w:tcW w:w="340" w:type="dxa"/>
            <w:vAlign w:val="bottom"/>
            <w:tcBorders>
              <w:top w:val="single" w:sz="8" w:color="auto"/>
            </w:tcBorders>
            <w:gridSpan w:val="2"/>
            <w:shd w:val="clear" w:color="auto" w:fill="CCEEFF"/>
          </w:tcPr>
          <w:p>
            <w:pPr>
              <w:jc w:val="right"/>
              <w:ind w:right="41"/>
              <w:spacing w:after="0" w:line="223" w:lineRule="exact"/>
              <w:rPr>
                <w:sz w:val="20"/>
                <w:szCs w:val="20"/>
                <w:color w:val="auto"/>
              </w:rPr>
            </w:pPr>
            <w:r>
              <w:rPr>
                <w:rFonts w:ascii="Arial" w:cs="Arial" w:eastAsia="Arial" w:hAnsi="Arial"/>
                <w:sz w:val="20"/>
                <w:szCs w:val="20"/>
                <w:color w:val="auto"/>
              </w:rPr>
              <w:t>$</w:t>
            </w:r>
          </w:p>
        </w:tc>
        <w:tc>
          <w:tcPr>
            <w:tcW w:w="1180" w:type="dxa"/>
            <w:vAlign w:val="bottom"/>
            <w:tcBorders>
              <w:top w:val="single" w:sz="8" w:color="auto"/>
            </w:tcBorders>
            <w:shd w:val="clear" w:color="auto" w:fill="CCEEFF"/>
          </w:tcPr>
          <w:p>
            <w:pPr>
              <w:jc w:val="right"/>
              <w:ind w:right="41"/>
              <w:spacing w:after="0" w:line="223" w:lineRule="exact"/>
              <w:rPr>
                <w:sz w:val="20"/>
                <w:szCs w:val="20"/>
                <w:color w:val="auto"/>
              </w:rPr>
            </w:pPr>
            <w:r>
              <w:rPr>
                <w:rFonts w:ascii="Arial" w:cs="Arial" w:eastAsia="Arial" w:hAnsi="Arial"/>
                <w:sz w:val="20"/>
                <w:szCs w:val="20"/>
                <w:color w:val="auto"/>
              </w:rPr>
              <w:t>1,515,476</w:t>
            </w:r>
          </w:p>
        </w:tc>
        <w:tc>
          <w:tcPr>
            <w:tcW w:w="2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gridSpan w:val="2"/>
            <w:shd w:val="clear" w:color="auto" w:fill="CCEEFF"/>
          </w:tcPr>
          <w:p>
            <w:pPr>
              <w:jc w:val="right"/>
              <w:spacing w:after="0" w:line="223" w:lineRule="exact"/>
              <w:rPr>
                <w:sz w:val="20"/>
                <w:szCs w:val="20"/>
                <w:color w:val="auto"/>
              </w:rPr>
            </w:pPr>
            <w:r>
              <w:rPr>
                <w:rFonts w:ascii="Arial" w:cs="Arial" w:eastAsia="Arial" w:hAnsi="Arial"/>
                <w:sz w:val="20"/>
                <w:szCs w:val="20"/>
                <w:color w:val="auto"/>
              </w:rPr>
              <w:t>$</w:t>
            </w:r>
          </w:p>
        </w:tc>
        <w:tc>
          <w:tcPr>
            <w:tcW w:w="1280" w:type="dxa"/>
            <w:vAlign w:val="bottom"/>
            <w:tcBorders>
              <w:top w:val="single" w:sz="8" w:color="auto"/>
            </w:tcBorders>
            <w:shd w:val="clear" w:color="auto" w:fill="CCEEFF"/>
          </w:tcPr>
          <w:p>
            <w:pPr>
              <w:jc w:val="right"/>
              <w:ind w:right="41"/>
              <w:spacing w:after="0" w:line="223" w:lineRule="exact"/>
              <w:rPr>
                <w:sz w:val="20"/>
                <w:szCs w:val="20"/>
                <w:color w:val="auto"/>
              </w:rPr>
            </w:pPr>
            <w:r>
              <w:rPr>
                <w:rFonts w:ascii="Arial" w:cs="Arial" w:eastAsia="Arial" w:hAnsi="Arial"/>
                <w:sz w:val="20"/>
                <w:szCs w:val="20"/>
                <w:color w:val="auto"/>
              </w:rPr>
              <w:t>73,709</w:t>
            </w:r>
          </w:p>
        </w:tc>
        <w:tc>
          <w:tcPr>
            <w:tcW w:w="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gridSpan w:val="2"/>
            <w:shd w:val="clear" w:color="auto" w:fill="CCEEFF"/>
          </w:tcPr>
          <w:p>
            <w:pPr>
              <w:jc w:val="right"/>
              <w:spacing w:after="0" w:line="223" w:lineRule="exact"/>
              <w:rPr>
                <w:sz w:val="20"/>
                <w:szCs w:val="20"/>
                <w:color w:val="auto"/>
              </w:rPr>
            </w:pPr>
            <w:r>
              <w:rPr>
                <w:rFonts w:ascii="Arial" w:cs="Arial" w:eastAsia="Arial" w:hAnsi="Arial"/>
                <w:sz w:val="20"/>
                <w:szCs w:val="20"/>
                <w:color w:val="auto"/>
              </w:rPr>
              <w:t>$</w:t>
            </w:r>
          </w:p>
        </w:tc>
        <w:tc>
          <w:tcPr>
            <w:tcW w:w="1280" w:type="dxa"/>
            <w:vAlign w:val="bottom"/>
            <w:tcBorders>
              <w:top w:val="single" w:sz="8" w:color="auto"/>
            </w:tcBorders>
            <w:shd w:val="clear" w:color="auto" w:fill="CCEEFF"/>
          </w:tcPr>
          <w:p>
            <w:pPr>
              <w:jc w:val="right"/>
              <w:ind w:right="1"/>
              <w:spacing w:after="0" w:line="223" w:lineRule="exact"/>
              <w:rPr>
                <w:sz w:val="20"/>
                <w:szCs w:val="20"/>
                <w:color w:val="auto"/>
              </w:rPr>
            </w:pPr>
            <w:r>
              <w:rPr>
                <w:rFonts w:ascii="Arial" w:cs="Arial" w:eastAsia="Arial" w:hAnsi="Arial"/>
                <w:sz w:val="20"/>
                <w:szCs w:val="20"/>
                <w:color w:val="auto"/>
              </w:rPr>
              <w:t>-</w:t>
            </w:r>
          </w:p>
        </w:tc>
        <w:tc>
          <w:tcPr>
            <w:tcW w:w="2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21"/>
              <w:spacing w:after="0" w:line="223" w:lineRule="exact"/>
              <w:rPr>
                <w:sz w:val="20"/>
                <w:szCs w:val="20"/>
                <w:color w:val="auto"/>
              </w:rPr>
            </w:pPr>
            <w:r>
              <w:rPr>
                <w:rFonts w:ascii="Arial" w:cs="Arial" w:eastAsia="Arial" w:hAnsi="Arial"/>
                <w:sz w:val="20"/>
                <w:szCs w:val="20"/>
                <w:color w:val="auto"/>
              </w:rPr>
              <w:t>$</w:t>
            </w:r>
          </w:p>
        </w:tc>
        <w:tc>
          <w:tcPr>
            <w:tcW w:w="1120" w:type="dxa"/>
            <w:vAlign w:val="bottom"/>
            <w:tcBorders>
              <w:top w:val="single" w:sz="8" w:color="auto"/>
            </w:tcBorders>
            <w:shd w:val="clear" w:color="auto" w:fill="CCEEFF"/>
          </w:tcPr>
          <w:p>
            <w:pPr>
              <w:jc w:val="right"/>
              <w:ind w:right="21"/>
              <w:spacing w:after="0" w:line="223" w:lineRule="exact"/>
              <w:rPr>
                <w:sz w:val="20"/>
                <w:szCs w:val="20"/>
                <w:color w:val="auto"/>
              </w:rPr>
            </w:pPr>
            <w:r>
              <w:rPr>
                <w:rFonts w:ascii="Arial" w:cs="Arial" w:eastAsia="Arial" w:hAnsi="Arial"/>
                <w:sz w:val="20"/>
                <w:szCs w:val="20"/>
                <w:color w:val="auto"/>
              </w:rPr>
              <w:t>1,589,185</w:t>
            </w:r>
          </w:p>
        </w:tc>
      </w:tr>
      <w:tr>
        <w:trPr>
          <w:trHeight w:val="230"/>
        </w:trPr>
        <w:tc>
          <w:tcPr>
            <w:tcW w:w="4740" w:type="dxa"/>
            <w:vAlign w:val="bottom"/>
          </w:tcPr>
          <w:p>
            <w:pPr>
              <w:spacing w:after="0"/>
              <w:rPr>
                <w:sz w:val="20"/>
                <w:szCs w:val="20"/>
                <w:color w:val="auto"/>
              </w:rPr>
            </w:pPr>
            <w:r>
              <w:rPr>
                <w:rFonts w:ascii="Arial" w:cs="Arial" w:eastAsia="Arial" w:hAnsi="Arial"/>
                <w:sz w:val="20"/>
                <w:szCs w:val="20"/>
                <w:color w:val="auto"/>
              </w:rPr>
              <w:t>Contribution margin</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ind w:right="41"/>
              <w:spacing w:after="0"/>
              <w:rPr>
                <w:sz w:val="20"/>
                <w:szCs w:val="20"/>
                <w:color w:val="auto"/>
              </w:rPr>
            </w:pPr>
            <w:r>
              <w:rPr>
                <w:rFonts w:ascii="Arial" w:cs="Arial" w:eastAsia="Arial" w:hAnsi="Arial"/>
                <w:sz w:val="20"/>
                <w:szCs w:val="20"/>
                <w:color w:val="auto"/>
              </w:rPr>
              <w:t>515,010</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ind w:right="41"/>
              <w:spacing w:after="0"/>
              <w:rPr>
                <w:sz w:val="20"/>
                <w:szCs w:val="20"/>
                <w:color w:val="auto"/>
              </w:rPr>
            </w:pPr>
            <w:r>
              <w:rPr>
                <w:rFonts w:ascii="Arial" w:cs="Arial" w:eastAsia="Arial" w:hAnsi="Arial"/>
                <w:sz w:val="20"/>
                <w:szCs w:val="20"/>
                <w:color w:val="auto"/>
              </w:rPr>
              <w:t>3,817</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21"/>
              <w:spacing w:after="0"/>
              <w:rPr>
                <w:sz w:val="20"/>
                <w:szCs w:val="20"/>
                <w:color w:val="auto"/>
              </w:rPr>
            </w:pPr>
            <w:r>
              <w:rPr>
                <w:rFonts w:ascii="Arial" w:cs="Arial" w:eastAsia="Arial" w:hAnsi="Arial"/>
                <w:sz w:val="20"/>
                <w:szCs w:val="20"/>
                <w:color w:val="auto"/>
              </w:rPr>
              <w:t>518,827</w:t>
            </w:r>
          </w:p>
        </w:tc>
      </w:tr>
      <w:tr>
        <w:trPr>
          <w:trHeight w:val="230"/>
        </w:trPr>
        <w:tc>
          <w:tcPr>
            <w:tcW w:w="4740" w:type="dxa"/>
            <w:vAlign w:val="bottom"/>
            <w:shd w:val="clear" w:color="auto" w:fill="CCEEFF"/>
          </w:tcPr>
          <w:p>
            <w:pPr>
              <w:spacing w:after="0"/>
              <w:rPr>
                <w:sz w:val="20"/>
                <w:szCs w:val="20"/>
                <w:color w:val="auto"/>
              </w:rPr>
            </w:pPr>
            <w:r>
              <w:rPr>
                <w:rFonts w:ascii="Arial" w:cs="Arial" w:eastAsia="Arial" w:hAnsi="Arial"/>
                <w:sz w:val="20"/>
                <w:szCs w:val="20"/>
                <w:color w:val="auto"/>
              </w:rPr>
              <w:t>Corporate and unallocated expenses</w:t>
            </w: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41"/>
              <w:spacing w:after="0"/>
              <w:rPr>
                <w:sz w:val="20"/>
                <w:szCs w:val="20"/>
                <w:color w:val="auto"/>
              </w:rPr>
            </w:pPr>
            <w:r>
              <w:rPr>
                <w:rFonts w:ascii="Arial" w:cs="Arial" w:eastAsia="Arial" w:hAnsi="Arial"/>
                <w:sz w:val="20"/>
                <w:szCs w:val="20"/>
                <w:color w:val="auto"/>
              </w:rPr>
              <w:t>-</w:t>
            </w:r>
          </w:p>
        </w:tc>
        <w:tc>
          <w:tcPr>
            <w:tcW w:w="2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41"/>
              <w:spacing w:after="0"/>
              <w:rPr>
                <w:sz w:val="20"/>
                <w:szCs w:val="20"/>
                <w:color w:val="auto"/>
              </w:rPr>
            </w:pPr>
            <w:r>
              <w:rPr>
                <w:rFonts w:ascii="Arial" w:cs="Arial" w:eastAsia="Arial" w:hAnsi="Arial"/>
                <w:sz w:val="20"/>
                <w:szCs w:val="20"/>
                <w:color w:val="auto"/>
              </w:rPr>
              <w:t>-</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(82,085)</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(82,085)</w:t>
            </w:r>
          </w:p>
        </w:tc>
      </w:tr>
      <w:tr>
        <w:trPr>
          <w:trHeight w:val="230"/>
        </w:trPr>
        <w:tc>
          <w:tcPr>
            <w:tcW w:w="4740" w:type="dxa"/>
            <w:vAlign w:val="bottom"/>
          </w:tcPr>
          <w:p>
            <w:pPr>
              <w:spacing w:after="0"/>
              <w:rPr>
                <w:sz w:val="20"/>
                <w:szCs w:val="20"/>
                <w:color w:val="auto"/>
              </w:rPr>
            </w:pPr>
            <w:r>
              <w:rPr>
                <w:rFonts w:ascii="Arial" w:cs="Arial" w:eastAsia="Arial" w:hAnsi="Arial"/>
                <w:sz w:val="20"/>
                <w:szCs w:val="20"/>
                <w:color w:val="auto"/>
              </w:rPr>
              <w:t>Operating income</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21"/>
              <w:spacing w:after="0"/>
              <w:rPr>
                <w:sz w:val="20"/>
                <w:szCs w:val="20"/>
                <w:color w:val="auto"/>
              </w:rPr>
            </w:pPr>
            <w:r>
              <w:rPr>
                <w:rFonts w:ascii="Arial" w:cs="Arial" w:eastAsia="Arial" w:hAnsi="Arial"/>
                <w:sz w:val="20"/>
                <w:szCs w:val="20"/>
                <w:color w:val="auto"/>
              </w:rPr>
              <w:t>436,742</w:t>
            </w:r>
          </w:p>
        </w:tc>
      </w:tr>
      <w:tr>
        <w:trPr>
          <w:trHeight w:val="230"/>
        </w:trPr>
        <w:tc>
          <w:tcPr>
            <w:tcW w:w="4740" w:type="dxa"/>
            <w:vAlign w:val="bottom"/>
            <w:shd w:val="clear" w:color="auto" w:fill="CCEEFF"/>
          </w:tcPr>
          <w:p>
            <w:pPr>
              <w:spacing w:after="0"/>
              <w:rPr>
                <w:sz w:val="20"/>
                <w:szCs w:val="20"/>
                <w:color w:val="auto"/>
              </w:rPr>
            </w:pPr>
            <w:r>
              <w:rPr>
                <w:rFonts w:ascii="Arial" w:cs="Arial" w:eastAsia="Arial" w:hAnsi="Arial"/>
                <w:sz w:val="20"/>
                <w:szCs w:val="20"/>
                <w:color w:val="auto"/>
              </w:rPr>
              <w:t>Other income (expense)</w:t>
            </w: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41"/>
              <w:spacing w:after="0"/>
              <w:rPr>
                <w:sz w:val="20"/>
                <w:szCs w:val="20"/>
                <w:color w:val="auto"/>
              </w:rPr>
            </w:pPr>
            <w:r>
              <w:rPr>
                <w:rFonts w:ascii="Arial" w:cs="Arial" w:eastAsia="Arial" w:hAnsi="Arial"/>
                <w:sz w:val="20"/>
                <w:szCs w:val="20"/>
                <w:color w:val="auto"/>
              </w:rPr>
              <w:t>414</w:t>
            </w:r>
          </w:p>
        </w:tc>
        <w:tc>
          <w:tcPr>
            <w:tcW w:w="2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41"/>
              <w:spacing w:after="0"/>
              <w:rPr>
                <w:sz w:val="20"/>
                <w:szCs w:val="20"/>
                <w:color w:val="auto"/>
              </w:rPr>
            </w:pPr>
            <w:r>
              <w:rPr>
                <w:rFonts w:ascii="Arial" w:cs="Arial" w:eastAsia="Arial" w:hAnsi="Arial"/>
                <w:sz w:val="20"/>
                <w:szCs w:val="20"/>
                <w:color w:val="auto"/>
              </w:rPr>
              <w:t>-</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426</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840</w:t>
            </w:r>
          </w:p>
        </w:tc>
      </w:tr>
      <w:tr>
        <w:trPr>
          <w:trHeight w:val="230"/>
        </w:trPr>
        <w:tc>
          <w:tcPr>
            <w:tcW w:w="4740" w:type="dxa"/>
            <w:vAlign w:val="bottom"/>
          </w:tcPr>
          <w:p>
            <w:pPr>
              <w:spacing w:after="0"/>
              <w:rPr>
                <w:sz w:val="20"/>
                <w:szCs w:val="20"/>
                <w:color w:val="auto"/>
              </w:rPr>
            </w:pPr>
            <w:r>
              <w:rPr>
                <w:rFonts w:ascii="Arial" w:cs="Arial" w:eastAsia="Arial" w:hAnsi="Arial"/>
                <w:sz w:val="20"/>
                <w:szCs w:val="20"/>
                <w:color w:val="auto"/>
              </w:rPr>
              <w:t>Income before provision for income taxes</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21"/>
              <w:spacing w:after="0"/>
              <w:rPr>
                <w:sz w:val="20"/>
                <w:szCs w:val="20"/>
                <w:color w:val="auto"/>
              </w:rPr>
            </w:pPr>
            <w:r>
              <w:rPr>
                <w:rFonts w:ascii="Arial" w:cs="Arial" w:eastAsia="Arial" w:hAnsi="Arial"/>
                <w:sz w:val="20"/>
                <w:szCs w:val="20"/>
                <w:color w:val="auto"/>
              </w:rPr>
              <w:t>437,582</w:t>
            </w:r>
          </w:p>
        </w:tc>
      </w:tr>
      <w:tr>
        <w:trPr>
          <w:trHeight w:val="230"/>
        </w:trPr>
        <w:tc>
          <w:tcPr>
            <w:tcW w:w="4740" w:type="dxa"/>
            <w:vAlign w:val="bottom"/>
            <w:shd w:val="clear" w:color="auto" w:fill="CCEEFF"/>
          </w:tcPr>
          <w:p>
            <w:pPr>
              <w:spacing w:after="0"/>
              <w:rPr>
                <w:sz w:val="20"/>
                <w:szCs w:val="20"/>
                <w:color w:val="auto"/>
              </w:rPr>
            </w:pPr>
            <w:r>
              <w:rPr>
                <w:rFonts w:ascii="Arial" w:cs="Arial" w:eastAsia="Arial" w:hAnsi="Arial"/>
                <w:sz w:val="20"/>
                <w:szCs w:val="20"/>
                <w:color w:val="auto"/>
              </w:rPr>
              <w:t>Depreciation and amortization</w:t>
            </w: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(11,577)</w:t>
            </w:r>
          </w:p>
        </w:tc>
        <w:tc>
          <w:tcPr>
            <w:tcW w:w="2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(93)</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(3,558)</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(15,228)</w:t>
            </w:r>
          </w:p>
        </w:tc>
      </w:tr>
      <w:tr>
        <w:trPr>
          <w:trHeight w:val="250"/>
        </w:trPr>
        <w:tc>
          <w:tcPr>
            <w:tcW w:w="4740" w:type="dxa"/>
            <w:vAlign w:val="bottom"/>
          </w:tcPr>
          <w:p>
            <w:pPr>
              <w:spacing w:after="0"/>
              <w:rPr>
                <w:sz w:val="20"/>
                <w:szCs w:val="20"/>
                <w:color w:val="auto"/>
              </w:rPr>
            </w:pPr>
            <w:r>
              <w:rPr>
                <w:rFonts w:ascii="Arial" w:cs="Arial" w:eastAsia="Arial" w:hAnsi="Arial"/>
                <w:sz w:val="20"/>
                <w:szCs w:val="20"/>
                <w:color w:val="auto"/>
              </w:rPr>
              <w:t>Trademark amortization</w:t>
            </w: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20"/>
                <w:szCs w:val="20"/>
                <w:color w:val="auto"/>
              </w:rPr>
              <w:t>(33)</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20"/>
                <w:szCs w:val="20"/>
                <w:color w:val="auto"/>
              </w:rPr>
              <w:t>(3)</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(36)</w:t>
            </w:r>
          </w:p>
        </w:tc>
      </w:tr>
      <w:tr>
        <w:trPr>
          <w:trHeight w:val="641"/>
        </w:trPr>
        <w:tc>
          <w:tcPr>
            <w:tcW w:w="4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3680" w:type="dxa"/>
            <w:vAlign w:val="bottom"/>
            <w:tcBorders>
              <w:bottom w:val="single" w:sz="8" w:color="auto"/>
            </w:tcBorders>
            <w:gridSpan w:val="11"/>
          </w:tcPr>
          <w:p>
            <w:pPr>
              <w:jc w:val="right"/>
              <w:ind w:right="240"/>
              <w:spacing w:after="0"/>
              <w:rPr>
                <w:sz w:val="20"/>
                <w:szCs w:val="20"/>
                <w:color w:val="auto"/>
              </w:rPr>
            </w:pPr>
            <w:r>
              <w:rPr>
                <w:rFonts w:ascii="Arial" w:cs="Arial" w:eastAsia="Arial" w:hAnsi="Arial"/>
                <w:sz w:val="20"/>
                <w:szCs w:val="20"/>
                <w:color w:val="auto"/>
                <w:w w:val="94"/>
              </w:rPr>
              <w:t>Nine-Months Ended September 30, 2011</w:t>
            </w: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r>
        <w:trPr>
          <w:trHeight w:val="206"/>
        </w:trPr>
        <w:tc>
          <w:tcPr>
            <w:tcW w:w="4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80" w:type="dxa"/>
            <w:vAlign w:val="bottom"/>
            <w:gridSpan w:val="4"/>
          </w:tcPr>
          <w:p>
            <w:pPr>
              <w:jc w:val="center"/>
              <w:ind w:right="340"/>
              <w:spacing w:after="0" w:line="207" w:lineRule="exact"/>
              <w:rPr>
                <w:sz w:val="20"/>
                <w:szCs w:val="20"/>
                <w:color w:val="auto"/>
              </w:rPr>
            </w:pPr>
            <w:r>
              <w:rPr>
                <w:rFonts w:ascii="Arial" w:cs="Arial" w:eastAsia="Arial" w:hAnsi="Arial"/>
                <w:sz w:val="20"/>
                <w:szCs w:val="20"/>
                <w:color w:val="auto"/>
                <w:w w:val="89"/>
              </w:rPr>
              <w:t>Corporate and</w:t>
            </w: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46"/>
        </w:trPr>
        <w:tc>
          <w:tcPr>
            <w:tcW w:w="4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ind w:right="521"/>
              <w:spacing w:after="0"/>
              <w:rPr>
                <w:sz w:val="20"/>
                <w:szCs w:val="20"/>
                <w:color w:val="auto"/>
              </w:rPr>
            </w:pPr>
            <w:r>
              <w:rPr>
                <w:rFonts w:ascii="Arial" w:cs="Arial" w:eastAsia="Arial" w:hAnsi="Arial"/>
                <w:sz w:val="20"/>
                <w:szCs w:val="20"/>
                <w:color w:val="auto"/>
              </w:rPr>
              <w:t>DSD</w:t>
            </w: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gridSpan w:val="3"/>
          </w:tcPr>
          <w:p>
            <w:pPr>
              <w:ind w:left="40"/>
              <w:spacing w:after="0"/>
              <w:rPr>
                <w:sz w:val="20"/>
                <w:szCs w:val="20"/>
                <w:color w:val="auto"/>
              </w:rPr>
            </w:pPr>
            <w:r>
              <w:rPr>
                <w:rFonts w:ascii="Arial" w:cs="Arial" w:eastAsia="Arial" w:hAnsi="Arial"/>
                <w:sz w:val="20"/>
                <w:szCs w:val="20"/>
                <w:color w:val="auto"/>
              </w:rPr>
              <w:t>Warehouse</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gridSpan w:val="3"/>
          </w:tcPr>
          <w:p>
            <w:pPr>
              <w:jc w:val="center"/>
              <w:ind w:right="520"/>
              <w:spacing w:after="0"/>
              <w:rPr>
                <w:sz w:val="20"/>
                <w:szCs w:val="20"/>
                <w:color w:val="auto"/>
              </w:rPr>
            </w:pPr>
            <w:r>
              <w:rPr>
                <w:rFonts w:ascii="Arial" w:cs="Arial" w:eastAsia="Arial" w:hAnsi="Arial"/>
                <w:sz w:val="20"/>
                <w:szCs w:val="20"/>
                <w:color w:val="auto"/>
                <w:w w:val="88"/>
              </w:rPr>
              <w:t>Unallocated</w:t>
            </w:r>
          </w:p>
        </w:tc>
        <w:tc>
          <w:tcPr>
            <w:tcW w:w="360" w:type="dxa"/>
            <w:vAlign w:val="bottom"/>
          </w:tcPr>
          <w:p>
            <w:pPr>
              <w:spacing w:after="0"/>
              <w:rPr>
                <w:sz w:val="21"/>
                <w:szCs w:val="21"/>
                <w:color w:val="auto"/>
              </w:rPr>
            </w:pPr>
          </w:p>
        </w:tc>
        <w:tc>
          <w:tcPr>
            <w:tcW w:w="1120" w:type="dxa"/>
            <w:vAlign w:val="bottom"/>
          </w:tcPr>
          <w:p>
            <w:pPr>
              <w:jc w:val="right"/>
              <w:ind w:right="481"/>
              <w:spacing w:after="0"/>
              <w:rPr>
                <w:sz w:val="20"/>
                <w:szCs w:val="20"/>
                <w:color w:val="auto"/>
              </w:rPr>
            </w:pPr>
            <w:r>
              <w:rPr>
                <w:rFonts w:ascii="Arial" w:cs="Arial" w:eastAsia="Arial" w:hAnsi="Arial"/>
                <w:sz w:val="20"/>
                <w:szCs w:val="20"/>
                <w:color w:val="auto"/>
              </w:rPr>
              <w:t>Total</w:t>
            </w:r>
          </w:p>
        </w:tc>
      </w:tr>
      <w:tr>
        <w:trPr>
          <w:trHeight w:val="223"/>
        </w:trPr>
        <w:tc>
          <w:tcPr>
            <w:tcW w:w="4740" w:type="dxa"/>
            <w:vAlign w:val="bottom"/>
            <w:tcBorders>
              <w:top w:val="single" w:sz="8" w:color="CCEEFF"/>
            </w:tcBorders>
            <w:shd w:val="clear" w:color="auto" w:fill="CCEEFF"/>
          </w:tcPr>
          <w:p>
            <w:pPr>
              <w:spacing w:after="0" w:line="223" w:lineRule="exact"/>
              <w:rPr>
                <w:sz w:val="20"/>
                <w:szCs w:val="20"/>
                <w:color w:val="auto"/>
              </w:rPr>
            </w:pPr>
            <w:r>
              <w:rPr>
                <w:rFonts w:ascii="Arial" w:cs="Arial" w:eastAsia="Arial" w:hAnsi="Arial"/>
                <w:sz w:val="20"/>
                <w:szCs w:val="20"/>
                <w:color w:val="auto"/>
              </w:rPr>
              <w:t>Net sales</w:t>
            </w:r>
          </w:p>
        </w:tc>
        <w:tc>
          <w:tcPr>
            <w:tcW w:w="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41"/>
              <w:spacing w:after="0" w:line="223" w:lineRule="exact"/>
              <w:rPr>
                <w:sz w:val="20"/>
                <w:szCs w:val="20"/>
                <w:color w:val="auto"/>
              </w:rPr>
            </w:pPr>
            <w:r>
              <w:rPr>
                <w:rFonts w:ascii="Arial" w:cs="Arial" w:eastAsia="Arial" w:hAnsi="Arial"/>
                <w:sz w:val="20"/>
                <w:szCs w:val="20"/>
                <w:color w:val="auto"/>
              </w:rPr>
              <w:t>$</w:t>
            </w:r>
          </w:p>
        </w:tc>
        <w:tc>
          <w:tcPr>
            <w:tcW w:w="1180" w:type="dxa"/>
            <w:vAlign w:val="bottom"/>
            <w:tcBorders>
              <w:top w:val="single" w:sz="8" w:color="auto"/>
            </w:tcBorders>
            <w:shd w:val="clear" w:color="auto" w:fill="CCEEFF"/>
          </w:tcPr>
          <w:p>
            <w:pPr>
              <w:jc w:val="right"/>
              <w:ind w:right="21"/>
              <w:spacing w:after="0" w:line="223" w:lineRule="exact"/>
              <w:rPr>
                <w:sz w:val="20"/>
                <w:szCs w:val="20"/>
                <w:color w:val="auto"/>
              </w:rPr>
            </w:pPr>
            <w:r>
              <w:rPr>
                <w:rFonts w:ascii="Arial" w:cs="Arial" w:eastAsia="Arial" w:hAnsi="Arial"/>
                <w:sz w:val="20"/>
                <w:szCs w:val="20"/>
                <w:color w:val="auto"/>
              </w:rPr>
              <w:t>1,218,491</w:t>
            </w:r>
          </w:p>
        </w:tc>
        <w:tc>
          <w:tcPr>
            <w:tcW w:w="260" w:type="dxa"/>
            <w:vAlign w:val="bottom"/>
            <w:tcBorders>
              <w:top w:val="single" w:sz="8" w:color="CCEEFF"/>
            </w:tcBorders>
            <w:gridSpan w:val="2"/>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rPr>
              <w:t>$</w:t>
            </w:r>
          </w:p>
        </w:tc>
        <w:tc>
          <w:tcPr>
            <w:tcW w:w="1280" w:type="dxa"/>
            <w:vAlign w:val="bottom"/>
            <w:tcBorders>
              <w:top w:val="single" w:sz="8" w:color="auto"/>
            </w:tcBorders>
            <w:shd w:val="clear" w:color="auto" w:fill="CCEEFF"/>
          </w:tcPr>
          <w:p>
            <w:pPr>
              <w:jc w:val="right"/>
              <w:ind w:right="1"/>
              <w:spacing w:after="0" w:line="223" w:lineRule="exact"/>
              <w:rPr>
                <w:sz w:val="20"/>
                <w:szCs w:val="20"/>
                <w:color w:val="auto"/>
              </w:rPr>
            </w:pPr>
            <w:r>
              <w:rPr>
                <w:rFonts w:ascii="Arial" w:cs="Arial" w:eastAsia="Arial" w:hAnsi="Arial"/>
                <w:sz w:val="20"/>
                <w:szCs w:val="20"/>
                <w:color w:val="auto"/>
              </w:rPr>
              <w:t>74,782</w:t>
            </w:r>
          </w:p>
        </w:tc>
        <w:tc>
          <w:tcPr>
            <w:tcW w:w="2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rPr>
              <w:t>$</w:t>
            </w:r>
          </w:p>
        </w:tc>
        <w:tc>
          <w:tcPr>
            <w:tcW w:w="1280" w:type="dxa"/>
            <w:vAlign w:val="bottom"/>
            <w:tcBorders>
              <w:top w:val="single" w:sz="8" w:color="auto"/>
            </w:tcBorders>
            <w:shd w:val="clear" w:color="auto" w:fill="CCEEFF"/>
          </w:tcPr>
          <w:p>
            <w:pPr>
              <w:jc w:val="right"/>
              <w:ind w:right="1"/>
              <w:spacing w:after="0" w:line="223" w:lineRule="exact"/>
              <w:rPr>
                <w:sz w:val="20"/>
                <w:szCs w:val="20"/>
                <w:color w:val="auto"/>
              </w:rPr>
            </w:pPr>
            <w:r>
              <w:rPr>
                <w:rFonts w:ascii="Arial" w:cs="Arial" w:eastAsia="Arial" w:hAnsi="Arial"/>
                <w:sz w:val="20"/>
                <w:szCs w:val="20"/>
                <w:color w:val="auto"/>
              </w:rPr>
              <w:t>-</w:t>
            </w:r>
          </w:p>
        </w:tc>
        <w:tc>
          <w:tcPr>
            <w:tcW w:w="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61"/>
              <w:spacing w:after="0" w:line="223" w:lineRule="exact"/>
              <w:rPr>
                <w:sz w:val="20"/>
                <w:szCs w:val="20"/>
                <w:color w:val="auto"/>
              </w:rPr>
            </w:pPr>
            <w:r>
              <w:rPr>
                <w:rFonts w:ascii="Arial" w:cs="Arial" w:eastAsia="Arial" w:hAnsi="Arial"/>
                <w:sz w:val="20"/>
                <w:szCs w:val="20"/>
                <w:color w:val="auto"/>
              </w:rPr>
              <w:t>$</w:t>
            </w:r>
          </w:p>
        </w:tc>
        <w:tc>
          <w:tcPr>
            <w:tcW w:w="1120" w:type="dxa"/>
            <w:vAlign w:val="bottom"/>
            <w:tcBorders>
              <w:top w:val="single" w:sz="8" w:color="auto"/>
            </w:tcBorders>
            <w:shd w:val="clear" w:color="auto" w:fill="CCEEFF"/>
          </w:tcPr>
          <w:p>
            <w:pPr>
              <w:jc w:val="right"/>
              <w:ind w:right="1"/>
              <w:spacing w:after="0" w:line="223" w:lineRule="exact"/>
              <w:rPr>
                <w:sz w:val="20"/>
                <w:szCs w:val="20"/>
                <w:color w:val="auto"/>
              </w:rPr>
            </w:pPr>
            <w:r>
              <w:rPr>
                <w:rFonts w:ascii="Arial" w:cs="Arial" w:eastAsia="Arial" w:hAnsi="Arial"/>
                <w:sz w:val="20"/>
                <w:szCs w:val="20"/>
                <w:color w:val="auto"/>
              </w:rPr>
              <w:t>1,293,273</w:t>
            </w:r>
          </w:p>
        </w:tc>
      </w:tr>
      <w:tr>
        <w:trPr>
          <w:trHeight w:val="230"/>
        </w:trPr>
        <w:tc>
          <w:tcPr>
            <w:tcW w:w="4740" w:type="dxa"/>
            <w:vAlign w:val="bottom"/>
          </w:tcPr>
          <w:p>
            <w:pPr>
              <w:spacing w:after="0"/>
              <w:rPr>
                <w:sz w:val="20"/>
                <w:szCs w:val="20"/>
                <w:color w:val="auto"/>
              </w:rPr>
            </w:pPr>
            <w:r>
              <w:rPr>
                <w:rFonts w:ascii="Arial" w:cs="Arial" w:eastAsia="Arial" w:hAnsi="Arial"/>
                <w:sz w:val="20"/>
                <w:szCs w:val="20"/>
                <w:color w:val="auto"/>
              </w:rPr>
              <w:t>Contribution margin</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ind w:right="21"/>
              <w:spacing w:after="0"/>
              <w:rPr>
                <w:sz w:val="20"/>
                <w:szCs w:val="20"/>
                <w:color w:val="auto"/>
              </w:rPr>
            </w:pPr>
            <w:r>
              <w:rPr>
                <w:rFonts w:ascii="Arial" w:cs="Arial" w:eastAsia="Arial" w:hAnsi="Arial"/>
                <w:sz w:val="20"/>
                <w:szCs w:val="20"/>
                <w:color w:val="auto"/>
              </w:rPr>
              <w:t>413,629</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ind w:right="1"/>
              <w:spacing w:after="0"/>
              <w:rPr>
                <w:sz w:val="20"/>
                <w:szCs w:val="20"/>
                <w:color w:val="auto"/>
              </w:rPr>
            </w:pPr>
            <w:r>
              <w:rPr>
                <w:rFonts w:ascii="Arial" w:cs="Arial" w:eastAsia="Arial" w:hAnsi="Arial"/>
                <w:sz w:val="20"/>
                <w:szCs w:val="20"/>
                <w:color w:val="auto"/>
              </w:rPr>
              <w:t>3,545</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1"/>
              <w:spacing w:after="0"/>
              <w:rPr>
                <w:sz w:val="20"/>
                <w:szCs w:val="20"/>
                <w:color w:val="auto"/>
              </w:rPr>
            </w:pPr>
            <w:r>
              <w:rPr>
                <w:rFonts w:ascii="Arial" w:cs="Arial" w:eastAsia="Arial" w:hAnsi="Arial"/>
                <w:sz w:val="20"/>
                <w:szCs w:val="20"/>
                <w:color w:val="auto"/>
              </w:rPr>
              <w:t>417,174</w:t>
            </w:r>
          </w:p>
        </w:tc>
      </w:tr>
      <w:tr>
        <w:trPr>
          <w:trHeight w:val="230"/>
        </w:trPr>
        <w:tc>
          <w:tcPr>
            <w:tcW w:w="4740" w:type="dxa"/>
            <w:vAlign w:val="bottom"/>
            <w:shd w:val="clear" w:color="auto" w:fill="CCEEFF"/>
          </w:tcPr>
          <w:p>
            <w:pPr>
              <w:spacing w:after="0"/>
              <w:rPr>
                <w:sz w:val="20"/>
                <w:szCs w:val="20"/>
                <w:color w:val="auto"/>
              </w:rPr>
            </w:pPr>
            <w:r>
              <w:rPr>
                <w:rFonts w:ascii="Arial" w:cs="Arial" w:eastAsia="Arial" w:hAnsi="Arial"/>
                <w:sz w:val="20"/>
                <w:szCs w:val="20"/>
                <w:color w:val="auto"/>
              </w:rPr>
              <w:t>Corporate and unallocated expenses</w:t>
            </w: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w:t>
            </w:r>
          </w:p>
        </w:tc>
        <w:tc>
          <w:tcPr>
            <w:tcW w:w="2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(64,148)</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(64,148)</w:t>
            </w:r>
          </w:p>
        </w:tc>
      </w:tr>
      <w:tr>
        <w:trPr>
          <w:trHeight w:val="230"/>
        </w:trPr>
        <w:tc>
          <w:tcPr>
            <w:tcW w:w="4740" w:type="dxa"/>
            <w:vAlign w:val="bottom"/>
          </w:tcPr>
          <w:p>
            <w:pPr>
              <w:spacing w:after="0"/>
              <w:rPr>
                <w:sz w:val="20"/>
                <w:szCs w:val="20"/>
                <w:color w:val="auto"/>
              </w:rPr>
            </w:pPr>
            <w:r>
              <w:rPr>
                <w:rFonts w:ascii="Arial" w:cs="Arial" w:eastAsia="Arial" w:hAnsi="Arial"/>
                <w:sz w:val="20"/>
                <w:szCs w:val="20"/>
                <w:color w:val="auto"/>
              </w:rPr>
              <w:t>Operating income</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1"/>
              <w:spacing w:after="0"/>
              <w:rPr>
                <w:sz w:val="20"/>
                <w:szCs w:val="20"/>
                <w:color w:val="auto"/>
              </w:rPr>
            </w:pPr>
            <w:r>
              <w:rPr>
                <w:rFonts w:ascii="Arial" w:cs="Arial" w:eastAsia="Arial" w:hAnsi="Arial"/>
                <w:sz w:val="20"/>
                <w:szCs w:val="20"/>
                <w:color w:val="auto"/>
              </w:rPr>
              <w:t>353,026</w:t>
            </w:r>
          </w:p>
        </w:tc>
      </w:tr>
      <w:tr>
        <w:trPr>
          <w:trHeight w:val="230"/>
        </w:trPr>
        <w:tc>
          <w:tcPr>
            <w:tcW w:w="4740" w:type="dxa"/>
            <w:vAlign w:val="bottom"/>
            <w:shd w:val="clear" w:color="auto" w:fill="CCEEFF"/>
          </w:tcPr>
          <w:p>
            <w:pPr>
              <w:spacing w:after="0"/>
              <w:rPr>
                <w:sz w:val="20"/>
                <w:szCs w:val="20"/>
                <w:color w:val="auto"/>
              </w:rPr>
            </w:pPr>
            <w:r>
              <w:rPr>
                <w:rFonts w:ascii="Arial" w:cs="Arial" w:eastAsia="Arial" w:hAnsi="Arial"/>
                <w:sz w:val="20"/>
                <w:szCs w:val="20"/>
                <w:color w:val="auto"/>
              </w:rPr>
              <w:t>Other income (expense)</w:t>
            </w: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(81)</w:t>
            </w:r>
          </w:p>
        </w:tc>
        <w:tc>
          <w:tcPr>
            <w:tcW w:w="2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(205)</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(286)</w:t>
            </w:r>
          </w:p>
        </w:tc>
      </w:tr>
      <w:tr>
        <w:trPr>
          <w:trHeight w:val="230"/>
        </w:trPr>
        <w:tc>
          <w:tcPr>
            <w:tcW w:w="4740" w:type="dxa"/>
            <w:vAlign w:val="bottom"/>
          </w:tcPr>
          <w:p>
            <w:pPr>
              <w:spacing w:after="0"/>
              <w:rPr>
                <w:sz w:val="20"/>
                <w:szCs w:val="20"/>
                <w:color w:val="auto"/>
              </w:rPr>
            </w:pPr>
            <w:r>
              <w:rPr>
                <w:rFonts w:ascii="Arial" w:cs="Arial" w:eastAsia="Arial" w:hAnsi="Arial"/>
                <w:sz w:val="20"/>
                <w:szCs w:val="20"/>
                <w:color w:val="auto"/>
              </w:rPr>
              <w:t>Income before provision for income taxes</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1"/>
              <w:spacing w:after="0"/>
              <w:rPr>
                <w:sz w:val="20"/>
                <w:szCs w:val="20"/>
                <w:color w:val="auto"/>
              </w:rPr>
            </w:pPr>
            <w:r>
              <w:rPr>
                <w:rFonts w:ascii="Arial" w:cs="Arial" w:eastAsia="Arial" w:hAnsi="Arial"/>
                <w:sz w:val="20"/>
                <w:szCs w:val="20"/>
                <w:color w:val="auto"/>
              </w:rPr>
              <w:t>352,740</w:t>
            </w:r>
          </w:p>
        </w:tc>
      </w:tr>
      <w:tr>
        <w:trPr>
          <w:trHeight w:val="230"/>
        </w:trPr>
        <w:tc>
          <w:tcPr>
            <w:tcW w:w="4740" w:type="dxa"/>
            <w:vAlign w:val="bottom"/>
            <w:shd w:val="clear" w:color="auto" w:fill="CCEEFF"/>
          </w:tcPr>
          <w:p>
            <w:pPr>
              <w:spacing w:after="0"/>
              <w:rPr>
                <w:sz w:val="20"/>
                <w:szCs w:val="20"/>
                <w:color w:val="auto"/>
              </w:rPr>
            </w:pPr>
            <w:r>
              <w:rPr>
                <w:rFonts w:ascii="Arial" w:cs="Arial" w:eastAsia="Arial" w:hAnsi="Arial"/>
                <w:sz w:val="20"/>
                <w:szCs w:val="20"/>
                <w:color w:val="auto"/>
              </w:rPr>
              <w:t>Depreciation and amortization</w:t>
            </w: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(8,975)</w:t>
            </w:r>
          </w:p>
        </w:tc>
        <w:tc>
          <w:tcPr>
            <w:tcW w:w="2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(61)</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(3,116)</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(12,152)</w:t>
            </w:r>
          </w:p>
        </w:tc>
      </w:tr>
      <w:tr>
        <w:trPr>
          <w:trHeight w:val="250"/>
        </w:trPr>
        <w:tc>
          <w:tcPr>
            <w:tcW w:w="4740" w:type="dxa"/>
            <w:vAlign w:val="bottom"/>
          </w:tcPr>
          <w:p>
            <w:pPr>
              <w:spacing w:after="0"/>
              <w:rPr>
                <w:sz w:val="20"/>
                <w:szCs w:val="20"/>
                <w:color w:val="auto"/>
              </w:rPr>
            </w:pPr>
            <w:r>
              <w:rPr>
                <w:rFonts w:ascii="Arial" w:cs="Arial" w:eastAsia="Arial" w:hAnsi="Arial"/>
                <w:sz w:val="20"/>
                <w:szCs w:val="20"/>
                <w:color w:val="auto"/>
              </w:rPr>
              <w:t>Trademark amortization</w:t>
            </w: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20"/>
                <w:szCs w:val="20"/>
                <w:color w:val="auto"/>
              </w:rPr>
              <w:t>(33)</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20"/>
                <w:szCs w:val="20"/>
                <w:color w:val="auto"/>
              </w:rPr>
              <w:t>(6)</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(39)</w:t>
            </w:r>
          </w:p>
        </w:tc>
      </w:tr>
    </w:tbl>
    <w:p>
      <w:pPr>
        <w:spacing w:after="0" w:line="174" w:lineRule="exact"/>
        <w:rPr>
          <w:sz w:val="20"/>
          <w:szCs w:val="20"/>
          <w:color w:val="auto"/>
        </w:rPr>
      </w:pPr>
    </w:p>
    <w:p>
      <w:pPr>
        <w:jc w:val="both"/>
        <w:ind w:right="20" w:firstLine="648"/>
        <w:spacing w:after="0" w:line="251" w:lineRule="auto"/>
        <w:rPr>
          <w:sz w:val="20"/>
          <w:szCs w:val="20"/>
          <w:color w:val="auto"/>
        </w:rPr>
      </w:pPr>
      <w:r>
        <w:rPr>
          <w:rFonts w:ascii="Arial" w:cs="Arial" w:eastAsia="Arial" w:hAnsi="Arial"/>
          <w:sz w:val="22"/>
          <w:szCs w:val="22"/>
          <w:color w:val="auto"/>
        </w:rPr>
        <w:t>Revenue is derived from sales to external customers. Operating expenses that pertain to each segment are allocated to the appropriate segment.</w:t>
      </w:r>
    </w:p>
    <w:p>
      <w:pPr>
        <w:spacing w:after="0" w:line="200"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9"/>
          <w:szCs w:val="19"/>
          <w:color w:val="auto"/>
        </w:rPr>
        <w:t>Corporate and unallocated expenses were $82.1 million for the nine-months ended September 30, 2012 and included $55.4 million of payroll costs, of which $21.6 million was attributable to stock-based compensation expense (see Note 12, “Stock-Based Compensation”), $11.6 million attributable to professional service expenses, including accounting and legal costs, $3.6 million of depreciation and $11.5 million of other operating expenses. Corporate and unallocated expenses were $64.1 million for the nine-months ended September 30, 2011 and included $39.1 million of payroll costs, of which $12.8 million was attributable to stock-based compensation expense (see Note 12, “Stock-Based Compensation”), $13.1 million attributable to professional service expenses, including accounting and legal costs, and $11.9 million of other operating expenses. Certain items, including operating assets and income taxes, are not allocated to individual segments and therefore are not presented above.</w:t>
      </w:r>
    </w:p>
    <w:p>
      <w:pPr>
        <w:spacing w:after="0" w:line="185" w:lineRule="exact"/>
        <w:rPr>
          <w:sz w:val="20"/>
          <w:szCs w:val="20"/>
          <w:color w:val="auto"/>
        </w:rPr>
      </w:pPr>
    </w:p>
    <w:p>
      <w:pPr>
        <w:jc w:val="both"/>
        <w:ind w:right="20" w:firstLine="648"/>
        <w:spacing w:after="0" w:line="251" w:lineRule="auto"/>
        <w:rPr>
          <w:sz w:val="20"/>
          <w:szCs w:val="20"/>
          <w:color w:val="auto"/>
        </w:rPr>
      </w:pPr>
      <w:r>
        <w:rPr>
          <w:rFonts w:ascii="Arial" w:cs="Arial" w:eastAsia="Arial" w:hAnsi="Arial"/>
          <w:sz w:val="22"/>
          <w:szCs w:val="22"/>
          <w:color w:val="auto"/>
        </w:rPr>
        <w:t>CCR, a customer of the DSD segment, accounted for approximately 29% of the Company’s net sales for both the nine-months ended September 30, 2012 and 2011.</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ectPr>
          <w:pgSz w:w="11900" w:h="16838" w:orient="portrait"/>
          <w:cols w:equalWidth="0" w:num="1">
            <w:col w:w="11420"/>
          </w:cols>
          <w:pgMar w:left="240" w:top="118" w:right="239" w:bottom="0" w:gutter="0" w:footer="0" w:header="0"/>
        </w:sectPr>
      </w:pP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MONSTER BEVERAGE CORPORATION AND SUBSIDIARIES</w:t>
      </w:r>
    </w:p>
    <w:p>
      <w:pPr>
        <w:sectPr>
          <w:pgSz w:w="11900" w:h="16838" w:orient="portrait"/>
          <w:cols w:equalWidth="0" w:num="1">
            <w:col w:w="11420"/>
          </w:cols>
          <w:pgMar w:left="240" w:top="118" w:right="239" w:bottom="0" w:gutter="0" w:footer="0" w:header="0"/>
          <w:type w:val="continuous"/>
        </w:sectPr>
      </w:pPr>
    </w:p>
    <w:bookmarkStart w:id="19" w:name="page20"/>
    <w:bookmarkEnd w:id="19"/>
    <w:p>
      <w:pPr>
        <w:ind w:right="4340"/>
        <w:spacing w:after="0" w:line="335"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19"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Net sales to customers outside the United States amounted to $318.0 million and $226.0 million for the nine-months ended September 30, 2012 and 2011, respectively. Such sales were approximately 20.0% and 17.5% of net sales for the nine-months ended September 30, 2012 and 2011, respectively.</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Company’s net sales by product line were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160" w:type="dxa"/>
            <w:vAlign w:val="bottom"/>
            <w:gridSpan w:val="5"/>
          </w:tcPr>
          <w:p>
            <w:pPr>
              <w:ind w:left="420"/>
              <w:spacing w:after="0"/>
              <w:rPr>
                <w:sz w:val="20"/>
                <w:szCs w:val="20"/>
                <w:color w:val="auto"/>
              </w:rPr>
            </w:pPr>
            <w:r>
              <w:rPr>
                <w:rFonts w:ascii="Arial" w:cs="Arial" w:eastAsia="Arial" w:hAnsi="Arial"/>
                <w:sz w:val="21"/>
                <w:szCs w:val="21"/>
                <w:color w:val="auto"/>
              </w:rPr>
              <w:t>Three-Months Ended</w:t>
            </w:r>
          </w:p>
        </w:tc>
        <w:tc>
          <w:tcPr>
            <w:tcW w:w="340" w:type="dxa"/>
            <w:vAlign w:val="bottom"/>
          </w:tcPr>
          <w:p>
            <w:pPr>
              <w:spacing w:after="0"/>
              <w:rPr>
                <w:sz w:val="21"/>
                <w:szCs w:val="21"/>
                <w:color w:val="auto"/>
              </w:rPr>
            </w:pPr>
          </w:p>
        </w:tc>
        <w:tc>
          <w:tcPr>
            <w:tcW w:w="2820" w:type="dxa"/>
            <w:vAlign w:val="bottom"/>
            <w:gridSpan w:val="4"/>
          </w:tcPr>
          <w:p>
            <w:pPr>
              <w:jc w:val="right"/>
              <w:ind w:right="636"/>
              <w:spacing w:after="0"/>
              <w:rPr>
                <w:sz w:val="20"/>
                <w:szCs w:val="20"/>
                <w:color w:val="auto"/>
              </w:rPr>
            </w:pPr>
            <w:r>
              <w:rPr>
                <w:rFonts w:ascii="Arial" w:cs="Arial" w:eastAsia="Arial" w:hAnsi="Arial"/>
                <w:sz w:val="21"/>
                <w:szCs w:val="21"/>
                <w:color w:val="auto"/>
              </w:rPr>
              <w:t>Nine-Months Ended</w:t>
            </w:r>
          </w:p>
        </w:tc>
        <w:tc>
          <w:tcPr>
            <w:tcW w:w="0" w:type="dxa"/>
            <w:vAlign w:val="bottom"/>
          </w:tcPr>
          <w:p>
            <w:pPr>
              <w:spacing w:after="0"/>
              <w:rPr>
                <w:sz w:val="1"/>
                <w:szCs w:val="1"/>
                <w:color w:val="auto"/>
              </w:rPr>
            </w:pPr>
          </w:p>
        </w:tc>
      </w:tr>
      <w:tr>
        <w:trPr>
          <w:trHeight w:val="256"/>
        </w:trPr>
        <w:tc>
          <w:tcPr>
            <w:tcW w:w="4760" w:type="dxa"/>
            <w:vAlign w:val="bottom"/>
            <w:gridSpan w:val="2"/>
            <w:vMerge w:val="restart"/>
          </w:tcPr>
          <w:p>
            <w:pPr>
              <w:spacing w:after="0"/>
              <w:rPr>
                <w:sz w:val="20"/>
                <w:szCs w:val="20"/>
                <w:color w:val="auto"/>
              </w:rPr>
            </w:pPr>
            <w:r>
              <w:rPr>
                <w:rFonts w:ascii="Arial" w:cs="Arial" w:eastAsia="Arial" w:hAnsi="Arial"/>
                <w:sz w:val="21"/>
                <w:szCs w:val="21"/>
                <w:color w:val="auto"/>
              </w:rPr>
              <w:t>Product Line</w:t>
            </w:r>
          </w:p>
        </w:tc>
        <w:tc>
          <w:tcPr>
            <w:tcW w:w="340" w:type="dxa"/>
            <w:vAlign w:val="bottom"/>
            <w:tcBorders>
              <w:bottom w:val="single" w:sz="8" w:color="auto"/>
            </w:tcBorders>
          </w:tcPr>
          <w:p>
            <w:pPr>
              <w:spacing w:after="0"/>
              <w:rPr>
                <w:sz w:val="22"/>
                <w:szCs w:val="22"/>
                <w:color w:val="auto"/>
              </w:rPr>
            </w:pPr>
          </w:p>
        </w:tc>
        <w:tc>
          <w:tcPr>
            <w:tcW w:w="1900" w:type="dxa"/>
            <w:vAlign w:val="bottom"/>
            <w:tcBorders>
              <w:bottom w:val="single" w:sz="8" w:color="auto"/>
            </w:tcBorders>
            <w:gridSpan w:val="3"/>
          </w:tcPr>
          <w:p>
            <w:pPr>
              <w:jc w:val="right"/>
              <w:spacing w:after="0"/>
              <w:rPr>
                <w:sz w:val="20"/>
                <w:szCs w:val="20"/>
                <w:color w:val="auto"/>
              </w:rPr>
            </w:pPr>
            <w:r>
              <w:rPr>
                <w:rFonts w:ascii="Arial" w:cs="Arial" w:eastAsia="Arial" w:hAnsi="Arial"/>
                <w:sz w:val="21"/>
                <w:szCs w:val="21"/>
                <w:color w:val="auto"/>
              </w:rPr>
              <w:t>September 30,</w:t>
            </w:r>
          </w:p>
        </w:tc>
        <w:tc>
          <w:tcPr>
            <w:tcW w:w="1040" w:type="dxa"/>
            <w:vAlign w:val="bottom"/>
            <w:tcBorders>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2820" w:type="dxa"/>
            <w:vAlign w:val="bottom"/>
            <w:tcBorders>
              <w:bottom w:val="single" w:sz="8" w:color="auto"/>
            </w:tcBorders>
            <w:gridSpan w:val="4"/>
          </w:tcPr>
          <w:p>
            <w:pPr>
              <w:jc w:val="right"/>
              <w:ind w:right="876"/>
              <w:spacing w:after="0"/>
              <w:rPr>
                <w:sz w:val="20"/>
                <w:szCs w:val="20"/>
                <w:color w:val="auto"/>
              </w:rPr>
            </w:pPr>
            <w:r>
              <w:rPr>
                <w:rFonts w:ascii="Arial" w:cs="Arial" w:eastAsia="Arial" w:hAnsi="Arial"/>
                <w:sz w:val="21"/>
                <w:szCs w:val="21"/>
                <w:color w:val="auto"/>
              </w:rPr>
              <w:t>September 30,</w:t>
            </w:r>
          </w:p>
        </w:tc>
        <w:tc>
          <w:tcPr>
            <w:tcW w:w="0" w:type="dxa"/>
            <w:vAlign w:val="bottom"/>
          </w:tcPr>
          <w:p>
            <w:pPr>
              <w:spacing w:after="0"/>
              <w:rPr>
                <w:sz w:val="1"/>
                <w:szCs w:val="1"/>
                <w:color w:val="auto"/>
              </w:rPr>
            </w:pPr>
          </w:p>
        </w:tc>
      </w:tr>
      <w:tr>
        <w:trPr>
          <w:trHeight w:val="237"/>
        </w:trPr>
        <w:tc>
          <w:tcPr>
            <w:tcW w:w="4760" w:type="dxa"/>
            <w:vAlign w:val="bottom"/>
            <w:gridSpan w:val="2"/>
            <w:vMerge w:val="continue"/>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ind w:right="516"/>
              <w:spacing w:after="0" w:line="237" w:lineRule="exact"/>
              <w:rPr>
                <w:sz w:val="20"/>
                <w:szCs w:val="20"/>
                <w:color w:val="auto"/>
              </w:rPr>
            </w:pPr>
            <w:r>
              <w:rPr>
                <w:rFonts w:ascii="Arial" w:cs="Arial" w:eastAsia="Arial" w:hAnsi="Arial"/>
                <w:sz w:val="21"/>
                <w:szCs w:val="21"/>
                <w:color w:val="auto"/>
              </w:rPr>
              <w:t>2012</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40" w:type="dxa"/>
            <w:vAlign w:val="bottom"/>
          </w:tcPr>
          <w:p>
            <w:pPr>
              <w:jc w:val="right"/>
              <w:ind w:right="536"/>
              <w:spacing w:after="0" w:line="237" w:lineRule="exact"/>
              <w:rPr>
                <w:sz w:val="20"/>
                <w:szCs w:val="20"/>
                <w:color w:val="auto"/>
              </w:rPr>
            </w:pPr>
            <w:r>
              <w:rPr>
                <w:rFonts w:ascii="Arial" w:cs="Arial" w:eastAsia="Arial" w:hAnsi="Arial"/>
                <w:sz w:val="21"/>
                <w:szCs w:val="21"/>
                <w:color w:val="auto"/>
                <w:w w:val="81"/>
              </w:rPr>
              <w:t>2011</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96"/>
              <w:spacing w:after="0" w:line="237" w:lineRule="exact"/>
              <w:rPr>
                <w:sz w:val="20"/>
                <w:szCs w:val="20"/>
                <w:color w:val="auto"/>
              </w:rPr>
            </w:pPr>
            <w:r>
              <w:rPr>
                <w:rFonts w:ascii="Arial" w:cs="Arial" w:eastAsia="Arial" w:hAnsi="Arial"/>
                <w:sz w:val="21"/>
                <w:szCs w:val="21"/>
                <w:color w:val="auto"/>
              </w:rPr>
              <w:t>2012</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96"/>
              <w:spacing w:after="0" w:line="237" w:lineRule="exact"/>
              <w:rPr>
                <w:sz w:val="20"/>
                <w:szCs w:val="20"/>
                <w:color w:val="auto"/>
              </w:rPr>
            </w:pPr>
            <w:r>
              <w:rPr>
                <w:rFonts w:ascii="Arial" w:cs="Arial" w:eastAsia="Arial" w:hAnsi="Arial"/>
                <w:sz w:val="21"/>
                <w:szCs w:val="21"/>
                <w:color w:val="auto"/>
              </w:rPr>
              <w:t>2011</w:t>
            </w:r>
          </w:p>
        </w:tc>
        <w:tc>
          <w:tcPr>
            <w:tcW w:w="0" w:type="dxa"/>
            <w:vAlign w:val="bottom"/>
          </w:tcPr>
          <w:p>
            <w:pPr>
              <w:spacing w:after="0"/>
              <w:rPr>
                <w:sz w:val="1"/>
                <w:szCs w:val="1"/>
                <w:color w:val="auto"/>
              </w:rPr>
            </w:pPr>
          </w:p>
        </w:tc>
      </w:tr>
      <w:tr>
        <w:trPr>
          <w:trHeight w:val="237"/>
        </w:trPr>
        <w:tc>
          <w:tcPr>
            <w:tcW w:w="4540" w:type="dxa"/>
            <w:vAlign w:val="bottom"/>
            <w:tcBorders>
              <w:top w:val="single" w:sz="8" w:color="auto"/>
            </w:tcBorders>
            <w:shd w:val="clear" w:color="auto" w:fill="CCEEFF"/>
          </w:tcPr>
          <w:p>
            <w:pPr>
              <w:spacing w:after="0" w:line="237" w:lineRule="exact"/>
              <w:rPr>
                <w:sz w:val="20"/>
                <w:szCs w:val="20"/>
                <w:color w:val="auto"/>
              </w:rPr>
            </w:pPr>
            <w:r>
              <w:rPr>
                <w:rFonts w:ascii="Arial" w:cs="Arial" w:eastAsia="Arial" w:hAnsi="Arial"/>
                <w:sz w:val="21"/>
                <w:szCs w:val="21"/>
                <w:color w:val="auto"/>
              </w:rPr>
              <w:t>Energy drinks</w:t>
            </w:r>
          </w:p>
        </w:tc>
        <w:tc>
          <w:tcPr>
            <w:tcW w:w="220" w:type="dxa"/>
            <w:vAlign w:val="bottom"/>
            <w:tcBorders>
              <w:top w:val="single" w:sz="8" w:color="CCEEFF"/>
            </w:tcBorders>
            <w:shd w:val="clear" w:color="auto" w:fill="CCEEFF"/>
          </w:tcPr>
          <w:p>
            <w:pPr>
              <w:spacing w:after="0"/>
              <w:rPr>
                <w:sz w:val="20"/>
                <w:szCs w:val="20"/>
                <w:color w:val="auto"/>
              </w:rPr>
            </w:pPr>
          </w:p>
        </w:tc>
        <w:tc>
          <w:tcPr>
            <w:tcW w:w="340" w:type="dxa"/>
            <w:vAlign w:val="bottom"/>
            <w:tcBorders>
              <w:top w:val="single" w:sz="8" w:color="auto"/>
            </w:tcBorders>
            <w:shd w:val="clear" w:color="auto" w:fill="CCEEFF"/>
          </w:tcPr>
          <w:p>
            <w:pPr>
              <w:jc w:val="right"/>
              <w:ind w:right="36"/>
              <w:spacing w:after="0" w:line="237" w:lineRule="exact"/>
              <w:rPr>
                <w:sz w:val="20"/>
                <w:szCs w:val="20"/>
                <w:color w:val="auto"/>
              </w:rPr>
            </w:pPr>
            <w:r>
              <w:rPr>
                <w:rFonts w:ascii="Arial" w:cs="Arial" w:eastAsia="Arial" w:hAnsi="Arial"/>
                <w:sz w:val="21"/>
                <w:szCs w:val="21"/>
                <w:color w:val="auto"/>
              </w:rPr>
              <w:t>$</w:t>
            </w:r>
          </w:p>
        </w:tc>
        <w:tc>
          <w:tcPr>
            <w:tcW w:w="1180" w:type="dxa"/>
            <w:vAlign w:val="bottom"/>
            <w:tcBorders>
              <w:top w:val="single" w:sz="8" w:color="auto"/>
            </w:tcBorders>
            <w:shd w:val="clear" w:color="auto" w:fill="CCEEFF"/>
          </w:tcPr>
          <w:p>
            <w:pPr>
              <w:jc w:val="right"/>
              <w:ind w:right="16"/>
              <w:spacing w:after="0" w:line="237" w:lineRule="exact"/>
              <w:rPr>
                <w:sz w:val="20"/>
                <w:szCs w:val="20"/>
                <w:color w:val="auto"/>
              </w:rPr>
            </w:pPr>
            <w:r>
              <w:rPr>
                <w:rFonts w:ascii="Arial" w:cs="Arial" w:eastAsia="Arial" w:hAnsi="Arial"/>
                <w:sz w:val="21"/>
                <w:szCs w:val="21"/>
                <w:color w:val="auto"/>
              </w:rPr>
              <w:t>498,563</w:t>
            </w:r>
          </w:p>
        </w:tc>
        <w:tc>
          <w:tcPr>
            <w:tcW w:w="240" w:type="dxa"/>
            <w:vAlign w:val="bottom"/>
            <w:tcBorders>
              <w:top w:val="single" w:sz="8" w:color="CCEEFF"/>
            </w:tcBorders>
            <w:shd w:val="clear" w:color="auto" w:fill="CCEEFF"/>
          </w:tcPr>
          <w:p>
            <w:pPr>
              <w:spacing w:after="0"/>
              <w:rPr>
                <w:sz w:val="20"/>
                <w:szCs w:val="20"/>
                <w:color w:val="auto"/>
              </w:rPr>
            </w:pPr>
          </w:p>
        </w:tc>
        <w:tc>
          <w:tcPr>
            <w:tcW w:w="480" w:type="dxa"/>
            <w:vAlign w:val="bottom"/>
            <w:tcBorders>
              <w:top w:val="single" w:sz="8" w:color="auto"/>
            </w:tcBorders>
            <w:shd w:val="clear" w:color="auto" w:fill="CCEEFF"/>
          </w:tcPr>
          <w:p>
            <w:pPr>
              <w:jc w:val="right"/>
              <w:ind w:right="176"/>
              <w:spacing w:after="0" w:line="237" w:lineRule="exact"/>
              <w:rPr>
                <w:sz w:val="20"/>
                <w:szCs w:val="20"/>
                <w:color w:val="auto"/>
              </w:rPr>
            </w:pPr>
            <w:r>
              <w:rPr>
                <w:rFonts w:ascii="Arial" w:cs="Arial" w:eastAsia="Arial" w:hAnsi="Arial"/>
                <w:sz w:val="21"/>
                <w:szCs w:val="21"/>
                <w:color w:val="auto"/>
              </w:rPr>
              <w:t>$</w:t>
            </w:r>
          </w:p>
        </w:tc>
        <w:tc>
          <w:tcPr>
            <w:tcW w:w="1040" w:type="dxa"/>
            <w:vAlign w:val="bottom"/>
            <w:tcBorders>
              <w:top w:val="single" w:sz="8" w:color="auto"/>
            </w:tcBorders>
            <w:shd w:val="clear" w:color="auto" w:fill="CCEEFF"/>
          </w:tcPr>
          <w:p>
            <w:pPr>
              <w:jc w:val="right"/>
              <w:ind w:right="36"/>
              <w:spacing w:after="0" w:line="237" w:lineRule="exact"/>
              <w:rPr>
                <w:sz w:val="20"/>
                <w:szCs w:val="20"/>
                <w:color w:val="auto"/>
              </w:rPr>
            </w:pPr>
            <w:r>
              <w:rPr>
                <w:rFonts w:ascii="Arial" w:cs="Arial" w:eastAsia="Arial" w:hAnsi="Arial"/>
                <w:sz w:val="21"/>
                <w:szCs w:val="21"/>
                <w:color w:val="auto"/>
              </w:rPr>
              <w:t>434,038</w:t>
            </w:r>
          </w:p>
        </w:tc>
        <w:tc>
          <w:tcPr>
            <w:tcW w:w="220" w:type="dxa"/>
            <w:vAlign w:val="bottom"/>
            <w:tcBorders>
              <w:top w:val="single" w:sz="8" w:color="CCEEFF"/>
            </w:tcBorders>
            <w:shd w:val="clear" w:color="auto" w:fill="CCEEFF"/>
          </w:tcPr>
          <w:p>
            <w:pPr>
              <w:spacing w:after="0"/>
              <w:rPr>
                <w:sz w:val="20"/>
                <w:szCs w:val="20"/>
                <w:color w:val="auto"/>
              </w:rPr>
            </w:pPr>
          </w:p>
        </w:tc>
        <w:tc>
          <w:tcPr>
            <w:tcW w:w="340" w:type="dxa"/>
            <w:vAlign w:val="bottom"/>
            <w:tcBorders>
              <w:top w:val="single" w:sz="8" w:color="auto"/>
            </w:tcBorders>
            <w:shd w:val="clear" w:color="auto" w:fill="CCEEFF"/>
          </w:tcPr>
          <w:p>
            <w:pPr>
              <w:jc w:val="right"/>
              <w:ind w:right="36"/>
              <w:spacing w:after="0" w:line="237" w:lineRule="exact"/>
              <w:rPr>
                <w:sz w:val="20"/>
                <w:szCs w:val="20"/>
                <w:color w:val="auto"/>
              </w:rPr>
            </w:pPr>
            <w:r>
              <w:rPr>
                <w:rFonts w:ascii="Arial" w:cs="Arial" w:eastAsia="Arial" w:hAnsi="Arial"/>
                <w:sz w:val="21"/>
                <w:szCs w:val="21"/>
                <w:color w:val="auto"/>
              </w:rPr>
              <w:t>$</w:t>
            </w:r>
          </w:p>
        </w:tc>
        <w:tc>
          <w:tcPr>
            <w:tcW w:w="1140" w:type="dxa"/>
            <w:vAlign w:val="bottom"/>
            <w:tcBorders>
              <w:top w:val="single" w:sz="8" w:color="auto"/>
            </w:tcBorders>
            <w:shd w:val="clear" w:color="auto" w:fill="CCEEFF"/>
          </w:tcPr>
          <w:p>
            <w:pPr>
              <w:jc w:val="right"/>
              <w:ind w:right="16"/>
              <w:spacing w:after="0" w:line="237" w:lineRule="exact"/>
              <w:rPr>
                <w:sz w:val="20"/>
                <w:szCs w:val="20"/>
                <w:color w:val="auto"/>
              </w:rPr>
            </w:pPr>
            <w:r>
              <w:rPr>
                <w:rFonts w:ascii="Arial" w:cs="Arial" w:eastAsia="Arial" w:hAnsi="Arial"/>
                <w:sz w:val="21"/>
                <w:szCs w:val="21"/>
                <w:color w:val="auto"/>
              </w:rPr>
              <w:t>1,468,036</w:t>
            </w:r>
          </w:p>
        </w:tc>
        <w:tc>
          <w:tcPr>
            <w:tcW w:w="200" w:type="dxa"/>
            <w:vAlign w:val="bottom"/>
            <w:tcBorders>
              <w:top w:val="single" w:sz="8" w:color="CCEEFF"/>
            </w:tcBorders>
            <w:shd w:val="clear" w:color="auto" w:fill="CCEEFF"/>
          </w:tcPr>
          <w:p>
            <w:pPr>
              <w:spacing w:after="0"/>
              <w:rPr>
                <w:sz w:val="20"/>
                <w:szCs w:val="20"/>
                <w:color w:val="auto"/>
              </w:rPr>
            </w:pPr>
          </w:p>
        </w:tc>
        <w:tc>
          <w:tcPr>
            <w:tcW w:w="340" w:type="dxa"/>
            <w:vAlign w:val="bottom"/>
            <w:tcBorders>
              <w:top w:val="single" w:sz="8" w:color="auto"/>
            </w:tcBorders>
            <w:shd w:val="clear" w:color="auto" w:fill="CCEEFF"/>
          </w:tcPr>
          <w:p>
            <w:pPr>
              <w:jc w:val="right"/>
              <w:ind w:right="16"/>
              <w:spacing w:after="0" w:line="237" w:lineRule="exact"/>
              <w:rPr>
                <w:sz w:val="20"/>
                <w:szCs w:val="20"/>
                <w:color w:val="auto"/>
              </w:rPr>
            </w:pPr>
            <w:r>
              <w:rPr>
                <w:rFonts w:ascii="Arial" w:cs="Arial" w:eastAsia="Arial" w:hAnsi="Arial"/>
                <w:sz w:val="21"/>
                <w:szCs w:val="21"/>
                <w:color w:val="auto"/>
              </w:rPr>
              <w:t>$</w:t>
            </w:r>
          </w:p>
        </w:tc>
        <w:tc>
          <w:tcPr>
            <w:tcW w:w="1140" w:type="dxa"/>
            <w:vAlign w:val="bottom"/>
            <w:tcBorders>
              <w:top w:val="single" w:sz="8" w:color="auto"/>
            </w:tcBorders>
            <w:shd w:val="clear" w:color="auto" w:fill="CCEEFF"/>
          </w:tcPr>
          <w:p>
            <w:pPr>
              <w:jc w:val="right"/>
              <w:ind w:right="16"/>
              <w:spacing w:after="0" w:line="237" w:lineRule="exact"/>
              <w:rPr>
                <w:sz w:val="20"/>
                <w:szCs w:val="20"/>
                <w:color w:val="auto"/>
              </w:rPr>
            </w:pPr>
            <w:r>
              <w:rPr>
                <w:rFonts w:ascii="Arial" w:cs="Arial" w:eastAsia="Arial" w:hAnsi="Arial"/>
                <w:sz w:val="21"/>
                <w:szCs w:val="21"/>
                <w:color w:val="auto"/>
              </w:rPr>
              <w:t>1,186,739</w:t>
            </w:r>
          </w:p>
        </w:tc>
        <w:tc>
          <w:tcPr>
            <w:tcW w:w="0" w:type="dxa"/>
            <w:vAlign w:val="bottom"/>
          </w:tcPr>
          <w:p>
            <w:pPr>
              <w:spacing w:after="0"/>
              <w:rPr>
                <w:sz w:val="1"/>
                <w:szCs w:val="1"/>
                <w:color w:val="auto"/>
              </w:rPr>
            </w:pPr>
          </w:p>
        </w:tc>
      </w:tr>
      <w:tr>
        <w:trPr>
          <w:trHeight w:val="230"/>
        </w:trPr>
        <w:tc>
          <w:tcPr>
            <w:tcW w:w="4760" w:type="dxa"/>
            <w:vAlign w:val="bottom"/>
            <w:gridSpan w:val="2"/>
          </w:tcPr>
          <w:p>
            <w:pPr>
              <w:spacing w:after="0" w:line="230" w:lineRule="exact"/>
              <w:rPr>
                <w:sz w:val="20"/>
                <w:szCs w:val="20"/>
                <w:color w:val="auto"/>
              </w:rPr>
            </w:pPr>
            <w:r>
              <w:rPr>
                <w:rFonts w:ascii="Arial" w:cs="Arial" w:eastAsia="Arial" w:hAnsi="Arial"/>
                <w:sz w:val="21"/>
                <w:szCs w:val="21"/>
                <w:color w:val="auto"/>
                <w:w w:val="94"/>
              </w:rPr>
              <w:t>Non-carbonated (primarily juice based beverages and</w:t>
            </w: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4760" w:type="dxa"/>
            <w:vAlign w:val="bottom"/>
            <w:gridSpan w:val="2"/>
          </w:tcPr>
          <w:p>
            <w:pPr>
              <w:ind w:left="180"/>
              <w:spacing w:after="0"/>
              <w:rPr>
                <w:sz w:val="20"/>
                <w:szCs w:val="20"/>
                <w:color w:val="auto"/>
              </w:rPr>
            </w:pPr>
            <w:r>
              <w:rPr>
                <w:rFonts w:ascii="Arial" w:cs="Arial" w:eastAsia="Arial" w:hAnsi="Arial"/>
                <w:sz w:val="21"/>
                <w:szCs w:val="21"/>
                <w:color w:val="auto"/>
              </w:rPr>
              <w:t>Peace Tea® iced teas)</w:t>
            </w:r>
          </w:p>
        </w:tc>
        <w:tc>
          <w:tcPr>
            <w:tcW w:w="340" w:type="dxa"/>
            <w:vAlign w:val="bottom"/>
          </w:tcPr>
          <w:p>
            <w:pPr>
              <w:spacing w:after="0"/>
              <w:rPr>
                <w:sz w:val="22"/>
                <w:szCs w:val="22"/>
                <w:color w:val="auto"/>
              </w:rPr>
            </w:pPr>
          </w:p>
        </w:tc>
        <w:tc>
          <w:tcPr>
            <w:tcW w:w="1180" w:type="dxa"/>
            <w:vAlign w:val="bottom"/>
          </w:tcPr>
          <w:p>
            <w:pPr>
              <w:jc w:val="right"/>
              <w:ind w:right="16"/>
              <w:spacing w:after="0"/>
              <w:rPr>
                <w:sz w:val="20"/>
                <w:szCs w:val="20"/>
                <w:color w:val="auto"/>
              </w:rPr>
            </w:pPr>
            <w:r>
              <w:rPr>
                <w:rFonts w:ascii="Arial" w:cs="Arial" w:eastAsia="Arial" w:hAnsi="Arial"/>
                <w:sz w:val="21"/>
                <w:szCs w:val="21"/>
                <w:color w:val="auto"/>
              </w:rPr>
              <w:t>32,453</w:t>
            </w:r>
          </w:p>
        </w:tc>
        <w:tc>
          <w:tcPr>
            <w:tcW w:w="2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40" w:type="dxa"/>
            <w:vAlign w:val="bottom"/>
          </w:tcPr>
          <w:p>
            <w:pPr>
              <w:jc w:val="right"/>
              <w:ind w:right="36"/>
              <w:spacing w:after="0"/>
              <w:rPr>
                <w:sz w:val="20"/>
                <w:szCs w:val="20"/>
                <w:color w:val="auto"/>
              </w:rPr>
            </w:pPr>
            <w:r>
              <w:rPr>
                <w:rFonts w:ascii="Arial" w:cs="Arial" w:eastAsia="Arial" w:hAnsi="Arial"/>
                <w:sz w:val="21"/>
                <w:szCs w:val="21"/>
                <w:color w:val="auto"/>
              </w:rPr>
              <w:t>27,404</w:t>
            </w:r>
          </w:p>
        </w:tc>
        <w:tc>
          <w:tcPr>
            <w:tcW w:w="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6"/>
              <w:spacing w:after="0"/>
              <w:rPr>
                <w:sz w:val="20"/>
                <w:szCs w:val="20"/>
                <w:color w:val="auto"/>
              </w:rPr>
            </w:pPr>
            <w:r>
              <w:rPr>
                <w:rFonts w:ascii="Arial" w:cs="Arial" w:eastAsia="Arial" w:hAnsi="Arial"/>
                <w:sz w:val="21"/>
                <w:szCs w:val="21"/>
                <w:color w:val="auto"/>
              </w:rPr>
              <w:t>86,737</w:t>
            </w:r>
          </w:p>
        </w:tc>
        <w:tc>
          <w:tcPr>
            <w:tcW w:w="2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6"/>
              <w:spacing w:after="0"/>
              <w:rPr>
                <w:sz w:val="20"/>
                <w:szCs w:val="20"/>
                <w:color w:val="auto"/>
              </w:rPr>
            </w:pPr>
            <w:r>
              <w:rPr>
                <w:rFonts w:ascii="Arial" w:cs="Arial" w:eastAsia="Arial" w:hAnsi="Arial"/>
                <w:sz w:val="21"/>
                <w:szCs w:val="21"/>
                <w:color w:val="auto"/>
              </w:rPr>
              <w:t>71,882</w:t>
            </w:r>
          </w:p>
        </w:tc>
        <w:tc>
          <w:tcPr>
            <w:tcW w:w="0" w:type="dxa"/>
            <w:vAlign w:val="bottom"/>
          </w:tcPr>
          <w:p>
            <w:pPr>
              <w:spacing w:after="0"/>
              <w:rPr>
                <w:sz w:val="1"/>
                <w:szCs w:val="1"/>
                <w:color w:val="auto"/>
              </w:rPr>
            </w:pPr>
          </w:p>
        </w:tc>
      </w:tr>
      <w:tr>
        <w:trPr>
          <w:trHeight w:val="243"/>
        </w:trPr>
        <w:tc>
          <w:tcPr>
            <w:tcW w:w="4760" w:type="dxa"/>
            <w:vAlign w:val="bottom"/>
            <w:gridSpan w:val="2"/>
            <w:shd w:val="clear" w:color="auto" w:fill="CCEEFF"/>
          </w:tcPr>
          <w:p>
            <w:pPr>
              <w:spacing w:after="0"/>
              <w:rPr>
                <w:sz w:val="20"/>
                <w:szCs w:val="20"/>
                <w:color w:val="auto"/>
              </w:rPr>
            </w:pPr>
            <w:r>
              <w:rPr>
                <w:rFonts w:ascii="Arial" w:cs="Arial" w:eastAsia="Arial" w:hAnsi="Arial"/>
                <w:sz w:val="21"/>
                <w:szCs w:val="21"/>
                <w:color w:val="auto"/>
              </w:rPr>
              <w:t>Carbonated (primarily soda beverages)</w:t>
            </w:r>
          </w:p>
        </w:tc>
        <w:tc>
          <w:tcPr>
            <w:tcW w:w="34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6"/>
              <w:spacing w:after="0"/>
              <w:rPr>
                <w:sz w:val="20"/>
                <w:szCs w:val="20"/>
                <w:color w:val="auto"/>
              </w:rPr>
            </w:pPr>
            <w:r>
              <w:rPr>
                <w:rFonts w:ascii="Arial" w:cs="Arial" w:eastAsia="Arial" w:hAnsi="Arial"/>
                <w:sz w:val="21"/>
                <w:szCs w:val="21"/>
                <w:color w:val="auto"/>
              </w:rPr>
              <w:t>8,018</w:t>
            </w:r>
          </w:p>
        </w:tc>
        <w:tc>
          <w:tcPr>
            <w:tcW w:w="24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36"/>
              <w:spacing w:after="0"/>
              <w:rPr>
                <w:sz w:val="20"/>
                <w:szCs w:val="20"/>
                <w:color w:val="auto"/>
              </w:rPr>
            </w:pPr>
            <w:r>
              <w:rPr>
                <w:rFonts w:ascii="Arial" w:cs="Arial" w:eastAsia="Arial" w:hAnsi="Arial"/>
                <w:sz w:val="21"/>
                <w:szCs w:val="21"/>
                <w:color w:val="auto"/>
              </w:rPr>
              <w:t>10,339</w:t>
            </w:r>
          </w:p>
        </w:tc>
        <w:tc>
          <w:tcPr>
            <w:tcW w:w="2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6"/>
              <w:spacing w:after="0"/>
              <w:rPr>
                <w:sz w:val="20"/>
                <w:szCs w:val="20"/>
                <w:color w:val="auto"/>
              </w:rPr>
            </w:pPr>
            <w:r>
              <w:rPr>
                <w:rFonts w:ascii="Arial" w:cs="Arial" w:eastAsia="Arial" w:hAnsi="Arial"/>
                <w:sz w:val="21"/>
                <w:szCs w:val="21"/>
                <w:color w:val="auto"/>
              </w:rPr>
              <w:t>24,445</w:t>
            </w:r>
          </w:p>
        </w:tc>
        <w:tc>
          <w:tcPr>
            <w:tcW w:w="2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6"/>
              <w:spacing w:after="0"/>
              <w:rPr>
                <w:sz w:val="20"/>
                <w:szCs w:val="20"/>
                <w:color w:val="auto"/>
              </w:rPr>
            </w:pPr>
            <w:r>
              <w:rPr>
                <w:rFonts w:ascii="Arial" w:cs="Arial" w:eastAsia="Arial" w:hAnsi="Arial"/>
                <w:sz w:val="21"/>
                <w:szCs w:val="21"/>
                <w:color w:val="auto"/>
              </w:rPr>
              <w:t>26,225</w:t>
            </w:r>
          </w:p>
        </w:tc>
        <w:tc>
          <w:tcPr>
            <w:tcW w:w="0" w:type="dxa"/>
            <w:vAlign w:val="bottom"/>
          </w:tcPr>
          <w:p>
            <w:pPr>
              <w:spacing w:after="0"/>
              <w:rPr>
                <w:sz w:val="1"/>
                <w:szCs w:val="1"/>
                <w:color w:val="auto"/>
              </w:rPr>
            </w:pPr>
          </w:p>
        </w:tc>
      </w:tr>
      <w:tr>
        <w:trPr>
          <w:trHeight w:val="243"/>
        </w:trPr>
        <w:tc>
          <w:tcPr>
            <w:tcW w:w="4760" w:type="dxa"/>
            <w:vAlign w:val="bottom"/>
            <w:tcBorders>
              <w:bottom w:val="single" w:sz="8" w:color="CCEEFF"/>
            </w:tcBorders>
            <w:gridSpan w:val="2"/>
          </w:tcPr>
          <w:p>
            <w:pPr>
              <w:spacing w:after="0"/>
              <w:rPr>
                <w:sz w:val="20"/>
                <w:szCs w:val="20"/>
                <w:color w:val="auto"/>
              </w:rPr>
            </w:pPr>
            <w:r>
              <w:rPr>
                <w:rFonts w:ascii="Arial" w:cs="Arial" w:eastAsia="Arial" w:hAnsi="Arial"/>
                <w:sz w:val="21"/>
                <w:szCs w:val="21"/>
                <w:color w:val="auto"/>
              </w:rPr>
              <w:t>Other</w:t>
            </w:r>
          </w:p>
        </w:tc>
        <w:tc>
          <w:tcPr>
            <w:tcW w:w="3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16"/>
              <w:spacing w:after="0"/>
              <w:rPr>
                <w:sz w:val="20"/>
                <w:szCs w:val="20"/>
                <w:color w:val="auto"/>
              </w:rPr>
            </w:pPr>
            <w:r>
              <w:rPr>
                <w:rFonts w:ascii="Arial" w:cs="Arial" w:eastAsia="Arial" w:hAnsi="Arial"/>
                <w:sz w:val="21"/>
                <w:szCs w:val="21"/>
                <w:color w:val="auto"/>
              </w:rPr>
              <w:t>2,906</w:t>
            </w:r>
          </w:p>
        </w:tc>
        <w:tc>
          <w:tcPr>
            <w:tcW w:w="24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6"/>
              <w:spacing w:after="0"/>
              <w:rPr>
                <w:sz w:val="20"/>
                <w:szCs w:val="20"/>
                <w:color w:val="auto"/>
              </w:rPr>
            </w:pPr>
            <w:r>
              <w:rPr>
                <w:rFonts w:ascii="Arial" w:cs="Arial" w:eastAsia="Arial" w:hAnsi="Arial"/>
                <w:sz w:val="21"/>
                <w:szCs w:val="21"/>
                <w:color w:val="auto"/>
              </w:rPr>
              <w:t>2,928</w:t>
            </w:r>
          </w:p>
        </w:tc>
        <w:tc>
          <w:tcPr>
            <w:tcW w:w="2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6"/>
              <w:spacing w:after="0"/>
              <w:rPr>
                <w:sz w:val="20"/>
                <w:szCs w:val="20"/>
                <w:color w:val="auto"/>
              </w:rPr>
            </w:pPr>
            <w:r>
              <w:rPr>
                <w:rFonts w:ascii="Arial" w:cs="Arial" w:eastAsia="Arial" w:hAnsi="Arial"/>
                <w:sz w:val="21"/>
                <w:szCs w:val="21"/>
                <w:color w:val="auto"/>
              </w:rPr>
              <w:t>9,967</w:t>
            </w:r>
          </w:p>
        </w:tc>
        <w:tc>
          <w:tcPr>
            <w:tcW w:w="2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6"/>
              <w:spacing w:after="0"/>
              <w:rPr>
                <w:sz w:val="20"/>
                <w:szCs w:val="20"/>
                <w:color w:val="auto"/>
              </w:rPr>
            </w:pPr>
            <w:r>
              <w:rPr>
                <w:rFonts w:ascii="Arial" w:cs="Arial" w:eastAsia="Arial" w:hAnsi="Arial"/>
                <w:sz w:val="21"/>
                <w:szCs w:val="21"/>
                <w:color w:val="auto"/>
              </w:rPr>
              <w:t>8,427</w:t>
            </w:r>
          </w:p>
        </w:tc>
        <w:tc>
          <w:tcPr>
            <w:tcW w:w="0" w:type="dxa"/>
            <w:vAlign w:val="bottom"/>
          </w:tcPr>
          <w:p>
            <w:pPr>
              <w:spacing w:after="0"/>
              <w:rPr>
                <w:sz w:val="1"/>
                <w:szCs w:val="1"/>
                <w:color w:val="auto"/>
              </w:rPr>
            </w:pPr>
          </w:p>
        </w:tc>
      </w:tr>
      <w:tr>
        <w:trPr>
          <w:trHeight w:val="237"/>
        </w:trPr>
        <w:tc>
          <w:tcPr>
            <w:tcW w:w="45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36"/>
              <w:spacing w:after="0" w:line="237" w:lineRule="exact"/>
              <w:rPr>
                <w:sz w:val="20"/>
                <w:szCs w:val="20"/>
                <w:color w:val="auto"/>
              </w:rPr>
            </w:pPr>
            <w:r>
              <w:rPr>
                <w:rFonts w:ascii="Arial" w:cs="Arial" w:eastAsia="Arial" w:hAnsi="Arial"/>
                <w:sz w:val="21"/>
                <w:szCs w:val="21"/>
                <w:color w:val="auto"/>
              </w:rPr>
              <w:t>$</w:t>
            </w:r>
          </w:p>
        </w:tc>
        <w:tc>
          <w:tcPr>
            <w:tcW w:w="1180" w:type="dxa"/>
            <w:vAlign w:val="bottom"/>
            <w:tcBorders>
              <w:bottom w:val="single" w:sz="8" w:color="auto"/>
            </w:tcBorders>
            <w:shd w:val="clear" w:color="auto" w:fill="CCEEFF"/>
          </w:tcPr>
          <w:p>
            <w:pPr>
              <w:jc w:val="right"/>
              <w:ind w:right="16"/>
              <w:spacing w:after="0" w:line="237" w:lineRule="exact"/>
              <w:rPr>
                <w:sz w:val="20"/>
                <w:szCs w:val="20"/>
                <w:color w:val="auto"/>
              </w:rPr>
            </w:pPr>
            <w:r>
              <w:rPr>
                <w:rFonts w:ascii="Arial" w:cs="Arial" w:eastAsia="Arial" w:hAnsi="Arial"/>
                <w:sz w:val="21"/>
                <w:szCs w:val="21"/>
                <w:color w:val="auto"/>
              </w:rPr>
              <w:t>541,940</w:t>
            </w:r>
          </w:p>
        </w:tc>
        <w:tc>
          <w:tcPr>
            <w:tcW w:w="24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176"/>
              <w:spacing w:after="0" w:line="237" w:lineRule="exact"/>
              <w:rPr>
                <w:sz w:val="20"/>
                <w:szCs w:val="20"/>
                <w:color w:val="auto"/>
              </w:rPr>
            </w:pPr>
            <w:r>
              <w:rPr>
                <w:rFonts w:ascii="Arial" w:cs="Arial" w:eastAsia="Arial" w:hAnsi="Arial"/>
                <w:sz w:val="21"/>
                <w:szCs w:val="21"/>
                <w:color w:val="auto"/>
              </w:rPr>
              <w:t>$</w:t>
            </w:r>
          </w:p>
        </w:tc>
        <w:tc>
          <w:tcPr>
            <w:tcW w:w="1040" w:type="dxa"/>
            <w:vAlign w:val="bottom"/>
            <w:tcBorders>
              <w:bottom w:val="single" w:sz="8" w:color="auto"/>
            </w:tcBorders>
            <w:shd w:val="clear" w:color="auto" w:fill="CCEEFF"/>
          </w:tcPr>
          <w:p>
            <w:pPr>
              <w:jc w:val="right"/>
              <w:ind w:right="36"/>
              <w:spacing w:after="0" w:line="237" w:lineRule="exact"/>
              <w:rPr>
                <w:sz w:val="20"/>
                <w:szCs w:val="20"/>
                <w:color w:val="auto"/>
              </w:rPr>
            </w:pPr>
            <w:r>
              <w:rPr>
                <w:rFonts w:ascii="Arial" w:cs="Arial" w:eastAsia="Arial" w:hAnsi="Arial"/>
                <w:sz w:val="21"/>
                <w:szCs w:val="21"/>
                <w:color w:val="auto"/>
              </w:rPr>
              <w:t>474,709</w:t>
            </w:r>
          </w:p>
        </w:tc>
        <w:tc>
          <w:tcPr>
            <w:tcW w:w="2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36"/>
              <w:spacing w:after="0" w:line="237" w:lineRule="exact"/>
              <w:rPr>
                <w:sz w:val="20"/>
                <w:szCs w:val="20"/>
                <w:color w:val="auto"/>
              </w:rPr>
            </w:pPr>
            <w:r>
              <w:rPr>
                <w:rFonts w:ascii="Arial" w:cs="Arial" w:eastAsia="Arial" w:hAnsi="Arial"/>
                <w:sz w:val="21"/>
                <w:szCs w:val="21"/>
                <w:color w:val="auto"/>
              </w:rPr>
              <w:t>$</w:t>
            </w:r>
          </w:p>
        </w:tc>
        <w:tc>
          <w:tcPr>
            <w:tcW w:w="1140" w:type="dxa"/>
            <w:vAlign w:val="bottom"/>
            <w:tcBorders>
              <w:bottom w:val="single" w:sz="8" w:color="auto"/>
            </w:tcBorders>
            <w:shd w:val="clear" w:color="auto" w:fill="CCEEFF"/>
          </w:tcPr>
          <w:p>
            <w:pPr>
              <w:jc w:val="right"/>
              <w:ind w:right="16"/>
              <w:spacing w:after="0" w:line="237" w:lineRule="exact"/>
              <w:rPr>
                <w:sz w:val="20"/>
                <w:szCs w:val="20"/>
                <w:color w:val="auto"/>
              </w:rPr>
            </w:pPr>
            <w:r>
              <w:rPr>
                <w:rFonts w:ascii="Arial" w:cs="Arial" w:eastAsia="Arial" w:hAnsi="Arial"/>
                <w:sz w:val="21"/>
                <w:szCs w:val="21"/>
                <w:color w:val="auto"/>
              </w:rPr>
              <w:t>1,589,185</w:t>
            </w:r>
          </w:p>
        </w:tc>
        <w:tc>
          <w:tcPr>
            <w:tcW w:w="2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6"/>
              <w:spacing w:after="0" w:line="237" w:lineRule="exact"/>
              <w:rPr>
                <w:sz w:val="20"/>
                <w:szCs w:val="20"/>
                <w:color w:val="auto"/>
              </w:rPr>
            </w:pPr>
            <w:r>
              <w:rPr>
                <w:rFonts w:ascii="Arial" w:cs="Arial" w:eastAsia="Arial" w:hAnsi="Arial"/>
                <w:sz w:val="21"/>
                <w:szCs w:val="21"/>
                <w:color w:val="auto"/>
              </w:rPr>
              <w:t>$</w:t>
            </w:r>
          </w:p>
        </w:tc>
        <w:tc>
          <w:tcPr>
            <w:tcW w:w="1140" w:type="dxa"/>
            <w:vAlign w:val="bottom"/>
            <w:tcBorders>
              <w:bottom w:val="single" w:sz="8" w:color="auto"/>
            </w:tcBorders>
            <w:shd w:val="clear" w:color="auto" w:fill="CCEEFF"/>
          </w:tcPr>
          <w:p>
            <w:pPr>
              <w:jc w:val="right"/>
              <w:ind w:right="16"/>
              <w:spacing w:after="0" w:line="237" w:lineRule="exact"/>
              <w:rPr>
                <w:sz w:val="20"/>
                <w:szCs w:val="20"/>
                <w:color w:val="auto"/>
              </w:rPr>
            </w:pPr>
            <w:r>
              <w:rPr>
                <w:rFonts w:ascii="Arial" w:cs="Arial" w:eastAsia="Arial" w:hAnsi="Arial"/>
                <w:sz w:val="21"/>
                <w:szCs w:val="21"/>
                <w:color w:val="auto"/>
              </w:rPr>
              <w:t>1,293,273</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ind w:left="660" w:hanging="652"/>
        <w:spacing w:after="0"/>
        <w:tabs>
          <w:tab w:leader="none" w:pos="660" w:val="left"/>
        </w:tabs>
        <w:numPr>
          <w:ilvl w:val="0"/>
          <w:numId w:val="18"/>
        </w:numPr>
        <w:rPr>
          <w:rFonts w:ascii="Arial" w:cs="Arial" w:eastAsia="Arial" w:hAnsi="Arial"/>
          <w:sz w:val="22"/>
          <w:szCs w:val="22"/>
          <w:color w:val="auto"/>
        </w:rPr>
      </w:pPr>
      <w:r>
        <w:rPr>
          <w:rFonts w:ascii="Arial" w:cs="Arial" w:eastAsia="Arial" w:hAnsi="Arial"/>
          <w:sz w:val="22"/>
          <w:szCs w:val="22"/>
          <w:color w:val="auto"/>
        </w:rPr>
        <w:t>RELATED PARTY TRANSACTIONS</w:t>
      </w:r>
    </w:p>
    <w:p>
      <w:pPr>
        <w:spacing w:after="0" w:line="206" w:lineRule="exact"/>
        <w:rPr>
          <w:sz w:val="20"/>
          <w:szCs w:val="20"/>
          <w:color w:val="auto"/>
        </w:rPr>
      </w:pPr>
    </w:p>
    <w:p>
      <w:pPr>
        <w:jc w:val="both"/>
        <w:ind w:firstLine="687"/>
        <w:spacing w:after="0" w:line="236" w:lineRule="auto"/>
        <w:rPr>
          <w:sz w:val="20"/>
          <w:szCs w:val="20"/>
          <w:color w:val="auto"/>
        </w:rPr>
      </w:pPr>
      <w:r>
        <w:rPr>
          <w:rFonts w:ascii="Arial" w:cs="Arial" w:eastAsia="Arial" w:hAnsi="Arial"/>
          <w:sz w:val="22"/>
          <w:szCs w:val="22"/>
          <w:color w:val="auto"/>
        </w:rPr>
        <w:t>A director of the Company was a partner in a law firm (the director resigned from the law firm effective July 10, 2011) that serves as counsel to the Company. Expenses incurred in connection with services rendered by such firm to the Company during the three-months ended September 30, 2012 and 2011 were $1.3 million and $0.5 million, respectively. Expenses incurred in connection with services rendered by such firm to the Company during the nine-months ended September 30, 2012 and 2011 were $2.3 million and $3.8 million, respectively.</w:t>
      </w:r>
    </w:p>
    <w:p>
      <w:pPr>
        <w:spacing w:after="0" w:line="215"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Two directors and officers of the Company and their families are principal owners of a company that provides promotional materials to the Company. Expenses incurred with such company in connection with promotional materials purchased during the three-months ended September 30, 2012 and 2011 were $0.6 million and $0.4 million, respectively. Expenses incurred with such company in connection with promotional materials purchased during the nine-months ended September 30, 2012 and 2011 were $0.7 million and $0.8 million, respectively.</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800"/>
        <w:spacing w:after="0" w:line="256" w:lineRule="auto"/>
        <w:rPr>
          <w:sz w:val="20"/>
          <w:szCs w:val="20"/>
          <w:color w:val="auto"/>
        </w:rPr>
      </w:pPr>
      <w:r>
        <w:rPr>
          <w:rFonts w:ascii="Arial" w:cs="Arial" w:eastAsia="Arial" w:hAnsi="Arial"/>
          <w:sz w:val="22"/>
          <w:szCs w:val="22"/>
          <w:b w:val="1"/>
          <w:bCs w:val="1"/>
          <w:color w:val="auto"/>
        </w:rPr>
        <w:t>ITEM 2. MANAGEMENT’S DISCUSSION AND ANALYSIS OF FINANCIAL CONDITION AND RESULTS OF OPERATIONS</w:t>
      </w:r>
    </w:p>
    <w:p>
      <w:pPr>
        <w:spacing w:after="0" w:line="16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Business</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Overview</w:t>
      </w:r>
    </w:p>
    <w:p>
      <w:pPr>
        <w:spacing w:after="0" w:line="206"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1"/>
          <w:szCs w:val="21"/>
          <w:color w:val="auto"/>
        </w:rPr>
        <w:t>Monster Beverage Corporation was incorporated in Delaware on April 25, 1990. Our principal place of business is located at 550 Monica Circle, Suite 201, Corona, California 92880 and our telephone number is (951) 739-6200. When this report uses the words “the Company”, “Hansen Natural Corporation” (the Company’s former name), “we”, “us”, and “our”, these words refer to Monster Beverage Corporation and its subsidiaries, unless the context otherwise requires. We are a holding company and conduct no operating business except through our consolidated subsidiaries.</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We develop, market, sell and distribute “alternative” beverage category beverages primarily under the following brand</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names: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80" w:type="dxa"/>
            <w:vAlign w:val="bottom"/>
          </w:tcPr>
          <w:p>
            <w:pPr>
              <w:jc w:val="right"/>
              <w:ind w:right="141"/>
              <w:spacing w:after="0"/>
              <w:rPr>
                <w:sz w:val="20"/>
                <w:szCs w:val="20"/>
                <w:color w:val="auto"/>
              </w:rPr>
            </w:pPr>
            <w:r>
              <w:rPr>
                <w:rFonts w:ascii="Arial" w:cs="Arial" w:eastAsia="Arial" w:hAnsi="Arial"/>
                <w:sz w:val="16"/>
                <w:szCs w:val="16"/>
                <w:color w:val="auto"/>
                <w:w w:val="74"/>
              </w:rPr>
              <w:t>·</w:t>
            </w:r>
          </w:p>
        </w:tc>
        <w:tc>
          <w:tcPr>
            <w:tcW w:w="4860" w:type="dxa"/>
            <w:vAlign w:val="bottom"/>
          </w:tcPr>
          <w:p>
            <w:pPr>
              <w:ind w:left="200"/>
              <w:spacing w:after="0"/>
              <w:rPr>
                <w:sz w:val="20"/>
                <w:szCs w:val="20"/>
                <w:color w:val="auto"/>
              </w:rPr>
            </w:pPr>
            <w:r>
              <w:rPr>
                <w:rFonts w:ascii="Arial" w:cs="Arial" w:eastAsia="Arial" w:hAnsi="Arial"/>
                <w:sz w:val="19"/>
                <w:szCs w:val="19"/>
                <w:color w:val="auto"/>
              </w:rPr>
              <w:t>Monster Energy®</w:t>
            </w:r>
          </w:p>
        </w:tc>
        <w:tc>
          <w:tcPr>
            <w:tcW w:w="840" w:type="dxa"/>
            <w:vAlign w:val="bottom"/>
          </w:tcPr>
          <w:p>
            <w:pPr>
              <w:jc w:val="right"/>
              <w:ind w:right="125"/>
              <w:spacing w:after="0"/>
              <w:rPr>
                <w:sz w:val="20"/>
                <w:szCs w:val="20"/>
                <w:color w:val="auto"/>
              </w:rPr>
            </w:pPr>
            <w:r>
              <w:rPr>
                <w:rFonts w:ascii="Arial" w:cs="Arial" w:eastAsia="Arial" w:hAnsi="Arial"/>
                <w:sz w:val="19"/>
                <w:szCs w:val="19"/>
                <w:color w:val="auto"/>
              </w:rPr>
              <w:t>·</w:t>
            </w:r>
          </w:p>
        </w:tc>
        <w:tc>
          <w:tcPr>
            <w:tcW w:w="2100" w:type="dxa"/>
            <w:vAlign w:val="bottom"/>
          </w:tcPr>
          <w:p>
            <w:pPr>
              <w:ind w:left="220"/>
              <w:spacing w:after="0"/>
              <w:rPr>
                <w:sz w:val="20"/>
                <w:szCs w:val="20"/>
                <w:color w:val="auto"/>
              </w:rPr>
            </w:pPr>
            <w:r>
              <w:rPr>
                <w:rFonts w:ascii="Arial" w:cs="Arial" w:eastAsia="Arial" w:hAnsi="Arial"/>
                <w:sz w:val="19"/>
                <w:szCs w:val="19"/>
                <w:color w:val="auto"/>
              </w:rPr>
              <w:t>Hansen’s®</w:t>
            </w:r>
          </w:p>
        </w:tc>
      </w:tr>
      <w:tr>
        <w:trPr>
          <w:trHeight w:val="216"/>
        </w:trPr>
        <w:tc>
          <w:tcPr>
            <w:tcW w:w="280" w:type="dxa"/>
            <w:vAlign w:val="bottom"/>
          </w:tcPr>
          <w:p>
            <w:pPr>
              <w:jc w:val="right"/>
              <w:ind w:right="141"/>
              <w:spacing w:after="0"/>
              <w:rPr>
                <w:sz w:val="20"/>
                <w:szCs w:val="20"/>
                <w:color w:val="auto"/>
              </w:rPr>
            </w:pPr>
            <w:r>
              <w:rPr>
                <w:rFonts w:ascii="Arial" w:cs="Arial" w:eastAsia="Arial" w:hAnsi="Arial"/>
                <w:sz w:val="16"/>
                <w:szCs w:val="16"/>
                <w:color w:val="auto"/>
                <w:w w:val="74"/>
              </w:rPr>
              <w:t>·</w:t>
            </w:r>
          </w:p>
        </w:tc>
        <w:tc>
          <w:tcPr>
            <w:tcW w:w="4860" w:type="dxa"/>
            <w:vAlign w:val="bottom"/>
          </w:tcPr>
          <w:p>
            <w:pPr>
              <w:ind w:left="200"/>
              <w:spacing w:after="0" w:line="216" w:lineRule="exact"/>
              <w:rPr>
                <w:sz w:val="20"/>
                <w:szCs w:val="20"/>
                <w:color w:val="auto"/>
              </w:rPr>
            </w:pPr>
            <w:r>
              <w:rPr>
                <w:rFonts w:ascii="Arial" w:cs="Arial" w:eastAsia="Arial" w:hAnsi="Arial"/>
                <w:sz w:val="19"/>
                <w:szCs w:val="19"/>
                <w:color w:val="auto"/>
              </w:rPr>
              <w:t>Monster Rehab®</w:t>
            </w:r>
          </w:p>
        </w:tc>
        <w:tc>
          <w:tcPr>
            <w:tcW w:w="840" w:type="dxa"/>
            <w:vAlign w:val="bottom"/>
          </w:tcPr>
          <w:p>
            <w:pPr>
              <w:jc w:val="right"/>
              <w:ind w:right="125"/>
              <w:spacing w:after="0" w:line="216" w:lineRule="exact"/>
              <w:rPr>
                <w:sz w:val="20"/>
                <w:szCs w:val="20"/>
                <w:color w:val="auto"/>
              </w:rPr>
            </w:pPr>
            <w:r>
              <w:rPr>
                <w:rFonts w:ascii="Arial" w:cs="Arial" w:eastAsia="Arial" w:hAnsi="Arial"/>
                <w:sz w:val="19"/>
                <w:szCs w:val="19"/>
                <w:color w:val="auto"/>
              </w:rPr>
              <w:t>·</w:t>
            </w:r>
          </w:p>
        </w:tc>
        <w:tc>
          <w:tcPr>
            <w:tcW w:w="2100" w:type="dxa"/>
            <w:vAlign w:val="bottom"/>
          </w:tcPr>
          <w:p>
            <w:pPr>
              <w:ind w:left="220"/>
              <w:spacing w:after="0" w:line="216" w:lineRule="exact"/>
              <w:rPr>
                <w:sz w:val="20"/>
                <w:szCs w:val="20"/>
                <w:color w:val="auto"/>
              </w:rPr>
            </w:pPr>
            <w:r>
              <w:rPr>
                <w:rFonts w:ascii="Arial" w:cs="Arial" w:eastAsia="Arial" w:hAnsi="Arial"/>
                <w:sz w:val="19"/>
                <w:szCs w:val="19"/>
                <w:color w:val="auto"/>
                <w:w w:val="88"/>
              </w:rPr>
              <w:t>Hansen’s Natural Soda®</w:t>
            </w:r>
          </w:p>
        </w:tc>
      </w:tr>
      <w:tr>
        <w:trPr>
          <w:trHeight w:val="216"/>
        </w:trPr>
        <w:tc>
          <w:tcPr>
            <w:tcW w:w="280" w:type="dxa"/>
            <w:vAlign w:val="bottom"/>
          </w:tcPr>
          <w:p>
            <w:pPr>
              <w:jc w:val="right"/>
              <w:ind w:right="141"/>
              <w:spacing w:after="0"/>
              <w:rPr>
                <w:sz w:val="20"/>
                <w:szCs w:val="20"/>
                <w:color w:val="auto"/>
              </w:rPr>
            </w:pPr>
            <w:r>
              <w:rPr>
                <w:rFonts w:ascii="Arial" w:cs="Arial" w:eastAsia="Arial" w:hAnsi="Arial"/>
                <w:sz w:val="16"/>
                <w:szCs w:val="16"/>
                <w:color w:val="auto"/>
                <w:w w:val="74"/>
              </w:rPr>
              <w:t>·</w:t>
            </w:r>
          </w:p>
        </w:tc>
        <w:tc>
          <w:tcPr>
            <w:tcW w:w="4860" w:type="dxa"/>
            <w:vAlign w:val="bottom"/>
          </w:tcPr>
          <w:p>
            <w:pPr>
              <w:ind w:left="200"/>
              <w:spacing w:after="0" w:line="216" w:lineRule="exact"/>
              <w:rPr>
                <w:sz w:val="20"/>
                <w:szCs w:val="20"/>
                <w:color w:val="auto"/>
              </w:rPr>
            </w:pPr>
            <w:r>
              <w:rPr>
                <w:rFonts w:ascii="Arial" w:cs="Arial" w:eastAsia="Arial" w:hAnsi="Arial"/>
                <w:sz w:val="19"/>
                <w:szCs w:val="19"/>
                <w:color w:val="auto"/>
              </w:rPr>
              <w:t>Monster Energy Extra Strength Nitrous Technology®</w:t>
            </w:r>
          </w:p>
        </w:tc>
        <w:tc>
          <w:tcPr>
            <w:tcW w:w="840" w:type="dxa"/>
            <w:vAlign w:val="bottom"/>
          </w:tcPr>
          <w:p>
            <w:pPr>
              <w:jc w:val="right"/>
              <w:ind w:right="125"/>
              <w:spacing w:after="0" w:line="216" w:lineRule="exact"/>
              <w:rPr>
                <w:sz w:val="20"/>
                <w:szCs w:val="20"/>
                <w:color w:val="auto"/>
              </w:rPr>
            </w:pPr>
            <w:r>
              <w:rPr>
                <w:rFonts w:ascii="Arial" w:cs="Arial" w:eastAsia="Arial" w:hAnsi="Arial"/>
                <w:sz w:val="19"/>
                <w:szCs w:val="19"/>
                <w:color w:val="auto"/>
              </w:rPr>
              <w:t>·</w:t>
            </w:r>
          </w:p>
        </w:tc>
        <w:tc>
          <w:tcPr>
            <w:tcW w:w="2100" w:type="dxa"/>
            <w:vAlign w:val="bottom"/>
          </w:tcPr>
          <w:p>
            <w:pPr>
              <w:ind w:left="220"/>
              <w:spacing w:after="0" w:line="216" w:lineRule="exact"/>
              <w:rPr>
                <w:sz w:val="20"/>
                <w:szCs w:val="20"/>
                <w:color w:val="auto"/>
              </w:rPr>
            </w:pPr>
            <w:r>
              <w:rPr>
                <w:rFonts w:ascii="Arial" w:cs="Arial" w:eastAsia="Arial" w:hAnsi="Arial"/>
                <w:sz w:val="19"/>
                <w:szCs w:val="19"/>
                <w:color w:val="auto"/>
              </w:rPr>
              <w:t>Junior Juice®</w:t>
            </w:r>
          </w:p>
        </w:tc>
      </w:tr>
      <w:tr>
        <w:trPr>
          <w:trHeight w:val="216"/>
        </w:trPr>
        <w:tc>
          <w:tcPr>
            <w:tcW w:w="280" w:type="dxa"/>
            <w:vAlign w:val="bottom"/>
          </w:tcPr>
          <w:p>
            <w:pPr>
              <w:jc w:val="right"/>
              <w:ind w:right="141"/>
              <w:spacing w:after="0"/>
              <w:rPr>
                <w:sz w:val="20"/>
                <w:szCs w:val="20"/>
                <w:color w:val="auto"/>
              </w:rPr>
            </w:pPr>
            <w:r>
              <w:rPr>
                <w:rFonts w:ascii="Arial" w:cs="Arial" w:eastAsia="Arial" w:hAnsi="Arial"/>
                <w:sz w:val="16"/>
                <w:szCs w:val="16"/>
                <w:color w:val="auto"/>
                <w:w w:val="74"/>
              </w:rPr>
              <w:t>·</w:t>
            </w:r>
          </w:p>
        </w:tc>
        <w:tc>
          <w:tcPr>
            <w:tcW w:w="4860" w:type="dxa"/>
            <w:vAlign w:val="bottom"/>
          </w:tcPr>
          <w:p>
            <w:pPr>
              <w:ind w:left="200"/>
              <w:spacing w:after="0" w:line="216" w:lineRule="exact"/>
              <w:rPr>
                <w:sz w:val="20"/>
                <w:szCs w:val="20"/>
                <w:color w:val="auto"/>
              </w:rPr>
            </w:pPr>
            <w:r>
              <w:rPr>
                <w:rFonts w:ascii="Arial" w:cs="Arial" w:eastAsia="Arial" w:hAnsi="Arial"/>
                <w:sz w:val="19"/>
                <w:szCs w:val="19"/>
                <w:color w:val="auto"/>
              </w:rPr>
              <w:t>Java Monster®</w:t>
            </w:r>
          </w:p>
        </w:tc>
        <w:tc>
          <w:tcPr>
            <w:tcW w:w="840" w:type="dxa"/>
            <w:vAlign w:val="bottom"/>
          </w:tcPr>
          <w:p>
            <w:pPr>
              <w:jc w:val="right"/>
              <w:ind w:right="125"/>
              <w:spacing w:after="0" w:line="216" w:lineRule="exact"/>
              <w:rPr>
                <w:sz w:val="20"/>
                <w:szCs w:val="20"/>
                <w:color w:val="auto"/>
              </w:rPr>
            </w:pPr>
            <w:r>
              <w:rPr>
                <w:rFonts w:ascii="Arial" w:cs="Arial" w:eastAsia="Arial" w:hAnsi="Arial"/>
                <w:sz w:val="19"/>
                <w:szCs w:val="19"/>
                <w:color w:val="auto"/>
              </w:rPr>
              <w:t>·</w:t>
            </w:r>
          </w:p>
        </w:tc>
        <w:tc>
          <w:tcPr>
            <w:tcW w:w="2100" w:type="dxa"/>
            <w:vAlign w:val="bottom"/>
          </w:tcPr>
          <w:p>
            <w:pPr>
              <w:ind w:left="220"/>
              <w:spacing w:after="0" w:line="216" w:lineRule="exact"/>
              <w:rPr>
                <w:sz w:val="20"/>
                <w:szCs w:val="20"/>
                <w:color w:val="auto"/>
              </w:rPr>
            </w:pPr>
            <w:r>
              <w:rPr>
                <w:rFonts w:ascii="Arial" w:cs="Arial" w:eastAsia="Arial" w:hAnsi="Arial"/>
                <w:sz w:val="19"/>
                <w:szCs w:val="19"/>
                <w:color w:val="auto"/>
              </w:rPr>
              <w:t>Blue Sky®</w:t>
            </w:r>
          </w:p>
        </w:tc>
      </w:tr>
      <w:tr>
        <w:trPr>
          <w:trHeight w:val="216"/>
        </w:trPr>
        <w:tc>
          <w:tcPr>
            <w:tcW w:w="280" w:type="dxa"/>
            <w:vAlign w:val="bottom"/>
          </w:tcPr>
          <w:p>
            <w:pPr>
              <w:jc w:val="right"/>
              <w:ind w:right="141"/>
              <w:spacing w:after="0"/>
              <w:rPr>
                <w:sz w:val="20"/>
                <w:szCs w:val="20"/>
                <w:color w:val="auto"/>
              </w:rPr>
            </w:pPr>
            <w:r>
              <w:rPr>
                <w:rFonts w:ascii="Arial" w:cs="Arial" w:eastAsia="Arial" w:hAnsi="Arial"/>
                <w:sz w:val="16"/>
                <w:szCs w:val="16"/>
                <w:color w:val="auto"/>
                <w:w w:val="74"/>
              </w:rPr>
              <w:t>·</w:t>
            </w:r>
          </w:p>
        </w:tc>
        <w:tc>
          <w:tcPr>
            <w:tcW w:w="4860" w:type="dxa"/>
            <w:vAlign w:val="bottom"/>
          </w:tcPr>
          <w:p>
            <w:pPr>
              <w:ind w:left="200"/>
              <w:spacing w:after="0" w:line="216" w:lineRule="exact"/>
              <w:rPr>
                <w:sz w:val="20"/>
                <w:szCs w:val="20"/>
                <w:color w:val="auto"/>
              </w:rPr>
            </w:pPr>
            <w:r>
              <w:rPr>
                <w:rFonts w:ascii="Arial" w:cs="Arial" w:eastAsia="Arial" w:hAnsi="Arial"/>
                <w:sz w:val="19"/>
                <w:szCs w:val="19"/>
                <w:color w:val="auto"/>
              </w:rPr>
              <w:t>X-Presso Monster®</w:t>
            </w:r>
          </w:p>
        </w:tc>
        <w:tc>
          <w:tcPr>
            <w:tcW w:w="840" w:type="dxa"/>
            <w:vAlign w:val="bottom"/>
          </w:tcPr>
          <w:p>
            <w:pPr>
              <w:jc w:val="right"/>
              <w:ind w:right="125"/>
              <w:spacing w:after="0" w:line="216" w:lineRule="exact"/>
              <w:rPr>
                <w:sz w:val="20"/>
                <w:szCs w:val="20"/>
                <w:color w:val="auto"/>
              </w:rPr>
            </w:pPr>
            <w:r>
              <w:rPr>
                <w:rFonts w:ascii="Arial" w:cs="Arial" w:eastAsia="Arial" w:hAnsi="Arial"/>
                <w:sz w:val="19"/>
                <w:szCs w:val="19"/>
                <w:color w:val="auto"/>
              </w:rPr>
              <w:t>·</w:t>
            </w:r>
          </w:p>
        </w:tc>
        <w:tc>
          <w:tcPr>
            <w:tcW w:w="2100" w:type="dxa"/>
            <w:vAlign w:val="bottom"/>
          </w:tcPr>
          <w:p>
            <w:pPr>
              <w:ind w:left="220"/>
              <w:spacing w:after="0" w:line="216" w:lineRule="exact"/>
              <w:rPr>
                <w:sz w:val="20"/>
                <w:szCs w:val="20"/>
                <w:color w:val="auto"/>
              </w:rPr>
            </w:pPr>
            <w:r>
              <w:rPr>
                <w:rFonts w:ascii="Arial" w:cs="Arial" w:eastAsia="Arial" w:hAnsi="Arial"/>
                <w:sz w:val="19"/>
                <w:szCs w:val="19"/>
                <w:color w:val="auto"/>
              </w:rPr>
              <w:t>Hubert’s®</w:t>
            </w:r>
          </w:p>
        </w:tc>
      </w:tr>
      <w:tr>
        <w:trPr>
          <w:trHeight w:val="232"/>
        </w:trPr>
        <w:tc>
          <w:tcPr>
            <w:tcW w:w="280" w:type="dxa"/>
            <w:vAlign w:val="bottom"/>
          </w:tcPr>
          <w:p>
            <w:pPr>
              <w:jc w:val="right"/>
              <w:ind w:right="141"/>
              <w:spacing w:after="0"/>
              <w:rPr>
                <w:sz w:val="20"/>
                <w:szCs w:val="20"/>
                <w:color w:val="auto"/>
              </w:rPr>
            </w:pPr>
            <w:r>
              <w:rPr>
                <w:rFonts w:ascii="Arial" w:cs="Arial" w:eastAsia="Arial" w:hAnsi="Arial"/>
                <w:sz w:val="16"/>
                <w:szCs w:val="16"/>
                <w:color w:val="auto"/>
                <w:w w:val="74"/>
              </w:rPr>
              <w:t>·</w:t>
            </w:r>
          </w:p>
        </w:tc>
        <w:tc>
          <w:tcPr>
            <w:tcW w:w="4860" w:type="dxa"/>
            <w:vAlign w:val="bottom"/>
          </w:tcPr>
          <w:p>
            <w:pPr>
              <w:ind w:left="200"/>
              <w:spacing w:after="0"/>
              <w:rPr>
                <w:sz w:val="20"/>
                <w:szCs w:val="20"/>
                <w:color w:val="auto"/>
              </w:rPr>
            </w:pPr>
            <w:r>
              <w:rPr>
                <w:rFonts w:ascii="Arial" w:cs="Arial" w:eastAsia="Arial" w:hAnsi="Arial"/>
                <w:sz w:val="19"/>
                <w:szCs w:val="19"/>
                <w:color w:val="auto"/>
              </w:rPr>
              <w:t>Worx Energy®</w:t>
            </w:r>
          </w:p>
        </w:tc>
        <w:tc>
          <w:tcPr>
            <w:tcW w:w="840" w:type="dxa"/>
            <w:vAlign w:val="bottom"/>
          </w:tcPr>
          <w:p>
            <w:pPr>
              <w:jc w:val="right"/>
              <w:ind w:right="125"/>
              <w:spacing w:after="0"/>
              <w:rPr>
                <w:sz w:val="20"/>
                <w:szCs w:val="20"/>
                <w:color w:val="auto"/>
              </w:rPr>
            </w:pPr>
            <w:r>
              <w:rPr>
                <w:rFonts w:ascii="Arial" w:cs="Arial" w:eastAsia="Arial" w:hAnsi="Arial"/>
                <w:sz w:val="19"/>
                <w:szCs w:val="19"/>
                <w:color w:val="auto"/>
              </w:rPr>
              <w:t>·</w:t>
            </w:r>
          </w:p>
        </w:tc>
        <w:tc>
          <w:tcPr>
            <w:tcW w:w="2100" w:type="dxa"/>
            <w:vAlign w:val="bottom"/>
          </w:tcPr>
          <w:p>
            <w:pPr>
              <w:ind w:left="220"/>
              <w:spacing w:after="0"/>
              <w:rPr>
                <w:sz w:val="20"/>
                <w:szCs w:val="20"/>
                <w:color w:val="auto"/>
              </w:rPr>
            </w:pPr>
            <w:r>
              <w:rPr>
                <w:rFonts w:ascii="Arial" w:cs="Arial" w:eastAsia="Arial" w:hAnsi="Arial"/>
                <w:sz w:val="19"/>
                <w:szCs w:val="19"/>
                <w:color w:val="auto"/>
              </w:rPr>
              <w:t>Vidration®</w:t>
            </w:r>
          </w:p>
        </w:tc>
      </w:tr>
    </w:tbl>
    <w:p>
      <w:pPr>
        <w:ind w:left="480" w:hanging="472"/>
        <w:spacing w:after="0"/>
        <w:tabs>
          <w:tab w:leader="none" w:pos="480" w:val="left"/>
        </w:tabs>
        <w:numPr>
          <w:ilvl w:val="0"/>
          <w:numId w:val="19"/>
        </w:numPr>
        <w:rPr>
          <w:rFonts w:ascii="Arial" w:cs="Arial" w:eastAsia="Arial" w:hAnsi="Arial"/>
          <w:sz w:val="19"/>
          <w:szCs w:val="19"/>
          <w:color w:val="auto"/>
        </w:rPr>
      </w:pPr>
      <w:r>
        <w:rPr>
          <w:rFonts w:ascii="Arial" w:cs="Arial" w:eastAsia="Arial" w:hAnsi="Arial"/>
          <w:sz w:val="19"/>
          <w:szCs w:val="19"/>
          <w:color w:val="auto"/>
        </w:rPr>
        <w:t>Peace Tea®</w:t>
      </w:r>
    </w:p>
    <w:p>
      <w:pPr>
        <w:spacing w:after="0" w:line="199" w:lineRule="exact"/>
        <w:rPr>
          <w:sz w:val="20"/>
          <w:szCs w:val="20"/>
          <w:color w:val="auto"/>
        </w:rPr>
      </w:pPr>
    </w:p>
    <w:p>
      <w:pPr>
        <w:ind w:left="660"/>
        <w:spacing w:after="0"/>
        <w:rPr>
          <w:sz w:val="20"/>
          <w:szCs w:val="20"/>
          <w:color w:val="auto"/>
        </w:rPr>
      </w:pPr>
      <w:r>
        <w:rPr>
          <w:rFonts w:ascii="Arial" w:cs="Arial" w:eastAsia="Arial" w:hAnsi="Arial"/>
          <w:sz w:val="21"/>
          <w:szCs w:val="21"/>
          <w:color w:val="auto"/>
        </w:rPr>
        <w:t>Our Monster Energy® drinks, which represented 91.8% and 90.8% of our net sales for the three-months ended</w:t>
      </w:r>
    </w:p>
    <w:p>
      <w:pPr>
        <w:spacing w:after="0" w:line="20" w:lineRule="exact"/>
        <w:rPr>
          <w:sz w:val="20"/>
          <w:szCs w:val="20"/>
          <w:color w:val="auto"/>
        </w:rPr>
      </w:pPr>
    </w:p>
    <w:p>
      <w:pPr>
        <w:spacing w:after="0"/>
        <w:rPr>
          <w:sz w:val="20"/>
          <w:szCs w:val="20"/>
          <w:color w:val="auto"/>
        </w:rPr>
      </w:pPr>
      <w:r>
        <w:rPr>
          <w:rFonts w:ascii="Arial" w:cs="Arial" w:eastAsia="Arial" w:hAnsi="Arial"/>
          <w:sz w:val="22"/>
          <w:szCs w:val="22"/>
          <w:color w:val="auto"/>
        </w:rPr>
        <w:t>September 30, 2012 and 2011, respectively, include the following:</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80" w:type="dxa"/>
            <w:vAlign w:val="bottom"/>
          </w:tcPr>
          <w:p>
            <w:pPr>
              <w:jc w:val="right"/>
              <w:ind w:right="141"/>
              <w:spacing w:after="0"/>
              <w:rPr>
                <w:sz w:val="20"/>
                <w:szCs w:val="20"/>
                <w:color w:val="auto"/>
              </w:rPr>
            </w:pPr>
            <w:r>
              <w:rPr>
                <w:rFonts w:ascii="Arial" w:cs="Arial" w:eastAsia="Arial" w:hAnsi="Arial"/>
                <w:sz w:val="16"/>
                <w:szCs w:val="16"/>
                <w:color w:val="auto"/>
                <w:w w:val="74"/>
              </w:rPr>
              <w:t>·</w:t>
            </w:r>
          </w:p>
        </w:tc>
        <w:tc>
          <w:tcPr>
            <w:tcW w:w="3880" w:type="dxa"/>
            <w:vAlign w:val="bottom"/>
          </w:tcPr>
          <w:p>
            <w:pPr>
              <w:ind w:left="200"/>
              <w:spacing w:after="0"/>
              <w:rPr>
                <w:sz w:val="20"/>
                <w:szCs w:val="20"/>
                <w:color w:val="auto"/>
              </w:rPr>
            </w:pPr>
            <w:r>
              <w:rPr>
                <w:rFonts w:ascii="Arial" w:cs="Arial" w:eastAsia="Arial" w:hAnsi="Arial"/>
                <w:sz w:val="19"/>
                <w:szCs w:val="19"/>
                <w:color w:val="auto"/>
              </w:rPr>
              <w:t>Monster Energy®</w:t>
            </w:r>
          </w:p>
        </w:tc>
        <w:tc>
          <w:tcPr>
            <w:tcW w:w="1820" w:type="dxa"/>
            <w:vAlign w:val="bottom"/>
          </w:tcPr>
          <w:p>
            <w:pPr>
              <w:jc w:val="right"/>
              <w:ind w:right="125"/>
              <w:spacing w:after="0"/>
              <w:rPr>
                <w:sz w:val="20"/>
                <w:szCs w:val="20"/>
                <w:color w:val="auto"/>
              </w:rPr>
            </w:pPr>
            <w:r>
              <w:rPr>
                <w:rFonts w:ascii="Arial" w:cs="Arial" w:eastAsia="Arial" w:hAnsi="Arial"/>
                <w:sz w:val="19"/>
                <w:szCs w:val="19"/>
                <w:color w:val="auto"/>
              </w:rPr>
              <w:t>·</w:t>
            </w:r>
          </w:p>
        </w:tc>
        <w:tc>
          <w:tcPr>
            <w:tcW w:w="2440" w:type="dxa"/>
            <w:vAlign w:val="bottom"/>
          </w:tcPr>
          <w:p>
            <w:pPr>
              <w:ind w:left="220"/>
              <w:spacing w:after="0"/>
              <w:rPr>
                <w:sz w:val="20"/>
                <w:szCs w:val="20"/>
                <w:color w:val="auto"/>
              </w:rPr>
            </w:pPr>
            <w:r>
              <w:rPr>
                <w:rFonts w:ascii="Arial" w:cs="Arial" w:eastAsia="Arial" w:hAnsi="Arial"/>
                <w:sz w:val="19"/>
                <w:szCs w:val="19"/>
                <w:color w:val="auto"/>
                <w:w w:val="94"/>
              </w:rPr>
              <w:t>Java Monster® Kona Blend</w:t>
            </w:r>
          </w:p>
        </w:tc>
      </w:tr>
      <w:tr>
        <w:trPr>
          <w:trHeight w:val="216"/>
        </w:trPr>
        <w:tc>
          <w:tcPr>
            <w:tcW w:w="280" w:type="dxa"/>
            <w:vAlign w:val="bottom"/>
          </w:tcPr>
          <w:p>
            <w:pPr>
              <w:jc w:val="right"/>
              <w:ind w:right="141"/>
              <w:spacing w:after="0"/>
              <w:rPr>
                <w:sz w:val="20"/>
                <w:szCs w:val="20"/>
                <w:color w:val="auto"/>
              </w:rPr>
            </w:pPr>
            <w:r>
              <w:rPr>
                <w:rFonts w:ascii="Arial" w:cs="Arial" w:eastAsia="Arial" w:hAnsi="Arial"/>
                <w:sz w:val="16"/>
                <w:szCs w:val="16"/>
                <w:color w:val="auto"/>
                <w:w w:val="74"/>
              </w:rPr>
              <w:t>·</w:t>
            </w:r>
          </w:p>
        </w:tc>
        <w:tc>
          <w:tcPr>
            <w:tcW w:w="3880" w:type="dxa"/>
            <w:vAlign w:val="bottom"/>
          </w:tcPr>
          <w:p>
            <w:pPr>
              <w:ind w:left="200"/>
              <w:spacing w:after="0" w:line="216" w:lineRule="exact"/>
              <w:rPr>
                <w:sz w:val="20"/>
                <w:szCs w:val="20"/>
                <w:color w:val="auto"/>
              </w:rPr>
            </w:pPr>
            <w:r>
              <w:rPr>
                <w:rFonts w:ascii="Arial" w:cs="Arial" w:eastAsia="Arial" w:hAnsi="Arial"/>
                <w:sz w:val="19"/>
                <w:szCs w:val="19"/>
                <w:color w:val="auto"/>
              </w:rPr>
              <w:t>Lo-Carb Monster Energy®</w:t>
            </w:r>
          </w:p>
        </w:tc>
        <w:tc>
          <w:tcPr>
            <w:tcW w:w="1820" w:type="dxa"/>
            <w:vAlign w:val="bottom"/>
          </w:tcPr>
          <w:p>
            <w:pPr>
              <w:jc w:val="right"/>
              <w:ind w:right="125"/>
              <w:spacing w:after="0" w:line="216" w:lineRule="exact"/>
              <w:rPr>
                <w:sz w:val="20"/>
                <w:szCs w:val="20"/>
                <w:color w:val="auto"/>
              </w:rPr>
            </w:pPr>
            <w:r>
              <w:rPr>
                <w:rFonts w:ascii="Arial" w:cs="Arial" w:eastAsia="Arial" w:hAnsi="Arial"/>
                <w:sz w:val="19"/>
                <w:szCs w:val="19"/>
                <w:color w:val="auto"/>
              </w:rPr>
              <w:t>·</w:t>
            </w:r>
          </w:p>
        </w:tc>
        <w:tc>
          <w:tcPr>
            <w:tcW w:w="2440" w:type="dxa"/>
            <w:vAlign w:val="bottom"/>
          </w:tcPr>
          <w:p>
            <w:pPr>
              <w:ind w:left="220"/>
              <w:spacing w:after="0" w:line="216" w:lineRule="exact"/>
              <w:rPr>
                <w:sz w:val="20"/>
                <w:szCs w:val="20"/>
                <w:color w:val="auto"/>
              </w:rPr>
            </w:pPr>
            <w:r>
              <w:rPr>
                <w:rFonts w:ascii="Arial" w:cs="Arial" w:eastAsia="Arial" w:hAnsi="Arial"/>
                <w:sz w:val="19"/>
                <w:szCs w:val="19"/>
                <w:color w:val="auto"/>
                <w:w w:val="91"/>
              </w:rPr>
              <w:t>Java Monster® Loca Moca®</w:t>
            </w:r>
          </w:p>
        </w:tc>
      </w:tr>
      <w:tr>
        <w:trPr>
          <w:trHeight w:val="216"/>
        </w:trPr>
        <w:tc>
          <w:tcPr>
            <w:tcW w:w="280" w:type="dxa"/>
            <w:vAlign w:val="bottom"/>
          </w:tcPr>
          <w:p>
            <w:pPr>
              <w:jc w:val="right"/>
              <w:ind w:right="141"/>
              <w:spacing w:after="0"/>
              <w:rPr>
                <w:sz w:val="20"/>
                <w:szCs w:val="20"/>
                <w:color w:val="auto"/>
              </w:rPr>
            </w:pPr>
            <w:r>
              <w:rPr>
                <w:rFonts w:ascii="Arial" w:cs="Arial" w:eastAsia="Arial" w:hAnsi="Arial"/>
                <w:sz w:val="16"/>
                <w:szCs w:val="16"/>
                <w:color w:val="auto"/>
                <w:w w:val="74"/>
              </w:rPr>
              <w:t>·</w:t>
            </w:r>
          </w:p>
        </w:tc>
        <w:tc>
          <w:tcPr>
            <w:tcW w:w="3880" w:type="dxa"/>
            <w:vAlign w:val="bottom"/>
          </w:tcPr>
          <w:p>
            <w:pPr>
              <w:ind w:left="200"/>
              <w:spacing w:after="0" w:line="216" w:lineRule="exact"/>
              <w:rPr>
                <w:sz w:val="20"/>
                <w:szCs w:val="20"/>
                <w:color w:val="auto"/>
              </w:rPr>
            </w:pPr>
            <w:r>
              <w:rPr>
                <w:rFonts w:ascii="Arial" w:cs="Arial" w:eastAsia="Arial" w:hAnsi="Arial"/>
                <w:sz w:val="19"/>
                <w:szCs w:val="19"/>
                <w:color w:val="auto"/>
              </w:rPr>
              <w:t>Monster Energy® Assault®</w:t>
            </w:r>
          </w:p>
        </w:tc>
        <w:tc>
          <w:tcPr>
            <w:tcW w:w="1820" w:type="dxa"/>
            <w:vAlign w:val="bottom"/>
          </w:tcPr>
          <w:p>
            <w:pPr>
              <w:jc w:val="right"/>
              <w:ind w:right="125"/>
              <w:spacing w:after="0" w:line="216" w:lineRule="exact"/>
              <w:rPr>
                <w:sz w:val="20"/>
                <w:szCs w:val="20"/>
                <w:color w:val="auto"/>
              </w:rPr>
            </w:pPr>
            <w:r>
              <w:rPr>
                <w:rFonts w:ascii="Arial" w:cs="Arial" w:eastAsia="Arial" w:hAnsi="Arial"/>
                <w:sz w:val="19"/>
                <w:szCs w:val="19"/>
                <w:color w:val="auto"/>
              </w:rPr>
              <w:t>·</w:t>
            </w:r>
          </w:p>
        </w:tc>
        <w:tc>
          <w:tcPr>
            <w:tcW w:w="2440" w:type="dxa"/>
            <w:vAlign w:val="bottom"/>
          </w:tcPr>
          <w:p>
            <w:pPr>
              <w:ind w:left="220"/>
              <w:spacing w:after="0" w:line="216" w:lineRule="exact"/>
              <w:rPr>
                <w:sz w:val="20"/>
                <w:szCs w:val="20"/>
                <w:color w:val="auto"/>
              </w:rPr>
            </w:pPr>
            <w:r>
              <w:rPr>
                <w:rFonts w:ascii="Arial" w:cs="Arial" w:eastAsia="Arial" w:hAnsi="Arial"/>
                <w:sz w:val="19"/>
                <w:szCs w:val="19"/>
                <w:color w:val="auto"/>
                <w:w w:val="89"/>
              </w:rPr>
              <w:t>Java Monster® Mean Bean®</w:t>
            </w:r>
          </w:p>
        </w:tc>
      </w:tr>
      <w:tr>
        <w:trPr>
          <w:trHeight w:val="240"/>
        </w:trPr>
        <w:tc>
          <w:tcPr>
            <w:tcW w:w="280" w:type="dxa"/>
            <w:vAlign w:val="bottom"/>
          </w:tcPr>
          <w:p>
            <w:pPr>
              <w:jc w:val="right"/>
              <w:ind w:right="141"/>
              <w:spacing w:after="0"/>
              <w:rPr>
                <w:sz w:val="20"/>
                <w:szCs w:val="20"/>
                <w:color w:val="auto"/>
              </w:rPr>
            </w:pPr>
            <w:r>
              <w:rPr>
                <w:rFonts w:ascii="Arial" w:cs="Arial" w:eastAsia="Arial" w:hAnsi="Arial"/>
                <w:sz w:val="16"/>
                <w:szCs w:val="16"/>
                <w:color w:val="auto"/>
                <w:w w:val="74"/>
              </w:rPr>
              <w:t>·</w:t>
            </w:r>
          </w:p>
        </w:tc>
        <w:tc>
          <w:tcPr>
            <w:tcW w:w="3880" w:type="dxa"/>
            <w:vAlign w:val="bottom"/>
          </w:tcPr>
          <w:p>
            <w:pPr>
              <w:ind w:left="200"/>
              <w:spacing w:after="0"/>
              <w:rPr>
                <w:sz w:val="20"/>
                <w:szCs w:val="20"/>
                <w:color w:val="auto"/>
              </w:rPr>
            </w:pPr>
            <w:r>
              <w:rPr>
                <w:rFonts w:ascii="Arial" w:cs="Arial" w:eastAsia="Arial" w:hAnsi="Arial"/>
                <w:sz w:val="19"/>
                <w:szCs w:val="19"/>
                <w:color w:val="auto"/>
              </w:rPr>
              <w:t>Monster Khaos®</w:t>
            </w:r>
          </w:p>
        </w:tc>
        <w:tc>
          <w:tcPr>
            <w:tcW w:w="1820" w:type="dxa"/>
            <w:vAlign w:val="bottom"/>
          </w:tcPr>
          <w:p>
            <w:pPr>
              <w:jc w:val="right"/>
              <w:ind w:right="125"/>
              <w:spacing w:after="0"/>
              <w:rPr>
                <w:sz w:val="20"/>
                <w:szCs w:val="20"/>
                <w:color w:val="auto"/>
              </w:rPr>
            </w:pPr>
            <w:r>
              <w:rPr>
                <w:rFonts w:ascii="Arial" w:cs="Arial" w:eastAsia="Arial" w:hAnsi="Arial"/>
                <w:sz w:val="19"/>
                <w:szCs w:val="19"/>
                <w:color w:val="auto"/>
              </w:rPr>
              <w:t>·</w:t>
            </w:r>
          </w:p>
        </w:tc>
        <w:tc>
          <w:tcPr>
            <w:tcW w:w="2440" w:type="dxa"/>
            <w:vAlign w:val="bottom"/>
          </w:tcPr>
          <w:p>
            <w:pPr>
              <w:ind w:left="220"/>
              <w:spacing w:after="0"/>
              <w:rPr>
                <w:sz w:val="20"/>
                <w:szCs w:val="20"/>
                <w:color w:val="auto"/>
              </w:rPr>
            </w:pPr>
            <w:r>
              <w:rPr>
                <w:rFonts w:ascii="Arial" w:cs="Arial" w:eastAsia="Arial" w:hAnsi="Arial"/>
                <w:sz w:val="19"/>
                <w:szCs w:val="19"/>
                <w:color w:val="auto"/>
                <w:w w:val="92"/>
              </w:rPr>
              <w:t>Java Monster® Vanilla Light</w:t>
            </w:r>
          </w:p>
        </w:tc>
      </w:tr>
    </w:tbl>
    <w:p>
      <w:pPr>
        <w:sectPr>
          <w:pgSz w:w="11900" w:h="16838" w:orient="portrait"/>
          <w:cols w:equalWidth="0" w:num="1">
            <w:col w:w="11420"/>
          </w:cols>
          <w:pgMar w:left="240" w:top="111" w:right="239" w:bottom="0" w:gutter="0" w:footer="0" w:header="0"/>
        </w:sectPr>
      </w:pPr>
    </w:p>
    <w:bookmarkStart w:id="20" w:name="page21"/>
    <w:bookmarkEnd w:id="2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80" w:type="dxa"/>
            <w:vAlign w:val="bottom"/>
          </w:tcPr>
          <w:p>
            <w:pPr>
              <w:jc w:val="right"/>
              <w:ind w:right="141"/>
              <w:spacing w:after="0"/>
              <w:rPr>
                <w:sz w:val="20"/>
                <w:szCs w:val="20"/>
                <w:color w:val="auto"/>
              </w:rPr>
            </w:pPr>
            <w:r>
              <w:rPr>
                <w:rFonts w:ascii="Arial" w:cs="Arial" w:eastAsia="Arial" w:hAnsi="Arial"/>
                <w:sz w:val="16"/>
                <w:szCs w:val="16"/>
                <w:color w:val="auto"/>
                <w:w w:val="74"/>
              </w:rPr>
              <w:t>·</w:t>
            </w:r>
          </w:p>
        </w:tc>
        <w:tc>
          <w:tcPr>
            <w:tcW w:w="4960" w:type="dxa"/>
            <w:vAlign w:val="bottom"/>
          </w:tcPr>
          <w:p>
            <w:pPr>
              <w:ind w:left="200"/>
              <w:spacing w:after="0"/>
              <w:rPr>
                <w:sz w:val="20"/>
                <w:szCs w:val="20"/>
                <w:color w:val="auto"/>
              </w:rPr>
            </w:pPr>
            <w:r>
              <w:rPr>
                <w:rFonts w:ascii="Arial" w:cs="Arial" w:eastAsia="Arial" w:hAnsi="Arial"/>
                <w:sz w:val="19"/>
                <w:szCs w:val="19"/>
                <w:color w:val="auto"/>
              </w:rPr>
              <w:t>Monster M-80® (named “RIPPER” in certain countries)</w:t>
            </w:r>
          </w:p>
        </w:tc>
        <w:tc>
          <w:tcPr>
            <w:tcW w:w="740" w:type="dxa"/>
            <w:vAlign w:val="bottom"/>
          </w:tcPr>
          <w:p>
            <w:pPr>
              <w:jc w:val="right"/>
              <w:ind w:right="125"/>
              <w:spacing w:after="0"/>
              <w:rPr>
                <w:sz w:val="20"/>
                <w:szCs w:val="20"/>
                <w:color w:val="auto"/>
              </w:rPr>
            </w:pPr>
            <w:r>
              <w:rPr>
                <w:rFonts w:ascii="Arial" w:cs="Arial" w:eastAsia="Arial" w:hAnsi="Arial"/>
                <w:sz w:val="19"/>
                <w:szCs w:val="19"/>
                <w:color w:val="auto"/>
              </w:rPr>
              <w:t>·</w:t>
            </w:r>
          </w:p>
        </w:tc>
        <w:tc>
          <w:tcPr>
            <w:tcW w:w="5300" w:type="dxa"/>
            <w:vAlign w:val="bottom"/>
          </w:tcPr>
          <w:p>
            <w:pPr>
              <w:ind w:left="220"/>
              <w:spacing w:after="0"/>
              <w:rPr>
                <w:sz w:val="20"/>
                <w:szCs w:val="20"/>
                <w:color w:val="auto"/>
              </w:rPr>
            </w:pPr>
            <w:r>
              <w:rPr>
                <w:rFonts w:ascii="Arial" w:cs="Arial" w:eastAsia="Arial" w:hAnsi="Arial"/>
                <w:sz w:val="19"/>
                <w:szCs w:val="19"/>
                <w:color w:val="auto"/>
              </w:rPr>
              <w:t>Java Monster® Irish Blend®</w:t>
            </w:r>
          </w:p>
        </w:tc>
      </w:tr>
      <w:tr>
        <w:trPr>
          <w:trHeight w:val="216"/>
        </w:trPr>
        <w:tc>
          <w:tcPr>
            <w:tcW w:w="280" w:type="dxa"/>
            <w:vAlign w:val="bottom"/>
          </w:tcPr>
          <w:p>
            <w:pPr>
              <w:jc w:val="right"/>
              <w:ind w:right="141"/>
              <w:spacing w:after="0"/>
              <w:rPr>
                <w:sz w:val="20"/>
                <w:szCs w:val="20"/>
                <w:color w:val="auto"/>
              </w:rPr>
            </w:pPr>
            <w:r>
              <w:rPr>
                <w:rFonts w:ascii="Arial" w:cs="Arial" w:eastAsia="Arial" w:hAnsi="Arial"/>
                <w:sz w:val="16"/>
                <w:szCs w:val="16"/>
                <w:color w:val="auto"/>
                <w:w w:val="74"/>
              </w:rPr>
              <w:t>·</w:t>
            </w:r>
          </w:p>
        </w:tc>
        <w:tc>
          <w:tcPr>
            <w:tcW w:w="4960" w:type="dxa"/>
            <w:vAlign w:val="bottom"/>
          </w:tcPr>
          <w:p>
            <w:pPr>
              <w:ind w:left="200"/>
              <w:spacing w:after="0" w:line="216" w:lineRule="exact"/>
              <w:rPr>
                <w:sz w:val="20"/>
                <w:szCs w:val="20"/>
                <w:color w:val="auto"/>
              </w:rPr>
            </w:pPr>
            <w:r>
              <w:rPr>
                <w:rFonts w:ascii="Arial" w:cs="Arial" w:eastAsia="Arial" w:hAnsi="Arial"/>
                <w:sz w:val="19"/>
                <w:szCs w:val="19"/>
                <w:color w:val="auto"/>
              </w:rPr>
              <w:t>Monster MIXXD®</w:t>
            </w:r>
          </w:p>
        </w:tc>
        <w:tc>
          <w:tcPr>
            <w:tcW w:w="740" w:type="dxa"/>
            <w:vAlign w:val="bottom"/>
          </w:tcPr>
          <w:p>
            <w:pPr>
              <w:jc w:val="right"/>
              <w:ind w:right="125"/>
              <w:spacing w:after="0" w:line="216" w:lineRule="exact"/>
              <w:rPr>
                <w:sz w:val="20"/>
                <w:szCs w:val="20"/>
                <w:color w:val="auto"/>
              </w:rPr>
            </w:pPr>
            <w:r>
              <w:rPr>
                <w:rFonts w:ascii="Arial" w:cs="Arial" w:eastAsia="Arial" w:hAnsi="Arial"/>
                <w:sz w:val="19"/>
                <w:szCs w:val="19"/>
                <w:color w:val="auto"/>
              </w:rPr>
              <w:t>·</w:t>
            </w:r>
          </w:p>
        </w:tc>
        <w:tc>
          <w:tcPr>
            <w:tcW w:w="5300" w:type="dxa"/>
            <w:vAlign w:val="bottom"/>
          </w:tcPr>
          <w:p>
            <w:pPr>
              <w:ind w:left="220"/>
              <w:spacing w:after="0" w:line="216" w:lineRule="exact"/>
              <w:rPr>
                <w:sz w:val="20"/>
                <w:szCs w:val="20"/>
                <w:color w:val="auto"/>
              </w:rPr>
            </w:pPr>
            <w:r>
              <w:rPr>
                <w:rFonts w:ascii="Arial" w:cs="Arial" w:eastAsia="Arial" w:hAnsi="Arial"/>
                <w:sz w:val="19"/>
                <w:szCs w:val="19"/>
                <w:color w:val="auto"/>
              </w:rPr>
              <w:t>Java Monster® Toffee</w:t>
            </w:r>
          </w:p>
        </w:tc>
      </w:tr>
      <w:tr>
        <w:trPr>
          <w:trHeight w:val="232"/>
        </w:trPr>
        <w:tc>
          <w:tcPr>
            <w:tcW w:w="280" w:type="dxa"/>
            <w:vAlign w:val="bottom"/>
          </w:tcPr>
          <w:p>
            <w:pPr>
              <w:jc w:val="right"/>
              <w:ind w:right="141"/>
              <w:spacing w:after="0"/>
              <w:rPr>
                <w:sz w:val="20"/>
                <w:szCs w:val="20"/>
                <w:color w:val="auto"/>
              </w:rPr>
            </w:pPr>
            <w:r>
              <w:rPr>
                <w:rFonts w:ascii="Arial" w:cs="Arial" w:eastAsia="Arial" w:hAnsi="Arial"/>
                <w:sz w:val="16"/>
                <w:szCs w:val="16"/>
                <w:color w:val="auto"/>
                <w:w w:val="74"/>
              </w:rPr>
              <w:t>·</w:t>
            </w:r>
          </w:p>
        </w:tc>
        <w:tc>
          <w:tcPr>
            <w:tcW w:w="4960" w:type="dxa"/>
            <w:vAlign w:val="bottom"/>
          </w:tcPr>
          <w:p>
            <w:pPr>
              <w:ind w:left="200"/>
              <w:spacing w:after="0"/>
              <w:rPr>
                <w:sz w:val="20"/>
                <w:szCs w:val="20"/>
                <w:color w:val="auto"/>
              </w:rPr>
            </w:pPr>
            <w:r>
              <w:rPr>
                <w:rFonts w:ascii="Arial" w:cs="Arial" w:eastAsia="Arial" w:hAnsi="Arial"/>
                <w:sz w:val="19"/>
                <w:szCs w:val="19"/>
                <w:color w:val="auto"/>
              </w:rPr>
              <w:t>Monster Energy® Absolutely Zero</w:t>
            </w:r>
          </w:p>
        </w:tc>
        <w:tc>
          <w:tcPr>
            <w:tcW w:w="740" w:type="dxa"/>
            <w:vAlign w:val="bottom"/>
          </w:tcPr>
          <w:p>
            <w:pPr>
              <w:jc w:val="right"/>
              <w:ind w:right="125"/>
              <w:spacing w:after="0"/>
              <w:rPr>
                <w:sz w:val="20"/>
                <w:szCs w:val="20"/>
                <w:color w:val="auto"/>
              </w:rPr>
            </w:pPr>
            <w:r>
              <w:rPr>
                <w:rFonts w:ascii="Arial" w:cs="Arial" w:eastAsia="Arial" w:hAnsi="Arial"/>
                <w:sz w:val="19"/>
                <w:szCs w:val="19"/>
                <w:color w:val="auto"/>
              </w:rPr>
              <w:t>·</w:t>
            </w:r>
          </w:p>
        </w:tc>
        <w:tc>
          <w:tcPr>
            <w:tcW w:w="5300" w:type="dxa"/>
            <w:vAlign w:val="bottom"/>
          </w:tcPr>
          <w:p>
            <w:pPr>
              <w:ind w:left="220"/>
              <w:spacing w:after="0"/>
              <w:rPr>
                <w:sz w:val="20"/>
                <w:szCs w:val="20"/>
                <w:color w:val="auto"/>
              </w:rPr>
            </w:pPr>
            <w:r>
              <w:rPr>
                <w:rFonts w:ascii="Arial" w:cs="Arial" w:eastAsia="Arial" w:hAnsi="Arial"/>
                <w:sz w:val="19"/>
                <w:szCs w:val="19"/>
                <w:color w:val="auto"/>
                <w:w w:val="91"/>
              </w:rPr>
              <w:t>Monster Energy Extra Strength Nitrous Technology® Super Dry™</w:t>
            </w:r>
          </w:p>
        </w:tc>
      </w:tr>
    </w:tbl>
    <w:p>
      <w:pPr>
        <w:ind w:left="480" w:hanging="472"/>
        <w:spacing w:after="0" w:line="237" w:lineRule="auto"/>
        <w:tabs>
          <w:tab w:leader="none" w:pos="480" w:val="left"/>
        </w:tabs>
        <w:numPr>
          <w:ilvl w:val="0"/>
          <w:numId w:val="20"/>
        </w:numPr>
        <w:rPr>
          <w:rFonts w:ascii="Arial" w:cs="Arial" w:eastAsia="Arial" w:hAnsi="Arial"/>
          <w:sz w:val="19"/>
          <w:szCs w:val="19"/>
          <w:color w:val="auto"/>
        </w:rPr>
      </w:pPr>
      <w:r>
        <w:rPr>
          <w:rFonts w:ascii="Arial" w:cs="Arial" w:eastAsia="Arial" w:hAnsi="Arial"/>
          <w:sz w:val="19"/>
          <w:szCs w:val="19"/>
          <w:color w:val="auto"/>
        </w:rPr>
        <w:t>Monster Energy® Import</w:t>
      </w:r>
    </w:p>
    <w:tbl>
      <w:tblPr>
        <w:tblLayout w:type="fixed"/>
        <w:tblInd w:w="0" w:type="dxa"/>
        <w:tblCellMar>
          <w:top w:w="0" w:type="dxa"/>
          <w:left w:w="0" w:type="dxa"/>
          <w:bottom w:w="0" w:type="dxa"/>
          <w:right w:w="0" w:type="dxa"/>
        </w:tblCellMar>
      </w:tblPr>
      <w:tr>
        <w:trPr>
          <w:trHeight w:val="200"/>
        </w:trPr>
        <w:tc>
          <w:tcPr>
            <w:tcW w:w="280" w:type="dxa"/>
            <w:vAlign w:val="bottom"/>
          </w:tcPr>
          <w:p>
            <w:pPr>
              <w:jc w:val="right"/>
              <w:ind w:right="141"/>
              <w:spacing w:after="0"/>
              <w:rPr>
                <w:sz w:val="20"/>
                <w:szCs w:val="20"/>
                <w:color w:val="auto"/>
              </w:rPr>
            </w:pPr>
            <w:r>
              <w:rPr>
                <w:rFonts w:ascii="Arial" w:cs="Arial" w:eastAsia="Arial" w:hAnsi="Arial"/>
                <w:sz w:val="16"/>
                <w:szCs w:val="16"/>
                <w:color w:val="auto"/>
                <w:w w:val="74"/>
              </w:rPr>
              <w:t>·</w:t>
            </w:r>
          </w:p>
        </w:tc>
        <w:tc>
          <w:tcPr>
            <w:tcW w:w="4500" w:type="dxa"/>
            <w:vAlign w:val="bottom"/>
          </w:tcPr>
          <w:p>
            <w:pPr>
              <w:ind w:left="200"/>
              <w:spacing w:after="0" w:line="201" w:lineRule="exact"/>
              <w:rPr>
                <w:sz w:val="20"/>
                <w:szCs w:val="20"/>
                <w:color w:val="auto"/>
              </w:rPr>
            </w:pPr>
            <w:r>
              <w:rPr>
                <w:rFonts w:ascii="Arial" w:cs="Arial" w:eastAsia="Arial" w:hAnsi="Arial"/>
                <w:sz w:val="19"/>
                <w:szCs w:val="19"/>
                <w:color w:val="auto"/>
              </w:rPr>
              <w:t>Monster Energy® Import Light</w:t>
            </w:r>
          </w:p>
        </w:tc>
        <w:tc>
          <w:tcPr>
            <w:tcW w:w="1200" w:type="dxa"/>
            <w:vAlign w:val="bottom"/>
          </w:tcPr>
          <w:p>
            <w:pPr>
              <w:jc w:val="right"/>
              <w:ind w:right="125"/>
              <w:spacing w:after="0" w:line="201" w:lineRule="exact"/>
              <w:rPr>
                <w:sz w:val="20"/>
                <w:szCs w:val="20"/>
                <w:color w:val="auto"/>
              </w:rPr>
            </w:pPr>
            <w:r>
              <w:rPr>
                <w:rFonts w:ascii="Arial" w:cs="Arial" w:eastAsia="Arial" w:hAnsi="Arial"/>
                <w:sz w:val="19"/>
                <w:szCs w:val="19"/>
                <w:color w:val="auto"/>
              </w:rPr>
              <w:t>·</w:t>
            </w:r>
          </w:p>
        </w:tc>
        <w:tc>
          <w:tcPr>
            <w:tcW w:w="5080" w:type="dxa"/>
            <w:vAlign w:val="bottom"/>
          </w:tcPr>
          <w:p>
            <w:pPr>
              <w:ind w:left="220"/>
              <w:spacing w:after="0" w:line="201" w:lineRule="exact"/>
              <w:rPr>
                <w:sz w:val="20"/>
                <w:szCs w:val="20"/>
                <w:color w:val="auto"/>
              </w:rPr>
            </w:pPr>
            <w:r>
              <w:rPr>
                <w:rFonts w:ascii="Arial" w:cs="Arial" w:eastAsia="Arial" w:hAnsi="Arial"/>
                <w:sz w:val="19"/>
                <w:szCs w:val="19"/>
                <w:color w:val="auto"/>
                <w:w w:val="99"/>
              </w:rPr>
              <w:t>Monster Energy Extra Strength Nitrous Technology® Anti-</w:t>
            </w:r>
          </w:p>
        </w:tc>
      </w:tr>
      <w:tr>
        <w:trPr>
          <w:trHeight w:val="216"/>
        </w:trPr>
        <w:tc>
          <w:tcPr>
            <w:tcW w:w="280" w:type="dxa"/>
            <w:vAlign w:val="bottom"/>
          </w:tcPr>
          <w:p>
            <w:pPr>
              <w:jc w:val="right"/>
              <w:ind w:right="141"/>
              <w:spacing w:after="0"/>
              <w:rPr>
                <w:sz w:val="20"/>
                <w:szCs w:val="20"/>
                <w:color w:val="auto"/>
              </w:rPr>
            </w:pPr>
            <w:r>
              <w:rPr>
                <w:rFonts w:ascii="Arial" w:cs="Arial" w:eastAsia="Arial" w:hAnsi="Arial"/>
                <w:sz w:val="16"/>
                <w:szCs w:val="16"/>
                <w:color w:val="auto"/>
                <w:w w:val="74"/>
              </w:rPr>
              <w:t>·</w:t>
            </w:r>
          </w:p>
        </w:tc>
        <w:tc>
          <w:tcPr>
            <w:tcW w:w="4500" w:type="dxa"/>
            <w:vAlign w:val="bottom"/>
          </w:tcPr>
          <w:p>
            <w:pPr>
              <w:ind w:left="200"/>
              <w:spacing w:after="0" w:line="216" w:lineRule="exact"/>
              <w:rPr>
                <w:sz w:val="20"/>
                <w:szCs w:val="20"/>
                <w:color w:val="auto"/>
              </w:rPr>
            </w:pPr>
            <w:r>
              <w:rPr>
                <w:rFonts w:ascii="Arial" w:cs="Arial" w:eastAsia="Arial" w:hAnsi="Arial"/>
                <w:sz w:val="19"/>
                <w:szCs w:val="19"/>
                <w:color w:val="auto"/>
              </w:rPr>
              <w:t>Monster Energy® Dub Edition</w:t>
            </w:r>
          </w:p>
        </w:tc>
        <w:tc>
          <w:tcPr>
            <w:tcW w:w="1200" w:type="dxa"/>
            <w:vAlign w:val="bottom"/>
          </w:tcPr>
          <w:p>
            <w:pPr>
              <w:spacing w:after="0"/>
              <w:rPr>
                <w:sz w:val="18"/>
                <w:szCs w:val="18"/>
                <w:color w:val="auto"/>
              </w:rPr>
            </w:pPr>
          </w:p>
        </w:tc>
        <w:tc>
          <w:tcPr>
            <w:tcW w:w="5080" w:type="dxa"/>
            <w:vAlign w:val="bottom"/>
          </w:tcPr>
          <w:p>
            <w:pPr>
              <w:ind w:left="260"/>
              <w:spacing w:after="0" w:line="216" w:lineRule="exact"/>
              <w:rPr>
                <w:sz w:val="20"/>
                <w:szCs w:val="20"/>
                <w:color w:val="auto"/>
              </w:rPr>
            </w:pPr>
            <w:r>
              <w:rPr>
                <w:rFonts w:ascii="Arial" w:cs="Arial" w:eastAsia="Arial" w:hAnsi="Arial"/>
                <w:sz w:val="19"/>
                <w:szCs w:val="19"/>
                <w:color w:val="auto"/>
              </w:rPr>
              <w:t>Gravity®</w:t>
            </w:r>
          </w:p>
        </w:tc>
      </w:tr>
      <w:tr>
        <w:trPr>
          <w:trHeight w:val="232"/>
        </w:trPr>
        <w:tc>
          <w:tcPr>
            <w:tcW w:w="280" w:type="dxa"/>
            <w:vAlign w:val="bottom"/>
          </w:tcPr>
          <w:p>
            <w:pPr>
              <w:jc w:val="right"/>
              <w:ind w:right="141"/>
              <w:spacing w:after="0"/>
              <w:rPr>
                <w:sz w:val="20"/>
                <w:szCs w:val="20"/>
                <w:color w:val="auto"/>
              </w:rPr>
            </w:pPr>
            <w:r>
              <w:rPr>
                <w:rFonts w:ascii="Arial" w:cs="Arial" w:eastAsia="Arial" w:hAnsi="Arial"/>
                <w:sz w:val="16"/>
                <w:szCs w:val="16"/>
                <w:color w:val="auto"/>
                <w:w w:val="74"/>
              </w:rPr>
              <w:t>·</w:t>
            </w:r>
          </w:p>
        </w:tc>
        <w:tc>
          <w:tcPr>
            <w:tcW w:w="4500" w:type="dxa"/>
            <w:vAlign w:val="bottom"/>
          </w:tcPr>
          <w:p>
            <w:pPr>
              <w:ind w:left="200"/>
              <w:spacing w:after="0"/>
              <w:rPr>
                <w:sz w:val="20"/>
                <w:szCs w:val="20"/>
                <w:color w:val="auto"/>
              </w:rPr>
            </w:pPr>
            <w:r>
              <w:rPr>
                <w:rFonts w:ascii="Arial" w:cs="Arial" w:eastAsia="Arial" w:hAnsi="Arial"/>
                <w:sz w:val="19"/>
                <w:szCs w:val="19"/>
                <w:color w:val="auto"/>
              </w:rPr>
              <w:t>Monster Rehab® Tea + Lemonade + Energy</w:t>
            </w:r>
          </w:p>
        </w:tc>
        <w:tc>
          <w:tcPr>
            <w:tcW w:w="1200" w:type="dxa"/>
            <w:vAlign w:val="bottom"/>
          </w:tcPr>
          <w:p>
            <w:pPr>
              <w:jc w:val="right"/>
              <w:ind w:right="125"/>
              <w:spacing w:after="0"/>
              <w:rPr>
                <w:sz w:val="20"/>
                <w:szCs w:val="20"/>
                <w:color w:val="auto"/>
              </w:rPr>
            </w:pPr>
            <w:r>
              <w:rPr>
                <w:rFonts w:ascii="Arial" w:cs="Arial" w:eastAsia="Arial" w:hAnsi="Arial"/>
                <w:sz w:val="19"/>
                <w:szCs w:val="19"/>
                <w:color w:val="auto"/>
              </w:rPr>
              <w:t>·</w:t>
            </w:r>
          </w:p>
        </w:tc>
        <w:tc>
          <w:tcPr>
            <w:tcW w:w="5080" w:type="dxa"/>
            <w:vAlign w:val="bottom"/>
          </w:tcPr>
          <w:p>
            <w:pPr>
              <w:ind w:left="220"/>
              <w:spacing w:after="0"/>
              <w:rPr>
                <w:sz w:val="20"/>
                <w:szCs w:val="20"/>
                <w:color w:val="auto"/>
              </w:rPr>
            </w:pPr>
            <w:r>
              <w:rPr>
                <w:rFonts w:ascii="Arial" w:cs="Arial" w:eastAsia="Arial" w:hAnsi="Arial"/>
                <w:sz w:val="19"/>
                <w:szCs w:val="19"/>
                <w:color w:val="auto"/>
                <w:w w:val="92"/>
              </w:rPr>
              <w:t>Monster Energy Extra Strength Nitrous Technology® Killer B®</w:t>
            </w:r>
          </w:p>
        </w:tc>
      </w:tr>
    </w:tbl>
    <w:p>
      <w:pPr>
        <w:ind w:left="480" w:hanging="472"/>
        <w:spacing w:after="0" w:line="237" w:lineRule="auto"/>
        <w:tabs>
          <w:tab w:leader="none" w:pos="480" w:val="left"/>
        </w:tabs>
        <w:numPr>
          <w:ilvl w:val="0"/>
          <w:numId w:val="21"/>
        </w:numPr>
        <w:rPr>
          <w:rFonts w:ascii="Arial" w:cs="Arial" w:eastAsia="Arial" w:hAnsi="Arial"/>
          <w:sz w:val="19"/>
          <w:szCs w:val="19"/>
          <w:color w:val="auto"/>
        </w:rPr>
      </w:pPr>
      <w:r>
        <w:rPr>
          <w:rFonts w:ascii="Arial" w:cs="Arial" w:eastAsia="Arial" w:hAnsi="Arial"/>
          <w:sz w:val="19"/>
          <w:szCs w:val="19"/>
          <w:color w:val="auto"/>
        </w:rPr>
        <w:t>Monster Rehab® Rojo Tea + Energy</w:t>
      </w:r>
    </w:p>
    <w:p>
      <w:pPr>
        <w:spacing w:after="0"/>
        <w:tabs>
          <w:tab w:leader="none" w:pos="460" w:val="left"/>
          <w:tab w:leader="none" w:pos="5700" w:val="left"/>
          <w:tab w:leader="none" w:pos="6180" w:val="left"/>
        </w:tabs>
        <w:rPr>
          <w:sz w:val="20"/>
          <w:szCs w:val="20"/>
          <w:color w:val="auto"/>
        </w:rPr>
      </w:pPr>
      <w:r>
        <w:rPr>
          <w:rFonts w:ascii="Arial" w:cs="Arial" w:eastAsia="Arial" w:hAnsi="Arial"/>
          <w:sz w:val="19"/>
          <w:szCs w:val="19"/>
          <w:color w:val="auto"/>
        </w:rPr>
        <w:t>·</w:t>
      </w:r>
      <w:r>
        <w:rPr>
          <w:sz w:val="20"/>
          <w:szCs w:val="20"/>
          <w:color w:val="auto"/>
        </w:rPr>
        <w:tab/>
      </w:r>
      <w:r>
        <w:rPr>
          <w:rFonts w:ascii="Arial" w:cs="Arial" w:eastAsia="Arial" w:hAnsi="Arial"/>
          <w:sz w:val="19"/>
          <w:szCs w:val="19"/>
          <w:color w:val="auto"/>
        </w:rPr>
        <w:t>Monster Rehab® Green Tea + Energy</w:t>
      </w:r>
      <w:r>
        <w:rPr>
          <w:sz w:val="20"/>
          <w:szCs w:val="20"/>
          <w:color w:val="auto"/>
        </w:rPr>
        <w:tab/>
      </w:r>
      <w:r>
        <w:rPr>
          <w:rFonts w:ascii="Arial" w:cs="Arial" w:eastAsia="Arial" w:hAnsi="Arial"/>
          <w:sz w:val="19"/>
          <w:szCs w:val="19"/>
          <w:color w:val="auto"/>
        </w:rPr>
        <w:t>·</w:t>
      </w:r>
      <w:r>
        <w:rPr>
          <w:sz w:val="20"/>
          <w:szCs w:val="20"/>
          <w:color w:val="auto"/>
        </w:rPr>
        <w:tab/>
      </w:r>
      <w:r>
        <w:rPr>
          <w:rFonts w:ascii="Arial" w:cs="Arial" w:eastAsia="Arial" w:hAnsi="Arial"/>
          <w:sz w:val="17"/>
          <w:szCs w:val="17"/>
          <w:color w:val="auto"/>
        </w:rPr>
        <w:t>Monster Energy Extra Strength Nitrous Technology® Black Ice™</w:t>
      </w:r>
    </w:p>
    <w:p>
      <w:pPr>
        <w:ind w:left="480" w:hanging="472"/>
        <w:spacing w:after="0" w:line="238" w:lineRule="auto"/>
        <w:tabs>
          <w:tab w:leader="none" w:pos="480" w:val="left"/>
        </w:tabs>
        <w:numPr>
          <w:ilvl w:val="0"/>
          <w:numId w:val="22"/>
        </w:numPr>
        <w:rPr>
          <w:rFonts w:ascii="Arial" w:cs="Arial" w:eastAsia="Arial" w:hAnsi="Arial"/>
          <w:sz w:val="19"/>
          <w:szCs w:val="19"/>
          <w:color w:val="auto"/>
        </w:rPr>
      </w:pPr>
      <w:r>
        <w:rPr>
          <w:rFonts w:ascii="Arial" w:cs="Arial" w:eastAsia="Arial" w:hAnsi="Arial"/>
          <w:sz w:val="19"/>
          <w:szCs w:val="19"/>
          <w:color w:val="auto"/>
        </w:rPr>
        <w:t>Monster Rehab® Protean + Energy</w:t>
      </w:r>
    </w:p>
    <w:tbl>
      <w:tblPr>
        <w:tblLayout w:type="fixed"/>
        <w:tblInd w:w="0" w:type="dxa"/>
        <w:tblCellMar>
          <w:top w:w="0" w:type="dxa"/>
          <w:left w:w="0" w:type="dxa"/>
          <w:bottom w:w="0" w:type="dxa"/>
          <w:right w:w="0" w:type="dxa"/>
        </w:tblCellMar>
      </w:tblPr>
      <w:tr>
        <w:trPr>
          <w:trHeight w:val="200"/>
        </w:trPr>
        <w:tc>
          <w:tcPr>
            <w:tcW w:w="280" w:type="dxa"/>
            <w:vAlign w:val="bottom"/>
          </w:tcPr>
          <w:p>
            <w:pPr>
              <w:jc w:val="right"/>
              <w:ind w:right="141"/>
              <w:spacing w:after="0"/>
              <w:rPr>
                <w:sz w:val="20"/>
                <w:szCs w:val="20"/>
                <w:color w:val="auto"/>
              </w:rPr>
            </w:pPr>
            <w:r>
              <w:rPr>
                <w:rFonts w:ascii="Arial" w:cs="Arial" w:eastAsia="Arial" w:hAnsi="Arial"/>
                <w:sz w:val="16"/>
                <w:szCs w:val="16"/>
                <w:color w:val="auto"/>
                <w:w w:val="74"/>
              </w:rPr>
              <w:t>·</w:t>
            </w:r>
          </w:p>
        </w:tc>
        <w:tc>
          <w:tcPr>
            <w:tcW w:w="4520" w:type="dxa"/>
            <w:vAlign w:val="bottom"/>
          </w:tcPr>
          <w:p>
            <w:pPr>
              <w:ind w:left="200"/>
              <w:spacing w:after="0" w:line="200" w:lineRule="exact"/>
              <w:rPr>
                <w:sz w:val="20"/>
                <w:szCs w:val="20"/>
                <w:color w:val="auto"/>
              </w:rPr>
            </w:pPr>
            <w:r>
              <w:rPr>
                <w:rFonts w:ascii="Arial" w:cs="Arial" w:eastAsia="Arial" w:hAnsi="Arial"/>
                <w:sz w:val="19"/>
                <w:szCs w:val="19"/>
                <w:color w:val="auto"/>
              </w:rPr>
              <w:t>Monster Rehab® Tea + Orangeade + Energy</w:t>
            </w:r>
          </w:p>
        </w:tc>
        <w:tc>
          <w:tcPr>
            <w:tcW w:w="1180" w:type="dxa"/>
            <w:vAlign w:val="bottom"/>
          </w:tcPr>
          <w:p>
            <w:pPr>
              <w:jc w:val="right"/>
              <w:ind w:right="125"/>
              <w:spacing w:after="0" w:line="200" w:lineRule="exact"/>
              <w:rPr>
                <w:sz w:val="20"/>
                <w:szCs w:val="20"/>
                <w:color w:val="auto"/>
              </w:rPr>
            </w:pPr>
            <w:r>
              <w:rPr>
                <w:rFonts w:ascii="Arial" w:cs="Arial" w:eastAsia="Arial" w:hAnsi="Arial"/>
                <w:sz w:val="19"/>
                <w:szCs w:val="19"/>
                <w:color w:val="auto"/>
              </w:rPr>
              <w:t>·</w:t>
            </w:r>
          </w:p>
        </w:tc>
        <w:tc>
          <w:tcPr>
            <w:tcW w:w="2440" w:type="dxa"/>
            <w:vAlign w:val="bottom"/>
          </w:tcPr>
          <w:p>
            <w:pPr>
              <w:ind w:left="220"/>
              <w:spacing w:after="0" w:line="200" w:lineRule="exact"/>
              <w:rPr>
                <w:sz w:val="20"/>
                <w:szCs w:val="20"/>
                <w:color w:val="auto"/>
              </w:rPr>
            </w:pPr>
            <w:r>
              <w:rPr>
                <w:rFonts w:ascii="Arial" w:cs="Arial" w:eastAsia="Arial" w:hAnsi="Arial"/>
                <w:sz w:val="19"/>
                <w:szCs w:val="19"/>
                <w:color w:val="auto"/>
                <w:w w:val="90"/>
              </w:rPr>
              <w:t>X-Presso Monster® Hammer</w:t>
            </w:r>
          </w:p>
        </w:tc>
      </w:tr>
      <w:tr>
        <w:trPr>
          <w:trHeight w:val="216"/>
        </w:trPr>
        <w:tc>
          <w:tcPr>
            <w:tcW w:w="280" w:type="dxa"/>
            <w:vAlign w:val="bottom"/>
          </w:tcPr>
          <w:p>
            <w:pPr>
              <w:jc w:val="right"/>
              <w:ind w:right="141"/>
              <w:spacing w:after="0"/>
              <w:rPr>
                <w:sz w:val="20"/>
                <w:szCs w:val="20"/>
                <w:color w:val="auto"/>
              </w:rPr>
            </w:pPr>
            <w:r>
              <w:rPr>
                <w:rFonts w:ascii="Arial" w:cs="Arial" w:eastAsia="Arial" w:hAnsi="Arial"/>
                <w:sz w:val="16"/>
                <w:szCs w:val="16"/>
                <w:color w:val="auto"/>
                <w:w w:val="74"/>
              </w:rPr>
              <w:t>·</w:t>
            </w:r>
          </w:p>
        </w:tc>
        <w:tc>
          <w:tcPr>
            <w:tcW w:w="4520" w:type="dxa"/>
            <w:vAlign w:val="bottom"/>
          </w:tcPr>
          <w:p>
            <w:pPr>
              <w:ind w:left="200"/>
              <w:spacing w:after="0" w:line="216" w:lineRule="exact"/>
              <w:rPr>
                <w:sz w:val="20"/>
                <w:szCs w:val="20"/>
                <w:color w:val="auto"/>
              </w:rPr>
            </w:pPr>
            <w:r>
              <w:rPr>
                <w:rFonts w:ascii="Arial" w:cs="Arial" w:eastAsia="Arial" w:hAnsi="Arial"/>
                <w:sz w:val="19"/>
                <w:szCs w:val="19"/>
                <w:color w:val="auto"/>
              </w:rPr>
              <w:t>M3® Monster Energy® Super Concentrate</w:t>
            </w:r>
          </w:p>
        </w:tc>
        <w:tc>
          <w:tcPr>
            <w:tcW w:w="1180" w:type="dxa"/>
            <w:vAlign w:val="bottom"/>
          </w:tcPr>
          <w:p>
            <w:pPr>
              <w:jc w:val="right"/>
              <w:ind w:right="125"/>
              <w:spacing w:after="0" w:line="216" w:lineRule="exact"/>
              <w:rPr>
                <w:sz w:val="20"/>
                <w:szCs w:val="20"/>
                <w:color w:val="auto"/>
              </w:rPr>
            </w:pPr>
            <w:r>
              <w:rPr>
                <w:rFonts w:ascii="Arial" w:cs="Arial" w:eastAsia="Arial" w:hAnsi="Arial"/>
                <w:sz w:val="19"/>
                <w:szCs w:val="19"/>
                <w:color w:val="auto"/>
              </w:rPr>
              <w:t>·</w:t>
            </w:r>
          </w:p>
        </w:tc>
        <w:tc>
          <w:tcPr>
            <w:tcW w:w="2440" w:type="dxa"/>
            <w:vAlign w:val="bottom"/>
          </w:tcPr>
          <w:p>
            <w:pPr>
              <w:ind w:left="220"/>
              <w:spacing w:after="0" w:line="216" w:lineRule="exact"/>
              <w:rPr>
                <w:sz w:val="20"/>
                <w:szCs w:val="20"/>
                <w:color w:val="auto"/>
              </w:rPr>
            </w:pPr>
            <w:r>
              <w:rPr>
                <w:rFonts w:ascii="Arial" w:cs="Arial" w:eastAsia="Arial" w:hAnsi="Arial"/>
                <w:sz w:val="19"/>
                <w:szCs w:val="19"/>
                <w:color w:val="auto"/>
                <w:w w:val="94"/>
              </w:rPr>
              <w:t>X-Presso Monster® Midnite</w:t>
            </w:r>
          </w:p>
        </w:tc>
      </w:tr>
      <w:tr>
        <w:trPr>
          <w:trHeight w:val="232"/>
        </w:trPr>
        <w:tc>
          <w:tcPr>
            <w:tcW w:w="280" w:type="dxa"/>
            <w:vAlign w:val="bottom"/>
          </w:tcPr>
          <w:p>
            <w:pPr>
              <w:jc w:val="right"/>
              <w:ind w:right="141"/>
              <w:spacing w:after="0"/>
              <w:rPr>
                <w:sz w:val="20"/>
                <w:szCs w:val="20"/>
                <w:color w:val="auto"/>
              </w:rPr>
            </w:pPr>
            <w:r>
              <w:rPr>
                <w:rFonts w:ascii="Arial" w:cs="Arial" w:eastAsia="Arial" w:hAnsi="Arial"/>
                <w:sz w:val="16"/>
                <w:szCs w:val="16"/>
                <w:color w:val="auto"/>
                <w:w w:val="74"/>
              </w:rPr>
              <w:t>·</w:t>
            </w:r>
          </w:p>
        </w:tc>
        <w:tc>
          <w:tcPr>
            <w:tcW w:w="4520" w:type="dxa"/>
            <w:vAlign w:val="bottom"/>
          </w:tcPr>
          <w:p>
            <w:pPr>
              <w:ind w:left="200"/>
              <w:spacing w:after="0"/>
              <w:rPr>
                <w:sz w:val="20"/>
                <w:szCs w:val="20"/>
                <w:color w:val="auto"/>
              </w:rPr>
            </w:pPr>
            <w:r>
              <w:rPr>
                <w:rFonts w:ascii="Arial" w:cs="Arial" w:eastAsia="Arial" w:hAnsi="Arial"/>
                <w:sz w:val="19"/>
                <w:szCs w:val="19"/>
                <w:color w:val="auto"/>
              </w:rPr>
              <w:t>Übermonster® Energy Brew</w:t>
            </w:r>
          </w:p>
        </w:tc>
        <w:tc>
          <w:tcPr>
            <w:tcW w:w="1180" w:type="dxa"/>
            <w:vAlign w:val="bottom"/>
          </w:tcPr>
          <w:p>
            <w:pPr>
              <w:jc w:val="right"/>
              <w:ind w:right="125"/>
              <w:spacing w:after="0"/>
              <w:rPr>
                <w:sz w:val="20"/>
                <w:szCs w:val="20"/>
                <w:color w:val="auto"/>
              </w:rPr>
            </w:pPr>
            <w:r>
              <w:rPr>
                <w:rFonts w:ascii="Arial" w:cs="Arial" w:eastAsia="Arial" w:hAnsi="Arial"/>
                <w:sz w:val="19"/>
                <w:szCs w:val="19"/>
                <w:color w:val="auto"/>
              </w:rPr>
              <w:t>·</w:t>
            </w:r>
          </w:p>
        </w:tc>
        <w:tc>
          <w:tcPr>
            <w:tcW w:w="2440" w:type="dxa"/>
            <w:vAlign w:val="bottom"/>
          </w:tcPr>
          <w:p>
            <w:pPr>
              <w:ind w:left="220"/>
              <w:spacing w:after="0"/>
              <w:rPr>
                <w:sz w:val="20"/>
                <w:szCs w:val="20"/>
                <w:color w:val="auto"/>
              </w:rPr>
            </w:pPr>
            <w:r>
              <w:rPr>
                <w:rFonts w:ascii="Arial" w:cs="Arial" w:eastAsia="Arial" w:hAnsi="Arial"/>
                <w:sz w:val="19"/>
                <w:szCs w:val="19"/>
                <w:color w:val="auto"/>
              </w:rPr>
              <w:t>Monster Cuba-Lima™</w:t>
            </w:r>
          </w:p>
        </w:tc>
      </w:tr>
    </w:tbl>
    <w:p>
      <w:pPr>
        <w:ind w:left="480" w:hanging="472"/>
        <w:spacing w:after="0"/>
        <w:tabs>
          <w:tab w:leader="none" w:pos="480" w:val="left"/>
        </w:tabs>
        <w:numPr>
          <w:ilvl w:val="0"/>
          <w:numId w:val="23"/>
        </w:numPr>
        <w:rPr>
          <w:rFonts w:ascii="Arial" w:cs="Arial" w:eastAsia="Arial" w:hAnsi="Arial"/>
          <w:sz w:val="19"/>
          <w:szCs w:val="19"/>
          <w:color w:val="auto"/>
        </w:rPr>
      </w:pPr>
      <w:r>
        <w:rPr>
          <w:rFonts w:ascii="Arial" w:cs="Arial" w:eastAsia="Arial" w:hAnsi="Arial"/>
          <w:sz w:val="19"/>
          <w:szCs w:val="19"/>
          <w:color w:val="auto"/>
        </w:rPr>
        <w:t>Monster Energy® Zero Ultra</w:t>
      </w:r>
    </w:p>
    <w:p>
      <w:pPr>
        <w:spacing w:after="0" w:line="199"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We have two reportable segments, namely Direct Store Delivery (“DSD”), whose principal products comprise energy drinks, and Warehouse (“Warehouse”), whose principal products comprise juice-based and soda beverages. The DSD segment develops, markets and sells products primarily through an exclusive distributor network, whereas the Warehouse segment develops, markets and sells products primarily direct to retailers.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8"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During the nine-months ended September 30, 2012, we continued to expand our existing product lines and flavors and further developed our markets. In particular, we continued to focus on developing and marketing beverages that fall within the category generally described as the “alternative” beverage category. During the nine-months ended September 30, 2012, we introduced the following products:</w:t>
      </w:r>
    </w:p>
    <w:p>
      <w:pPr>
        <w:spacing w:after="0" w:line="212" w:lineRule="exact"/>
        <w:rPr>
          <w:sz w:val="20"/>
          <w:szCs w:val="20"/>
          <w:color w:val="auto"/>
        </w:rPr>
      </w:pPr>
    </w:p>
    <w:p>
      <w:pPr>
        <w:ind w:left="780" w:hanging="448"/>
        <w:spacing w:after="0"/>
        <w:tabs>
          <w:tab w:leader="none" w:pos="780" w:val="left"/>
        </w:tabs>
        <w:numPr>
          <w:ilvl w:val="0"/>
          <w:numId w:val="24"/>
        </w:numPr>
        <w:rPr>
          <w:rFonts w:ascii="Arial" w:cs="Arial" w:eastAsia="Arial" w:hAnsi="Arial"/>
          <w:sz w:val="22"/>
          <w:szCs w:val="22"/>
          <w:color w:val="auto"/>
        </w:rPr>
      </w:pPr>
      <w:r>
        <w:rPr>
          <w:rFonts w:ascii="Arial" w:cs="Arial" w:eastAsia="Arial" w:hAnsi="Arial"/>
          <w:sz w:val="22"/>
          <w:szCs w:val="22"/>
          <w:color w:val="auto"/>
        </w:rPr>
        <w:t>Monster Rehab® Tea + Orangeade + Energy, a non-carbonated rehydration energy drink (February 2012).</w:t>
      </w:r>
    </w:p>
    <w:p>
      <w:pPr>
        <w:spacing w:after="0" w:line="8" w:lineRule="exact"/>
        <w:rPr>
          <w:rFonts w:ascii="Arial" w:cs="Arial" w:eastAsia="Arial" w:hAnsi="Arial"/>
          <w:sz w:val="22"/>
          <w:szCs w:val="22"/>
          <w:color w:val="auto"/>
        </w:rPr>
      </w:pPr>
    </w:p>
    <w:p>
      <w:pPr>
        <w:ind w:left="780" w:right="60" w:hanging="448"/>
        <w:spacing w:after="0" w:line="230" w:lineRule="auto"/>
        <w:tabs>
          <w:tab w:leader="none" w:pos="780" w:val="left"/>
        </w:tabs>
        <w:numPr>
          <w:ilvl w:val="0"/>
          <w:numId w:val="24"/>
        </w:numPr>
        <w:rPr>
          <w:rFonts w:ascii="Arial" w:cs="Arial" w:eastAsia="Arial" w:hAnsi="Arial"/>
          <w:sz w:val="22"/>
          <w:szCs w:val="22"/>
          <w:color w:val="auto"/>
        </w:rPr>
      </w:pPr>
      <w:r>
        <w:rPr>
          <w:rFonts w:ascii="Arial" w:cs="Arial" w:eastAsia="Arial" w:hAnsi="Arial"/>
          <w:sz w:val="22"/>
          <w:szCs w:val="22"/>
          <w:color w:val="auto"/>
        </w:rPr>
        <w:t>Übermonster® Energy Brew, a non-alcoholic energy drink, manufactured using a brewed fermentation process (February 2012).</w:t>
      </w:r>
    </w:p>
    <w:p>
      <w:pPr>
        <w:spacing w:after="0" w:line="1" w:lineRule="exact"/>
        <w:rPr>
          <w:rFonts w:ascii="Arial" w:cs="Arial" w:eastAsia="Arial" w:hAnsi="Arial"/>
          <w:sz w:val="22"/>
          <w:szCs w:val="22"/>
          <w:color w:val="auto"/>
        </w:rPr>
      </w:pPr>
    </w:p>
    <w:p>
      <w:pPr>
        <w:ind w:left="780" w:hanging="448"/>
        <w:spacing w:after="0"/>
        <w:tabs>
          <w:tab w:leader="none" w:pos="780" w:val="left"/>
        </w:tabs>
        <w:numPr>
          <w:ilvl w:val="0"/>
          <w:numId w:val="24"/>
        </w:numPr>
        <w:rPr>
          <w:rFonts w:ascii="Arial" w:cs="Arial" w:eastAsia="Arial" w:hAnsi="Arial"/>
          <w:sz w:val="19"/>
          <w:szCs w:val="19"/>
          <w:color w:val="auto"/>
        </w:rPr>
      </w:pPr>
      <w:r>
        <w:rPr>
          <w:rFonts w:ascii="Arial" w:cs="Arial" w:eastAsia="Arial" w:hAnsi="Arial"/>
          <w:sz w:val="19"/>
          <w:szCs w:val="19"/>
          <w:color w:val="auto"/>
        </w:rPr>
        <w:t>Hansen’s® Coconut Water, in original and tropical flavors, packaged in re-sealable Tetra Prisma boxes (March 2012).</w:t>
      </w:r>
    </w:p>
    <w:p>
      <w:pPr>
        <w:spacing w:after="0" w:line="24" w:lineRule="exact"/>
        <w:rPr>
          <w:rFonts w:ascii="Arial" w:cs="Arial" w:eastAsia="Arial" w:hAnsi="Arial"/>
          <w:sz w:val="19"/>
          <w:szCs w:val="19"/>
          <w:color w:val="auto"/>
        </w:rPr>
      </w:pPr>
    </w:p>
    <w:p>
      <w:pPr>
        <w:ind w:left="780" w:hanging="448"/>
        <w:spacing w:after="0"/>
        <w:tabs>
          <w:tab w:leader="none" w:pos="780" w:val="left"/>
        </w:tabs>
        <w:numPr>
          <w:ilvl w:val="0"/>
          <w:numId w:val="24"/>
        </w:numPr>
        <w:rPr>
          <w:rFonts w:ascii="Arial" w:cs="Arial" w:eastAsia="Arial" w:hAnsi="Arial"/>
          <w:sz w:val="19"/>
          <w:szCs w:val="19"/>
          <w:color w:val="auto"/>
        </w:rPr>
      </w:pPr>
      <w:r>
        <w:rPr>
          <w:rFonts w:ascii="Arial" w:cs="Arial" w:eastAsia="Arial" w:hAnsi="Arial"/>
          <w:sz w:val="19"/>
          <w:szCs w:val="19"/>
          <w:color w:val="auto"/>
        </w:rPr>
        <w:t>Monster Energy® Zero Ultra, a carbonated energy drink which contains zero calories and zero sugar (August 2012).</w:t>
      </w:r>
    </w:p>
    <w:p>
      <w:pPr>
        <w:spacing w:after="0" w:line="24" w:lineRule="exact"/>
        <w:rPr>
          <w:rFonts w:ascii="Arial" w:cs="Arial" w:eastAsia="Arial" w:hAnsi="Arial"/>
          <w:sz w:val="19"/>
          <w:szCs w:val="19"/>
          <w:color w:val="auto"/>
        </w:rPr>
      </w:pPr>
    </w:p>
    <w:p>
      <w:pPr>
        <w:ind w:left="780" w:hanging="448"/>
        <w:spacing w:after="0"/>
        <w:tabs>
          <w:tab w:leader="none" w:pos="780" w:val="left"/>
        </w:tabs>
        <w:numPr>
          <w:ilvl w:val="0"/>
          <w:numId w:val="24"/>
        </w:numPr>
        <w:rPr>
          <w:rFonts w:ascii="Arial" w:cs="Arial" w:eastAsia="Arial" w:hAnsi="Arial"/>
          <w:sz w:val="22"/>
          <w:szCs w:val="22"/>
          <w:color w:val="auto"/>
        </w:rPr>
      </w:pPr>
      <w:r>
        <w:rPr>
          <w:rFonts w:ascii="Arial" w:cs="Arial" w:eastAsia="Arial" w:hAnsi="Arial"/>
          <w:sz w:val="22"/>
          <w:szCs w:val="22"/>
          <w:color w:val="auto"/>
        </w:rPr>
        <w:t>Monster Cuba-Lima™, a lime flavored non-alcoholic energy drink (September 2012).</w:t>
      </w:r>
    </w:p>
    <w:p>
      <w:pPr>
        <w:spacing w:after="0" w:line="21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Our gross sales (as defined below) of $632.3 million for the three-months ended September 30, 2012 represented record sales for our third fiscal quarter. The vast majority of our gross sales are derived from our Monster Energy® brand energy drinks. Gross sales of our Monster Energy® brand energy drinks were $585.2 million for the three-months ended September 30, 2012, an increase of $85.3 million, or 101.3% of our overall increase in gross sales for the three-months ended September 30, 2012.</w:t>
      </w:r>
    </w:p>
    <w:p>
      <w:pPr>
        <w:spacing w:after="0" w:line="170"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Changes in foreign currency exchange rates had an unfavorable impact on gross and net sales of approximately 2% for the three-months ended September 30, 2012, which was primarily due to a stronger U.S. dollar compared to certain local currencies in which we conduct certain of our international business.</w:t>
      </w:r>
    </w:p>
    <w:p>
      <w:pPr>
        <w:spacing w:after="0" w:line="21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9"/>
          <w:szCs w:val="19"/>
          <w:color w:val="auto"/>
        </w:rPr>
        <w:t>The percentage increase in gross sales was 15.4% and 24.4% for the three-months ended September 30, 2012 and 2011, respectively. We believe the decrease in the percentage growth rate for the three-months ended September 30, 2012 was primarily attributable to (i) less robust growth rates during the quarter in our U.S. energy market including lower sales of Monster Energy Extra Strength Nitrous Technology® energy drinks and lower sales of Worx Energy® energy shots, (ii) lower sales to Coca-Cola Refreshments Canada, Ltd., our Canadian distributor, largely due to their realignment of inventory levels, (iii) unfavorable changes in certain foreign currency exchange rates and (iv) lower sales in our Warehouse segment. The decrease in the percentage growth rate was partially offset by sales in certain new international markets entered into subsequent to September 30, 2011.</w:t>
      </w:r>
    </w:p>
    <w:p>
      <w:pPr>
        <w:spacing w:after="0" w:line="180"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9"/>
          <w:szCs w:val="19"/>
          <w:color w:val="auto"/>
        </w:rPr>
        <w:t>Our DSD segment represented 95.3% and 94.2% of our consolidated net sales for the three-months ended September 30, 2012 and 2011, respectively. Our Warehouse segment represented 4.7% and 5.8% of our consolidated net sales for the three-months ended September 30, 2012 and 2011, respectively. Our DSD segment represented 95.4% and 94.2% of our consolidated net sales for the nine-months ended September 30, 2012 and 2011, respectively. Our Warehouse segment represented 4.6% and 5.8% of our consolidated net sales for the nine-months ended September 30, 2012 and 2011, respectively.</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9"/>
          <w:szCs w:val="19"/>
          <w:color w:val="auto"/>
        </w:rPr>
        <w:t>Our sales and marketing strategy for all our beverages is to focus our efforts on developing brand awareness through image enhancing programs and product sampling. We use our branded vehicles and other promotional vehicles at events where we offer samples of our products to consumers. We utilize “push-pull” methods to enhance shelf and display space exposure in sales outlets (including advertising, in-store promotions and in-store placement of point-of-sale materials, racks, coolers and barrel coolers) to enhance demand from consumers for our products. We also support our brands with prize promotions, price promotions,</w:t>
      </w:r>
    </w:p>
    <w:p>
      <w:pPr>
        <w:sectPr>
          <w:pgSz w:w="11900" w:h="16838" w:orient="portrait"/>
          <w:cols w:equalWidth="0" w:num="1">
            <w:col w:w="11420"/>
          </w:cols>
          <w:pgMar w:left="240" w:top="115" w:right="239" w:bottom="0" w:gutter="0" w:footer="0" w:header="0"/>
        </w:sectPr>
      </w:pPr>
    </w:p>
    <w:bookmarkStart w:id="21" w:name="page22"/>
    <w:bookmarkEnd w:id="21"/>
    <w:p>
      <w:pPr>
        <w:spacing w:after="0" w:line="18" w:lineRule="exact"/>
        <w:rPr>
          <w:sz w:val="20"/>
          <w:szCs w:val="20"/>
          <w:color w:val="auto"/>
        </w:rPr>
      </w:pPr>
    </w:p>
    <w:p>
      <w:pPr>
        <w:jc w:val="both"/>
        <w:spacing w:after="0" w:line="298" w:lineRule="auto"/>
        <w:rPr>
          <w:sz w:val="20"/>
          <w:szCs w:val="20"/>
          <w:color w:val="auto"/>
        </w:rPr>
      </w:pPr>
      <w:r>
        <w:rPr>
          <w:rFonts w:ascii="Arial" w:cs="Arial" w:eastAsia="Arial" w:hAnsi="Arial"/>
          <w:sz w:val="19"/>
          <w:szCs w:val="19"/>
          <w:color w:val="auto"/>
        </w:rPr>
        <w:t>competitions, endorsements from selected public and extreme sports figures, personality endorsements (including from television and other well known sports personalities), coupons, sampling and sponsorship of selected causes, events, athletes and teams. In-store posters, outdoor posters, print, radio and television advertising and coupons may also be used to promote our brands.</w:t>
      </w:r>
    </w:p>
    <w:p>
      <w:pPr>
        <w:spacing w:after="0" w:line="159"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We believe that one of the keys to success in the beverage industry is differentiation, making our brands and products visually distinctive from other beverages on the shelves of retailers. We review our products and packaging on an ongoing basis and, where practical, endeavor to make them different, better and unique. The labels and graphics for many of our products are redesigned from time to time to maximize their visibility and identification, wherever they may be placed in stores, which we will continue to reevaluate from time to time.</w:t>
      </w:r>
    </w:p>
    <w:p>
      <w:pPr>
        <w:spacing w:after="0" w:line="215" w:lineRule="exact"/>
        <w:rPr>
          <w:sz w:val="20"/>
          <w:szCs w:val="20"/>
          <w:color w:val="auto"/>
        </w:rPr>
      </w:pPr>
    </w:p>
    <w:p>
      <w:pPr>
        <w:jc w:val="both"/>
        <w:ind w:right="20" w:firstLine="648"/>
        <w:spacing w:after="0" w:line="251" w:lineRule="auto"/>
        <w:rPr>
          <w:sz w:val="20"/>
          <w:szCs w:val="20"/>
          <w:color w:val="auto"/>
        </w:rPr>
      </w:pPr>
      <w:r>
        <w:rPr>
          <w:rFonts w:ascii="Arial" w:cs="Arial" w:eastAsia="Arial" w:hAnsi="Arial"/>
          <w:sz w:val="22"/>
          <w:szCs w:val="22"/>
          <w:color w:val="auto"/>
        </w:rPr>
        <w:t>All of our beverage products are manufactured by various third party bottlers and co-packers situated throughout the United States and abroad, under separate arrangements with each party.</w:t>
      </w:r>
    </w:p>
    <w:p>
      <w:pPr>
        <w:spacing w:after="0" w:line="200"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Our growth strategy includes expanding our international business. Gross sales to customers outside the United States amounted to $144.7 million and $116.8 million for the three-months ended September 30, 2012 and 2011, respectively. Such sales were approximately 23% and 21% of gross sales for the three-months ended September 30, 2012 and 2011, respectively. Gross sales to customers outside the United States amounted to $398.7 million and $292.1 million for the nine-months ended September 30, 2012 and 2011, respectively. Such sales were approximately 22% and 20% of gross sales for the nine-months ended September 30, 2012 and 2011, respectively.</w:t>
      </w:r>
    </w:p>
    <w:p>
      <w:pPr>
        <w:spacing w:after="0" w:line="215"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1"/>
          <w:szCs w:val="21"/>
          <w:color w:val="auto"/>
        </w:rPr>
        <w:t>Our customers are primarily full service beverage distributors, retail grocery and specialty chains, wholesalers, club stores, drug chains, mass merchandisers, convenience chains, health food distributors, food service customers and the military. Gross sales to our various customer types for the three- and nine-months ended September 30, 2012 and 2011 are reflected below. Such information includes sales made by us directly to the customer types concerned, which include our full service beverage distributors in the United States. Such full service beverage distributors in turn sell certain of our products to the same customer types listed below. We do not have complete details of such full service distributors’ sales of our products to their respective customers and therefore limit our description of our customer types to include only our sales to such full service distributors without reference to such distributors’ sales to their own customers.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00" w:type="dxa"/>
            <w:vAlign w:val="bottom"/>
            <w:gridSpan w:val="2"/>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8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100" w:type="dxa"/>
            <w:vAlign w:val="bottom"/>
          </w:tcPr>
          <w:p>
            <w:pPr>
              <w:spacing w:after="0"/>
              <w:rPr>
                <w:sz w:val="18"/>
                <w:szCs w:val="18"/>
                <w:color w:val="auto"/>
              </w:rPr>
            </w:pPr>
          </w:p>
        </w:tc>
      </w:tr>
      <w:tr>
        <w:trPr>
          <w:trHeight w:val="449"/>
        </w:trPr>
        <w:tc>
          <w:tcPr>
            <w:tcW w:w="1280" w:type="dxa"/>
            <w:vAlign w:val="bottom"/>
            <w:tcBorders>
              <w:top w:val="single" w:sz="8" w:color="0000EE"/>
            </w:tcBorders>
          </w:tcPr>
          <w:p>
            <w:pPr>
              <w:spacing w:after="0"/>
              <w:rPr>
                <w:sz w:val="24"/>
                <w:szCs w:val="24"/>
                <w:color w:val="auto"/>
              </w:rPr>
            </w:pPr>
          </w:p>
        </w:tc>
        <w:tc>
          <w:tcPr>
            <w:tcW w:w="3920" w:type="dxa"/>
            <w:vAlign w:val="bottom"/>
          </w:tcPr>
          <w:p>
            <w:pPr>
              <w:spacing w:after="0"/>
              <w:rPr>
                <w:sz w:val="24"/>
                <w:szCs w:val="24"/>
                <w:color w:val="auto"/>
              </w:rPr>
            </w:pPr>
          </w:p>
        </w:tc>
        <w:tc>
          <w:tcPr>
            <w:tcW w:w="3080" w:type="dxa"/>
            <w:vAlign w:val="bottom"/>
            <w:gridSpan w:val="3"/>
          </w:tcPr>
          <w:p>
            <w:pPr>
              <w:jc w:val="center"/>
              <w:ind w:right="280"/>
              <w:spacing w:after="0"/>
              <w:rPr>
                <w:sz w:val="20"/>
                <w:szCs w:val="20"/>
                <w:color w:val="auto"/>
              </w:rPr>
            </w:pPr>
            <w:r>
              <w:rPr>
                <w:rFonts w:ascii="Arial" w:cs="Arial" w:eastAsia="Arial" w:hAnsi="Arial"/>
                <w:sz w:val="20"/>
                <w:szCs w:val="20"/>
                <w:color w:val="auto"/>
                <w:w w:val="89"/>
              </w:rPr>
              <w:t>Three-Months Ended</w:t>
            </w:r>
          </w:p>
        </w:tc>
        <w:tc>
          <w:tcPr>
            <w:tcW w:w="2920" w:type="dxa"/>
            <w:vAlign w:val="bottom"/>
            <w:gridSpan w:val="2"/>
          </w:tcPr>
          <w:p>
            <w:pPr>
              <w:jc w:val="center"/>
              <w:ind w:right="41"/>
              <w:spacing w:after="0"/>
              <w:rPr>
                <w:sz w:val="20"/>
                <w:szCs w:val="20"/>
                <w:color w:val="auto"/>
              </w:rPr>
            </w:pPr>
            <w:r>
              <w:rPr>
                <w:rFonts w:ascii="Arial" w:cs="Arial" w:eastAsia="Arial" w:hAnsi="Arial"/>
                <w:sz w:val="20"/>
                <w:szCs w:val="20"/>
                <w:color w:val="auto"/>
                <w:w w:val="91"/>
              </w:rPr>
              <w:t>Nine-Months Ended</w:t>
            </w:r>
          </w:p>
        </w:tc>
      </w:tr>
      <w:tr>
        <w:trPr>
          <w:trHeight w:val="246"/>
        </w:trPr>
        <w:tc>
          <w:tcPr>
            <w:tcW w:w="1280" w:type="dxa"/>
            <w:vAlign w:val="bottom"/>
          </w:tcPr>
          <w:p>
            <w:pPr>
              <w:spacing w:after="0"/>
              <w:rPr>
                <w:sz w:val="21"/>
                <w:szCs w:val="21"/>
                <w:color w:val="auto"/>
              </w:rPr>
            </w:pPr>
          </w:p>
        </w:tc>
        <w:tc>
          <w:tcPr>
            <w:tcW w:w="39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260" w:type="dxa"/>
            <w:vAlign w:val="bottom"/>
            <w:gridSpan w:val="2"/>
          </w:tcPr>
          <w:p>
            <w:pPr>
              <w:jc w:val="center"/>
              <w:ind w:right="1100"/>
              <w:spacing w:after="0"/>
              <w:rPr>
                <w:sz w:val="20"/>
                <w:szCs w:val="20"/>
                <w:color w:val="auto"/>
              </w:rPr>
            </w:pPr>
            <w:r>
              <w:rPr>
                <w:rFonts w:ascii="Arial" w:cs="Arial" w:eastAsia="Arial" w:hAnsi="Arial"/>
                <w:sz w:val="20"/>
                <w:szCs w:val="20"/>
                <w:color w:val="auto"/>
                <w:w w:val="88"/>
              </w:rPr>
              <w:t>September 30,</w:t>
            </w:r>
          </w:p>
        </w:tc>
        <w:tc>
          <w:tcPr>
            <w:tcW w:w="820" w:type="dxa"/>
            <w:vAlign w:val="bottom"/>
          </w:tcPr>
          <w:p>
            <w:pPr>
              <w:spacing w:after="0"/>
              <w:rPr>
                <w:sz w:val="21"/>
                <w:szCs w:val="21"/>
                <w:color w:val="auto"/>
              </w:rPr>
            </w:pPr>
          </w:p>
        </w:tc>
        <w:tc>
          <w:tcPr>
            <w:tcW w:w="2100" w:type="dxa"/>
            <w:vAlign w:val="bottom"/>
          </w:tcPr>
          <w:p>
            <w:pPr>
              <w:jc w:val="center"/>
              <w:ind w:right="861"/>
              <w:spacing w:after="0"/>
              <w:rPr>
                <w:sz w:val="20"/>
                <w:szCs w:val="20"/>
                <w:color w:val="auto"/>
              </w:rPr>
            </w:pPr>
            <w:r>
              <w:rPr>
                <w:rFonts w:ascii="Arial" w:cs="Arial" w:eastAsia="Arial" w:hAnsi="Arial"/>
                <w:sz w:val="20"/>
                <w:szCs w:val="20"/>
                <w:color w:val="auto"/>
                <w:w w:val="86"/>
              </w:rPr>
              <w:t>September 30,</w:t>
            </w:r>
          </w:p>
        </w:tc>
      </w:tr>
      <w:tr>
        <w:trPr>
          <w:trHeight w:val="223"/>
        </w:trPr>
        <w:tc>
          <w:tcPr>
            <w:tcW w:w="1280" w:type="dxa"/>
            <w:vAlign w:val="bottom"/>
            <w:tcBorders>
              <w:bottom w:val="single" w:sz="8" w:color="CCEEFF"/>
            </w:tcBorders>
          </w:tcPr>
          <w:p>
            <w:pPr>
              <w:spacing w:after="0"/>
              <w:rPr>
                <w:sz w:val="19"/>
                <w:szCs w:val="19"/>
                <w:color w:val="auto"/>
              </w:rPr>
            </w:pPr>
          </w:p>
        </w:tc>
        <w:tc>
          <w:tcPr>
            <w:tcW w:w="3920" w:type="dxa"/>
            <w:vAlign w:val="bottom"/>
            <w:tcBorders>
              <w:bottom w:val="single" w:sz="8" w:color="CCEEFF"/>
            </w:tcBorders>
          </w:tcPr>
          <w:p>
            <w:pPr>
              <w:spacing w:after="0"/>
              <w:rPr>
                <w:sz w:val="19"/>
                <w:szCs w:val="19"/>
                <w:color w:val="auto"/>
              </w:rPr>
            </w:pPr>
          </w:p>
        </w:tc>
        <w:tc>
          <w:tcPr>
            <w:tcW w:w="820" w:type="dxa"/>
            <w:vAlign w:val="bottom"/>
            <w:tcBorders>
              <w:top w:val="single" w:sz="8" w:color="auto"/>
              <w:bottom w:val="single" w:sz="8" w:color="auto"/>
            </w:tcBorders>
          </w:tcPr>
          <w:p>
            <w:pPr>
              <w:jc w:val="center"/>
              <w:ind w:left="341"/>
              <w:spacing w:after="0" w:line="223" w:lineRule="exact"/>
              <w:rPr>
                <w:sz w:val="20"/>
                <w:szCs w:val="20"/>
                <w:color w:val="auto"/>
              </w:rPr>
            </w:pPr>
            <w:r>
              <w:rPr>
                <w:rFonts w:ascii="Arial" w:cs="Arial" w:eastAsia="Arial" w:hAnsi="Arial"/>
                <w:sz w:val="20"/>
                <w:szCs w:val="20"/>
                <w:color w:val="auto"/>
                <w:w w:val="85"/>
              </w:rPr>
              <w:t>2012</w:t>
            </w:r>
          </w:p>
        </w:tc>
        <w:tc>
          <w:tcPr>
            <w:tcW w:w="1960" w:type="dxa"/>
            <w:vAlign w:val="bottom"/>
            <w:tcBorders>
              <w:top w:val="single" w:sz="8" w:color="auto"/>
              <w:bottom w:val="single" w:sz="8" w:color="auto"/>
            </w:tcBorders>
          </w:tcPr>
          <w:p>
            <w:pPr>
              <w:jc w:val="center"/>
              <w:ind w:left="621"/>
              <w:spacing w:after="0" w:line="223" w:lineRule="exact"/>
              <w:rPr>
                <w:sz w:val="20"/>
                <w:szCs w:val="20"/>
                <w:color w:val="auto"/>
              </w:rPr>
            </w:pPr>
            <w:r>
              <w:rPr>
                <w:rFonts w:ascii="Arial" w:cs="Arial" w:eastAsia="Arial" w:hAnsi="Arial"/>
                <w:sz w:val="20"/>
                <w:szCs w:val="20"/>
                <w:color w:val="auto"/>
                <w:w w:val="89"/>
              </w:rPr>
              <w:t>2011</w:t>
            </w:r>
          </w:p>
        </w:tc>
        <w:tc>
          <w:tcPr>
            <w:tcW w:w="300" w:type="dxa"/>
            <w:vAlign w:val="bottom"/>
            <w:tcBorders>
              <w:bottom w:val="single" w:sz="8" w:color="CCEEFF"/>
            </w:tcBorders>
          </w:tcPr>
          <w:p>
            <w:pPr>
              <w:spacing w:after="0"/>
              <w:rPr>
                <w:sz w:val="19"/>
                <w:szCs w:val="19"/>
                <w:color w:val="auto"/>
              </w:rPr>
            </w:pPr>
          </w:p>
        </w:tc>
        <w:tc>
          <w:tcPr>
            <w:tcW w:w="820" w:type="dxa"/>
            <w:vAlign w:val="bottom"/>
            <w:tcBorders>
              <w:top w:val="single" w:sz="8" w:color="auto"/>
              <w:bottom w:val="single" w:sz="8" w:color="auto"/>
            </w:tcBorders>
          </w:tcPr>
          <w:p>
            <w:pPr>
              <w:jc w:val="center"/>
              <w:ind w:left="321"/>
              <w:spacing w:after="0" w:line="223" w:lineRule="exact"/>
              <w:rPr>
                <w:sz w:val="20"/>
                <w:szCs w:val="20"/>
                <w:color w:val="auto"/>
              </w:rPr>
            </w:pPr>
            <w:r>
              <w:rPr>
                <w:rFonts w:ascii="Arial" w:cs="Arial" w:eastAsia="Arial" w:hAnsi="Arial"/>
                <w:sz w:val="20"/>
                <w:szCs w:val="20"/>
                <w:color w:val="auto"/>
                <w:w w:val="89"/>
              </w:rPr>
              <w:t>2012</w:t>
            </w:r>
          </w:p>
        </w:tc>
        <w:tc>
          <w:tcPr>
            <w:tcW w:w="2100" w:type="dxa"/>
            <w:vAlign w:val="bottom"/>
            <w:tcBorders>
              <w:top w:val="single" w:sz="8" w:color="auto"/>
              <w:bottom w:val="single" w:sz="8" w:color="auto"/>
            </w:tcBorders>
          </w:tcPr>
          <w:p>
            <w:pPr>
              <w:jc w:val="center"/>
              <w:ind w:left="481"/>
              <w:spacing w:after="0" w:line="223" w:lineRule="exact"/>
              <w:rPr>
                <w:sz w:val="20"/>
                <w:szCs w:val="20"/>
                <w:color w:val="auto"/>
              </w:rPr>
            </w:pPr>
            <w:r>
              <w:rPr>
                <w:rFonts w:ascii="Arial" w:cs="Arial" w:eastAsia="Arial" w:hAnsi="Arial"/>
                <w:sz w:val="20"/>
                <w:szCs w:val="20"/>
                <w:color w:val="auto"/>
                <w:w w:val="89"/>
              </w:rPr>
              <w:t>2011</w:t>
            </w:r>
          </w:p>
        </w:tc>
      </w:tr>
      <w:tr>
        <w:trPr>
          <w:trHeight w:val="223"/>
        </w:trPr>
        <w:tc>
          <w:tcPr>
            <w:tcW w:w="5200" w:type="dxa"/>
            <w:vAlign w:val="bottom"/>
            <w:gridSpan w:val="2"/>
            <w:shd w:val="clear" w:color="auto" w:fill="CCEEFF"/>
          </w:tcPr>
          <w:p>
            <w:pPr>
              <w:spacing w:after="0" w:line="223" w:lineRule="exact"/>
              <w:rPr>
                <w:sz w:val="20"/>
                <w:szCs w:val="20"/>
                <w:color w:val="auto"/>
              </w:rPr>
            </w:pPr>
            <w:r>
              <w:rPr>
                <w:rFonts w:ascii="Arial" w:cs="Arial" w:eastAsia="Arial" w:hAnsi="Arial"/>
                <w:sz w:val="20"/>
                <w:szCs w:val="20"/>
                <w:color w:val="auto"/>
              </w:rPr>
              <w:t>Full service distributors</w:t>
            </w:r>
          </w:p>
        </w:tc>
        <w:tc>
          <w:tcPr>
            <w:tcW w:w="820" w:type="dxa"/>
            <w:vAlign w:val="bottom"/>
            <w:shd w:val="clear" w:color="auto" w:fill="CCEEFF"/>
          </w:tcPr>
          <w:p>
            <w:pPr>
              <w:jc w:val="center"/>
              <w:ind w:left="341"/>
              <w:spacing w:after="0" w:line="223" w:lineRule="exact"/>
              <w:rPr>
                <w:sz w:val="20"/>
                <w:szCs w:val="20"/>
                <w:color w:val="auto"/>
              </w:rPr>
            </w:pPr>
            <w:r>
              <w:rPr>
                <w:rFonts w:ascii="Arial" w:cs="Arial" w:eastAsia="Arial" w:hAnsi="Arial"/>
                <w:sz w:val="20"/>
                <w:szCs w:val="20"/>
                <w:color w:val="auto"/>
                <w:w w:val="94"/>
              </w:rPr>
              <w:t>62%</w:t>
            </w:r>
          </w:p>
        </w:tc>
        <w:tc>
          <w:tcPr>
            <w:tcW w:w="1960" w:type="dxa"/>
            <w:vAlign w:val="bottom"/>
            <w:shd w:val="clear" w:color="auto" w:fill="CCEEFF"/>
          </w:tcPr>
          <w:p>
            <w:pPr>
              <w:jc w:val="center"/>
              <w:ind w:left="621"/>
              <w:spacing w:after="0" w:line="223" w:lineRule="exact"/>
              <w:rPr>
                <w:sz w:val="20"/>
                <w:szCs w:val="20"/>
                <w:color w:val="auto"/>
              </w:rPr>
            </w:pPr>
            <w:r>
              <w:rPr>
                <w:rFonts w:ascii="Arial" w:cs="Arial" w:eastAsia="Arial" w:hAnsi="Arial"/>
                <w:sz w:val="20"/>
                <w:szCs w:val="20"/>
                <w:color w:val="auto"/>
                <w:w w:val="89"/>
              </w:rPr>
              <w:t>62%</w:t>
            </w: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center"/>
              <w:ind w:left="321"/>
              <w:spacing w:after="0" w:line="223" w:lineRule="exact"/>
              <w:rPr>
                <w:sz w:val="20"/>
                <w:szCs w:val="20"/>
                <w:color w:val="auto"/>
              </w:rPr>
            </w:pPr>
            <w:r>
              <w:rPr>
                <w:rFonts w:ascii="Arial" w:cs="Arial" w:eastAsia="Arial" w:hAnsi="Arial"/>
                <w:sz w:val="20"/>
                <w:szCs w:val="20"/>
                <w:color w:val="auto"/>
                <w:w w:val="89"/>
              </w:rPr>
              <w:t>63%</w:t>
            </w:r>
          </w:p>
        </w:tc>
        <w:tc>
          <w:tcPr>
            <w:tcW w:w="2100" w:type="dxa"/>
            <w:vAlign w:val="bottom"/>
            <w:shd w:val="clear" w:color="auto" w:fill="CCEEFF"/>
          </w:tcPr>
          <w:p>
            <w:pPr>
              <w:jc w:val="center"/>
              <w:ind w:left="481"/>
              <w:spacing w:after="0" w:line="223" w:lineRule="exact"/>
              <w:rPr>
                <w:sz w:val="20"/>
                <w:szCs w:val="20"/>
                <w:color w:val="auto"/>
              </w:rPr>
            </w:pPr>
            <w:r>
              <w:rPr>
                <w:rFonts w:ascii="Arial" w:cs="Arial" w:eastAsia="Arial" w:hAnsi="Arial"/>
                <w:sz w:val="20"/>
                <w:szCs w:val="20"/>
                <w:color w:val="auto"/>
                <w:w w:val="89"/>
              </w:rPr>
              <w:t>64%</w:t>
            </w:r>
          </w:p>
        </w:tc>
      </w:tr>
      <w:tr>
        <w:trPr>
          <w:trHeight w:val="230"/>
        </w:trPr>
        <w:tc>
          <w:tcPr>
            <w:tcW w:w="5200" w:type="dxa"/>
            <w:vAlign w:val="bottom"/>
            <w:gridSpan w:val="2"/>
          </w:tcPr>
          <w:p>
            <w:pPr>
              <w:spacing w:after="0"/>
              <w:rPr>
                <w:sz w:val="20"/>
                <w:szCs w:val="20"/>
                <w:color w:val="auto"/>
              </w:rPr>
            </w:pPr>
            <w:r>
              <w:rPr>
                <w:rFonts w:ascii="Arial" w:cs="Arial" w:eastAsia="Arial" w:hAnsi="Arial"/>
                <w:sz w:val="20"/>
                <w:szCs w:val="20"/>
                <w:color w:val="auto"/>
              </w:rPr>
              <w:t>Club stores, drug chains &amp; mass merchandisers</w:t>
            </w:r>
          </w:p>
        </w:tc>
        <w:tc>
          <w:tcPr>
            <w:tcW w:w="820" w:type="dxa"/>
            <w:vAlign w:val="bottom"/>
          </w:tcPr>
          <w:p>
            <w:pPr>
              <w:jc w:val="center"/>
              <w:ind w:left="341"/>
              <w:spacing w:after="0"/>
              <w:rPr>
                <w:sz w:val="20"/>
                <w:szCs w:val="20"/>
                <w:color w:val="auto"/>
              </w:rPr>
            </w:pPr>
            <w:r>
              <w:rPr>
                <w:rFonts w:ascii="Arial" w:cs="Arial" w:eastAsia="Arial" w:hAnsi="Arial"/>
                <w:sz w:val="20"/>
                <w:szCs w:val="20"/>
                <w:color w:val="auto"/>
                <w:w w:val="94"/>
              </w:rPr>
              <w:t>10%</w:t>
            </w:r>
          </w:p>
        </w:tc>
        <w:tc>
          <w:tcPr>
            <w:tcW w:w="1960" w:type="dxa"/>
            <w:vAlign w:val="bottom"/>
          </w:tcPr>
          <w:p>
            <w:pPr>
              <w:jc w:val="center"/>
              <w:ind w:left="621"/>
              <w:spacing w:after="0"/>
              <w:rPr>
                <w:sz w:val="20"/>
                <w:szCs w:val="20"/>
                <w:color w:val="auto"/>
              </w:rPr>
            </w:pPr>
            <w:r>
              <w:rPr>
                <w:rFonts w:ascii="Arial" w:cs="Arial" w:eastAsia="Arial" w:hAnsi="Arial"/>
                <w:sz w:val="20"/>
                <w:szCs w:val="20"/>
                <w:color w:val="auto"/>
                <w:w w:val="89"/>
              </w:rPr>
              <w:t>11%</w:t>
            </w:r>
          </w:p>
        </w:tc>
        <w:tc>
          <w:tcPr>
            <w:tcW w:w="300" w:type="dxa"/>
            <w:vAlign w:val="bottom"/>
          </w:tcPr>
          <w:p>
            <w:pPr>
              <w:spacing w:after="0"/>
              <w:rPr>
                <w:sz w:val="19"/>
                <w:szCs w:val="19"/>
                <w:color w:val="auto"/>
              </w:rPr>
            </w:pPr>
          </w:p>
        </w:tc>
        <w:tc>
          <w:tcPr>
            <w:tcW w:w="820" w:type="dxa"/>
            <w:vAlign w:val="bottom"/>
          </w:tcPr>
          <w:p>
            <w:pPr>
              <w:jc w:val="center"/>
              <w:ind w:left="321"/>
              <w:spacing w:after="0"/>
              <w:rPr>
                <w:sz w:val="20"/>
                <w:szCs w:val="20"/>
                <w:color w:val="auto"/>
              </w:rPr>
            </w:pPr>
            <w:r>
              <w:rPr>
                <w:rFonts w:ascii="Arial" w:cs="Arial" w:eastAsia="Arial" w:hAnsi="Arial"/>
                <w:sz w:val="20"/>
                <w:szCs w:val="20"/>
                <w:color w:val="auto"/>
                <w:w w:val="96"/>
              </w:rPr>
              <w:t>9%</w:t>
            </w:r>
          </w:p>
        </w:tc>
        <w:tc>
          <w:tcPr>
            <w:tcW w:w="2100" w:type="dxa"/>
            <w:vAlign w:val="bottom"/>
          </w:tcPr>
          <w:p>
            <w:pPr>
              <w:jc w:val="center"/>
              <w:ind w:left="481"/>
              <w:spacing w:after="0"/>
              <w:rPr>
                <w:sz w:val="20"/>
                <w:szCs w:val="20"/>
                <w:color w:val="auto"/>
              </w:rPr>
            </w:pPr>
            <w:r>
              <w:rPr>
                <w:rFonts w:ascii="Arial" w:cs="Arial" w:eastAsia="Arial" w:hAnsi="Arial"/>
                <w:sz w:val="20"/>
                <w:szCs w:val="20"/>
                <w:color w:val="auto"/>
                <w:w w:val="89"/>
              </w:rPr>
              <w:t>10%</w:t>
            </w:r>
          </w:p>
        </w:tc>
      </w:tr>
      <w:tr>
        <w:trPr>
          <w:trHeight w:val="230"/>
        </w:trPr>
        <w:tc>
          <w:tcPr>
            <w:tcW w:w="520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Outside the U.S.</w:t>
            </w:r>
          </w:p>
        </w:tc>
        <w:tc>
          <w:tcPr>
            <w:tcW w:w="820" w:type="dxa"/>
            <w:vAlign w:val="bottom"/>
            <w:shd w:val="clear" w:color="auto" w:fill="CCEEFF"/>
          </w:tcPr>
          <w:p>
            <w:pPr>
              <w:jc w:val="center"/>
              <w:ind w:left="341"/>
              <w:spacing w:after="0"/>
              <w:rPr>
                <w:sz w:val="20"/>
                <w:szCs w:val="20"/>
                <w:color w:val="auto"/>
              </w:rPr>
            </w:pPr>
            <w:r>
              <w:rPr>
                <w:rFonts w:ascii="Arial" w:cs="Arial" w:eastAsia="Arial" w:hAnsi="Arial"/>
                <w:sz w:val="20"/>
                <w:szCs w:val="20"/>
                <w:color w:val="auto"/>
                <w:w w:val="94"/>
              </w:rPr>
              <w:t>23%</w:t>
            </w:r>
          </w:p>
        </w:tc>
        <w:tc>
          <w:tcPr>
            <w:tcW w:w="1960" w:type="dxa"/>
            <w:vAlign w:val="bottom"/>
            <w:shd w:val="clear" w:color="auto" w:fill="CCEEFF"/>
          </w:tcPr>
          <w:p>
            <w:pPr>
              <w:jc w:val="center"/>
              <w:ind w:left="621"/>
              <w:spacing w:after="0"/>
              <w:rPr>
                <w:sz w:val="20"/>
                <w:szCs w:val="20"/>
                <w:color w:val="auto"/>
              </w:rPr>
            </w:pPr>
            <w:r>
              <w:rPr>
                <w:rFonts w:ascii="Arial" w:cs="Arial" w:eastAsia="Arial" w:hAnsi="Arial"/>
                <w:sz w:val="20"/>
                <w:szCs w:val="20"/>
                <w:color w:val="auto"/>
                <w:w w:val="89"/>
              </w:rPr>
              <w:t>21%</w:t>
            </w: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center"/>
              <w:ind w:left="321"/>
              <w:spacing w:after="0"/>
              <w:rPr>
                <w:sz w:val="20"/>
                <w:szCs w:val="20"/>
                <w:color w:val="auto"/>
              </w:rPr>
            </w:pPr>
            <w:r>
              <w:rPr>
                <w:rFonts w:ascii="Arial" w:cs="Arial" w:eastAsia="Arial" w:hAnsi="Arial"/>
                <w:sz w:val="20"/>
                <w:szCs w:val="20"/>
                <w:color w:val="auto"/>
                <w:w w:val="89"/>
              </w:rPr>
              <w:t>22%</w:t>
            </w:r>
          </w:p>
        </w:tc>
        <w:tc>
          <w:tcPr>
            <w:tcW w:w="2100" w:type="dxa"/>
            <w:vAlign w:val="bottom"/>
            <w:shd w:val="clear" w:color="auto" w:fill="CCEEFF"/>
          </w:tcPr>
          <w:p>
            <w:pPr>
              <w:jc w:val="center"/>
              <w:ind w:left="481"/>
              <w:spacing w:after="0"/>
              <w:rPr>
                <w:sz w:val="20"/>
                <w:szCs w:val="20"/>
                <w:color w:val="auto"/>
              </w:rPr>
            </w:pPr>
            <w:r>
              <w:rPr>
                <w:rFonts w:ascii="Arial" w:cs="Arial" w:eastAsia="Arial" w:hAnsi="Arial"/>
                <w:sz w:val="20"/>
                <w:szCs w:val="20"/>
                <w:color w:val="auto"/>
                <w:w w:val="89"/>
              </w:rPr>
              <w:t>20%</w:t>
            </w:r>
          </w:p>
        </w:tc>
      </w:tr>
      <w:tr>
        <w:trPr>
          <w:trHeight w:val="230"/>
        </w:trPr>
        <w:tc>
          <w:tcPr>
            <w:tcW w:w="5200" w:type="dxa"/>
            <w:vAlign w:val="bottom"/>
            <w:gridSpan w:val="2"/>
          </w:tcPr>
          <w:p>
            <w:pPr>
              <w:spacing w:after="0"/>
              <w:rPr>
                <w:sz w:val="20"/>
                <w:szCs w:val="20"/>
                <w:color w:val="auto"/>
              </w:rPr>
            </w:pPr>
            <w:r>
              <w:rPr>
                <w:rFonts w:ascii="Arial" w:cs="Arial" w:eastAsia="Arial" w:hAnsi="Arial"/>
                <w:sz w:val="20"/>
                <w:szCs w:val="20"/>
                <w:color w:val="auto"/>
              </w:rPr>
              <w:t>Retail grocery, specialty chains and wholesalers</w:t>
            </w:r>
          </w:p>
        </w:tc>
        <w:tc>
          <w:tcPr>
            <w:tcW w:w="820" w:type="dxa"/>
            <w:vAlign w:val="bottom"/>
          </w:tcPr>
          <w:p>
            <w:pPr>
              <w:jc w:val="center"/>
              <w:ind w:left="341"/>
              <w:spacing w:after="0"/>
              <w:rPr>
                <w:sz w:val="20"/>
                <w:szCs w:val="20"/>
                <w:color w:val="auto"/>
              </w:rPr>
            </w:pPr>
            <w:r>
              <w:rPr>
                <w:rFonts w:ascii="Arial" w:cs="Arial" w:eastAsia="Arial" w:hAnsi="Arial"/>
                <w:sz w:val="20"/>
                <w:szCs w:val="20"/>
                <w:color w:val="auto"/>
                <w:w w:val="89"/>
              </w:rPr>
              <w:t>3%</w:t>
            </w:r>
          </w:p>
        </w:tc>
        <w:tc>
          <w:tcPr>
            <w:tcW w:w="1960" w:type="dxa"/>
            <w:vAlign w:val="bottom"/>
          </w:tcPr>
          <w:p>
            <w:pPr>
              <w:jc w:val="center"/>
              <w:ind w:left="621"/>
              <w:spacing w:after="0"/>
              <w:rPr>
                <w:sz w:val="20"/>
                <w:szCs w:val="20"/>
                <w:color w:val="auto"/>
              </w:rPr>
            </w:pPr>
            <w:r>
              <w:rPr>
                <w:rFonts w:ascii="Arial" w:cs="Arial" w:eastAsia="Arial" w:hAnsi="Arial"/>
                <w:sz w:val="20"/>
                <w:szCs w:val="20"/>
                <w:color w:val="auto"/>
                <w:w w:val="96"/>
              </w:rPr>
              <w:t>4%</w:t>
            </w:r>
          </w:p>
        </w:tc>
        <w:tc>
          <w:tcPr>
            <w:tcW w:w="300" w:type="dxa"/>
            <w:vAlign w:val="bottom"/>
          </w:tcPr>
          <w:p>
            <w:pPr>
              <w:spacing w:after="0"/>
              <w:rPr>
                <w:sz w:val="19"/>
                <w:szCs w:val="19"/>
                <w:color w:val="auto"/>
              </w:rPr>
            </w:pPr>
          </w:p>
        </w:tc>
        <w:tc>
          <w:tcPr>
            <w:tcW w:w="820" w:type="dxa"/>
            <w:vAlign w:val="bottom"/>
          </w:tcPr>
          <w:p>
            <w:pPr>
              <w:jc w:val="center"/>
              <w:ind w:left="321"/>
              <w:spacing w:after="0"/>
              <w:rPr>
                <w:sz w:val="20"/>
                <w:szCs w:val="20"/>
                <w:color w:val="auto"/>
              </w:rPr>
            </w:pPr>
            <w:r>
              <w:rPr>
                <w:rFonts w:ascii="Arial" w:cs="Arial" w:eastAsia="Arial" w:hAnsi="Arial"/>
                <w:sz w:val="20"/>
                <w:szCs w:val="20"/>
                <w:color w:val="auto"/>
                <w:w w:val="96"/>
              </w:rPr>
              <w:t>4%</w:t>
            </w:r>
          </w:p>
        </w:tc>
        <w:tc>
          <w:tcPr>
            <w:tcW w:w="2100" w:type="dxa"/>
            <w:vAlign w:val="bottom"/>
          </w:tcPr>
          <w:p>
            <w:pPr>
              <w:jc w:val="center"/>
              <w:ind w:left="481"/>
              <w:spacing w:after="0"/>
              <w:rPr>
                <w:sz w:val="20"/>
                <w:szCs w:val="20"/>
                <w:color w:val="auto"/>
              </w:rPr>
            </w:pPr>
            <w:r>
              <w:rPr>
                <w:rFonts w:ascii="Arial" w:cs="Arial" w:eastAsia="Arial" w:hAnsi="Arial"/>
                <w:sz w:val="20"/>
                <w:szCs w:val="20"/>
                <w:color w:val="auto"/>
                <w:w w:val="96"/>
              </w:rPr>
              <w:t>4%</w:t>
            </w:r>
          </w:p>
        </w:tc>
      </w:tr>
      <w:tr>
        <w:trPr>
          <w:trHeight w:val="230"/>
        </w:trPr>
        <w:tc>
          <w:tcPr>
            <w:tcW w:w="520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Other</w:t>
            </w:r>
          </w:p>
        </w:tc>
        <w:tc>
          <w:tcPr>
            <w:tcW w:w="820" w:type="dxa"/>
            <w:vAlign w:val="bottom"/>
            <w:shd w:val="clear" w:color="auto" w:fill="CCEEFF"/>
          </w:tcPr>
          <w:p>
            <w:pPr>
              <w:jc w:val="center"/>
              <w:ind w:left="341"/>
              <w:spacing w:after="0"/>
              <w:rPr>
                <w:sz w:val="20"/>
                <w:szCs w:val="20"/>
                <w:color w:val="auto"/>
              </w:rPr>
            </w:pPr>
            <w:r>
              <w:rPr>
                <w:rFonts w:ascii="Arial" w:cs="Arial" w:eastAsia="Arial" w:hAnsi="Arial"/>
                <w:sz w:val="20"/>
                <w:szCs w:val="20"/>
                <w:color w:val="auto"/>
                <w:w w:val="89"/>
              </w:rPr>
              <w:t>2%</w:t>
            </w:r>
          </w:p>
        </w:tc>
        <w:tc>
          <w:tcPr>
            <w:tcW w:w="1960" w:type="dxa"/>
            <w:vAlign w:val="bottom"/>
            <w:shd w:val="clear" w:color="auto" w:fill="CCEEFF"/>
          </w:tcPr>
          <w:p>
            <w:pPr>
              <w:jc w:val="center"/>
              <w:ind w:left="621"/>
              <w:spacing w:after="0"/>
              <w:rPr>
                <w:sz w:val="20"/>
                <w:szCs w:val="20"/>
                <w:color w:val="auto"/>
              </w:rPr>
            </w:pPr>
            <w:r>
              <w:rPr>
                <w:rFonts w:ascii="Arial" w:cs="Arial" w:eastAsia="Arial" w:hAnsi="Arial"/>
                <w:sz w:val="20"/>
                <w:szCs w:val="20"/>
                <w:color w:val="auto"/>
                <w:w w:val="96"/>
              </w:rPr>
              <w:t>2%</w:t>
            </w: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center"/>
              <w:ind w:left="321"/>
              <w:spacing w:after="0"/>
              <w:rPr>
                <w:sz w:val="20"/>
                <w:szCs w:val="20"/>
                <w:color w:val="auto"/>
              </w:rPr>
            </w:pPr>
            <w:r>
              <w:rPr>
                <w:rFonts w:ascii="Arial" w:cs="Arial" w:eastAsia="Arial" w:hAnsi="Arial"/>
                <w:sz w:val="20"/>
                <w:szCs w:val="20"/>
                <w:color w:val="auto"/>
                <w:w w:val="96"/>
              </w:rPr>
              <w:t>2%</w:t>
            </w:r>
          </w:p>
        </w:tc>
        <w:tc>
          <w:tcPr>
            <w:tcW w:w="2100" w:type="dxa"/>
            <w:vAlign w:val="bottom"/>
            <w:shd w:val="clear" w:color="auto" w:fill="CCEEFF"/>
          </w:tcPr>
          <w:p>
            <w:pPr>
              <w:jc w:val="center"/>
              <w:ind w:left="481"/>
              <w:spacing w:after="0"/>
              <w:rPr>
                <w:sz w:val="20"/>
                <w:szCs w:val="20"/>
                <w:color w:val="auto"/>
              </w:rPr>
            </w:pPr>
            <w:r>
              <w:rPr>
                <w:rFonts w:ascii="Arial" w:cs="Arial" w:eastAsia="Arial" w:hAnsi="Arial"/>
                <w:sz w:val="20"/>
                <w:szCs w:val="20"/>
                <w:color w:val="auto"/>
                <w:w w:val="96"/>
              </w:rPr>
              <w:t>2%</w:t>
            </w:r>
          </w:p>
        </w:tc>
      </w:tr>
    </w:tbl>
    <w:p>
      <w:pPr>
        <w:spacing w:after="0" w:line="195"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1"/>
          <w:szCs w:val="21"/>
          <w:color w:val="auto"/>
        </w:rPr>
        <w:t>Our customers include Coca-Cola Refreshments USA Inc. (“CCR”), Coca-Cola Enterprises, Coca-Cola Refreshments Canada, Ltd. (formerly known as Coca-Cola Bottling Company), CCBCC Operations, LLC, United Bottling Contracts Company, LLC and other Coca-Cola Company independent bottlers, Wal-Mart, Inc. (including Sam’s Club), select Anheuser-Busch, Inc. distributors, certain bottlers of the Coca-Cola Hellenic group, Kalil Bottling Group, Trader Joe’s, John Lenore &amp; Company, Swire Coca-Cola, Costco, The Kroger Co. and Safeway, Inc. A decision by any large customer to decrease amounts purchased from us or to cease carrying our products could have a material negative effect on our financial condition and consolidated results of operations. CCR accounted for approximately 28% and 29% of our net sales for the three-months ended September 30, 2012 and 2011, respectively. CCR accounted for approximately 29% of our net sales for both the nine-months ended September 30, 2012 and 2011.</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Results of Operations</w:t>
      </w:r>
    </w:p>
    <w:p>
      <w:pPr>
        <w:spacing w:after="0" w:line="212" w:lineRule="exact"/>
        <w:rPr>
          <w:sz w:val="20"/>
          <w:szCs w:val="20"/>
          <w:color w:val="auto"/>
        </w:rPr>
      </w:pPr>
    </w:p>
    <w:p>
      <w:pPr>
        <w:jc w:val="both"/>
        <w:ind w:right="20" w:firstLine="648"/>
        <w:spacing w:after="0" w:line="251" w:lineRule="auto"/>
        <w:rPr>
          <w:sz w:val="20"/>
          <w:szCs w:val="20"/>
          <w:color w:val="auto"/>
        </w:rPr>
      </w:pPr>
      <w:r>
        <w:rPr>
          <w:rFonts w:ascii="Arial" w:cs="Arial" w:eastAsia="Arial" w:hAnsi="Arial"/>
          <w:sz w:val="22"/>
          <w:szCs w:val="22"/>
          <w:color w:val="auto"/>
        </w:rPr>
        <w:t>The following table sets forth key statistics for the three- and nine-months ended September 30, 2012 and 2011, respectively.</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(In thousands, except per share</w:t>
            </w:r>
          </w:p>
        </w:tc>
        <w:tc>
          <w:tcPr>
            <w:tcW w:w="300" w:type="dxa"/>
            <w:vAlign w:val="bottom"/>
          </w:tcPr>
          <w:p>
            <w:pPr>
              <w:spacing w:after="0"/>
              <w:rPr>
                <w:sz w:val="18"/>
                <w:szCs w:val="18"/>
                <w:color w:val="auto"/>
              </w:rPr>
            </w:pPr>
          </w:p>
        </w:tc>
        <w:tc>
          <w:tcPr>
            <w:tcW w:w="2160" w:type="dxa"/>
            <w:vAlign w:val="bottom"/>
            <w:gridSpan w:val="4"/>
          </w:tcPr>
          <w:p>
            <w:pPr>
              <w:jc w:val="right"/>
              <w:ind w:right="310"/>
              <w:spacing w:after="0"/>
              <w:rPr>
                <w:sz w:val="20"/>
                <w:szCs w:val="20"/>
                <w:color w:val="auto"/>
              </w:rPr>
            </w:pPr>
            <w:r>
              <w:rPr>
                <w:rFonts w:ascii="Arial" w:cs="Arial" w:eastAsia="Arial" w:hAnsi="Arial"/>
                <w:sz w:val="18"/>
                <w:szCs w:val="18"/>
                <w:b w:val="1"/>
                <w:bCs w:val="1"/>
                <w:color w:val="auto"/>
                <w:w w:val="97"/>
              </w:rPr>
              <w:t>Three-Months Ended</w:t>
            </w:r>
          </w:p>
        </w:tc>
        <w:tc>
          <w:tcPr>
            <w:tcW w:w="160" w:type="dxa"/>
            <w:vAlign w:val="bottom"/>
          </w:tcPr>
          <w:p>
            <w:pPr>
              <w:spacing w:after="0"/>
              <w:rPr>
                <w:sz w:val="18"/>
                <w:szCs w:val="18"/>
                <w:color w:val="auto"/>
              </w:rPr>
            </w:pPr>
          </w:p>
        </w:tc>
        <w:tc>
          <w:tcPr>
            <w:tcW w:w="13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8"/>
              </w:rPr>
              <w:t>Percentage</w:t>
            </w:r>
          </w:p>
        </w:tc>
        <w:tc>
          <w:tcPr>
            <w:tcW w:w="2480" w:type="dxa"/>
            <w:vAlign w:val="bottom"/>
            <w:gridSpan w:val="3"/>
          </w:tcPr>
          <w:p>
            <w:pPr>
              <w:jc w:val="right"/>
              <w:ind w:right="370"/>
              <w:spacing w:after="0"/>
              <w:rPr>
                <w:sz w:val="20"/>
                <w:szCs w:val="20"/>
                <w:color w:val="auto"/>
              </w:rPr>
            </w:pPr>
            <w:r>
              <w:rPr>
                <w:rFonts w:ascii="Arial" w:cs="Arial" w:eastAsia="Arial" w:hAnsi="Arial"/>
                <w:sz w:val="18"/>
                <w:szCs w:val="18"/>
                <w:b w:val="1"/>
                <w:bCs w:val="1"/>
                <w:color w:val="auto"/>
              </w:rPr>
              <w:t>Nine-Months Ended</w:t>
            </w:r>
          </w:p>
        </w:tc>
        <w:tc>
          <w:tcPr>
            <w:tcW w:w="16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86"/>
              </w:rPr>
              <w:t>Percentage</w:t>
            </w:r>
          </w:p>
        </w:tc>
      </w:tr>
      <w:tr>
        <w:trPr>
          <w:trHeight w:val="234"/>
        </w:trPr>
        <w:tc>
          <w:tcPr>
            <w:tcW w:w="3660" w:type="dxa"/>
            <w:vAlign w:val="bottom"/>
          </w:tcPr>
          <w:p>
            <w:pPr>
              <w:spacing w:after="0"/>
              <w:rPr>
                <w:sz w:val="20"/>
                <w:szCs w:val="20"/>
                <w:color w:val="auto"/>
              </w:rPr>
            </w:pPr>
            <w:r>
              <w:rPr>
                <w:rFonts w:ascii="Arial" w:cs="Arial" w:eastAsia="Arial" w:hAnsi="Arial"/>
                <w:sz w:val="18"/>
                <w:szCs w:val="18"/>
                <w:color w:val="auto"/>
              </w:rPr>
              <w:t>amounts)</w:t>
            </w:r>
          </w:p>
        </w:tc>
        <w:tc>
          <w:tcPr>
            <w:tcW w:w="30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4"/>
          </w:tcPr>
          <w:p>
            <w:pPr>
              <w:jc w:val="right"/>
              <w:ind w:right="590"/>
              <w:spacing w:after="0"/>
              <w:rPr>
                <w:sz w:val="20"/>
                <w:szCs w:val="20"/>
                <w:color w:val="auto"/>
              </w:rPr>
            </w:pPr>
            <w:r>
              <w:rPr>
                <w:rFonts w:ascii="Arial" w:cs="Arial" w:eastAsia="Arial" w:hAnsi="Arial"/>
                <w:sz w:val="18"/>
                <w:szCs w:val="18"/>
                <w:b w:val="1"/>
                <w:bCs w:val="1"/>
                <w:color w:val="auto"/>
              </w:rPr>
              <w:t>September 30,</w:t>
            </w:r>
          </w:p>
        </w:tc>
        <w:tc>
          <w:tcPr>
            <w:tcW w:w="160" w:type="dxa"/>
            <w:vAlign w:val="bottom"/>
          </w:tcPr>
          <w:p>
            <w:pPr>
              <w:spacing w:after="0"/>
              <w:rPr>
                <w:sz w:val="20"/>
                <w:szCs w:val="20"/>
                <w:color w:val="auto"/>
              </w:rPr>
            </w:pPr>
          </w:p>
        </w:tc>
        <w:tc>
          <w:tcPr>
            <w:tcW w:w="134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8"/>
                <w:szCs w:val="18"/>
                <w:b w:val="1"/>
                <w:bCs w:val="1"/>
                <w:color w:val="auto"/>
                <w:w w:val="87"/>
              </w:rPr>
              <w:t>Change</w:t>
            </w:r>
          </w:p>
        </w:tc>
        <w:tc>
          <w:tcPr>
            <w:tcW w:w="2480" w:type="dxa"/>
            <w:vAlign w:val="bottom"/>
            <w:tcBorders>
              <w:bottom w:val="single" w:sz="8" w:color="auto"/>
            </w:tcBorders>
            <w:gridSpan w:val="3"/>
          </w:tcPr>
          <w:p>
            <w:pPr>
              <w:jc w:val="right"/>
              <w:ind w:right="610"/>
              <w:spacing w:after="0"/>
              <w:rPr>
                <w:sz w:val="20"/>
                <w:szCs w:val="20"/>
                <w:color w:val="auto"/>
              </w:rPr>
            </w:pPr>
            <w:r>
              <w:rPr>
                <w:rFonts w:ascii="Arial" w:cs="Arial" w:eastAsia="Arial" w:hAnsi="Arial"/>
                <w:sz w:val="18"/>
                <w:szCs w:val="18"/>
                <w:b w:val="1"/>
                <w:bCs w:val="1"/>
                <w:color w:val="auto"/>
              </w:rPr>
              <w:t>September 30,</w:t>
            </w:r>
          </w:p>
        </w:tc>
        <w:tc>
          <w:tcPr>
            <w:tcW w:w="160" w:type="dxa"/>
            <w:vAlign w:val="bottom"/>
          </w:tcPr>
          <w:p>
            <w:pPr>
              <w:spacing w:after="0"/>
              <w:rPr>
                <w:sz w:val="20"/>
                <w:szCs w:val="20"/>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Change</w:t>
            </w:r>
          </w:p>
        </w:tc>
      </w:tr>
      <w:tr>
        <w:trPr>
          <w:trHeight w:val="210"/>
        </w:trPr>
        <w:tc>
          <w:tcPr>
            <w:tcW w:w="3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160" w:type="dxa"/>
            <w:vAlign w:val="bottom"/>
          </w:tcPr>
          <w:p>
            <w:pPr>
              <w:spacing w:after="0"/>
              <w:rPr>
                <w:sz w:val="18"/>
                <w:szCs w:val="18"/>
                <w:color w:val="auto"/>
              </w:rPr>
            </w:pPr>
          </w:p>
        </w:tc>
        <w:tc>
          <w:tcPr>
            <w:tcW w:w="13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7"/>
              </w:rPr>
              <w:t>12 vs. 11</w:t>
            </w:r>
          </w:p>
        </w:tc>
        <w:tc>
          <w:tcPr>
            <w:tcW w:w="1160" w:type="dxa"/>
            <w:vAlign w:val="bottom"/>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160" w:type="dxa"/>
            <w:vAlign w:val="bottom"/>
          </w:tcPr>
          <w:p>
            <w:pPr>
              <w:spacing w:after="0"/>
              <w:rPr>
                <w:sz w:val="18"/>
                <w:szCs w:val="18"/>
                <w:color w:val="auto"/>
              </w:rPr>
            </w:pPr>
          </w:p>
        </w:tc>
        <w:tc>
          <w:tcPr>
            <w:tcW w:w="1160" w:type="dxa"/>
            <w:vAlign w:val="bottom"/>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16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85"/>
              </w:rPr>
              <w:t>12 vs. 11</w:t>
            </w:r>
          </w:p>
        </w:tc>
      </w:tr>
      <w:tr>
        <w:trPr>
          <w:trHeight w:val="210"/>
        </w:trPr>
        <w:tc>
          <w:tcPr>
            <w:tcW w:w="3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sales, net of discounts &amp; returns *</w:t>
            </w:r>
          </w:p>
        </w:tc>
        <w:tc>
          <w:tcPr>
            <w:tcW w:w="30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632,290</w:t>
            </w:r>
          </w:p>
        </w:tc>
        <w:tc>
          <w:tcPr>
            <w:tcW w:w="1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548,069</w:t>
            </w:r>
          </w:p>
        </w:tc>
        <w:tc>
          <w:tcPr>
            <w:tcW w:w="16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8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1,828,455</w:t>
            </w:r>
          </w:p>
        </w:tc>
        <w:tc>
          <w:tcPr>
            <w:tcW w:w="16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1,483,180</w:t>
            </w:r>
          </w:p>
        </w:tc>
        <w:tc>
          <w:tcPr>
            <w:tcW w:w="16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w:t>
            </w:r>
          </w:p>
        </w:tc>
      </w:tr>
      <w:tr>
        <w:trPr>
          <w:trHeight w:val="216"/>
        </w:trPr>
        <w:tc>
          <w:tcPr>
            <w:tcW w:w="36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Promotional and other allowances**</w:t>
            </w:r>
          </w:p>
        </w:tc>
        <w:tc>
          <w:tcPr>
            <w:tcW w:w="3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90,350</w:t>
            </w:r>
          </w:p>
        </w:tc>
        <w:tc>
          <w:tcPr>
            <w:tcW w:w="1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73,360</w:t>
            </w:r>
          </w:p>
        </w:tc>
        <w:tc>
          <w:tcPr>
            <w:tcW w:w="13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23.2%</w:t>
            </w:r>
          </w:p>
        </w:tc>
        <w:tc>
          <w:tcPr>
            <w:tcW w:w="18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239,270</w:t>
            </w:r>
          </w:p>
        </w:tc>
        <w:tc>
          <w:tcPr>
            <w:tcW w:w="16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189,907</w:t>
            </w:r>
          </w:p>
        </w:tc>
        <w:tc>
          <w:tcPr>
            <w:tcW w:w="13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26.0%</w:t>
            </w:r>
          </w:p>
        </w:tc>
      </w:tr>
      <w:tr>
        <w:trPr>
          <w:trHeight w:val="210"/>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541,940</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474,709</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1,589,185</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1,293,273</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22.9%</w:t>
            </w:r>
          </w:p>
        </w:tc>
      </w:tr>
    </w:tbl>
    <w:p>
      <w:pPr>
        <w:sectPr>
          <w:pgSz w:w="11900" w:h="16857" w:orient="portrait"/>
          <w:cols w:equalWidth="0" w:num="1">
            <w:col w:w="11420"/>
          </w:cols>
          <w:pgMar w:left="240" w:top="118" w:right="239" w:bottom="0" w:gutter="0" w:footer="0" w:header="0"/>
        </w:sectPr>
      </w:pPr>
    </w:p>
    <w:bookmarkStart w:id="22" w:name="page23"/>
    <w:bookmarkEnd w:id="2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3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268,348</w:t>
            </w:r>
          </w:p>
        </w:tc>
        <w:tc>
          <w:tcPr>
            <w:tcW w:w="16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224,402</w:t>
            </w:r>
          </w:p>
        </w:tc>
        <w:tc>
          <w:tcPr>
            <w:tcW w:w="15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19.6%</w:t>
            </w:r>
          </w:p>
        </w:tc>
        <w:tc>
          <w:tcPr>
            <w:tcW w:w="3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767,417</w:t>
            </w:r>
          </w:p>
        </w:tc>
        <w:tc>
          <w:tcPr>
            <w:tcW w:w="16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613,208</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Gross profit***</w:t>
            </w: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273,592</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250,307</w:t>
            </w:r>
          </w:p>
        </w:tc>
        <w:tc>
          <w:tcPr>
            <w:tcW w:w="1500" w:type="dxa"/>
            <w:vAlign w:val="bottom"/>
          </w:tcPr>
          <w:p>
            <w:pPr>
              <w:jc w:val="right"/>
              <w:ind w:right="130"/>
              <w:spacing w:after="0"/>
              <w:rPr>
                <w:sz w:val="20"/>
                <w:szCs w:val="20"/>
                <w:color w:val="auto"/>
              </w:rPr>
            </w:pPr>
            <w:r>
              <w:rPr>
                <w:rFonts w:ascii="Arial" w:cs="Arial" w:eastAsia="Arial" w:hAnsi="Arial"/>
                <w:sz w:val="18"/>
                <w:szCs w:val="18"/>
                <w:color w:val="auto"/>
              </w:rPr>
              <w:t>9.3%</w:t>
            </w: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821,768</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680,065</w:t>
            </w:r>
          </w:p>
        </w:tc>
        <w:tc>
          <w:tcPr>
            <w:tcW w:w="1320" w:type="dxa"/>
            <w:vAlign w:val="bottom"/>
          </w:tcPr>
          <w:p>
            <w:pPr>
              <w:jc w:val="right"/>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w w:val="94"/>
              </w:rPr>
              <w:t>Gross profit margin as a percentage of net sales</w:t>
            </w: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1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w:t>
            </w: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132,907</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118,217</w:t>
            </w:r>
          </w:p>
        </w:tc>
        <w:tc>
          <w:tcPr>
            <w:tcW w:w="15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12.4%</w:t>
            </w: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385,026</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327,039</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w w:val="92"/>
              </w:rPr>
              <w:t>Operating expenses as a percentage of net sales</w:t>
            </w:r>
          </w:p>
        </w:tc>
        <w:tc>
          <w:tcPr>
            <w:tcW w:w="3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w:t>
            </w:r>
          </w:p>
        </w:tc>
        <w:tc>
          <w:tcPr>
            <w:tcW w:w="1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w:t>
            </w:r>
          </w:p>
        </w:tc>
        <w:tc>
          <w:tcPr>
            <w:tcW w:w="15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w:t>
            </w:r>
          </w:p>
        </w:tc>
        <w:tc>
          <w:tcPr>
            <w:tcW w:w="1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w:t>
            </w:r>
          </w:p>
        </w:tc>
        <w:tc>
          <w:tcPr>
            <w:tcW w:w="13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Operating income</w:t>
            </w: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140,685</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132,090</w:t>
            </w:r>
          </w:p>
        </w:tc>
        <w:tc>
          <w:tcPr>
            <w:tcW w:w="1500" w:type="dxa"/>
            <w:vAlign w:val="bottom"/>
          </w:tcPr>
          <w:p>
            <w:pPr>
              <w:jc w:val="right"/>
              <w:ind w:right="130"/>
              <w:spacing w:after="0"/>
              <w:rPr>
                <w:sz w:val="20"/>
                <w:szCs w:val="20"/>
                <w:color w:val="auto"/>
              </w:rPr>
            </w:pPr>
            <w:r>
              <w:rPr>
                <w:rFonts w:ascii="Arial" w:cs="Arial" w:eastAsia="Arial" w:hAnsi="Arial"/>
                <w:sz w:val="18"/>
                <w:szCs w:val="18"/>
                <w:color w:val="auto"/>
              </w:rPr>
              <w:t>6.5%</w:t>
            </w: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436,742</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353,026</w:t>
            </w:r>
          </w:p>
        </w:tc>
        <w:tc>
          <w:tcPr>
            <w:tcW w:w="1320" w:type="dxa"/>
            <w:vAlign w:val="bottom"/>
          </w:tcPr>
          <w:p>
            <w:pPr>
              <w:jc w:val="right"/>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w w:val="96"/>
              </w:rPr>
              <w:t>Operating income as a percentage of net sales</w:t>
            </w: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1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Interest and other income (expense), net</w:t>
            </w: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331</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(63)</w:t>
            </w:r>
          </w:p>
        </w:tc>
        <w:tc>
          <w:tcPr>
            <w:tcW w:w="1500" w:type="dxa"/>
            <w:vAlign w:val="bottom"/>
          </w:tcPr>
          <w:p>
            <w:pPr>
              <w:jc w:val="right"/>
              <w:ind w:right="130"/>
              <w:spacing w:after="0"/>
              <w:rPr>
                <w:sz w:val="20"/>
                <w:szCs w:val="20"/>
                <w:color w:val="auto"/>
              </w:rPr>
            </w:pPr>
            <w:r>
              <w:rPr>
                <w:rFonts w:ascii="Arial" w:cs="Arial" w:eastAsia="Arial" w:hAnsi="Arial"/>
                <w:sz w:val="18"/>
                <w:szCs w:val="18"/>
                <w:color w:val="auto"/>
              </w:rPr>
              <w:t>625.4%</w:t>
            </w: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255</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564</w:t>
            </w:r>
          </w:p>
        </w:tc>
        <w:tc>
          <w:tcPr>
            <w:tcW w:w="1320" w:type="dxa"/>
            <w:vAlign w:val="bottom"/>
          </w:tcPr>
          <w:p>
            <w:pPr>
              <w:jc w:val="right"/>
              <w:spacing w:after="0"/>
              <w:rPr>
                <w:sz w:val="20"/>
                <w:szCs w:val="20"/>
                <w:color w:val="auto"/>
              </w:rPr>
            </w:pPr>
            <w:r>
              <w:rPr>
                <w:rFonts w:ascii="Arial" w:cs="Arial" w:eastAsia="Arial" w:hAnsi="Arial"/>
                <w:sz w:val="18"/>
                <w:szCs w:val="18"/>
                <w:color w:val="auto"/>
              </w:rPr>
              <w:t>(54.8%)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w w:val="96"/>
              </w:rPr>
              <w:t>Gain (loss) on investments and put options, net</w:t>
            </w:r>
          </w:p>
        </w:tc>
        <w:tc>
          <w:tcPr>
            <w:tcW w:w="3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6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(799)</w:t>
            </w:r>
          </w:p>
        </w:tc>
        <w:tc>
          <w:tcPr>
            <w:tcW w:w="15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127.8%</w:t>
            </w:r>
          </w:p>
        </w:tc>
        <w:tc>
          <w:tcPr>
            <w:tcW w:w="3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w:t>
            </w:r>
          </w:p>
        </w:tc>
        <w:tc>
          <w:tcPr>
            <w:tcW w:w="16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other income (expense)</w:t>
            </w:r>
          </w:p>
        </w:tc>
        <w:tc>
          <w:tcPr>
            <w:tcW w:w="3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553</w:t>
            </w:r>
          </w:p>
        </w:tc>
        <w:tc>
          <w:tcPr>
            <w:tcW w:w="1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(862)</w:t>
            </w:r>
          </w:p>
        </w:tc>
        <w:tc>
          <w:tcPr>
            <w:tcW w:w="1500" w:type="dxa"/>
            <w:vAlign w:val="bottom"/>
            <w:tcBorders>
              <w:bottom w:val="single" w:sz="8" w:color="CCEEFF"/>
            </w:tcBorders>
          </w:tcPr>
          <w:p>
            <w:pPr>
              <w:jc w:val="right"/>
              <w:ind w:right="130"/>
              <w:spacing w:after="0"/>
              <w:rPr>
                <w:sz w:val="20"/>
                <w:szCs w:val="20"/>
                <w:color w:val="auto"/>
              </w:rPr>
            </w:pPr>
            <w:r>
              <w:rPr>
                <w:rFonts w:ascii="Arial" w:cs="Arial" w:eastAsia="Arial" w:hAnsi="Arial"/>
                <w:sz w:val="18"/>
                <w:szCs w:val="18"/>
                <w:color w:val="auto"/>
              </w:rPr>
              <w:t>164.2%</w:t>
            </w:r>
          </w:p>
        </w:tc>
        <w:tc>
          <w:tcPr>
            <w:tcW w:w="3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840</w:t>
            </w:r>
          </w:p>
        </w:tc>
        <w:tc>
          <w:tcPr>
            <w:tcW w:w="1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w:t>
            </w:r>
          </w:p>
        </w:tc>
        <w:tc>
          <w:tcPr>
            <w:tcW w:w="13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393.7%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Income before provision for income taxes</w:t>
            </w: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141,238</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131,228</w:t>
            </w:r>
          </w:p>
        </w:tc>
        <w:tc>
          <w:tcPr>
            <w:tcW w:w="1500" w:type="dxa"/>
            <w:vAlign w:val="bottom"/>
          </w:tcPr>
          <w:p>
            <w:pPr>
              <w:jc w:val="right"/>
              <w:ind w:right="130"/>
              <w:spacing w:after="0"/>
              <w:rPr>
                <w:sz w:val="20"/>
                <w:szCs w:val="20"/>
                <w:color w:val="auto"/>
              </w:rPr>
            </w:pPr>
            <w:r>
              <w:rPr>
                <w:rFonts w:ascii="Arial" w:cs="Arial" w:eastAsia="Arial" w:hAnsi="Arial"/>
                <w:sz w:val="18"/>
                <w:szCs w:val="18"/>
                <w:color w:val="auto"/>
              </w:rPr>
              <w:t>7.6%</w:t>
            </w: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437,582</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352,740</w:t>
            </w:r>
          </w:p>
        </w:tc>
        <w:tc>
          <w:tcPr>
            <w:tcW w:w="1320" w:type="dxa"/>
            <w:vAlign w:val="bottom"/>
          </w:tcPr>
          <w:p>
            <w:pPr>
              <w:jc w:val="right"/>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Provision for income taxes</w:t>
            </w:r>
          </w:p>
        </w:tc>
        <w:tc>
          <w:tcPr>
            <w:tcW w:w="3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55,096</w:t>
            </w:r>
          </w:p>
        </w:tc>
        <w:tc>
          <w:tcPr>
            <w:tcW w:w="1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48,836</w:t>
            </w:r>
          </w:p>
        </w:tc>
        <w:tc>
          <w:tcPr>
            <w:tcW w:w="1500" w:type="dxa"/>
            <w:vAlign w:val="bottom"/>
            <w:tcBorders>
              <w:bottom w:val="single" w:sz="8" w:color="CCEEFF"/>
            </w:tcBorders>
          </w:tcPr>
          <w:p>
            <w:pPr>
              <w:jc w:val="right"/>
              <w:ind w:right="130"/>
              <w:spacing w:after="0"/>
              <w:rPr>
                <w:sz w:val="20"/>
                <w:szCs w:val="20"/>
                <w:color w:val="auto"/>
              </w:rPr>
            </w:pPr>
            <w:r>
              <w:rPr>
                <w:rFonts w:ascii="Arial" w:cs="Arial" w:eastAsia="Arial" w:hAnsi="Arial"/>
                <w:sz w:val="18"/>
                <w:szCs w:val="18"/>
                <w:color w:val="auto"/>
              </w:rPr>
              <w:t>12.8%</w:t>
            </w:r>
          </w:p>
        </w:tc>
        <w:tc>
          <w:tcPr>
            <w:tcW w:w="3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165,545</w:t>
            </w:r>
          </w:p>
        </w:tc>
        <w:tc>
          <w:tcPr>
            <w:tcW w:w="1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131,057</w:t>
            </w:r>
          </w:p>
        </w:tc>
        <w:tc>
          <w:tcPr>
            <w:tcW w:w="13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36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86,142</w:t>
            </w:r>
          </w:p>
        </w:tc>
        <w:tc>
          <w:tcPr>
            <w:tcW w:w="16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82,392</w:t>
            </w:r>
          </w:p>
        </w:tc>
        <w:tc>
          <w:tcPr>
            <w:tcW w:w="1500" w:type="dxa"/>
            <w:vAlign w:val="bottom"/>
            <w:tcBorders>
              <w:bottom w:val="single" w:sz="8" w:color="CCEEFF"/>
            </w:tcBorders>
          </w:tcPr>
          <w:p>
            <w:pPr>
              <w:jc w:val="right"/>
              <w:ind w:right="130"/>
              <w:spacing w:after="0"/>
              <w:rPr>
                <w:sz w:val="20"/>
                <w:szCs w:val="20"/>
                <w:color w:val="auto"/>
              </w:rPr>
            </w:pPr>
            <w:r>
              <w:rPr>
                <w:rFonts w:ascii="Arial" w:cs="Arial" w:eastAsia="Arial" w:hAnsi="Arial"/>
                <w:sz w:val="18"/>
                <w:szCs w:val="18"/>
                <w:color w:val="auto"/>
              </w:rPr>
              <w:t>4.6%</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272,037</w:t>
            </w:r>
          </w:p>
        </w:tc>
        <w:tc>
          <w:tcPr>
            <w:tcW w:w="16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221,683</w:t>
            </w:r>
          </w:p>
        </w:tc>
        <w:tc>
          <w:tcPr>
            <w:tcW w:w="13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640" w:type="dxa"/>
            <w:vAlign w:val="bottom"/>
            <w:shd w:val="clear" w:color="auto" w:fill="CCEEFF"/>
          </w:tcPr>
          <w:p>
            <w:pPr>
              <w:spacing w:after="0" w:line="190" w:lineRule="exact"/>
              <w:rPr>
                <w:sz w:val="20"/>
                <w:szCs w:val="20"/>
                <w:color w:val="auto"/>
              </w:rPr>
            </w:pPr>
            <w:r>
              <w:rPr>
                <w:rFonts w:ascii="Arial" w:cs="Arial" w:eastAsia="Arial" w:hAnsi="Arial"/>
                <w:sz w:val="18"/>
                <w:szCs w:val="18"/>
                <w:color w:val="auto"/>
              </w:rPr>
              <w:t>Net income as a percentage of net sales</w:t>
            </w: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15.9%</w:t>
            </w: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17.4%</w:t>
            </w:r>
          </w:p>
        </w:tc>
        <w:tc>
          <w:tcPr>
            <w:tcW w:w="15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17.1%</w:t>
            </w: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17.1%</w:t>
            </w:r>
          </w:p>
        </w:tc>
        <w:tc>
          <w:tcPr>
            <w:tcW w:w="1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common share:</w:t>
            </w: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ind w:left="160"/>
              <w:spacing w:after="0"/>
              <w:rPr>
                <w:sz w:val="20"/>
                <w:szCs w:val="20"/>
                <w:color w:val="auto"/>
              </w:rPr>
            </w:pPr>
            <w:r>
              <w:rPr>
                <w:rFonts w:ascii="Arial" w:cs="Arial" w:eastAsia="Arial" w:hAnsi="Arial"/>
                <w:sz w:val="18"/>
                <w:szCs w:val="18"/>
                <w:color w:val="auto"/>
              </w:rPr>
              <w:t>Basic</w:t>
            </w: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$0.49</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$0.47</w:t>
            </w:r>
          </w:p>
        </w:tc>
        <w:tc>
          <w:tcPr>
            <w:tcW w:w="1500" w:type="dxa"/>
            <w:vAlign w:val="bottom"/>
          </w:tcPr>
          <w:p>
            <w:pPr>
              <w:jc w:val="right"/>
              <w:ind w:right="130"/>
              <w:spacing w:after="0"/>
              <w:rPr>
                <w:sz w:val="20"/>
                <w:szCs w:val="20"/>
                <w:color w:val="auto"/>
              </w:rPr>
            </w:pPr>
            <w:r>
              <w:rPr>
                <w:rFonts w:ascii="Arial" w:cs="Arial" w:eastAsia="Arial" w:hAnsi="Arial"/>
                <w:sz w:val="18"/>
                <w:szCs w:val="18"/>
                <w:color w:val="auto"/>
              </w:rPr>
              <w:t>5.1%</w:t>
            </w: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$1.55</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$1.25</w:t>
            </w:r>
          </w:p>
        </w:tc>
        <w:tc>
          <w:tcPr>
            <w:tcW w:w="1320" w:type="dxa"/>
            <w:vAlign w:val="bottom"/>
          </w:tcPr>
          <w:p>
            <w:pPr>
              <w:jc w:val="right"/>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$0.47</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$0.44</w:t>
            </w:r>
          </w:p>
        </w:tc>
        <w:tc>
          <w:tcPr>
            <w:tcW w:w="15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6.1%</w:t>
            </w: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6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Case sales (in thousands)</w:t>
            </w: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 192-ounce case equivalents)</w:t>
            </w:r>
          </w:p>
        </w:tc>
        <w:tc>
          <w:tcPr>
            <w:tcW w:w="3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54,611</w:t>
            </w:r>
          </w:p>
        </w:tc>
        <w:tc>
          <w:tcPr>
            <w:tcW w:w="1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46,277</w:t>
            </w:r>
          </w:p>
        </w:tc>
        <w:tc>
          <w:tcPr>
            <w:tcW w:w="15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18.0%</w:t>
            </w:r>
          </w:p>
        </w:tc>
        <w:tc>
          <w:tcPr>
            <w:tcW w:w="3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156,532</w:t>
            </w:r>
          </w:p>
        </w:tc>
        <w:tc>
          <w:tcPr>
            <w:tcW w:w="1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125,231</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*Gross sales is used internally by management as an indicator of and to monitor operating performance, including sales performance of particular products, salesperson performance, product growth or declines and overall Company performance. The use of gross sales allows evaluation of sales performance before the effect of any promotional items, which can mask certain performance issues. We therefore believe that the presentation of gross sales provides a useful</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measure of our operating performance. Gross sales is not a measure that is recognized under GAAP and should not be considered as an alternative to net sales, which is determined in accordance with GAAP, and should not be used alone as an indicator of operating performance in place of net sales. Additionally, gross sales may not be comparable to similarly titled measures used by other companies, as gross sales has been defined by our internal reporting practices. In addition, gross sales may not be realized in the form of cash receipts as promotional payments and allowances may be deducted from payments received from certain customers.</w:t>
      </w:r>
    </w:p>
    <w:p>
      <w:pPr>
        <w:spacing w:after="0" w:line="188" w:lineRule="exact"/>
        <w:rPr>
          <w:sz w:val="20"/>
          <w:szCs w:val="20"/>
          <w:color w:val="auto"/>
        </w:rPr>
      </w:pPr>
    </w:p>
    <w:p>
      <w:pPr>
        <w:jc w:val="both"/>
        <w:ind w:firstLine="8"/>
        <w:spacing w:after="0" w:line="268" w:lineRule="auto"/>
        <w:tabs>
          <w:tab w:leader="none" w:pos="225" w:val="left"/>
        </w:tabs>
        <w:numPr>
          <w:ilvl w:val="0"/>
          <w:numId w:val="25"/>
        </w:numPr>
        <w:rPr>
          <w:rFonts w:ascii="Arial" w:cs="Arial" w:eastAsia="Arial" w:hAnsi="Arial"/>
          <w:sz w:val="17"/>
          <w:szCs w:val="17"/>
          <w:b w:val="1"/>
          <w:bCs w:val="1"/>
          <w:color w:val="auto"/>
        </w:rPr>
      </w:pPr>
      <w:r>
        <w:rPr>
          <w:rFonts w:ascii="Arial" w:cs="Arial" w:eastAsia="Arial" w:hAnsi="Arial"/>
          <w:sz w:val="17"/>
          <w:szCs w:val="17"/>
          <w:i w:val="1"/>
          <w:iCs w:val="1"/>
          <w:color w:val="auto"/>
        </w:rPr>
        <w:t>Although the expenditures described in this line item are determined in accordance with GAAP and meet GAAP requirements, the disclosure thereof does not conform with GAAP presentation requirements. Additionally, our definition of promotional and other allowances may not be comparable to similar items presented by other companies. Promotional and other allowances primarily include consideration given to the Company’s distributors or retail customers including, but not limited to the following: (i) discounts granted off list prices to support price promotions to end-consumers by retailers; (ii) reimbursements given to the Company’s distributors for agreed portions of their promotional spend with retailers, including slotting, shelf space allowances and other fees for both new and existing products; (iii) the Company’s agreed share of fees given to distributors and/or directly to retailers for advertising, in-store marketing and promotional activities; (iv) the Company’s agreed share of slotting, shelf space allowances and other fees given directly to retailers; (v) incentives given to the Company’s distributors and/or retailers for achieving or exceeding certain predetermined sales goals; (vi) discounted or free products; (vii) contractual fees given to the Company’s distributors related to sales made by the Company direct to certain customers that fall within the distributors’ sales territories; and (viii) commissions paid to our customers. The presentation of promotional and other allowances facilitates an evaluation of their impact on the determination of net sales and the spending levels incurred or correlated with such sales. Promotional and other allowances constitute a material portion of our marketing activities. The Company’s promotional allowance programs with its numerous distributors and/or retailers are executed through separate agreements in the ordinary course of business. These agreements generally provide for one or more of the arrangements described above and are of varying durations, ranging from one week to one year.</w:t>
      </w:r>
    </w:p>
    <w:p>
      <w:pPr>
        <w:spacing w:after="0" w:line="18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***Gross profit may not be comparable to that of other entities since some entities include all costs associated with their distribution process in cost of sales, whereas others exclude certain costs and instead include such costs within another line item such as operating expenses. We include out-bound freight and warehouse costs in operating expenses rather than in cost of sales.</w:t>
      </w:r>
    </w:p>
    <w:p>
      <w:pPr>
        <w:spacing w:after="0" w:line="174" w:lineRule="exact"/>
        <w:rPr>
          <w:sz w:val="20"/>
          <w:szCs w:val="20"/>
          <w:color w:val="auto"/>
        </w:rPr>
      </w:pPr>
    </w:p>
    <w:p>
      <w:pPr>
        <w:jc w:val="both"/>
        <w:spacing w:after="0" w:line="251" w:lineRule="auto"/>
        <w:rPr>
          <w:sz w:val="20"/>
          <w:szCs w:val="20"/>
          <w:color w:val="auto"/>
        </w:rPr>
      </w:pPr>
      <w:r>
        <w:rPr>
          <w:rFonts w:ascii="Arial" w:cs="Arial" w:eastAsia="Arial" w:hAnsi="Arial"/>
          <w:sz w:val="22"/>
          <w:szCs w:val="22"/>
          <w:b w:val="1"/>
          <w:bCs w:val="1"/>
          <w:i w:val="1"/>
          <w:iCs w:val="1"/>
          <w:color w:val="auto"/>
        </w:rPr>
        <w:t>Results of Operations for the Three-Months Ended September 30, 2012 Compared to the Three-Months Ended September 30, 2011</w:t>
      </w:r>
    </w:p>
    <w:p>
      <w:pPr>
        <w:spacing w:after="0" w:line="20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9"/>
          <w:szCs w:val="19"/>
          <w:i w:val="1"/>
          <w:iCs w:val="1"/>
          <w:color w:val="auto"/>
        </w:rPr>
        <w:t xml:space="preserve">Gross Sales. </w:t>
      </w:r>
      <w:r>
        <w:rPr>
          <w:rFonts w:ascii="Arial" w:cs="Arial" w:eastAsia="Arial" w:hAnsi="Arial"/>
          <w:sz w:val="19"/>
          <w:szCs w:val="19"/>
          <w:color w:val="auto"/>
        </w:rPr>
        <w:t>Gross sales were $632.3 million for the three-months ended September 30, 2012, an increase of approximately</w:t>
      </w:r>
      <w:r>
        <w:rPr>
          <w:rFonts w:ascii="Arial" w:cs="Arial" w:eastAsia="Arial" w:hAnsi="Arial"/>
          <w:sz w:val="19"/>
          <w:szCs w:val="19"/>
          <w:i w:val="1"/>
          <w:iCs w:val="1"/>
          <w:color w:val="auto"/>
        </w:rPr>
        <w:t xml:space="preserve"> </w:t>
      </w:r>
      <w:r>
        <w:rPr>
          <w:rFonts w:ascii="Arial" w:cs="Arial" w:eastAsia="Arial" w:hAnsi="Arial"/>
          <w:sz w:val="19"/>
          <w:szCs w:val="19"/>
          <w:color w:val="auto"/>
        </w:rPr>
        <w:t>$84.2 million, or 15.4% higher than gross sales of $548.1 million for the three-months ended September 30, 2011. The increase in the gross sales of our Monster Energy® brand energy drinks represented approximately $85.3 million, or 101.3%, of the overall increase in gross sales. Gross sales of our Monster Energy® brand energy drinks increased primarily due to increased sales by volume as a result of increased domestic and international consumer demand as well as our expansion into new international markets. Pricing changes did not have a material impact on the increase in gross sales. No other individual product line contributed</w:t>
      </w:r>
    </w:p>
    <w:p>
      <w:pPr>
        <w:sectPr>
          <w:pgSz w:w="11900" w:h="16838" w:orient="portrait"/>
          <w:cols w:equalWidth="0" w:num="1">
            <w:col w:w="11420"/>
          </w:cols>
          <w:pgMar w:left="240" w:top="356" w:right="239" w:bottom="0" w:gutter="0" w:footer="0" w:header="0"/>
        </w:sectPr>
      </w:pPr>
    </w:p>
    <w:bookmarkStart w:id="23" w:name="page24"/>
    <w:bookmarkEnd w:id="23"/>
    <w:p>
      <w:pPr>
        <w:jc w:val="both"/>
        <w:spacing w:after="0" w:line="275" w:lineRule="auto"/>
        <w:rPr>
          <w:sz w:val="20"/>
          <w:szCs w:val="20"/>
          <w:color w:val="auto"/>
        </w:rPr>
      </w:pPr>
      <w:r>
        <w:rPr>
          <w:rFonts w:ascii="Arial" w:cs="Arial" w:eastAsia="Arial" w:hAnsi="Arial"/>
          <w:sz w:val="19"/>
          <w:szCs w:val="19"/>
          <w:color w:val="auto"/>
        </w:rPr>
        <w:t>either a material increase or decrease to gross sales for the three-months ended September 30, 2012. Promotional and other allowances, as described in the footnote above, were $90.3 million for the three-months ended September 30, 2012, an increase of $17.0 million, or 23.2% higher than promotional and other allowances of $73.4 million for the three-months ended September 30, 2011. Promotional and other allowances as a percentage of gross sales increased to 14.3% from 13.4% for the three-months ended September 30, 2012 and 2011, respectively. The increase in promotional and other allowances as a percentage of gross sales was partially attributable to increased commissions paid to our customers for sales above certain thresholds (such threshold was reached in the third quarter of 2012 as compared to the fourth quarter of 2011). As a result, the percentage increase in gross sales for the three-months ended September 30, 2012 was higher than the percentage increase in net sales.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5"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Changes in foreign currency exchange rates had an unfavorable impact on gross sales of approximately 2% for the three-months ended September 30, 2012, which was primarily due to a stronger U.S. dollar compared to certain local currencies in which we conduct certain of our international business.</w:t>
      </w:r>
    </w:p>
    <w:p>
      <w:pPr>
        <w:spacing w:after="0" w:line="213" w:lineRule="exact"/>
        <w:rPr>
          <w:sz w:val="20"/>
          <w:szCs w:val="20"/>
          <w:color w:val="auto"/>
        </w:rPr>
      </w:pPr>
    </w:p>
    <w:p>
      <w:pPr>
        <w:jc w:val="both"/>
        <w:ind w:firstLine="687"/>
        <w:spacing w:after="0" w:line="277" w:lineRule="auto"/>
        <w:rPr>
          <w:sz w:val="20"/>
          <w:szCs w:val="20"/>
          <w:color w:val="auto"/>
        </w:rPr>
      </w:pPr>
      <w:r>
        <w:rPr>
          <w:rFonts w:ascii="Arial" w:cs="Arial" w:eastAsia="Arial" w:hAnsi="Arial"/>
          <w:sz w:val="19"/>
          <w:szCs w:val="19"/>
          <w:i w:val="1"/>
          <w:iCs w:val="1"/>
          <w:color w:val="auto"/>
        </w:rPr>
        <w:t xml:space="preserve">Net Sales. </w:t>
      </w:r>
      <w:r>
        <w:rPr>
          <w:rFonts w:ascii="Arial" w:cs="Arial" w:eastAsia="Arial" w:hAnsi="Arial"/>
          <w:sz w:val="19"/>
          <w:szCs w:val="19"/>
          <w:color w:val="auto"/>
        </w:rPr>
        <w:t>Net sales were $541.9 million for the three-months ended September 30, 2012, an increase of approximately</w:t>
      </w:r>
      <w:r>
        <w:rPr>
          <w:rFonts w:ascii="Arial" w:cs="Arial" w:eastAsia="Arial" w:hAnsi="Arial"/>
          <w:sz w:val="19"/>
          <w:szCs w:val="19"/>
          <w:i w:val="1"/>
          <w:iCs w:val="1"/>
          <w:color w:val="auto"/>
        </w:rPr>
        <w:t xml:space="preserve"> </w:t>
      </w:r>
      <w:r>
        <w:rPr>
          <w:rFonts w:ascii="Arial" w:cs="Arial" w:eastAsia="Arial" w:hAnsi="Arial"/>
          <w:sz w:val="19"/>
          <w:szCs w:val="19"/>
          <w:color w:val="auto"/>
        </w:rPr>
        <w:t>$67.2 million, or 14.2% higher than net sales of $474.7 million for the three-months ended September 30, 2011. The increase in net sales of our Monster Energy® brand energy drinks represented approximately $66.2 million, or 98.4%, of the overall increase in net sales. Net sales of our Monster Energy® brand energy drinks increased primarily due to increased sales by volume as a result of increased domestic and international consumer demand as well as our expansion into new international markets. Pricing changes did not have a material impact on the increase in net sales. No other individual product line contributed either a material increase or decrease to net sales for the three-months ended September 30, 2012.</w:t>
      </w:r>
    </w:p>
    <w:p>
      <w:pPr>
        <w:spacing w:after="0" w:line="180" w:lineRule="exact"/>
        <w:rPr>
          <w:sz w:val="20"/>
          <w:szCs w:val="20"/>
          <w:color w:val="auto"/>
        </w:rPr>
      </w:pPr>
    </w:p>
    <w:p>
      <w:pPr>
        <w:jc w:val="both"/>
        <w:ind w:firstLine="687"/>
        <w:spacing w:after="0"/>
        <w:rPr>
          <w:sz w:val="20"/>
          <w:szCs w:val="20"/>
          <w:color w:val="auto"/>
        </w:rPr>
      </w:pPr>
      <w:r>
        <w:rPr>
          <w:rFonts w:ascii="Arial" w:cs="Arial" w:eastAsia="Arial" w:hAnsi="Arial"/>
          <w:sz w:val="22"/>
          <w:szCs w:val="22"/>
          <w:color w:val="auto"/>
        </w:rPr>
        <w:t>Changes in foreign currency exchange rates had an unfavorable impact on net sales of approximately 2% for the three-months ended September 30, 2012, which was primarily due to a stronger U.S. dollar compared to certain local currencies in which we conduct certain of our international business.</w:t>
      </w:r>
    </w:p>
    <w:p>
      <w:pPr>
        <w:spacing w:after="0" w:line="213"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Case sales, in 192-ounce case equivalents, were 54.6 million cases for the three-months ended September 30, 2012, an increase of approximately 8.3 million cases or 18.0% higher than case sales of 46.3 million cases for the three-months ended September 30, 2011. The overall average net sales per case decreased to $9.92 for the three-months ended September 30, 2012, which was 3.3% lower than the average net sales per case of $10.26 for the three-months ended September 30, 2011. The lower overall average net sales per case was primarily due to increased promotional and other allowances as a percentage of gross sales, product and geographic mix.</w:t>
      </w:r>
    </w:p>
    <w:p>
      <w:pPr>
        <w:spacing w:after="0" w:line="215" w:lineRule="exact"/>
        <w:rPr>
          <w:sz w:val="20"/>
          <w:szCs w:val="20"/>
          <w:color w:val="auto"/>
        </w:rPr>
      </w:pPr>
    </w:p>
    <w:p>
      <w:pPr>
        <w:jc w:val="both"/>
        <w:ind w:firstLine="687"/>
        <w:spacing w:after="0" w:line="246" w:lineRule="auto"/>
        <w:rPr>
          <w:sz w:val="20"/>
          <w:szCs w:val="20"/>
          <w:color w:val="auto"/>
        </w:rPr>
      </w:pPr>
      <w:r>
        <w:rPr>
          <w:rFonts w:ascii="Arial" w:cs="Arial" w:eastAsia="Arial" w:hAnsi="Arial"/>
          <w:sz w:val="21"/>
          <w:szCs w:val="21"/>
          <w:color w:val="auto"/>
        </w:rPr>
        <w:t>Net sales for the DSD segment were $516.3 million for the three-months ended September 30, 2012, an increase of approximately $69.2 million, or 15.5% higher than net sales of $447.1 million for the three-months ended September 30, 2011. The increase in net sales of our Monster Energy® brand energy drinks represented approximately $66.2 million, or 95.7%, of the overall increase in net sales for the DSD segment. Net sales for the DSD segment of our Monster Energy® brand energy drinks increased primarily due to increased sales by volume as a result of increased domestic and international consumer demand as well as our expansion into new international markets. Pricing changes did not have a material impact on the increase in net sales for the DSD segment. No other individual product line contributed either a material increase or decrease to net sales for the DSD segment for the three-months ended September 30, 2012.</w:t>
      </w:r>
    </w:p>
    <w:p>
      <w:pPr>
        <w:spacing w:after="0" w:line="208"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Net sales for the Warehouse segment were $25.7 million for the three-months ended September 30, 2012, a decrease of approximately $1.9 million, or 7.0% lower than net sales of $27.6 million for the three-months ended September 30, 2011. The decrease in net sales for the Warehouse segment was primarily attributable to decreased sales by volume of Hansen’s Natural Soda® and apple juice. The decrease in net sales for the Warehouse segment was partially offset by increased sales by volume of Hubert’s® lemonades.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9"/>
          <w:szCs w:val="19"/>
          <w:i w:val="1"/>
          <w:iCs w:val="1"/>
          <w:color w:val="auto"/>
        </w:rPr>
        <w:t xml:space="preserve">Gross Profit. </w:t>
      </w:r>
      <w:r>
        <w:rPr>
          <w:rFonts w:ascii="Arial" w:cs="Arial" w:eastAsia="Arial" w:hAnsi="Arial"/>
          <w:sz w:val="19"/>
          <w:szCs w:val="19"/>
          <w:color w:val="auto"/>
        </w:rPr>
        <w:t>Gross profit was $273.6 million for the three-months ended September 30, 2012, an increase of approximately</w:t>
      </w:r>
      <w:r>
        <w:rPr>
          <w:rFonts w:ascii="Arial" w:cs="Arial" w:eastAsia="Arial" w:hAnsi="Arial"/>
          <w:sz w:val="19"/>
          <w:szCs w:val="19"/>
          <w:i w:val="1"/>
          <w:iCs w:val="1"/>
          <w:color w:val="auto"/>
        </w:rPr>
        <w:t xml:space="preserve"> </w:t>
      </w:r>
      <w:r>
        <w:rPr>
          <w:rFonts w:ascii="Arial" w:cs="Arial" w:eastAsia="Arial" w:hAnsi="Arial"/>
          <w:sz w:val="19"/>
          <w:szCs w:val="19"/>
          <w:color w:val="auto"/>
        </w:rPr>
        <w:t>$23.3 million, or 9.3% higher than the gross profit of $250.3 million for the three-months ended September 30, 2011. Gross profit as a percentage of net sales decreased to 50.5% for the three-months ended September 30, 2012 from 52.7% for the three-months ended September 30, 2011. The increase in gross profit dollars was primarily the result of the $85.3 million increase in gross sales of our Monster Energy® brand energy drinks. The decrease in gross profit as a percentage of net sales was largely attributable to changes in geographic mix, increased promotional and other allowances as a percentage of gross sales as well as production variances and product damages primarily in connection with Europe and Asia.</w:t>
      </w:r>
    </w:p>
    <w:p>
      <w:pPr>
        <w:spacing w:after="0" w:line="18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i w:val="1"/>
          <w:iCs w:val="1"/>
          <w:color w:val="auto"/>
        </w:rPr>
        <w:t>Operating Expenses</w:t>
      </w:r>
      <w:r>
        <w:rPr>
          <w:rFonts w:ascii="Arial" w:cs="Arial" w:eastAsia="Arial" w:hAnsi="Arial"/>
          <w:sz w:val="19"/>
          <w:szCs w:val="19"/>
          <w:color w:val="auto"/>
        </w:rPr>
        <w:t>. Total operating expenses were $132.9 million for the three-months ended September 30, 2012, an</w:t>
      </w:r>
      <w:r>
        <w:rPr>
          <w:rFonts w:ascii="Arial" w:cs="Arial" w:eastAsia="Arial" w:hAnsi="Arial"/>
          <w:sz w:val="19"/>
          <w:szCs w:val="19"/>
          <w:i w:val="1"/>
          <w:iCs w:val="1"/>
          <w:color w:val="auto"/>
        </w:rPr>
        <w:t xml:space="preserve"> </w:t>
      </w:r>
      <w:r>
        <w:rPr>
          <w:rFonts w:ascii="Arial" w:cs="Arial" w:eastAsia="Arial" w:hAnsi="Arial"/>
          <w:sz w:val="19"/>
          <w:szCs w:val="19"/>
          <w:color w:val="auto"/>
        </w:rPr>
        <w:t>increase of approximately $14.7 million, or 12.4% higher than total operating expenses of $118.2 million for the three-months ended September 30, 2011. The increase in operating expenses was partially attributable to increased payroll expenses of $7.3</w:t>
      </w:r>
    </w:p>
    <w:p>
      <w:pPr>
        <w:sectPr>
          <w:pgSz w:w="11900" w:h="16838" w:orient="portrait"/>
          <w:cols w:equalWidth="0" w:num="1">
            <w:col w:w="11420"/>
          </w:cols>
          <w:pgMar w:left="240" w:top="118" w:right="239" w:bottom="0" w:gutter="0" w:footer="0" w:header="0"/>
        </w:sectPr>
      </w:pPr>
    </w:p>
    <w:bookmarkStart w:id="24" w:name="page25"/>
    <w:bookmarkEnd w:id="24"/>
    <w:p>
      <w:pPr>
        <w:jc w:val="both"/>
        <w:spacing w:after="0" w:line="277" w:lineRule="auto"/>
        <w:rPr>
          <w:sz w:val="20"/>
          <w:szCs w:val="20"/>
          <w:color w:val="auto"/>
        </w:rPr>
      </w:pPr>
      <w:r>
        <w:rPr>
          <w:rFonts w:ascii="Arial" w:cs="Arial" w:eastAsia="Arial" w:hAnsi="Arial"/>
          <w:sz w:val="19"/>
          <w:szCs w:val="19"/>
          <w:color w:val="auto"/>
        </w:rPr>
        <w:t>million (of which $3.0 million was related to an increase in stock-based compensation), increased out-bound freight and warehouse costs of $3.1 million, increased expenditures of $2.2 million for sponsorships and endorsements, increased expenditures of $2.1 million for other marketing expenses, increased expenditures of $2.0 million for allocated trade development and increased expenditures of $1.6 million for premiums. The increase in operating expenses was partially offset by decreased expenditures of $3.1 million for commissions and royalties paid to third parties other than customers and decreased expenditures of $2.8 million for advertising. Total operating expenses as a percentage of net sales was 24.5% for the three-months ended September 30, 2012, compared to 24.9% for the three-months ended September 30, 2011.</w:t>
      </w:r>
    </w:p>
    <w:p>
      <w:pPr>
        <w:spacing w:after="0" w:line="18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9"/>
          <w:szCs w:val="19"/>
          <w:i w:val="1"/>
          <w:iCs w:val="1"/>
          <w:color w:val="auto"/>
        </w:rPr>
        <w:t xml:space="preserve">Contribution Margin. </w:t>
      </w:r>
      <w:r>
        <w:rPr>
          <w:rFonts w:ascii="Arial" w:cs="Arial" w:eastAsia="Arial" w:hAnsi="Arial"/>
          <w:sz w:val="19"/>
          <w:szCs w:val="19"/>
          <w:color w:val="auto"/>
        </w:rPr>
        <w:t>Contribution margin for the DSD segment was $170.1 million for the three-months ended</w:t>
      </w:r>
      <w:r>
        <w:rPr>
          <w:rFonts w:ascii="Arial" w:cs="Arial" w:eastAsia="Arial" w:hAnsi="Arial"/>
          <w:sz w:val="19"/>
          <w:szCs w:val="19"/>
          <w:i w:val="1"/>
          <w:iCs w:val="1"/>
          <w:color w:val="auto"/>
        </w:rPr>
        <w:t xml:space="preserve"> </w:t>
      </w:r>
      <w:r>
        <w:rPr>
          <w:rFonts w:ascii="Arial" w:cs="Arial" w:eastAsia="Arial" w:hAnsi="Arial"/>
          <w:sz w:val="19"/>
          <w:szCs w:val="19"/>
          <w:color w:val="auto"/>
        </w:rPr>
        <w:t>September 30, 2012, an increase of approximately $17.0 million, or 11.1% higher than contribution margin of $153.1 million for the three-months ended September 30, 2011. The increase in the contribution margin for the DSD segment was primarily the result of the $85.3 million increase in gross sales of our Monster Energy® brand energy drinks. Contribution margin for the Warehouse segment was $0.04 million for the three-months ended September 30, 2012, approximately $2.4 million lower than contribution margin of $2.5 million for the three-months ended September 30, 2011. The decrease in the contribution margin for the Warehouse segment was primarily attributable to lower sales and to increased costs of apple juice concentrate.</w:t>
      </w:r>
    </w:p>
    <w:p>
      <w:pPr>
        <w:spacing w:after="0" w:line="18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1"/>
          <w:szCs w:val="21"/>
          <w:i w:val="1"/>
          <w:iCs w:val="1"/>
          <w:color w:val="auto"/>
        </w:rPr>
        <w:t xml:space="preserve">Operating Income. </w:t>
      </w:r>
      <w:r>
        <w:rPr>
          <w:rFonts w:ascii="Arial" w:cs="Arial" w:eastAsia="Arial" w:hAnsi="Arial"/>
          <w:sz w:val="21"/>
          <w:szCs w:val="21"/>
          <w:color w:val="auto"/>
        </w:rPr>
        <w:t>Operating income was $140.7 million for the three-months ended September 30, 2012, an increase of</w:t>
      </w:r>
      <w:r>
        <w:rPr>
          <w:rFonts w:ascii="Arial" w:cs="Arial" w:eastAsia="Arial" w:hAnsi="Arial"/>
          <w:sz w:val="21"/>
          <w:szCs w:val="21"/>
          <w:i w:val="1"/>
          <w:iCs w:val="1"/>
          <w:color w:val="auto"/>
        </w:rPr>
        <w:t xml:space="preserve"> </w:t>
      </w:r>
      <w:r>
        <w:rPr>
          <w:rFonts w:ascii="Arial" w:cs="Arial" w:eastAsia="Arial" w:hAnsi="Arial"/>
          <w:sz w:val="21"/>
          <w:szCs w:val="21"/>
          <w:color w:val="auto"/>
        </w:rPr>
        <w:t>approximately $8.6 million, or 6.5% higher than operating income of $132.1 million for the three-months ended September 30, 2011. Operating income as a percentage of net sales decreased to 26.0% for the three-months ended September 30, 2012 from 27.8% for the three-months ended September 30, 2011, primarily due to the decrease in gross profit as a percentage of net sales. The increase in operating income dollars was primarily due to an increase in gross profit of $23.3 million, partially offset by a $14.7 million increase in operating expenses. Operating income was negatively affected by combined operating losses of $2.5 million and $4.5 million for the three-months ended September 30, 2012 and 2011, respectively, in relation to our operations in Africa, Asia, Australia, Europe, the Middle East and South America.</w:t>
      </w:r>
    </w:p>
    <w:p>
      <w:pPr>
        <w:spacing w:after="0" w:line="208" w:lineRule="exact"/>
        <w:rPr>
          <w:sz w:val="20"/>
          <w:szCs w:val="20"/>
          <w:color w:val="auto"/>
        </w:rPr>
      </w:pPr>
    </w:p>
    <w:p>
      <w:pPr>
        <w:jc w:val="both"/>
        <w:ind w:right="20" w:firstLine="648"/>
        <w:spacing w:after="0"/>
        <w:rPr>
          <w:sz w:val="20"/>
          <w:szCs w:val="20"/>
          <w:color w:val="auto"/>
        </w:rPr>
      </w:pPr>
      <w:r>
        <w:rPr>
          <w:rFonts w:ascii="Arial" w:cs="Arial" w:eastAsia="Arial" w:hAnsi="Arial"/>
          <w:sz w:val="22"/>
          <w:szCs w:val="22"/>
          <w:i w:val="1"/>
          <w:iCs w:val="1"/>
          <w:color w:val="auto"/>
        </w:rPr>
        <w:t>Other Income (Expense)</w:t>
      </w:r>
      <w:r>
        <w:rPr>
          <w:rFonts w:ascii="Arial" w:cs="Arial" w:eastAsia="Arial" w:hAnsi="Arial"/>
          <w:sz w:val="22"/>
          <w:szCs w:val="22"/>
          <w:color w:val="auto"/>
        </w:rPr>
        <w:t>. Other income was $0.6 million for the three-months ended September 30, 2012, as compared to</w:t>
      </w:r>
      <w:r>
        <w:rPr>
          <w:rFonts w:ascii="Arial" w:cs="Arial" w:eastAsia="Arial" w:hAnsi="Arial"/>
          <w:sz w:val="22"/>
          <w:szCs w:val="22"/>
          <w:i w:val="1"/>
          <w:iCs w:val="1"/>
          <w:color w:val="auto"/>
        </w:rPr>
        <w:t xml:space="preserve"> </w:t>
      </w:r>
      <w:r>
        <w:rPr>
          <w:rFonts w:ascii="Arial" w:cs="Arial" w:eastAsia="Arial" w:hAnsi="Arial"/>
          <w:sz w:val="22"/>
          <w:szCs w:val="22"/>
          <w:color w:val="auto"/>
        </w:rPr>
        <w:t>other (expense) of ($0.9) million for the three-months ended September 30, 2011. Interest income was $0.4 million and $0.2 million for the three-months ended September 30, 2012 and 2011, respectively.</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5"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i w:val="1"/>
          <w:iCs w:val="1"/>
          <w:color w:val="auto"/>
        </w:rPr>
        <w:t>Provision for Income Taxes</w:t>
      </w:r>
      <w:r>
        <w:rPr>
          <w:rFonts w:ascii="Arial" w:cs="Arial" w:eastAsia="Arial" w:hAnsi="Arial"/>
          <w:sz w:val="22"/>
          <w:szCs w:val="22"/>
          <w:color w:val="auto"/>
        </w:rPr>
        <w:t>. Provision for income taxes was $55.1 million for the three-months ended September 30, 2012,</w:t>
      </w:r>
      <w:r>
        <w:rPr>
          <w:rFonts w:ascii="Arial" w:cs="Arial" w:eastAsia="Arial" w:hAnsi="Arial"/>
          <w:sz w:val="22"/>
          <w:szCs w:val="22"/>
          <w:i w:val="1"/>
          <w:iCs w:val="1"/>
          <w:color w:val="auto"/>
        </w:rPr>
        <w:t xml:space="preserve"> </w:t>
      </w:r>
      <w:r>
        <w:rPr>
          <w:rFonts w:ascii="Arial" w:cs="Arial" w:eastAsia="Arial" w:hAnsi="Arial"/>
          <w:sz w:val="22"/>
          <w:szCs w:val="22"/>
          <w:color w:val="auto"/>
        </w:rPr>
        <w:t>an increase of $6.3 million or 12.8% higher than the provision for income taxes of $48.8 million for the three-months ended September 30, 2011. The effective combined federal, state and foreign tax rate increased to 39.0% from 37.2% for the three-months ended September 30, 2012 and 2011, respectively. The increase in the effective tax rate was primarily the result of lower than expected tax benefits from the 2011 domestic production deduction as well as an increase in non-deductible equity compensation.</w:t>
      </w:r>
    </w:p>
    <w:p>
      <w:pPr>
        <w:spacing w:after="0" w:line="21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i w:val="1"/>
          <w:iCs w:val="1"/>
          <w:color w:val="auto"/>
        </w:rPr>
        <w:t>Net Income</w:t>
      </w:r>
      <w:r>
        <w:rPr>
          <w:rFonts w:ascii="Arial" w:cs="Arial" w:eastAsia="Arial" w:hAnsi="Arial"/>
          <w:sz w:val="19"/>
          <w:szCs w:val="19"/>
          <w:color w:val="auto"/>
        </w:rPr>
        <w:t>. Net income was $86.1 million for the three-months ended September 30, 2012, an increase of $3.8 million or</w:t>
      </w:r>
      <w:r>
        <w:rPr>
          <w:rFonts w:ascii="Arial" w:cs="Arial" w:eastAsia="Arial" w:hAnsi="Arial"/>
          <w:sz w:val="19"/>
          <w:szCs w:val="19"/>
          <w:i w:val="1"/>
          <w:iCs w:val="1"/>
          <w:color w:val="auto"/>
        </w:rPr>
        <w:t xml:space="preserve"> </w:t>
      </w:r>
      <w:r>
        <w:rPr>
          <w:rFonts w:ascii="Arial" w:cs="Arial" w:eastAsia="Arial" w:hAnsi="Arial"/>
          <w:sz w:val="19"/>
          <w:szCs w:val="19"/>
          <w:color w:val="auto"/>
        </w:rPr>
        <w:t>4.6% higher than net income of $82.4 million for the three-months ended September 30, 2011. The increase in net income was primarily attributable to an increase in gross profit of $23.3 million. The increase in net income was partially offset by an increase in operating expenses of $14.7 million and an increase in the provision for income taxes of $6.3 million.</w:t>
      </w:r>
    </w:p>
    <w:p>
      <w:pPr>
        <w:spacing w:after="0" w:line="170" w:lineRule="exact"/>
        <w:rPr>
          <w:sz w:val="20"/>
          <w:szCs w:val="20"/>
          <w:color w:val="auto"/>
        </w:rPr>
      </w:pPr>
    </w:p>
    <w:p>
      <w:pPr>
        <w:jc w:val="both"/>
        <w:spacing w:after="0" w:line="251" w:lineRule="auto"/>
        <w:rPr>
          <w:sz w:val="20"/>
          <w:szCs w:val="20"/>
          <w:color w:val="auto"/>
        </w:rPr>
      </w:pPr>
      <w:r>
        <w:rPr>
          <w:rFonts w:ascii="Arial" w:cs="Arial" w:eastAsia="Arial" w:hAnsi="Arial"/>
          <w:sz w:val="22"/>
          <w:szCs w:val="22"/>
          <w:b w:val="1"/>
          <w:bCs w:val="1"/>
          <w:i w:val="1"/>
          <w:iCs w:val="1"/>
          <w:color w:val="auto"/>
        </w:rPr>
        <w:t>Results of Operations for the Nine-Months Ended September 30, 2012 Compared to the Nine-Months Ended September 30, 2011</w:t>
      </w:r>
    </w:p>
    <w:p>
      <w:pPr>
        <w:spacing w:after="0" w:line="20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9"/>
          <w:szCs w:val="19"/>
          <w:i w:val="1"/>
          <w:iCs w:val="1"/>
          <w:color w:val="auto"/>
        </w:rPr>
        <w:t xml:space="preserve">Gross Sales. </w:t>
      </w:r>
      <w:r>
        <w:rPr>
          <w:rFonts w:ascii="Arial" w:cs="Arial" w:eastAsia="Arial" w:hAnsi="Arial"/>
          <w:sz w:val="19"/>
          <w:szCs w:val="19"/>
          <w:color w:val="auto"/>
        </w:rPr>
        <w:t>Gross sales were $1,828.5 million for the nine-months ended September 30, 2012, an increase of</w:t>
      </w:r>
      <w:r>
        <w:rPr>
          <w:rFonts w:ascii="Arial" w:cs="Arial" w:eastAsia="Arial" w:hAnsi="Arial"/>
          <w:sz w:val="19"/>
          <w:szCs w:val="19"/>
          <w:i w:val="1"/>
          <w:iCs w:val="1"/>
          <w:color w:val="auto"/>
        </w:rPr>
        <w:t xml:space="preserve"> </w:t>
      </w:r>
      <w:r>
        <w:rPr>
          <w:rFonts w:ascii="Arial" w:cs="Arial" w:eastAsia="Arial" w:hAnsi="Arial"/>
          <w:sz w:val="19"/>
          <w:szCs w:val="19"/>
          <w:color w:val="auto"/>
        </w:rPr>
        <w:t>approximately $345.3 million, or 23.3% higher than gross sales of $1,483.2 million for the nine-months ended September 30, 2011. The increase in the gross sales of our Monster Energy® brand energy drinks represented approximately $338.8 million, or 98.1%, of the overall increase in gross sales. Gross sales of our Monster Energy® brand energy drinks increased primarily due to increased sales by volume as a result of increased domestic and international consumer demand as well as our expansion into new international markets. Pricing changes did not have a material impact on the increase in gross sales. No other individual product line contributed either a material increase or decrease to gross sales for the nine-months ended September 30, 2012. Promotional and other allowances, as described in the footnote above, were $239.3 million for the nine-months ended September 30, 2012, an increase of $49.4 million, or 26.0% higher than promotional and other allowances of $189.9 million for the nine-months ended September 30, 2011. Promotional and other allowances as a percentage of gross sales increased to 13.1% from 12.8% for the nine-months ended September 30, 2012 and 2011, respectively. The increase in promotional and other allowances as a percentage of gross sales was partially attributable to increased commissions paid to our customers for sales above certain thresholds. As a result, the percentage increase in gross sales for the nine-months ended September 30, 2012 was higher than the percentage increase in net sales.</w:t>
      </w:r>
    </w:p>
    <w:p>
      <w:pPr>
        <w:spacing w:after="0" w:line="200" w:lineRule="exact"/>
        <w:rPr>
          <w:sz w:val="20"/>
          <w:szCs w:val="20"/>
          <w:color w:val="auto"/>
        </w:rPr>
      </w:pPr>
    </w:p>
    <w:p>
      <w:pPr>
        <w:spacing w:after="0" w:line="239"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Changes in foreign currency exchange rates had an unfavorable impact on gross sales of approximately 2% for the nine-months ended September 30, 2012, which was primarily due to a stronger U.S. dollar compared to certain local currencies in which we conduct certain of our international business.</w:t>
      </w:r>
    </w:p>
    <w:p>
      <w:pPr>
        <w:sectPr>
          <w:pgSz w:w="11900" w:h="16838" w:orient="portrait"/>
          <w:cols w:equalWidth="0" w:num="1">
            <w:col w:w="11420"/>
          </w:cols>
          <w:pgMar w:left="240" w:top="118" w:right="239" w:bottom="0" w:gutter="0" w:footer="0" w:header="0"/>
        </w:sectPr>
      </w:pPr>
    </w:p>
    <w:bookmarkStart w:id="25" w:name="page26"/>
    <w:bookmarkEnd w:id="25"/>
    <w:p>
      <w:pPr>
        <w:jc w:val="both"/>
        <w:ind w:firstLine="687"/>
        <w:spacing w:after="0" w:line="287" w:lineRule="auto"/>
        <w:rPr>
          <w:sz w:val="20"/>
          <w:szCs w:val="20"/>
          <w:color w:val="auto"/>
        </w:rPr>
      </w:pPr>
      <w:r>
        <w:rPr>
          <w:rFonts w:ascii="Arial" w:cs="Arial" w:eastAsia="Arial" w:hAnsi="Arial"/>
          <w:sz w:val="19"/>
          <w:szCs w:val="19"/>
          <w:i w:val="1"/>
          <w:iCs w:val="1"/>
          <w:color w:val="auto"/>
        </w:rPr>
        <w:t xml:space="preserve">Net Sales. </w:t>
      </w:r>
      <w:r>
        <w:rPr>
          <w:rFonts w:ascii="Arial" w:cs="Arial" w:eastAsia="Arial" w:hAnsi="Arial"/>
          <w:sz w:val="19"/>
          <w:szCs w:val="19"/>
          <w:color w:val="auto"/>
        </w:rPr>
        <w:t>Net sales were $1,589.2 million for the nine-months ended September 30, 2012, an increase of approximately</w:t>
      </w:r>
      <w:r>
        <w:rPr>
          <w:rFonts w:ascii="Arial" w:cs="Arial" w:eastAsia="Arial" w:hAnsi="Arial"/>
          <w:sz w:val="19"/>
          <w:szCs w:val="19"/>
          <w:i w:val="1"/>
          <w:iCs w:val="1"/>
          <w:color w:val="auto"/>
        </w:rPr>
        <w:t xml:space="preserve"> </w:t>
      </w:r>
      <w:r>
        <w:rPr>
          <w:rFonts w:ascii="Arial" w:cs="Arial" w:eastAsia="Arial" w:hAnsi="Arial"/>
          <w:sz w:val="19"/>
          <w:szCs w:val="19"/>
          <w:color w:val="auto"/>
        </w:rPr>
        <w:t>$295.9 million, or 22.9% higher than net sales of $1,293.3 million for the nine-months ended September 30, 2011. The increase in net sales of our Monster Energy® brand energy drinks represented approximately $284.1 million, or 96.0%, of the overall increase in net sales. Net sales of our Monster Energy® brand energy drinks increased primarily due to increased</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8"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sales by volume as a result of increased domestic and international consumer demand as well as our expansion into new international markets. Pricing changes did not have a material impact on the increase in net sales. No other individual product line contributed either a material increase or decrease to net sales for the nine-months ended September 30, 2012.</w:t>
      </w:r>
    </w:p>
    <w:p>
      <w:pPr>
        <w:spacing w:after="0" w:line="161" w:lineRule="exact"/>
        <w:rPr>
          <w:sz w:val="20"/>
          <w:szCs w:val="20"/>
          <w:color w:val="auto"/>
        </w:rPr>
      </w:pPr>
    </w:p>
    <w:p>
      <w:pPr>
        <w:jc w:val="both"/>
        <w:ind w:firstLine="687"/>
        <w:spacing w:after="0"/>
        <w:rPr>
          <w:sz w:val="20"/>
          <w:szCs w:val="20"/>
          <w:color w:val="auto"/>
        </w:rPr>
      </w:pPr>
      <w:r>
        <w:rPr>
          <w:rFonts w:ascii="Arial" w:cs="Arial" w:eastAsia="Arial" w:hAnsi="Arial"/>
          <w:sz w:val="22"/>
          <w:szCs w:val="22"/>
          <w:color w:val="auto"/>
        </w:rPr>
        <w:t>Changes in foreign currency exchange rates had an unfavorable impact on net sales of approximately 1% for the nine-months ended September 30, 2012, which was primarily due to a stronger U.S. dollar compared to certain local currencies in which we conduct certain of our international business.</w:t>
      </w:r>
    </w:p>
    <w:p>
      <w:pPr>
        <w:spacing w:after="0" w:line="213"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Case sales, in 192-ounce case equivalents, were 156.5 million cases for the nine-months ended September 30, 2012, an increase of approximately 31.3 million cases or 25.0% higher than case sales of 125.2 million cases for the nine-months ended September 30, 2011. The overall average net sales per case decreased to $10.15 for the nine-months ended September 30, 2012, which was 1.7% lower than the average net sales per case of $10.33 for the nine-months ended September 30, 2011. The lower overall average net sales per case was primarily due to increased promotional and other allowances as a percentage of gross sales, product and geographic mix.</w:t>
      </w:r>
    </w:p>
    <w:p>
      <w:pPr>
        <w:spacing w:after="0" w:line="215" w:lineRule="exact"/>
        <w:rPr>
          <w:sz w:val="20"/>
          <w:szCs w:val="20"/>
          <w:color w:val="auto"/>
        </w:rPr>
      </w:pPr>
    </w:p>
    <w:p>
      <w:pPr>
        <w:jc w:val="both"/>
        <w:ind w:firstLine="687"/>
        <w:spacing w:after="0" w:line="246" w:lineRule="auto"/>
        <w:rPr>
          <w:sz w:val="20"/>
          <w:szCs w:val="20"/>
          <w:color w:val="auto"/>
        </w:rPr>
      </w:pPr>
      <w:r>
        <w:rPr>
          <w:rFonts w:ascii="Arial" w:cs="Arial" w:eastAsia="Arial" w:hAnsi="Arial"/>
          <w:sz w:val="21"/>
          <w:szCs w:val="21"/>
          <w:color w:val="auto"/>
        </w:rPr>
        <w:t>Net sales for the DSD segment were $1,515.5 million for the nine-months ended September 30, 2012, an increase of approximately $297.0 million, or 24.4% higher than net sales of $1,218.5 million for the nine-months ended September 30, 2011. The increase in net sales of our Monster Energy® brand energy drinks represented approximately $284.1 million, or 95.7%, of the overall increase in net sales for the DSD segment. Net sales for the DSD segment of our Monster Energy® brand energy drinks increased primarily due to increased sales by volume as a result of increased domestic and international consumer demand as well as our expansion into new international markets. Pricing changes did not have a material impact on the increase in net sales for the DSD segment. No other individual product line contributed either a material increase or decrease to net sales for the DSD segment for the nine-months ended September 30, 2012.</w:t>
      </w:r>
    </w:p>
    <w:p>
      <w:pPr>
        <w:spacing w:after="0" w:line="208"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Net sales for the Warehouse segment were $73.7 million for the nine-months ended September 30, 2012, a decrease of approximately $1.1 million, or 1.4% lower than net sales of $74.8 million for the nine-months ended September 30, 2011. The decrease in net sales for the Warehouse segment was primarily attributable to decreased sales by volume of Hansen’s Natural Soda® and apple juice. The decrease in net sales for the Warehouse segment was partially offset by increased sales by volume of Hubert’s® lemonades.</w:t>
      </w:r>
    </w:p>
    <w:p>
      <w:pPr>
        <w:spacing w:after="0" w:line="21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9"/>
          <w:szCs w:val="19"/>
          <w:i w:val="1"/>
          <w:iCs w:val="1"/>
          <w:color w:val="auto"/>
        </w:rPr>
        <w:t xml:space="preserve">Gross Profit. </w:t>
      </w:r>
      <w:r>
        <w:rPr>
          <w:rFonts w:ascii="Arial" w:cs="Arial" w:eastAsia="Arial" w:hAnsi="Arial"/>
          <w:sz w:val="19"/>
          <w:szCs w:val="19"/>
          <w:color w:val="auto"/>
        </w:rPr>
        <w:t>Gross profit was $821.8 million for the nine-months ended September 30, 2012, an increase of approximately</w:t>
      </w:r>
      <w:r>
        <w:rPr>
          <w:rFonts w:ascii="Arial" w:cs="Arial" w:eastAsia="Arial" w:hAnsi="Arial"/>
          <w:sz w:val="19"/>
          <w:szCs w:val="19"/>
          <w:i w:val="1"/>
          <w:iCs w:val="1"/>
          <w:color w:val="auto"/>
        </w:rPr>
        <w:t xml:space="preserve"> </w:t>
      </w:r>
      <w:r>
        <w:rPr>
          <w:rFonts w:ascii="Arial" w:cs="Arial" w:eastAsia="Arial" w:hAnsi="Arial"/>
          <w:sz w:val="19"/>
          <w:szCs w:val="19"/>
          <w:color w:val="auto"/>
        </w:rPr>
        <w:t>$141.7 million, or 20.8% higher than the gross profit of $680.1 million for the nine-months ended September 30, 2011. Gross profit as a percentage of net sales decreased to 51.7% for the nine-months ended September 30, 2012 from 52.6% for the nine-months ended September 30, 2011. The increase in gross profit dollars was primarily the result of the $338.8 million increase in gross sales of our Monster Energy® brand energy drinks. The decrease in gross profit as a percentage of net sales was largely attributable to changes in geographic mix, increased promotional and other allowances as a percentage of gross sales as well as production variances and product damages primarily in connection with Europe and Asia.</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i w:val="1"/>
          <w:iCs w:val="1"/>
          <w:color w:val="auto"/>
        </w:rPr>
        <w:t>Operating Expenses</w:t>
      </w:r>
      <w:r>
        <w:rPr>
          <w:rFonts w:ascii="Arial" w:cs="Arial" w:eastAsia="Arial" w:hAnsi="Arial"/>
          <w:sz w:val="19"/>
          <w:szCs w:val="19"/>
          <w:color w:val="auto"/>
        </w:rPr>
        <w:t>. Total operating expenses were $385.0 million for the nine-months ended September 30, 2012, an</w:t>
      </w:r>
      <w:r>
        <w:rPr>
          <w:rFonts w:ascii="Arial" w:cs="Arial" w:eastAsia="Arial" w:hAnsi="Arial"/>
          <w:sz w:val="19"/>
          <w:szCs w:val="19"/>
          <w:i w:val="1"/>
          <w:iCs w:val="1"/>
          <w:color w:val="auto"/>
        </w:rPr>
        <w:t xml:space="preserve"> </w:t>
      </w:r>
      <w:r>
        <w:rPr>
          <w:rFonts w:ascii="Arial" w:cs="Arial" w:eastAsia="Arial" w:hAnsi="Arial"/>
          <w:sz w:val="19"/>
          <w:szCs w:val="19"/>
          <w:color w:val="auto"/>
        </w:rPr>
        <w:t>increase of approximately $58.0 million, or 17.7% higher than total operating expenses of $327.0 million for the nine-months ended September 30, 2011. The increase in operating expenses was partially attributable to increased payroll expenses of $21.3 million (of which $8.8 million was related to an increase in stock-based compensation), increased out-bound freight and warehouse costs of $13.6 million, increased expenditures of $12.2 million for sponsorships and endorsements, increased expenditures of $7.5 million for allocated trade development, increased expenditures of $4.6 million for premiums, increased expenditures of $3.6 million for other marketing expenses and increased expenditures of $3.0 million for merchandise displays. The increase in operating expenses was partially offset by decreased expenditures of $8.9 million for advertising, decreased expenditures of $4.3 million for commissions and royalties paid to non-customers and $4.3 million of insurance reimbursements related to legal fees incurred in prior periods. Total operating expenses as a percentage of net sales was 24.2% for the nine-months ended September 30, 2012, compared to 25.3% for the nine-months ended September 30, 2011.</w:t>
      </w:r>
    </w:p>
    <w:p>
      <w:pPr>
        <w:spacing w:after="0" w:line="183"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i w:val="1"/>
          <w:iCs w:val="1"/>
          <w:color w:val="auto"/>
        </w:rPr>
        <w:t xml:space="preserve">Contribution Margin. </w:t>
      </w:r>
      <w:r>
        <w:rPr>
          <w:rFonts w:ascii="Arial" w:cs="Arial" w:eastAsia="Arial" w:hAnsi="Arial"/>
          <w:sz w:val="19"/>
          <w:szCs w:val="19"/>
          <w:color w:val="auto"/>
        </w:rPr>
        <w:t>Contribution margin for the DSD segment was $515.0 million for the nine-months ended</w:t>
      </w:r>
      <w:r>
        <w:rPr>
          <w:rFonts w:ascii="Arial" w:cs="Arial" w:eastAsia="Arial" w:hAnsi="Arial"/>
          <w:sz w:val="19"/>
          <w:szCs w:val="19"/>
          <w:i w:val="1"/>
          <w:iCs w:val="1"/>
          <w:color w:val="auto"/>
        </w:rPr>
        <w:t xml:space="preserve"> </w:t>
      </w:r>
      <w:r>
        <w:rPr>
          <w:rFonts w:ascii="Arial" w:cs="Arial" w:eastAsia="Arial" w:hAnsi="Arial"/>
          <w:sz w:val="19"/>
          <w:szCs w:val="19"/>
          <w:color w:val="auto"/>
        </w:rPr>
        <w:t>September 30, 2012, an increase of approximately $101.4 million, or 24.5% higher than contribution margin of $413.6 million for the nine-months ended September 30, 2011. The increase in the contribution margin for the DSD segment was primarily the result</w:t>
      </w:r>
    </w:p>
    <w:p>
      <w:pPr>
        <w:sectPr>
          <w:pgSz w:w="11900" w:h="16838" w:orient="portrait"/>
          <w:cols w:equalWidth="0" w:num="1">
            <w:col w:w="11420"/>
          </w:cols>
          <w:pgMar w:left="240" w:top="118" w:right="239" w:bottom="0" w:gutter="0" w:footer="0" w:header="0"/>
        </w:sectPr>
      </w:pPr>
    </w:p>
    <w:bookmarkStart w:id="26" w:name="page27"/>
    <w:bookmarkEnd w:id="26"/>
    <w:p>
      <w:pPr>
        <w:jc w:val="both"/>
        <w:spacing w:after="0" w:line="241" w:lineRule="auto"/>
        <w:rPr>
          <w:sz w:val="20"/>
          <w:szCs w:val="20"/>
          <w:color w:val="auto"/>
        </w:rPr>
      </w:pPr>
      <w:r>
        <w:rPr>
          <w:rFonts w:ascii="Arial" w:cs="Arial" w:eastAsia="Arial" w:hAnsi="Arial"/>
          <w:sz w:val="22"/>
          <w:szCs w:val="22"/>
          <w:color w:val="auto"/>
        </w:rPr>
        <w:t>of the $338.8 million increase in gross sales of our Monster Energy® brand energy drinks. Contribution margin for the Warehouse segment was $3.8 million for the nine-months ended September 30, 2012, approximately $0.3 million higher than contribution margin of $3.5 million for the nine-months ended September 30, 2011.</w:t>
      </w:r>
    </w:p>
    <w:p>
      <w:pPr>
        <w:spacing w:after="0" w:line="211"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9"/>
          <w:szCs w:val="19"/>
          <w:i w:val="1"/>
          <w:iCs w:val="1"/>
          <w:color w:val="auto"/>
        </w:rPr>
        <w:t xml:space="preserve">Operating Income. </w:t>
      </w:r>
      <w:r>
        <w:rPr>
          <w:rFonts w:ascii="Arial" w:cs="Arial" w:eastAsia="Arial" w:hAnsi="Arial"/>
          <w:sz w:val="19"/>
          <w:szCs w:val="19"/>
          <w:color w:val="auto"/>
        </w:rPr>
        <w:t>Operating income was $436.7 million for the nine-months ended September 30, 2012, an increase of</w:t>
      </w:r>
      <w:r>
        <w:rPr>
          <w:rFonts w:ascii="Arial" w:cs="Arial" w:eastAsia="Arial" w:hAnsi="Arial"/>
          <w:sz w:val="19"/>
          <w:szCs w:val="19"/>
          <w:i w:val="1"/>
          <w:iCs w:val="1"/>
          <w:color w:val="auto"/>
        </w:rPr>
        <w:t xml:space="preserve"> </w:t>
      </w:r>
      <w:r>
        <w:rPr>
          <w:rFonts w:ascii="Arial" w:cs="Arial" w:eastAsia="Arial" w:hAnsi="Arial"/>
          <w:sz w:val="19"/>
          <w:szCs w:val="19"/>
          <w:color w:val="auto"/>
        </w:rPr>
        <w:t>approximately $83.7 million, or 23.7% higher than operating income of $353.0 million for the nine-months ended September 30, 2011. Operating income as a percentage of net sales increased to 27.5% for the nine-months ended September 30, 2012 from 27.3% for the nine-months ended September 30, 2011. The increase in operating income was primarily due to an increase in gross profit of $141.7 million, partially offset by a $58.0 million increase in operating expenses. The increase in operating income as a percentage of net sales was primarily due to a decrease in operating expenses as a percentage of net sales. Operating income was negatively affected by combined operating losses of $9.4 million and $13.5 million for the nine-months ended September 30, 2012 and 2011, respectively, in relation to our operations in Africa, Asia, Australia, Europe, the Middle East and South America.</w:t>
      </w:r>
    </w:p>
    <w:p>
      <w:pPr>
        <w:spacing w:after="0" w:line="185" w:lineRule="exact"/>
        <w:rPr>
          <w:sz w:val="20"/>
          <w:szCs w:val="20"/>
          <w:color w:val="auto"/>
        </w:rPr>
      </w:pPr>
    </w:p>
    <w:p>
      <w:pPr>
        <w:jc w:val="both"/>
        <w:ind w:firstLine="648"/>
        <w:spacing w:after="0"/>
        <w:rPr>
          <w:sz w:val="20"/>
          <w:szCs w:val="20"/>
          <w:color w:val="auto"/>
        </w:rPr>
      </w:pPr>
      <w:r>
        <w:rPr>
          <w:rFonts w:ascii="Arial" w:cs="Arial" w:eastAsia="Arial" w:hAnsi="Arial"/>
          <w:sz w:val="22"/>
          <w:szCs w:val="22"/>
          <w:i w:val="1"/>
          <w:iCs w:val="1"/>
          <w:color w:val="auto"/>
        </w:rPr>
        <w:t>Other Income (Expense)</w:t>
      </w:r>
      <w:r>
        <w:rPr>
          <w:rFonts w:ascii="Arial" w:cs="Arial" w:eastAsia="Arial" w:hAnsi="Arial"/>
          <w:sz w:val="22"/>
          <w:szCs w:val="22"/>
          <w:color w:val="auto"/>
        </w:rPr>
        <w:t>. Other income was $0.8 million for the nine-months ended September 30, 2012, as compared to</w:t>
      </w:r>
      <w:r>
        <w:rPr>
          <w:rFonts w:ascii="Arial" w:cs="Arial" w:eastAsia="Arial" w:hAnsi="Arial"/>
          <w:sz w:val="22"/>
          <w:szCs w:val="22"/>
          <w:i w:val="1"/>
          <w:iCs w:val="1"/>
          <w:color w:val="auto"/>
        </w:rPr>
        <w:t xml:space="preserve"> </w:t>
      </w:r>
      <w:r>
        <w:rPr>
          <w:rFonts w:ascii="Arial" w:cs="Arial" w:eastAsia="Arial" w:hAnsi="Arial"/>
          <w:sz w:val="22"/>
          <w:szCs w:val="22"/>
          <w:color w:val="auto"/>
        </w:rPr>
        <w:t>other (expense) of ($0.3) million for the nine-months ended September 30, 2011. Interest income was $1.2 million and $0.8 million for the three-months ended September 30, 2012 and 2011, respectively.</w:t>
      </w:r>
    </w:p>
    <w:p>
      <w:pPr>
        <w:spacing w:after="0" w:line="213"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1"/>
          <w:szCs w:val="21"/>
          <w:i w:val="1"/>
          <w:iCs w:val="1"/>
          <w:color w:val="auto"/>
        </w:rPr>
        <w:t>Provision for Income Taxes</w:t>
      </w:r>
      <w:r>
        <w:rPr>
          <w:rFonts w:ascii="Arial" w:cs="Arial" w:eastAsia="Arial" w:hAnsi="Arial"/>
          <w:sz w:val="21"/>
          <w:szCs w:val="21"/>
          <w:color w:val="auto"/>
        </w:rPr>
        <w:t>. Provision for income taxes was $165.5 million for the nine-months ended September 30, 2012,</w:t>
      </w:r>
      <w:r>
        <w:rPr>
          <w:rFonts w:ascii="Arial" w:cs="Arial" w:eastAsia="Arial" w:hAnsi="Arial"/>
          <w:sz w:val="21"/>
          <w:szCs w:val="21"/>
          <w:i w:val="1"/>
          <w:iCs w:val="1"/>
          <w:color w:val="auto"/>
        </w:rPr>
        <w:t xml:space="preserve"> </w:t>
      </w:r>
      <w:r>
        <w:rPr>
          <w:rFonts w:ascii="Arial" w:cs="Arial" w:eastAsia="Arial" w:hAnsi="Arial"/>
          <w:sz w:val="21"/>
          <w:szCs w:val="21"/>
          <w:color w:val="auto"/>
        </w:rPr>
        <w:t>an increase of $34.5 million or 26.3% higher than the provision for income taxes of $131.1 million for the nine-months ended September 30, 2011. The effective combined federal, state and foreign tax rate increased to 37.8% from 37.2% for the nine-months ended September 30, 2012 and 2011, respectively. The increase in the effective tax rate was primarily the result of the establishment of a full valuation allowance against the deferred tax assets of a foreign subsidiary during the three-months ended March 31, 2012, lower than expected tax benefits from the 2011 domestic production deduction as well as the increase in non-deductible equity compensation. This increase was partially offset by the recognition of the previously unrecognized tax benefits due to the completion of an IRS audit.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i w:val="1"/>
          <w:iCs w:val="1"/>
          <w:color w:val="auto"/>
        </w:rPr>
        <w:t>Net Income</w:t>
      </w:r>
      <w:r>
        <w:rPr>
          <w:rFonts w:ascii="Arial" w:cs="Arial" w:eastAsia="Arial" w:hAnsi="Arial"/>
          <w:sz w:val="19"/>
          <w:szCs w:val="19"/>
          <w:color w:val="auto"/>
        </w:rPr>
        <w:t>. Net income was $272.0 million for the nine-months ended September 30, 2012, an increase of $50.4 million or</w:t>
      </w:r>
      <w:r>
        <w:rPr>
          <w:rFonts w:ascii="Arial" w:cs="Arial" w:eastAsia="Arial" w:hAnsi="Arial"/>
          <w:sz w:val="19"/>
          <w:szCs w:val="19"/>
          <w:i w:val="1"/>
          <w:iCs w:val="1"/>
          <w:color w:val="auto"/>
        </w:rPr>
        <w:t xml:space="preserve"> </w:t>
      </w:r>
      <w:r>
        <w:rPr>
          <w:rFonts w:ascii="Arial" w:cs="Arial" w:eastAsia="Arial" w:hAnsi="Arial"/>
          <w:sz w:val="19"/>
          <w:szCs w:val="19"/>
          <w:color w:val="auto"/>
        </w:rPr>
        <w:t>22.7% higher than net income of $221.7 million for the nine-months ended September 30, 2011. The increase in net income was primarily attributable to an increase in gross profit of $141.7 million. The increase in net income was partially offset by an increase in operating expenses of $58.0 million and an increase in the provision for income taxes of $34.5 million.</w:t>
      </w:r>
    </w:p>
    <w:p>
      <w:pPr>
        <w:spacing w:after="0" w:line="16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 and Capital Resources</w:t>
      </w:r>
    </w:p>
    <w:p>
      <w:pPr>
        <w:spacing w:after="0" w:line="23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9"/>
          <w:szCs w:val="19"/>
          <w:i w:val="1"/>
          <w:iCs w:val="1"/>
          <w:color w:val="auto"/>
        </w:rPr>
        <w:t xml:space="preserve">Cash flows provided by operating activities. </w:t>
      </w:r>
      <w:r>
        <w:rPr>
          <w:rFonts w:ascii="Arial" w:cs="Arial" w:eastAsia="Arial" w:hAnsi="Arial"/>
          <w:sz w:val="19"/>
          <w:szCs w:val="19"/>
          <w:color w:val="auto"/>
        </w:rPr>
        <w:t>Net cash provided by operating activities was $218.0 million for the nine-months ended September 30, 2012, as compared with net cash provided by operating activities of $233.0 million for the nine-months ended September 30, 2011. For the nine-months ended September 30, 2012, cash provided by operating activities was primarily attributable to net income earned of $272.0 million and adjustments for certain non-cash expenses consisting of $21.6 million of stock-based compensation, $15.2 million of depreciation and other amortization, a $2.6 million decrease in deferred income taxes and a $1.1 million loss on put options. For the nine-months ended September 30, 2012, cash provided by operating activities also increased due to a $27.8 million increase in accounts payable, a $26.7 million increase in accrued liabilities and a $1.5 million increase in accrued compensation. For the nine-months ended September 30, 2012, cash provided by operating activities was reduced due to a $70.5 million increase in accounts receivable, a $38.6 million increase in inventory, an $18.0 million increase in prepaid income taxes, a $9.3 million decrease in accrued promotional allowances, a $3.8 million decrease in income taxes payable, a $4.2 million decrease in deferred revenue, a $4.3 million increase in tax benefit from the exercise of stock options and a $1.7 million gain on investments. For the nine-months ended September 30, 2011, cash provided by operating activities was primarily attributable to net income earned of $221.7 million and adjustments for certain non-cash expenses consisting of $12.7 million of stock-based compensation and $12.2 million of depreciation and other amortization. For the nine-months ended September 30, 2011, cash provided by operating activities also increased due to a $55.3 million increase in accounts payable, a $9.7 million decrease in prepaid income taxes, a $12.3 million increase in accrued liabilities, a $5.6 million increase in income taxes payable and a $1.5 million increase in accrued compensation. For the nine-months ended September 30, 2011, cash provided by operating activities was reduced due to a $69.6 million increase in accounts receivable, an $11.8 million increase in inventory, a $6.2 million decrease in accrued promotional allowances, a $3.7 million gain on the Put Options, a $3.6 million decrease in deferred revenue and a $3.3 million increase in tax benefit from exercise of stock options.</w:t>
      </w:r>
    </w:p>
    <w:p>
      <w:pPr>
        <w:spacing w:after="0" w:line="18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9"/>
          <w:szCs w:val="19"/>
          <w:i w:val="1"/>
          <w:iCs w:val="1"/>
          <w:color w:val="auto"/>
        </w:rPr>
        <w:t xml:space="preserve">Cash flows provided by (used in) investing activities. </w:t>
      </w:r>
      <w:r>
        <w:rPr>
          <w:rFonts w:ascii="Arial" w:cs="Arial" w:eastAsia="Arial" w:hAnsi="Arial"/>
          <w:sz w:val="19"/>
          <w:szCs w:val="19"/>
          <w:color w:val="auto"/>
        </w:rPr>
        <w:t>Net cash provided by investing activities was $79.0 million for the</w:t>
      </w:r>
      <w:r>
        <w:rPr>
          <w:rFonts w:ascii="Arial" w:cs="Arial" w:eastAsia="Arial" w:hAnsi="Arial"/>
          <w:sz w:val="19"/>
          <w:szCs w:val="19"/>
          <w:i w:val="1"/>
          <w:iCs w:val="1"/>
          <w:color w:val="auto"/>
        </w:rPr>
        <w:t xml:space="preserve"> </w:t>
      </w:r>
      <w:r>
        <w:rPr>
          <w:rFonts w:ascii="Arial" w:cs="Arial" w:eastAsia="Arial" w:hAnsi="Arial"/>
          <w:sz w:val="19"/>
          <w:szCs w:val="19"/>
          <w:color w:val="auto"/>
        </w:rPr>
        <w:t>nine-months ended September 30, 2012, as compared to net cash used in investing activities of $170.7 million for the nine-months ended September 30, 2011. For the nine-months ended September 30, 2012, cash used in investing activities was primarily attributable to purchases of held-to-maturity investments, purchases of available-for-sale investments, purchases of property and equipment, including the purchase of real property, and additions to intangibles. For the nine-months ended September 30, 2011, cash used in investing activities was primarily attributable to purchases of held-to-maturity investments, purchases of available-for-sale investments, purchases of property and equipment and additions to intangibles. For both the nine-months ended September 30, 2012 and 2011, cash provided by investing activities was primarily</w:t>
      </w:r>
    </w:p>
    <w:p>
      <w:pPr>
        <w:sectPr>
          <w:pgSz w:w="11900" w:h="16838" w:orient="portrait"/>
          <w:cols w:equalWidth="0" w:num="1">
            <w:col w:w="11420"/>
          </w:cols>
          <w:pgMar w:left="240" w:top="118" w:right="239" w:bottom="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8"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attributable to maturities of held-to-maturity investments, sales of available-for-sale investments and sales of trading investments. For both the nine-months ended September 30, 2012 and 2011, cash used in investing activities also included the acquisitions of fixed assets consisting of vans and promotional vehicles, coolers and other equipment to support our marketing and promotional activities, production equipment, furniture and fixtures, office and computer equipment, computer software, and equipment used for sales and administrative activities, as well as certain leasehold improvements. We expect to continue to use a portion of our cash in excess of our requirements for operations for purchasing short-term and long-term investments, and for other corporate purposes, including leasehold improvements, the acquisition of capital equipment, specifically, vans, trucks and promotional vehicles, coolers, other promotional equipment, merchandise displays, warehousing racks as well as items of production equipment required to produce certain of our existing and/or new products and to develop our brand in international markets. From time to time, we may also purchase additional real property related to our beverage business and/or acquire compatible businesses as a use of cash in excess of our requirements for operations.</w:t>
      </w:r>
    </w:p>
    <w:p>
      <w:pPr>
        <w:spacing w:after="0" w:line="183"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1"/>
          <w:szCs w:val="21"/>
          <w:i w:val="1"/>
          <w:iCs w:val="1"/>
          <w:color w:val="auto"/>
        </w:rPr>
        <w:t xml:space="preserve">Cash flows used in financing activities. </w:t>
      </w:r>
      <w:r>
        <w:rPr>
          <w:rFonts w:ascii="Arial" w:cs="Arial" w:eastAsia="Arial" w:hAnsi="Arial"/>
          <w:sz w:val="21"/>
          <w:szCs w:val="21"/>
          <w:color w:val="auto"/>
        </w:rPr>
        <w:t>Net cash used in financing activities was $375.7 million for the nine-months ended</w:t>
      </w:r>
      <w:r>
        <w:rPr>
          <w:rFonts w:ascii="Arial" w:cs="Arial" w:eastAsia="Arial" w:hAnsi="Arial"/>
          <w:sz w:val="21"/>
          <w:szCs w:val="21"/>
          <w:i w:val="1"/>
          <w:iCs w:val="1"/>
          <w:color w:val="auto"/>
        </w:rPr>
        <w:t xml:space="preserve"> </w:t>
      </w:r>
      <w:r>
        <w:rPr>
          <w:rFonts w:ascii="Arial" w:cs="Arial" w:eastAsia="Arial" w:hAnsi="Arial"/>
          <w:sz w:val="21"/>
          <w:szCs w:val="21"/>
          <w:color w:val="auto"/>
        </w:rPr>
        <w:t>September 30, 2012, as compared to net cash used in financing activities of $129.1 million for the nine-months ended September 30, 2011. For the nine-months ended September 30, 2012 cash used in financing activities was primarily attributable to $386.8 million of purchases of common stock. For the nine-months ended September 30, 2012, cash provided by financing activities was primarily attributable to $8.4 million received from the issuance of common stock in connection with the exercise of certain stock options and a $4.3 million tax benefit from the exercise of stock options. For the nine-months ended September 30, 2011 cash used in financing activities was primarily attributable to $149.0 million of purchases of common stock and a $3.4 million tax benefit from the exercise of stock options. For the nine-months ended September 30, 2011 cash provided by financing activities was primarily attributable to $17.8 million received from the issuance of common stock in connection with the exercise of certain stock options.</w:t>
      </w:r>
    </w:p>
    <w:p>
      <w:pPr>
        <w:spacing w:after="0" w:line="209"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1"/>
          <w:szCs w:val="21"/>
          <w:color w:val="auto"/>
        </w:rPr>
        <w:t>Purchases of inventories, increases in accounts receivable and other assets, acquisition of property and equipment, leasehold improvements, acquisition and maintenance of trademarks, payments of accounts payable, income taxes payable and purchases of our common stock are expected to remain our principal recurring use of cash.</w:t>
      </w:r>
    </w:p>
    <w:p>
      <w:pPr>
        <w:spacing w:after="0" w:line="194"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1"/>
          <w:szCs w:val="21"/>
          <w:i w:val="1"/>
          <w:iCs w:val="1"/>
          <w:color w:val="auto"/>
        </w:rPr>
        <w:t xml:space="preserve">Cash and cash equivalents, short-term and long-term investments. </w:t>
      </w:r>
      <w:r>
        <w:rPr>
          <w:rFonts w:ascii="Arial" w:cs="Arial" w:eastAsia="Arial" w:hAnsi="Arial"/>
          <w:sz w:val="21"/>
          <w:szCs w:val="21"/>
          <w:color w:val="auto"/>
        </w:rPr>
        <w:t>At September 30, 2012, we had $283.1 million in cash</w:t>
      </w:r>
      <w:r>
        <w:rPr>
          <w:rFonts w:ascii="Arial" w:cs="Arial" w:eastAsia="Arial" w:hAnsi="Arial"/>
          <w:sz w:val="21"/>
          <w:szCs w:val="21"/>
          <w:i w:val="1"/>
          <w:iCs w:val="1"/>
          <w:color w:val="auto"/>
        </w:rPr>
        <w:t xml:space="preserve"> </w:t>
      </w:r>
      <w:r>
        <w:rPr>
          <w:rFonts w:ascii="Arial" w:cs="Arial" w:eastAsia="Arial" w:hAnsi="Arial"/>
          <w:sz w:val="21"/>
          <w:szCs w:val="21"/>
          <w:color w:val="auto"/>
        </w:rPr>
        <w:t>and cash equivalents and $327.5 million in short-term and long-term investments. We have historically invested these amounts in U.S. Treasury bills, U.S. government agency securities and municipal securities (which may have an auction reset feature), corporate notes and bonds, commercial paper and money market funds meeting certain criteria. We maintain our investments for cash management purposes and not for purposes of speculation. Our risk management policies emphasize credit quality (primarily based on short-term ratings by nationally recognized statistical organizations) in selecting and maintaining our investments. We regularly assess market risk of our investments and believe our current policies and investment practices adequately limit those risks. However, certain of these investments are subject to general credit, liquidity, market and interest rate risks. These market risks associated with our investment portfolio may have an adverse effect on our future results of operations, liquidity and financial condition.</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5"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1"/>
          <w:szCs w:val="21"/>
          <w:color w:val="auto"/>
        </w:rPr>
        <w:t>We believe that cash available from operations, including our cash resources and the revolving line of credit, will be sufficient for our working capital needs, including purchase commitments for raw materials and inventory, increases in accounts receivable, payments of tax liabilities, expansion and development needs, purchases of shares of our common stock, as well as any purchases of capital assets, equipment and properties, through at least the next 12 months. Based on our current plans, at this time we estimate that capital expenditures are likely to be less than $50.0 million through September 30, 2013. However, future business opportunities may cause a change in this estimate.</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The following represents a summary of the Company’s contractual commitments and related scheduled maturities as of</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September 30, 2012:</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20" w:type="dxa"/>
            <w:vAlign w:val="bottom"/>
          </w:tcPr>
          <w:p>
            <w:pPr>
              <w:spacing w:after="0"/>
              <w:rPr>
                <w:sz w:val="23"/>
                <w:szCs w:val="23"/>
                <w:color w:val="auto"/>
              </w:rPr>
            </w:pPr>
          </w:p>
        </w:tc>
        <w:tc>
          <w:tcPr>
            <w:tcW w:w="25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5040" w:type="dxa"/>
            <w:vAlign w:val="bottom"/>
            <w:tcBorders>
              <w:bottom w:val="single" w:sz="8" w:color="auto"/>
            </w:tcBorders>
            <w:gridSpan w:val="8"/>
          </w:tcPr>
          <w:p>
            <w:pPr>
              <w:ind w:left="620"/>
              <w:spacing w:after="0"/>
              <w:rPr>
                <w:sz w:val="20"/>
                <w:szCs w:val="20"/>
                <w:color w:val="auto"/>
              </w:rPr>
            </w:pPr>
            <w:r>
              <w:rPr>
                <w:rFonts w:ascii="Arial" w:cs="Arial" w:eastAsia="Arial" w:hAnsi="Arial"/>
                <w:sz w:val="22"/>
                <w:szCs w:val="22"/>
                <w:color w:val="auto"/>
              </w:rPr>
              <w:t>Payments due by period (in thousands)</w:t>
            </w:r>
          </w:p>
        </w:tc>
        <w:tc>
          <w:tcPr>
            <w:tcW w:w="24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gridSpan w:val="2"/>
          </w:tcPr>
          <w:p>
            <w:pPr>
              <w:jc w:val="center"/>
              <w:ind w:right="640"/>
              <w:spacing w:after="0" w:line="216" w:lineRule="exact"/>
              <w:rPr>
                <w:sz w:val="20"/>
                <w:szCs w:val="20"/>
                <w:color w:val="auto"/>
              </w:rPr>
            </w:pPr>
            <w:r>
              <w:rPr>
                <w:rFonts w:ascii="Arial" w:cs="Arial" w:eastAsia="Arial" w:hAnsi="Arial"/>
                <w:sz w:val="22"/>
                <w:szCs w:val="22"/>
                <w:color w:val="auto"/>
                <w:w w:val="85"/>
              </w:rPr>
              <w:t>Less than</w:t>
            </w:r>
          </w:p>
        </w:tc>
        <w:tc>
          <w:tcPr>
            <w:tcW w:w="340" w:type="dxa"/>
            <w:vAlign w:val="bottom"/>
          </w:tcPr>
          <w:p>
            <w:pPr>
              <w:spacing w:after="0"/>
              <w:rPr>
                <w:sz w:val="18"/>
                <w:szCs w:val="18"/>
                <w:color w:val="auto"/>
              </w:rPr>
            </w:pPr>
          </w:p>
        </w:tc>
        <w:tc>
          <w:tcPr>
            <w:tcW w:w="1220" w:type="dxa"/>
            <w:vAlign w:val="bottom"/>
          </w:tcPr>
          <w:p>
            <w:pPr>
              <w:jc w:val="right"/>
              <w:ind w:right="612"/>
              <w:spacing w:after="0" w:line="216" w:lineRule="exact"/>
              <w:rPr>
                <w:sz w:val="20"/>
                <w:szCs w:val="20"/>
                <w:color w:val="auto"/>
              </w:rPr>
            </w:pPr>
            <w:r>
              <w:rPr>
                <w:rFonts w:ascii="Arial" w:cs="Arial" w:eastAsia="Arial" w:hAnsi="Arial"/>
                <w:sz w:val="22"/>
                <w:szCs w:val="22"/>
                <w:color w:val="auto"/>
              </w:rPr>
              <w:t>1-3</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ind w:right="612"/>
              <w:spacing w:after="0" w:line="216" w:lineRule="exact"/>
              <w:rPr>
                <w:sz w:val="20"/>
                <w:szCs w:val="20"/>
                <w:color w:val="auto"/>
              </w:rPr>
            </w:pPr>
            <w:r>
              <w:rPr>
                <w:rFonts w:ascii="Arial" w:cs="Arial" w:eastAsia="Arial" w:hAnsi="Arial"/>
                <w:sz w:val="22"/>
                <w:szCs w:val="22"/>
                <w:color w:val="auto"/>
              </w:rPr>
              <w:t>3-5</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center"/>
              <w:ind w:right="252"/>
              <w:spacing w:after="0" w:line="216" w:lineRule="exact"/>
              <w:rPr>
                <w:sz w:val="20"/>
                <w:szCs w:val="20"/>
                <w:color w:val="auto"/>
              </w:rPr>
            </w:pPr>
            <w:r>
              <w:rPr>
                <w:rFonts w:ascii="Arial" w:cs="Arial" w:eastAsia="Arial" w:hAnsi="Arial"/>
                <w:sz w:val="22"/>
                <w:szCs w:val="22"/>
                <w:color w:val="auto"/>
                <w:w w:val="88"/>
              </w:rPr>
              <w:t>More than</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2820" w:type="dxa"/>
            <w:vAlign w:val="bottom"/>
            <w:gridSpan w:val="2"/>
          </w:tcPr>
          <w:p>
            <w:pPr>
              <w:ind w:left="760"/>
              <w:spacing w:after="0"/>
              <w:rPr>
                <w:sz w:val="20"/>
                <w:szCs w:val="20"/>
                <w:color w:val="auto"/>
              </w:rPr>
            </w:pPr>
            <w:r>
              <w:rPr>
                <w:rFonts w:ascii="Arial" w:cs="Arial" w:eastAsia="Arial" w:hAnsi="Arial"/>
                <w:sz w:val="22"/>
                <w:szCs w:val="22"/>
                <w:color w:val="auto"/>
              </w:rPr>
              <w:t>Obligations</w:t>
            </w:r>
          </w:p>
        </w:tc>
        <w:tc>
          <w:tcPr>
            <w:tcW w:w="320" w:type="dxa"/>
            <w:vAlign w:val="bottom"/>
          </w:tcPr>
          <w:p>
            <w:pPr>
              <w:spacing w:after="0"/>
              <w:rPr>
                <w:sz w:val="23"/>
                <w:szCs w:val="23"/>
                <w:color w:val="auto"/>
              </w:rPr>
            </w:pPr>
          </w:p>
        </w:tc>
        <w:tc>
          <w:tcPr>
            <w:tcW w:w="1380" w:type="dxa"/>
            <w:vAlign w:val="bottom"/>
            <w:gridSpan w:val="2"/>
          </w:tcPr>
          <w:p>
            <w:pPr>
              <w:ind w:left="120"/>
              <w:spacing w:after="0"/>
              <w:rPr>
                <w:sz w:val="20"/>
                <w:szCs w:val="20"/>
                <w:color w:val="auto"/>
              </w:rPr>
            </w:pPr>
            <w:r>
              <w:rPr>
                <w:rFonts w:ascii="Arial" w:cs="Arial" w:eastAsia="Arial" w:hAnsi="Arial"/>
                <w:sz w:val="22"/>
                <w:szCs w:val="22"/>
                <w:color w:val="auto"/>
              </w:rPr>
              <w:t>Total</w:t>
            </w:r>
          </w:p>
        </w:tc>
        <w:tc>
          <w:tcPr>
            <w:tcW w:w="260" w:type="dxa"/>
            <w:vAlign w:val="bottom"/>
          </w:tcPr>
          <w:p>
            <w:pPr>
              <w:spacing w:after="0"/>
              <w:rPr>
                <w:sz w:val="23"/>
                <w:szCs w:val="23"/>
                <w:color w:val="auto"/>
              </w:rPr>
            </w:pPr>
          </w:p>
        </w:tc>
        <w:tc>
          <w:tcPr>
            <w:tcW w:w="1540" w:type="dxa"/>
            <w:vAlign w:val="bottom"/>
            <w:gridSpan w:val="2"/>
          </w:tcPr>
          <w:p>
            <w:pPr>
              <w:jc w:val="center"/>
              <w:ind w:right="640"/>
              <w:spacing w:after="0"/>
              <w:rPr>
                <w:sz w:val="20"/>
                <w:szCs w:val="20"/>
                <w:color w:val="auto"/>
              </w:rPr>
            </w:pPr>
            <w:r>
              <w:rPr>
                <w:rFonts w:ascii="Arial" w:cs="Arial" w:eastAsia="Arial" w:hAnsi="Arial"/>
                <w:sz w:val="22"/>
                <w:szCs w:val="22"/>
                <w:color w:val="auto"/>
                <w:w w:val="88"/>
              </w:rPr>
              <w:t>1 year</w:t>
            </w:r>
          </w:p>
        </w:tc>
        <w:tc>
          <w:tcPr>
            <w:tcW w:w="340" w:type="dxa"/>
            <w:vAlign w:val="bottom"/>
          </w:tcPr>
          <w:p>
            <w:pPr>
              <w:spacing w:after="0"/>
              <w:rPr>
                <w:sz w:val="23"/>
                <w:szCs w:val="23"/>
                <w:color w:val="auto"/>
              </w:rPr>
            </w:pPr>
          </w:p>
        </w:tc>
        <w:tc>
          <w:tcPr>
            <w:tcW w:w="1400" w:type="dxa"/>
            <w:vAlign w:val="bottom"/>
            <w:gridSpan w:val="2"/>
          </w:tcPr>
          <w:p>
            <w:pPr>
              <w:ind w:left="140"/>
              <w:spacing w:after="0"/>
              <w:rPr>
                <w:sz w:val="20"/>
                <w:szCs w:val="20"/>
                <w:color w:val="auto"/>
              </w:rPr>
            </w:pPr>
            <w:r>
              <w:rPr>
                <w:rFonts w:ascii="Arial" w:cs="Arial" w:eastAsia="Arial" w:hAnsi="Arial"/>
                <w:sz w:val="22"/>
                <w:szCs w:val="22"/>
                <w:color w:val="auto"/>
              </w:rPr>
              <w:t>years</w:t>
            </w:r>
          </w:p>
        </w:tc>
        <w:tc>
          <w:tcPr>
            <w:tcW w:w="360" w:type="dxa"/>
            <w:vAlign w:val="bottom"/>
          </w:tcPr>
          <w:p>
            <w:pPr>
              <w:spacing w:after="0"/>
              <w:rPr>
                <w:sz w:val="23"/>
                <w:szCs w:val="23"/>
                <w:color w:val="auto"/>
              </w:rPr>
            </w:pPr>
          </w:p>
        </w:tc>
        <w:tc>
          <w:tcPr>
            <w:tcW w:w="1400" w:type="dxa"/>
            <w:vAlign w:val="bottom"/>
            <w:gridSpan w:val="2"/>
          </w:tcPr>
          <w:p>
            <w:pPr>
              <w:ind w:left="120"/>
              <w:spacing w:after="0"/>
              <w:rPr>
                <w:sz w:val="20"/>
                <w:szCs w:val="20"/>
                <w:color w:val="auto"/>
              </w:rPr>
            </w:pPr>
            <w:r>
              <w:rPr>
                <w:rFonts w:ascii="Arial" w:cs="Arial" w:eastAsia="Arial" w:hAnsi="Arial"/>
                <w:sz w:val="22"/>
                <w:szCs w:val="22"/>
                <w:color w:val="auto"/>
              </w:rPr>
              <w:t>years</w:t>
            </w:r>
          </w:p>
        </w:tc>
        <w:tc>
          <w:tcPr>
            <w:tcW w:w="240" w:type="dxa"/>
            <w:vAlign w:val="bottom"/>
          </w:tcPr>
          <w:p>
            <w:pPr>
              <w:spacing w:after="0"/>
              <w:rPr>
                <w:sz w:val="23"/>
                <w:szCs w:val="23"/>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22"/>
                <w:szCs w:val="22"/>
                <w:color w:val="auto"/>
                <w:w w:val="85"/>
              </w:rPr>
              <w:t>5 years</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5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2820" w:type="dxa"/>
            <w:vAlign w:val="bottom"/>
            <w:gridSpan w:val="2"/>
            <w:shd w:val="clear" w:color="auto" w:fill="CCEEFF"/>
          </w:tcPr>
          <w:p>
            <w:pPr>
              <w:spacing w:after="0" w:line="243" w:lineRule="exact"/>
              <w:rPr>
                <w:sz w:val="20"/>
                <w:szCs w:val="20"/>
                <w:color w:val="auto"/>
              </w:rPr>
            </w:pPr>
            <w:r>
              <w:rPr>
                <w:rFonts w:ascii="Arial" w:cs="Arial" w:eastAsia="Arial" w:hAnsi="Arial"/>
                <w:sz w:val="22"/>
                <w:szCs w:val="22"/>
                <w:color w:val="auto"/>
              </w:rPr>
              <w:t>Contractual Obligations¹</w:t>
            </w:r>
          </w:p>
        </w:tc>
        <w:tc>
          <w:tcPr>
            <w:tcW w:w="320" w:type="dxa"/>
            <w:vAlign w:val="bottom"/>
            <w:shd w:val="clear" w:color="auto" w:fill="CCEEFF"/>
          </w:tcPr>
          <w:p>
            <w:pPr>
              <w:jc w:val="right"/>
              <w:ind w:right="12"/>
              <w:spacing w:after="0" w:line="243" w:lineRule="exact"/>
              <w:rPr>
                <w:sz w:val="20"/>
                <w:szCs w:val="20"/>
                <w:color w:val="auto"/>
              </w:rPr>
            </w:pPr>
            <w:r>
              <w:rPr>
                <w:rFonts w:ascii="Arial" w:cs="Arial" w:eastAsia="Arial" w:hAnsi="Arial"/>
                <w:sz w:val="22"/>
                <w:szCs w:val="22"/>
                <w:color w:val="auto"/>
              </w:rPr>
              <w:t>$</w:t>
            </w:r>
          </w:p>
        </w:tc>
        <w:tc>
          <w:tcPr>
            <w:tcW w:w="1200" w:type="dxa"/>
            <w:vAlign w:val="bottom"/>
            <w:shd w:val="clear" w:color="auto" w:fill="CCEEFF"/>
          </w:tcPr>
          <w:p>
            <w:pPr>
              <w:jc w:val="right"/>
              <w:ind w:right="72"/>
              <w:spacing w:after="0" w:line="243" w:lineRule="exact"/>
              <w:rPr>
                <w:sz w:val="20"/>
                <w:szCs w:val="20"/>
                <w:color w:val="auto"/>
              </w:rPr>
            </w:pPr>
            <w:r>
              <w:rPr>
                <w:rFonts w:ascii="Arial" w:cs="Arial" w:eastAsia="Arial" w:hAnsi="Arial"/>
                <w:sz w:val="22"/>
                <w:szCs w:val="22"/>
                <w:color w:val="auto"/>
              </w:rPr>
              <w:t>72,330</w:t>
            </w:r>
          </w:p>
        </w:tc>
        <w:tc>
          <w:tcPr>
            <w:tcW w:w="180" w:type="dxa"/>
            <w:vAlign w:val="bottom"/>
            <w:shd w:val="clear" w:color="auto" w:fill="CCEEFF"/>
          </w:tcPr>
          <w:p>
            <w:pPr>
              <w:spacing w:after="0"/>
              <w:rPr>
                <w:sz w:val="21"/>
                <w:szCs w:val="21"/>
                <w:color w:val="auto"/>
              </w:rPr>
            </w:pPr>
          </w:p>
        </w:tc>
        <w:tc>
          <w:tcPr>
            <w:tcW w:w="26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w:t>
            </w:r>
          </w:p>
        </w:tc>
        <w:tc>
          <w:tcPr>
            <w:tcW w:w="1360" w:type="dxa"/>
            <w:vAlign w:val="bottom"/>
            <w:shd w:val="clear" w:color="auto" w:fill="CCEEFF"/>
          </w:tcPr>
          <w:p>
            <w:pPr>
              <w:jc w:val="right"/>
              <w:ind w:right="72"/>
              <w:spacing w:after="0" w:line="243" w:lineRule="exact"/>
              <w:rPr>
                <w:sz w:val="20"/>
                <w:szCs w:val="20"/>
                <w:color w:val="auto"/>
              </w:rPr>
            </w:pPr>
            <w:r>
              <w:rPr>
                <w:rFonts w:ascii="Arial" w:cs="Arial" w:eastAsia="Arial" w:hAnsi="Arial"/>
                <w:sz w:val="22"/>
                <w:szCs w:val="22"/>
                <w:color w:val="auto"/>
              </w:rPr>
              <w:t>35,777</w:t>
            </w:r>
          </w:p>
        </w:tc>
        <w:tc>
          <w:tcPr>
            <w:tcW w:w="18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2"/>
              <w:spacing w:after="0" w:line="243" w:lineRule="exact"/>
              <w:rPr>
                <w:sz w:val="20"/>
                <w:szCs w:val="20"/>
                <w:color w:val="auto"/>
              </w:rPr>
            </w:pPr>
            <w:r>
              <w:rPr>
                <w:rFonts w:ascii="Arial" w:cs="Arial" w:eastAsia="Arial" w:hAnsi="Arial"/>
                <w:sz w:val="22"/>
                <w:szCs w:val="22"/>
                <w:color w:val="auto"/>
              </w:rPr>
              <w:t>$</w:t>
            </w:r>
          </w:p>
        </w:tc>
        <w:tc>
          <w:tcPr>
            <w:tcW w:w="1220" w:type="dxa"/>
            <w:vAlign w:val="bottom"/>
            <w:shd w:val="clear" w:color="auto" w:fill="CCEEFF"/>
          </w:tcPr>
          <w:p>
            <w:pPr>
              <w:jc w:val="right"/>
              <w:ind w:right="52"/>
              <w:spacing w:after="0" w:line="243" w:lineRule="exact"/>
              <w:rPr>
                <w:sz w:val="20"/>
                <w:szCs w:val="20"/>
                <w:color w:val="auto"/>
              </w:rPr>
            </w:pPr>
            <w:r>
              <w:rPr>
                <w:rFonts w:ascii="Arial" w:cs="Arial" w:eastAsia="Arial" w:hAnsi="Arial"/>
                <w:sz w:val="22"/>
                <w:szCs w:val="22"/>
                <w:color w:val="auto"/>
              </w:rPr>
              <w:t>36,553</w:t>
            </w:r>
          </w:p>
        </w:tc>
        <w:tc>
          <w:tcPr>
            <w:tcW w:w="1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32"/>
              <w:spacing w:after="0" w:line="243" w:lineRule="exact"/>
              <w:rPr>
                <w:sz w:val="20"/>
                <w:szCs w:val="20"/>
                <w:color w:val="auto"/>
              </w:rPr>
            </w:pPr>
            <w:r>
              <w:rPr>
                <w:rFonts w:ascii="Arial" w:cs="Arial" w:eastAsia="Arial" w:hAnsi="Arial"/>
                <w:sz w:val="22"/>
                <w:szCs w:val="22"/>
                <w:color w:val="auto"/>
              </w:rPr>
              <w:t>$</w:t>
            </w:r>
          </w:p>
        </w:tc>
        <w:tc>
          <w:tcPr>
            <w:tcW w:w="1220" w:type="dxa"/>
            <w:vAlign w:val="bottom"/>
            <w:shd w:val="clear" w:color="auto" w:fill="CCEEFF"/>
          </w:tcPr>
          <w:p>
            <w:pPr>
              <w:jc w:val="right"/>
              <w:ind w:right="52"/>
              <w:spacing w:after="0" w:line="243" w:lineRule="exact"/>
              <w:rPr>
                <w:sz w:val="20"/>
                <w:szCs w:val="20"/>
                <w:color w:val="auto"/>
              </w:rPr>
            </w:pPr>
            <w:r>
              <w:rPr>
                <w:rFonts w:ascii="Arial" w:cs="Arial" w:eastAsia="Arial" w:hAnsi="Arial"/>
                <w:sz w:val="22"/>
                <w:szCs w:val="22"/>
                <w:color w:val="auto"/>
              </w:rPr>
              <w:t>-</w:t>
            </w: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w:t>
            </w:r>
          </w:p>
        </w:tc>
        <w:tc>
          <w:tcPr>
            <w:tcW w:w="1280" w:type="dxa"/>
            <w:vAlign w:val="bottom"/>
            <w:shd w:val="clear" w:color="auto" w:fill="CCEEFF"/>
          </w:tcPr>
          <w:p>
            <w:pPr>
              <w:jc w:val="right"/>
              <w:ind w:right="12"/>
              <w:spacing w:after="0" w:line="243" w:lineRule="exact"/>
              <w:rPr>
                <w:sz w:val="20"/>
                <w:szCs w:val="20"/>
                <w:color w:val="auto"/>
              </w:rPr>
            </w:pPr>
            <w:r>
              <w:rPr>
                <w:rFonts w:ascii="Arial" w:cs="Arial" w:eastAsia="Arial" w:hAnsi="Arial"/>
                <w:sz w:val="22"/>
                <w:szCs w:val="22"/>
                <w:color w:val="auto"/>
              </w:rPr>
              <w:t>-</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820" w:type="dxa"/>
            <w:vAlign w:val="bottom"/>
            <w:gridSpan w:val="2"/>
          </w:tcPr>
          <w:p>
            <w:pPr>
              <w:spacing w:after="0" w:line="243" w:lineRule="exact"/>
              <w:rPr>
                <w:sz w:val="20"/>
                <w:szCs w:val="20"/>
                <w:color w:val="auto"/>
              </w:rPr>
            </w:pPr>
            <w:r>
              <w:rPr>
                <w:rFonts w:ascii="Arial" w:cs="Arial" w:eastAsia="Arial" w:hAnsi="Arial"/>
                <w:sz w:val="22"/>
                <w:szCs w:val="22"/>
                <w:color w:val="auto"/>
              </w:rPr>
              <w:t>Capital Leases</w:t>
            </w:r>
          </w:p>
        </w:tc>
        <w:tc>
          <w:tcPr>
            <w:tcW w:w="320" w:type="dxa"/>
            <w:vAlign w:val="bottom"/>
          </w:tcPr>
          <w:p>
            <w:pPr>
              <w:spacing w:after="0"/>
              <w:rPr>
                <w:sz w:val="21"/>
                <w:szCs w:val="21"/>
                <w:color w:val="auto"/>
              </w:rPr>
            </w:pPr>
          </w:p>
        </w:tc>
        <w:tc>
          <w:tcPr>
            <w:tcW w:w="1200" w:type="dxa"/>
            <w:vAlign w:val="bottom"/>
          </w:tcPr>
          <w:p>
            <w:pPr>
              <w:jc w:val="right"/>
              <w:ind w:right="72"/>
              <w:spacing w:after="0" w:line="243" w:lineRule="exact"/>
              <w:rPr>
                <w:sz w:val="20"/>
                <w:szCs w:val="20"/>
                <w:color w:val="auto"/>
              </w:rPr>
            </w:pPr>
            <w:r>
              <w:rPr>
                <w:rFonts w:ascii="Arial" w:cs="Arial" w:eastAsia="Arial" w:hAnsi="Arial"/>
                <w:sz w:val="22"/>
                <w:szCs w:val="22"/>
                <w:color w:val="auto"/>
              </w:rPr>
              <w:t>872</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60" w:type="dxa"/>
            <w:vAlign w:val="bottom"/>
          </w:tcPr>
          <w:p>
            <w:pPr>
              <w:jc w:val="right"/>
              <w:ind w:right="72"/>
              <w:spacing w:after="0" w:line="243" w:lineRule="exact"/>
              <w:rPr>
                <w:sz w:val="20"/>
                <w:szCs w:val="20"/>
                <w:color w:val="auto"/>
              </w:rPr>
            </w:pPr>
            <w:r>
              <w:rPr>
                <w:rFonts w:ascii="Arial" w:cs="Arial" w:eastAsia="Arial" w:hAnsi="Arial"/>
                <w:sz w:val="22"/>
                <w:szCs w:val="22"/>
                <w:color w:val="auto"/>
              </w:rPr>
              <w:t>872</w:t>
            </w: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52"/>
              <w:spacing w:after="0" w:line="243" w:lineRule="exact"/>
              <w:rPr>
                <w:sz w:val="20"/>
                <w:szCs w:val="20"/>
                <w:color w:val="auto"/>
              </w:rPr>
            </w:pPr>
            <w:r>
              <w:rPr>
                <w:rFonts w:ascii="Arial" w:cs="Arial" w:eastAsia="Arial" w:hAnsi="Arial"/>
                <w:sz w:val="22"/>
                <w:szCs w:val="22"/>
                <w:color w:val="auto"/>
              </w:rPr>
              <w:t>-</w:t>
            </w:r>
          </w:p>
        </w:tc>
        <w:tc>
          <w:tcPr>
            <w:tcW w:w="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52"/>
              <w:spacing w:after="0" w:line="243" w:lineRule="exact"/>
              <w:rPr>
                <w:sz w:val="20"/>
                <w:szCs w:val="20"/>
                <w:color w:val="auto"/>
              </w:rPr>
            </w:pPr>
            <w:r>
              <w:rPr>
                <w:rFonts w:ascii="Arial" w:cs="Arial" w:eastAsia="Arial" w:hAnsi="Arial"/>
                <w:sz w:val="22"/>
                <w:szCs w:val="22"/>
                <w:color w:val="auto"/>
              </w:rPr>
              <w:t>-</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tcPr>
          <w:p>
            <w:pPr>
              <w:jc w:val="right"/>
              <w:ind w:right="12"/>
              <w:spacing w:after="0" w:line="243" w:lineRule="exact"/>
              <w:rPr>
                <w:sz w:val="20"/>
                <w:szCs w:val="20"/>
                <w:color w:val="auto"/>
              </w:rPr>
            </w:pPr>
            <w:r>
              <w:rPr>
                <w:rFonts w:ascii="Arial" w:cs="Arial" w:eastAsia="Arial" w:hAnsi="Arial"/>
                <w:sz w:val="22"/>
                <w:szCs w:val="22"/>
                <w:color w:val="auto"/>
              </w:rPr>
              <w:t>-</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820" w:type="dxa"/>
            <w:vAlign w:val="bottom"/>
            <w:gridSpan w:val="2"/>
            <w:shd w:val="clear" w:color="auto" w:fill="CCEEFF"/>
          </w:tcPr>
          <w:p>
            <w:pPr>
              <w:spacing w:after="0" w:line="243" w:lineRule="exact"/>
              <w:rPr>
                <w:sz w:val="20"/>
                <w:szCs w:val="20"/>
                <w:color w:val="auto"/>
              </w:rPr>
            </w:pPr>
            <w:r>
              <w:rPr>
                <w:rFonts w:ascii="Arial" w:cs="Arial" w:eastAsia="Arial" w:hAnsi="Arial"/>
                <w:sz w:val="22"/>
                <w:szCs w:val="22"/>
                <w:color w:val="auto"/>
              </w:rPr>
              <w:t>Operating Leases</w:t>
            </w:r>
          </w:p>
        </w:tc>
        <w:tc>
          <w:tcPr>
            <w:tcW w:w="32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72"/>
              <w:spacing w:after="0" w:line="243" w:lineRule="exact"/>
              <w:rPr>
                <w:sz w:val="20"/>
                <w:szCs w:val="20"/>
                <w:color w:val="auto"/>
              </w:rPr>
            </w:pPr>
            <w:r>
              <w:rPr>
                <w:rFonts w:ascii="Arial" w:cs="Arial" w:eastAsia="Arial" w:hAnsi="Arial"/>
                <w:sz w:val="22"/>
                <w:szCs w:val="22"/>
                <w:color w:val="auto"/>
              </w:rPr>
              <w:t>15,802</w:t>
            </w:r>
          </w:p>
        </w:tc>
        <w:tc>
          <w:tcPr>
            <w:tcW w:w="1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72"/>
              <w:spacing w:after="0" w:line="243" w:lineRule="exact"/>
              <w:rPr>
                <w:sz w:val="20"/>
                <w:szCs w:val="20"/>
                <w:color w:val="auto"/>
              </w:rPr>
            </w:pPr>
            <w:r>
              <w:rPr>
                <w:rFonts w:ascii="Arial" w:cs="Arial" w:eastAsia="Arial" w:hAnsi="Arial"/>
                <w:sz w:val="22"/>
                <w:szCs w:val="22"/>
                <w:color w:val="auto"/>
              </w:rPr>
              <w:t>3,908</w:t>
            </w:r>
          </w:p>
        </w:tc>
        <w:tc>
          <w:tcPr>
            <w:tcW w:w="1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52"/>
              <w:spacing w:after="0" w:line="243" w:lineRule="exact"/>
              <w:rPr>
                <w:sz w:val="20"/>
                <w:szCs w:val="20"/>
                <w:color w:val="auto"/>
              </w:rPr>
            </w:pPr>
            <w:r>
              <w:rPr>
                <w:rFonts w:ascii="Arial" w:cs="Arial" w:eastAsia="Arial" w:hAnsi="Arial"/>
                <w:sz w:val="22"/>
                <w:szCs w:val="22"/>
                <w:color w:val="auto"/>
              </w:rPr>
              <w:t>9,719</w:t>
            </w:r>
          </w:p>
        </w:tc>
        <w:tc>
          <w:tcPr>
            <w:tcW w:w="1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52"/>
              <w:spacing w:after="0" w:line="243" w:lineRule="exact"/>
              <w:rPr>
                <w:sz w:val="20"/>
                <w:szCs w:val="20"/>
                <w:color w:val="auto"/>
              </w:rPr>
            </w:pPr>
            <w:r>
              <w:rPr>
                <w:rFonts w:ascii="Arial" w:cs="Arial" w:eastAsia="Arial" w:hAnsi="Arial"/>
                <w:sz w:val="22"/>
                <w:szCs w:val="22"/>
                <w:color w:val="auto"/>
              </w:rPr>
              <w:t>1,744</w:t>
            </w: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12"/>
              <w:spacing w:after="0" w:line="243" w:lineRule="exact"/>
              <w:rPr>
                <w:sz w:val="20"/>
                <w:szCs w:val="20"/>
                <w:color w:val="auto"/>
              </w:rPr>
            </w:pPr>
            <w:r>
              <w:rPr>
                <w:rFonts w:ascii="Arial" w:cs="Arial" w:eastAsia="Arial" w:hAnsi="Arial"/>
                <w:sz w:val="22"/>
                <w:szCs w:val="22"/>
                <w:color w:val="auto"/>
              </w:rPr>
              <w:t>431</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820" w:type="dxa"/>
            <w:vAlign w:val="bottom"/>
            <w:tcBorders>
              <w:bottom w:val="single" w:sz="8" w:color="CCEEFF"/>
            </w:tcBorders>
            <w:gridSpan w:val="2"/>
          </w:tcPr>
          <w:p>
            <w:pPr>
              <w:spacing w:after="0" w:line="243" w:lineRule="exact"/>
              <w:rPr>
                <w:sz w:val="20"/>
                <w:szCs w:val="20"/>
                <w:color w:val="auto"/>
              </w:rPr>
            </w:pPr>
            <w:r>
              <w:rPr>
                <w:rFonts w:ascii="Arial" w:cs="Arial" w:eastAsia="Arial" w:hAnsi="Arial"/>
                <w:sz w:val="22"/>
                <w:szCs w:val="22"/>
                <w:color w:val="auto"/>
              </w:rPr>
              <w:t>Purchase Commitments²</w:t>
            </w:r>
          </w:p>
        </w:tc>
        <w:tc>
          <w:tcPr>
            <w:tcW w:w="3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72"/>
              <w:spacing w:after="0" w:line="243" w:lineRule="exact"/>
              <w:rPr>
                <w:sz w:val="20"/>
                <w:szCs w:val="20"/>
                <w:color w:val="auto"/>
              </w:rPr>
            </w:pPr>
            <w:r>
              <w:rPr>
                <w:rFonts w:ascii="Arial" w:cs="Arial" w:eastAsia="Arial" w:hAnsi="Arial"/>
                <w:sz w:val="22"/>
                <w:szCs w:val="22"/>
                <w:color w:val="auto"/>
              </w:rPr>
              <w:t>66,243</w:t>
            </w:r>
          </w:p>
        </w:tc>
        <w:tc>
          <w:tcPr>
            <w:tcW w:w="18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72"/>
              <w:spacing w:after="0" w:line="243" w:lineRule="exact"/>
              <w:rPr>
                <w:sz w:val="20"/>
                <w:szCs w:val="20"/>
                <w:color w:val="auto"/>
              </w:rPr>
            </w:pPr>
            <w:r>
              <w:rPr>
                <w:rFonts w:ascii="Arial" w:cs="Arial" w:eastAsia="Arial" w:hAnsi="Arial"/>
                <w:sz w:val="22"/>
                <w:szCs w:val="22"/>
                <w:color w:val="auto"/>
              </w:rPr>
              <w:t>66,243</w:t>
            </w:r>
          </w:p>
        </w:tc>
        <w:tc>
          <w:tcPr>
            <w:tcW w:w="18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52"/>
              <w:spacing w:after="0" w:line="243" w:lineRule="exact"/>
              <w:rPr>
                <w:sz w:val="20"/>
                <w:szCs w:val="20"/>
                <w:color w:val="auto"/>
              </w:rPr>
            </w:pPr>
            <w:r>
              <w:rPr>
                <w:rFonts w:ascii="Arial" w:cs="Arial" w:eastAsia="Arial" w:hAnsi="Arial"/>
                <w:sz w:val="22"/>
                <w:szCs w:val="22"/>
                <w:color w:val="auto"/>
              </w:rPr>
              <w:t>-</w:t>
            </w:r>
          </w:p>
        </w:tc>
        <w:tc>
          <w:tcPr>
            <w:tcW w:w="18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52"/>
              <w:spacing w:after="0" w:line="243" w:lineRule="exact"/>
              <w:rPr>
                <w:sz w:val="20"/>
                <w:szCs w:val="20"/>
                <w:color w:val="auto"/>
              </w:rPr>
            </w:pPr>
            <w:r>
              <w:rPr>
                <w:rFonts w:ascii="Arial" w:cs="Arial" w:eastAsia="Arial" w:hAnsi="Arial"/>
                <w:sz w:val="22"/>
                <w:szCs w:val="22"/>
                <w:color w:val="auto"/>
              </w:rPr>
              <w:t>-</w:t>
            </w:r>
          </w:p>
        </w:tc>
        <w:tc>
          <w:tcPr>
            <w:tcW w:w="1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12"/>
              <w:spacing w:after="0" w:line="243" w:lineRule="exact"/>
              <w:rPr>
                <w:sz w:val="20"/>
                <w:szCs w:val="20"/>
                <w:color w:val="auto"/>
              </w:rPr>
            </w:pPr>
            <w:r>
              <w:rPr>
                <w:rFonts w:ascii="Arial" w:cs="Arial" w:eastAsia="Arial" w:hAnsi="Arial"/>
                <w:sz w:val="22"/>
                <w:szCs w:val="22"/>
                <w:color w:val="auto"/>
              </w:rPr>
              <w:t>-</w:t>
            </w:r>
          </w:p>
        </w:tc>
        <w:tc>
          <w:tcPr>
            <w:tcW w:w="6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56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2"/>
              <w:spacing w:after="0" w:line="237" w:lineRule="exact"/>
              <w:rPr>
                <w:sz w:val="20"/>
                <w:szCs w:val="20"/>
                <w:color w:val="auto"/>
              </w:rPr>
            </w:pPr>
            <w:r>
              <w:rPr>
                <w:rFonts w:ascii="Arial" w:cs="Arial" w:eastAsia="Arial" w:hAnsi="Arial"/>
                <w:sz w:val="22"/>
                <w:szCs w:val="22"/>
                <w:color w:val="auto"/>
              </w:rPr>
              <w:t>$</w:t>
            </w:r>
          </w:p>
        </w:tc>
        <w:tc>
          <w:tcPr>
            <w:tcW w:w="1200" w:type="dxa"/>
            <w:vAlign w:val="bottom"/>
            <w:tcBorders>
              <w:bottom w:val="single" w:sz="8" w:color="auto"/>
            </w:tcBorders>
            <w:shd w:val="clear" w:color="auto" w:fill="CCEEFF"/>
          </w:tcPr>
          <w:p>
            <w:pPr>
              <w:jc w:val="right"/>
              <w:ind w:right="72"/>
              <w:spacing w:after="0" w:line="237" w:lineRule="exact"/>
              <w:rPr>
                <w:sz w:val="20"/>
                <w:szCs w:val="20"/>
                <w:color w:val="auto"/>
              </w:rPr>
            </w:pPr>
            <w:r>
              <w:rPr>
                <w:rFonts w:ascii="Arial" w:cs="Arial" w:eastAsia="Arial" w:hAnsi="Arial"/>
                <w:sz w:val="22"/>
                <w:szCs w:val="22"/>
                <w:color w:val="auto"/>
              </w:rPr>
              <w:t>155,247</w:t>
            </w:r>
          </w:p>
        </w:tc>
        <w:tc>
          <w:tcPr>
            <w:tcW w:w="1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spacing w:after="0" w:line="237" w:lineRule="exact"/>
              <w:rPr>
                <w:sz w:val="20"/>
                <w:szCs w:val="20"/>
                <w:color w:val="auto"/>
              </w:rPr>
            </w:pPr>
            <w:r>
              <w:rPr>
                <w:rFonts w:ascii="Arial" w:cs="Arial" w:eastAsia="Arial" w:hAnsi="Arial"/>
                <w:sz w:val="22"/>
                <w:szCs w:val="22"/>
                <w:color w:val="auto"/>
              </w:rPr>
              <w:t>$</w:t>
            </w:r>
          </w:p>
        </w:tc>
        <w:tc>
          <w:tcPr>
            <w:tcW w:w="1360" w:type="dxa"/>
            <w:vAlign w:val="bottom"/>
            <w:tcBorders>
              <w:bottom w:val="single" w:sz="8" w:color="auto"/>
            </w:tcBorders>
            <w:shd w:val="clear" w:color="auto" w:fill="CCEEFF"/>
          </w:tcPr>
          <w:p>
            <w:pPr>
              <w:jc w:val="right"/>
              <w:ind w:right="72"/>
              <w:spacing w:after="0" w:line="237" w:lineRule="exact"/>
              <w:rPr>
                <w:sz w:val="20"/>
                <w:szCs w:val="20"/>
                <w:color w:val="auto"/>
              </w:rPr>
            </w:pPr>
            <w:r>
              <w:rPr>
                <w:rFonts w:ascii="Arial" w:cs="Arial" w:eastAsia="Arial" w:hAnsi="Arial"/>
                <w:sz w:val="22"/>
                <w:szCs w:val="22"/>
                <w:color w:val="auto"/>
              </w:rPr>
              <w:t>106,800</w:t>
            </w:r>
          </w:p>
        </w:tc>
        <w:tc>
          <w:tcPr>
            <w:tcW w:w="1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2"/>
              <w:spacing w:after="0" w:line="237" w:lineRule="exact"/>
              <w:rPr>
                <w:sz w:val="20"/>
                <w:szCs w:val="20"/>
                <w:color w:val="auto"/>
              </w:rPr>
            </w:pPr>
            <w:r>
              <w:rPr>
                <w:rFonts w:ascii="Arial" w:cs="Arial" w:eastAsia="Arial" w:hAnsi="Arial"/>
                <w:sz w:val="22"/>
                <w:szCs w:val="22"/>
                <w:color w:val="auto"/>
              </w:rPr>
              <w:t>$</w:t>
            </w:r>
          </w:p>
        </w:tc>
        <w:tc>
          <w:tcPr>
            <w:tcW w:w="1220" w:type="dxa"/>
            <w:vAlign w:val="bottom"/>
            <w:tcBorders>
              <w:bottom w:val="single" w:sz="8" w:color="auto"/>
            </w:tcBorders>
            <w:shd w:val="clear" w:color="auto" w:fill="CCEEFF"/>
          </w:tcPr>
          <w:p>
            <w:pPr>
              <w:jc w:val="right"/>
              <w:ind w:right="52"/>
              <w:spacing w:after="0" w:line="237" w:lineRule="exact"/>
              <w:rPr>
                <w:sz w:val="20"/>
                <w:szCs w:val="20"/>
                <w:color w:val="auto"/>
              </w:rPr>
            </w:pPr>
            <w:r>
              <w:rPr>
                <w:rFonts w:ascii="Arial" w:cs="Arial" w:eastAsia="Arial" w:hAnsi="Arial"/>
                <w:sz w:val="22"/>
                <w:szCs w:val="22"/>
                <w:color w:val="auto"/>
              </w:rPr>
              <w:t>46,272</w:t>
            </w:r>
          </w:p>
        </w:tc>
        <w:tc>
          <w:tcPr>
            <w:tcW w:w="1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32"/>
              <w:spacing w:after="0" w:line="237" w:lineRule="exact"/>
              <w:rPr>
                <w:sz w:val="20"/>
                <w:szCs w:val="20"/>
                <w:color w:val="auto"/>
              </w:rPr>
            </w:pPr>
            <w:r>
              <w:rPr>
                <w:rFonts w:ascii="Arial" w:cs="Arial" w:eastAsia="Arial" w:hAnsi="Arial"/>
                <w:sz w:val="22"/>
                <w:szCs w:val="22"/>
                <w:color w:val="auto"/>
              </w:rPr>
              <w:t>$</w:t>
            </w:r>
          </w:p>
        </w:tc>
        <w:tc>
          <w:tcPr>
            <w:tcW w:w="1220" w:type="dxa"/>
            <w:vAlign w:val="bottom"/>
            <w:tcBorders>
              <w:bottom w:val="single" w:sz="8" w:color="auto"/>
            </w:tcBorders>
            <w:shd w:val="clear" w:color="auto" w:fill="CCEEFF"/>
          </w:tcPr>
          <w:p>
            <w:pPr>
              <w:jc w:val="right"/>
              <w:ind w:right="52"/>
              <w:spacing w:after="0" w:line="237" w:lineRule="exact"/>
              <w:rPr>
                <w:sz w:val="20"/>
                <w:szCs w:val="20"/>
                <w:color w:val="auto"/>
              </w:rPr>
            </w:pPr>
            <w:r>
              <w:rPr>
                <w:rFonts w:ascii="Arial" w:cs="Arial" w:eastAsia="Arial" w:hAnsi="Arial"/>
                <w:sz w:val="22"/>
                <w:szCs w:val="22"/>
                <w:color w:val="auto"/>
              </w:rPr>
              <w:t>1,744</w:t>
            </w:r>
          </w:p>
        </w:tc>
        <w:tc>
          <w:tcPr>
            <w:tcW w:w="1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spacing w:after="0" w:line="237" w:lineRule="exact"/>
              <w:rPr>
                <w:sz w:val="20"/>
                <w:szCs w:val="20"/>
                <w:color w:val="auto"/>
              </w:rPr>
            </w:pPr>
            <w:r>
              <w:rPr>
                <w:rFonts w:ascii="Arial" w:cs="Arial" w:eastAsia="Arial" w:hAnsi="Arial"/>
                <w:sz w:val="22"/>
                <w:szCs w:val="22"/>
                <w:color w:val="auto"/>
              </w:rPr>
              <w:t>$</w:t>
            </w:r>
          </w:p>
        </w:tc>
        <w:tc>
          <w:tcPr>
            <w:tcW w:w="1280" w:type="dxa"/>
            <w:vAlign w:val="bottom"/>
            <w:tcBorders>
              <w:bottom w:val="single" w:sz="8" w:color="auto"/>
            </w:tcBorders>
            <w:shd w:val="clear" w:color="auto" w:fill="CCEEFF"/>
          </w:tcPr>
          <w:p>
            <w:pPr>
              <w:jc w:val="right"/>
              <w:ind w:right="12"/>
              <w:spacing w:after="0" w:line="237" w:lineRule="exact"/>
              <w:rPr>
                <w:sz w:val="20"/>
                <w:szCs w:val="20"/>
                <w:color w:val="auto"/>
              </w:rPr>
            </w:pPr>
            <w:r>
              <w:rPr>
                <w:rFonts w:ascii="Arial" w:cs="Arial" w:eastAsia="Arial" w:hAnsi="Arial"/>
                <w:sz w:val="22"/>
                <w:szCs w:val="22"/>
                <w:color w:val="auto"/>
              </w:rPr>
              <w:t>431</w:t>
            </w:r>
          </w:p>
        </w:tc>
        <w:tc>
          <w:tcPr>
            <w:tcW w:w="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125" w:right="239" w:bottom="0" w:gutter="0" w:footer="0" w:header="0"/>
        </w:sectPr>
      </w:pPr>
    </w:p>
    <w:bookmarkStart w:id="28" w:name="page29"/>
    <w:bookmarkEnd w:id="28"/>
    <w:p>
      <w:pPr>
        <w:ind w:left="660"/>
        <w:spacing w:after="0"/>
        <w:rPr>
          <w:sz w:val="20"/>
          <w:szCs w:val="20"/>
          <w:color w:val="auto"/>
        </w:rPr>
      </w:pPr>
      <w:r>
        <w:rPr>
          <w:rFonts w:ascii="Arial" w:cs="Arial" w:eastAsia="Arial" w:hAnsi="Arial"/>
          <w:sz w:val="22"/>
          <w:szCs w:val="22"/>
          <w:color w:val="auto"/>
        </w:rPr>
        <w:t>¹Contractual obligations include our obligations related to sponsorships and other commitments.</w:t>
      </w:r>
    </w:p>
    <w:p>
      <w:pPr>
        <w:spacing w:after="0" w:line="234" w:lineRule="exact"/>
        <w:rPr>
          <w:sz w:val="20"/>
          <w:szCs w:val="20"/>
          <w:color w:val="auto"/>
        </w:rPr>
      </w:pPr>
    </w:p>
    <w:p>
      <w:pPr>
        <w:jc w:val="both"/>
        <w:ind w:right="20" w:firstLine="648"/>
        <w:spacing w:after="0" w:line="274" w:lineRule="auto"/>
        <w:rPr>
          <w:sz w:val="20"/>
          <w:szCs w:val="20"/>
          <w:color w:val="auto"/>
        </w:rPr>
      </w:pPr>
      <w:r>
        <w:rPr>
          <w:rFonts w:ascii="Arial" w:cs="Arial" w:eastAsia="Arial" w:hAnsi="Arial"/>
          <w:sz w:val="21"/>
          <w:szCs w:val="21"/>
          <w:color w:val="auto"/>
        </w:rPr>
        <w:t>²Purchase commitments include obligations made by us and our subsidiaries to various suppliers for raw materials used in the production of our products. These obligations vary in terms, but are generally satisfied within one year.</w:t>
      </w:r>
    </w:p>
    <w:p>
      <w:pPr>
        <w:spacing w:after="0" w:line="178"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In addition, approximately $0.4 million of recognized tax benefits have been recorded as liabilities as of September 30, 2012. The recognized tax benefits decreased by $1.5 million in the nine-months ended September 30, 2012 due to the completion of the IRS audit of the 2008 and 2009 tax returns. We are uncertain as to if or when the remaining amounts may be settled. We have also recorded a liability for potential penalties and interest of $0.2 million as of September 30, 2012.</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9"/>
          <w:szCs w:val="19"/>
          <w:color w:val="auto"/>
        </w:rPr>
        <w:t>In March 2012, the Company acquired an approximately 75,425 square foot, free standing, three-story office building, including the real property thereunder and improvements thereon, located in Corona, CA (the “March 2012 Property”) for a purchase price of $9.7 million. In October 2012, the Company acquired an approximately 141,000 square foot, free standing, six-story office building, including the real property thereunder and improvements thereon, located in Corona, CA (the “October 2012 Property”) adjacent to the March 2012 Property, for a purchase price of $18.8 million. The Company intends to complete the necessary improvements to the October 2012 Property and occupy the building as the Company’s new corporate headquarters at some time in the future. The October 2012 Property should more effectively address the future growth needs of the Company.</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Sales</w:t>
      </w:r>
    </w:p>
    <w:p>
      <w:pPr>
        <w:spacing w:after="0" w:line="239"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The table below discloses selected quarterly data regarding sales for the three- and nine-months ended September 30, 2012 and 2011, respectively. Data from any one or more quarters or periods is not necessarily indicative of annual results or continuing trends.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5"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Sales of beverages are expressed in unit case volume. A “unit case” means a unit of measurement equal to 192 U.S. fluid ounces of finished beverage (24 eight-ounce servings). Unit case volume means the number of unit cases (or unit case equivalents) of beverages sold by us.</w:t>
      </w:r>
    </w:p>
    <w:p>
      <w:pPr>
        <w:spacing w:after="0" w:line="213"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9"/>
          <w:szCs w:val="19"/>
          <w:color w:val="auto"/>
        </w:rPr>
        <w:t>Our quarterly results of operations reflect seasonal trends that are primarily the result of increased demand in the warmer months of the year. It has been our experience that beverage sales tend to be lower during the first and fourth quarters of each calendar year. Because the primary historical market for our products is California, which has a year-long temperate climate, the effect of seasonal fluctuations on quarterly results may have been mitigated; however, such fluctuations may become more pronounced with the expansion of the distribution of our products outside of California. In addition, our experience with our energy drink products suggests they are less seasonal than the seasonality expected from traditional beverages. Quarterly fluctuations may also be affected by other factors including the introduction of new products, the opening of new markets where temperature fluctuations are more pronounced, the addition of new bottlers, customers and distributors, changes in the sales mix of our products and changes in and/or increased advertising and promotional expenses.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140" w:type="dxa"/>
            <w:vAlign w:val="bottom"/>
            <w:gridSpan w:val="2"/>
          </w:tcPr>
          <w:p>
            <w:pPr>
              <w:spacing w:after="0"/>
              <w:rPr>
                <w:sz w:val="20"/>
                <w:szCs w:val="20"/>
                <w:color w:val="auto"/>
              </w:rPr>
            </w:pPr>
            <w:r>
              <w:rPr>
                <w:rFonts w:ascii="Arial" w:cs="Arial" w:eastAsia="Arial" w:hAnsi="Arial"/>
                <w:sz w:val="21"/>
                <w:szCs w:val="21"/>
                <w:color w:val="auto"/>
              </w:rPr>
              <w:t>(In thousands, except average</w:t>
            </w:r>
          </w:p>
        </w:tc>
        <w:tc>
          <w:tcPr>
            <w:tcW w:w="380" w:type="dxa"/>
            <w:vAlign w:val="bottom"/>
          </w:tcPr>
          <w:p>
            <w:pPr>
              <w:spacing w:after="0"/>
              <w:rPr>
                <w:sz w:val="21"/>
                <w:szCs w:val="21"/>
                <w:color w:val="auto"/>
              </w:rPr>
            </w:pPr>
          </w:p>
        </w:tc>
        <w:tc>
          <w:tcPr>
            <w:tcW w:w="3360" w:type="dxa"/>
            <w:vAlign w:val="bottom"/>
            <w:gridSpan w:val="5"/>
          </w:tcPr>
          <w:p>
            <w:pPr>
              <w:ind w:left="500"/>
              <w:spacing w:after="0"/>
              <w:rPr>
                <w:sz w:val="20"/>
                <w:szCs w:val="20"/>
                <w:color w:val="auto"/>
              </w:rPr>
            </w:pPr>
            <w:r>
              <w:rPr>
                <w:rFonts w:ascii="Arial" w:cs="Arial" w:eastAsia="Arial" w:hAnsi="Arial"/>
                <w:sz w:val="21"/>
                <w:szCs w:val="21"/>
                <w:color w:val="auto"/>
              </w:rPr>
              <w:t>Three-Months Ended</w:t>
            </w:r>
          </w:p>
        </w:tc>
        <w:tc>
          <w:tcPr>
            <w:tcW w:w="360" w:type="dxa"/>
            <w:vAlign w:val="bottom"/>
          </w:tcPr>
          <w:p>
            <w:pPr>
              <w:spacing w:after="0"/>
              <w:rPr>
                <w:sz w:val="21"/>
                <w:szCs w:val="21"/>
                <w:color w:val="auto"/>
              </w:rPr>
            </w:pPr>
          </w:p>
        </w:tc>
        <w:tc>
          <w:tcPr>
            <w:tcW w:w="3160" w:type="dxa"/>
            <w:vAlign w:val="bottom"/>
            <w:gridSpan w:val="5"/>
          </w:tcPr>
          <w:p>
            <w:pPr>
              <w:ind w:left="520"/>
              <w:spacing w:after="0"/>
              <w:rPr>
                <w:sz w:val="20"/>
                <w:szCs w:val="20"/>
                <w:color w:val="auto"/>
              </w:rPr>
            </w:pPr>
            <w:r>
              <w:rPr>
                <w:rFonts w:ascii="Arial" w:cs="Arial" w:eastAsia="Arial" w:hAnsi="Arial"/>
                <w:sz w:val="21"/>
                <w:szCs w:val="21"/>
                <w:color w:val="auto"/>
              </w:rPr>
              <w:t>Nine-Months Ended</w:t>
            </w:r>
          </w:p>
        </w:tc>
      </w:tr>
      <w:tr>
        <w:trPr>
          <w:trHeight w:val="256"/>
        </w:trPr>
        <w:tc>
          <w:tcPr>
            <w:tcW w:w="4140" w:type="dxa"/>
            <w:vAlign w:val="bottom"/>
            <w:gridSpan w:val="2"/>
          </w:tcPr>
          <w:p>
            <w:pPr>
              <w:ind w:left="160"/>
              <w:spacing w:after="0"/>
              <w:rPr>
                <w:sz w:val="20"/>
                <w:szCs w:val="20"/>
                <w:color w:val="auto"/>
              </w:rPr>
            </w:pPr>
            <w:r>
              <w:rPr>
                <w:rFonts w:ascii="Arial" w:cs="Arial" w:eastAsia="Arial" w:hAnsi="Arial"/>
                <w:sz w:val="21"/>
                <w:szCs w:val="21"/>
                <w:color w:val="auto"/>
              </w:rPr>
              <w:t>net sales per case)</w:t>
            </w:r>
          </w:p>
        </w:tc>
        <w:tc>
          <w:tcPr>
            <w:tcW w:w="380" w:type="dxa"/>
            <w:vAlign w:val="bottom"/>
          </w:tcPr>
          <w:p>
            <w:pPr>
              <w:spacing w:after="0"/>
              <w:rPr>
                <w:sz w:val="22"/>
                <w:szCs w:val="22"/>
                <w:color w:val="auto"/>
              </w:rPr>
            </w:pPr>
          </w:p>
        </w:tc>
        <w:tc>
          <w:tcPr>
            <w:tcW w:w="2040" w:type="dxa"/>
            <w:vAlign w:val="bottom"/>
            <w:gridSpan w:val="3"/>
          </w:tcPr>
          <w:p>
            <w:pPr>
              <w:jc w:val="right"/>
              <w:spacing w:after="0"/>
              <w:rPr>
                <w:sz w:val="20"/>
                <w:szCs w:val="20"/>
                <w:color w:val="auto"/>
              </w:rPr>
            </w:pPr>
            <w:r>
              <w:rPr>
                <w:rFonts w:ascii="Arial" w:cs="Arial" w:eastAsia="Arial" w:hAnsi="Arial"/>
                <w:sz w:val="21"/>
                <w:szCs w:val="21"/>
                <w:color w:val="auto"/>
              </w:rPr>
              <w:t>September 30,</w:t>
            </w:r>
          </w:p>
        </w:tc>
        <w:tc>
          <w:tcPr>
            <w:tcW w:w="1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960" w:type="dxa"/>
            <w:vAlign w:val="bottom"/>
            <w:gridSpan w:val="3"/>
          </w:tcPr>
          <w:p>
            <w:pPr>
              <w:jc w:val="right"/>
              <w:spacing w:after="0"/>
              <w:rPr>
                <w:sz w:val="20"/>
                <w:szCs w:val="20"/>
                <w:color w:val="auto"/>
              </w:rPr>
            </w:pPr>
            <w:r>
              <w:rPr>
                <w:rFonts w:ascii="Arial" w:cs="Arial" w:eastAsia="Arial" w:hAnsi="Arial"/>
                <w:sz w:val="21"/>
                <w:szCs w:val="21"/>
                <w:color w:val="auto"/>
              </w:rPr>
              <w:t>September 30,</w:t>
            </w:r>
          </w:p>
        </w:tc>
        <w:tc>
          <w:tcPr>
            <w:tcW w:w="112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10"/>
        </w:trPr>
        <w:tc>
          <w:tcPr>
            <w:tcW w:w="3900" w:type="dxa"/>
            <w:vAlign w:val="bottom"/>
            <w:tcBorders>
              <w:top w:val="single" w:sz="8" w:color="auto"/>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639"/>
              <w:spacing w:after="0"/>
              <w:rPr>
                <w:sz w:val="20"/>
                <w:szCs w:val="20"/>
                <w:color w:val="auto"/>
              </w:rPr>
            </w:pPr>
            <w:r>
              <w:rPr>
                <w:rFonts w:ascii="Arial" w:cs="Arial" w:eastAsia="Arial" w:hAnsi="Arial"/>
                <w:sz w:val="18"/>
                <w:szCs w:val="18"/>
                <w:color w:val="auto"/>
              </w:rPr>
              <w:t>2012</w:t>
            </w:r>
          </w:p>
        </w:tc>
        <w:tc>
          <w:tcPr>
            <w:tcW w:w="280" w:type="dxa"/>
            <w:vAlign w:val="bottom"/>
            <w:tcBorders>
              <w:top w:val="single" w:sz="8" w:color="auto"/>
              <w:bottom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600"/>
              <w:spacing w:after="0"/>
              <w:rPr>
                <w:sz w:val="20"/>
                <w:szCs w:val="20"/>
                <w:color w:val="auto"/>
              </w:rPr>
            </w:pPr>
            <w:r>
              <w:rPr>
                <w:rFonts w:ascii="Arial" w:cs="Arial" w:eastAsia="Arial" w:hAnsi="Arial"/>
                <w:sz w:val="18"/>
                <w:szCs w:val="18"/>
                <w:color w:val="auto"/>
                <w:w w:val="94"/>
              </w:rPr>
              <w:t>2011</w:t>
            </w:r>
          </w:p>
        </w:tc>
        <w:tc>
          <w:tcPr>
            <w:tcW w:w="22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599"/>
              <w:spacing w:after="0"/>
              <w:rPr>
                <w:sz w:val="20"/>
                <w:szCs w:val="20"/>
                <w:color w:val="auto"/>
              </w:rPr>
            </w:pPr>
            <w:r>
              <w:rPr>
                <w:rFonts w:ascii="Arial" w:cs="Arial" w:eastAsia="Arial" w:hAnsi="Arial"/>
                <w:sz w:val="18"/>
                <w:szCs w:val="18"/>
                <w:color w:val="auto"/>
              </w:rPr>
              <w:t>2012</w:t>
            </w:r>
          </w:p>
        </w:tc>
        <w:tc>
          <w:tcPr>
            <w:tcW w:w="240" w:type="dxa"/>
            <w:vAlign w:val="bottom"/>
            <w:tcBorders>
              <w:top w:val="single" w:sz="8" w:color="auto"/>
              <w:bottom w:val="single" w:sz="8" w:color="CCEEFF"/>
            </w:tcBorders>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660"/>
              <w:spacing w:after="0"/>
              <w:rPr>
                <w:sz w:val="20"/>
                <w:szCs w:val="20"/>
                <w:color w:val="auto"/>
              </w:rPr>
            </w:pPr>
            <w:r>
              <w:rPr>
                <w:rFonts w:ascii="Arial" w:cs="Arial" w:eastAsia="Arial" w:hAnsi="Arial"/>
                <w:sz w:val="18"/>
                <w:szCs w:val="18"/>
                <w:color w:val="auto"/>
                <w:w w:val="84"/>
              </w:rPr>
              <w:t>2011</w:t>
            </w:r>
          </w:p>
        </w:tc>
        <w:tc>
          <w:tcPr>
            <w:tcW w:w="80" w:type="dxa"/>
            <w:vAlign w:val="bottom"/>
            <w:tcBorders>
              <w:bottom w:val="single" w:sz="8" w:color="CCEEFF"/>
            </w:tcBorders>
          </w:tcPr>
          <w:p>
            <w:pPr>
              <w:spacing w:after="0"/>
              <w:rPr>
                <w:sz w:val="18"/>
                <w:szCs w:val="18"/>
                <w:color w:val="auto"/>
              </w:rPr>
            </w:pPr>
          </w:p>
        </w:tc>
      </w:tr>
      <w:tr>
        <w:trPr>
          <w:trHeight w:val="237"/>
        </w:trPr>
        <w:tc>
          <w:tcPr>
            <w:tcW w:w="4140" w:type="dxa"/>
            <w:vAlign w:val="bottom"/>
            <w:gridSpan w:val="2"/>
            <w:shd w:val="clear" w:color="auto" w:fill="CCEEFF"/>
          </w:tcPr>
          <w:p>
            <w:pPr>
              <w:spacing w:after="0" w:line="237" w:lineRule="exact"/>
              <w:rPr>
                <w:sz w:val="20"/>
                <w:szCs w:val="20"/>
                <w:color w:val="auto"/>
              </w:rPr>
            </w:pPr>
            <w:r>
              <w:rPr>
                <w:rFonts w:ascii="Arial" w:cs="Arial" w:eastAsia="Arial" w:hAnsi="Arial"/>
                <w:sz w:val="21"/>
                <w:szCs w:val="21"/>
                <w:color w:val="auto"/>
              </w:rPr>
              <w:t>Net sales</w:t>
            </w:r>
          </w:p>
        </w:tc>
        <w:tc>
          <w:tcPr>
            <w:tcW w:w="380" w:type="dxa"/>
            <w:vAlign w:val="bottom"/>
            <w:shd w:val="clear" w:color="auto" w:fill="CCEEFF"/>
          </w:tcPr>
          <w:p>
            <w:pPr>
              <w:jc w:val="right"/>
              <w:ind w:right="76"/>
              <w:spacing w:after="0" w:line="237" w:lineRule="exact"/>
              <w:rPr>
                <w:sz w:val="20"/>
                <w:szCs w:val="20"/>
                <w:color w:val="auto"/>
              </w:rPr>
            </w:pPr>
            <w:r>
              <w:rPr>
                <w:rFonts w:ascii="Arial" w:cs="Arial" w:eastAsia="Arial" w:hAnsi="Arial"/>
                <w:sz w:val="21"/>
                <w:szCs w:val="21"/>
                <w:color w:val="auto"/>
              </w:rPr>
              <w:t>$</w:t>
            </w:r>
          </w:p>
        </w:tc>
        <w:tc>
          <w:tcPr>
            <w:tcW w:w="1300" w:type="dxa"/>
            <w:vAlign w:val="bottom"/>
            <w:shd w:val="clear" w:color="auto" w:fill="CCEEFF"/>
          </w:tcPr>
          <w:p>
            <w:pPr>
              <w:jc w:val="right"/>
              <w:ind w:right="79"/>
              <w:spacing w:after="0" w:line="237" w:lineRule="exact"/>
              <w:rPr>
                <w:sz w:val="20"/>
                <w:szCs w:val="20"/>
                <w:color w:val="auto"/>
              </w:rPr>
            </w:pPr>
            <w:r>
              <w:rPr>
                <w:rFonts w:ascii="Arial" w:cs="Arial" w:eastAsia="Arial" w:hAnsi="Arial"/>
                <w:sz w:val="21"/>
                <w:szCs w:val="21"/>
                <w:color w:val="auto"/>
              </w:rPr>
              <w:t>541,940</w:t>
            </w:r>
          </w:p>
        </w:tc>
        <w:tc>
          <w:tcPr>
            <w:tcW w:w="28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156"/>
              <w:spacing w:after="0" w:line="237" w:lineRule="exact"/>
              <w:rPr>
                <w:sz w:val="20"/>
                <w:szCs w:val="20"/>
                <w:color w:val="auto"/>
              </w:rPr>
            </w:pPr>
            <w:r>
              <w:rPr>
                <w:rFonts w:ascii="Arial" w:cs="Arial" w:eastAsia="Arial" w:hAnsi="Arial"/>
                <w:sz w:val="21"/>
                <w:szCs w:val="21"/>
                <w:color w:val="auto"/>
              </w:rPr>
              <w:t>$</w:t>
            </w:r>
          </w:p>
        </w:tc>
        <w:tc>
          <w:tcPr>
            <w:tcW w:w="1100" w:type="dxa"/>
            <w:vAlign w:val="bottom"/>
            <w:shd w:val="clear" w:color="auto" w:fill="CCEEFF"/>
          </w:tcPr>
          <w:p>
            <w:pPr>
              <w:jc w:val="right"/>
              <w:ind w:right="80"/>
              <w:spacing w:after="0" w:line="237" w:lineRule="exact"/>
              <w:rPr>
                <w:sz w:val="20"/>
                <w:szCs w:val="20"/>
                <w:color w:val="auto"/>
              </w:rPr>
            </w:pPr>
            <w:r>
              <w:rPr>
                <w:rFonts w:ascii="Arial" w:cs="Arial" w:eastAsia="Arial" w:hAnsi="Arial"/>
                <w:sz w:val="21"/>
                <w:szCs w:val="21"/>
                <w:color w:val="auto"/>
              </w:rPr>
              <w:t>474,709</w:t>
            </w:r>
          </w:p>
        </w:tc>
        <w:tc>
          <w:tcPr>
            <w:tcW w:w="22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56"/>
              <w:spacing w:after="0" w:line="237" w:lineRule="exact"/>
              <w:rPr>
                <w:sz w:val="20"/>
                <w:szCs w:val="20"/>
                <w:color w:val="auto"/>
              </w:rPr>
            </w:pPr>
            <w:r>
              <w:rPr>
                <w:rFonts w:ascii="Arial" w:cs="Arial" w:eastAsia="Arial" w:hAnsi="Arial"/>
                <w:sz w:val="21"/>
                <w:szCs w:val="21"/>
                <w:color w:val="auto"/>
              </w:rPr>
              <w:t>$</w:t>
            </w:r>
          </w:p>
        </w:tc>
        <w:tc>
          <w:tcPr>
            <w:tcW w:w="1200" w:type="dxa"/>
            <w:vAlign w:val="bottom"/>
            <w:shd w:val="clear" w:color="auto" w:fill="CCEEFF"/>
          </w:tcPr>
          <w:p>
            <w:pPr>
              <w:jc w:val="right"/>
              <w:ind w:right="99"/>
              <w:spacing w:after="0" w:line="237" w:lineRule="exact"/>
              <w:rPr>
                <w:sz w:val="20"/>
                <w:szCs w:val="20"/>
                <w:color w:val="auto"/>
              </w:rPr>
            </w:pPr>
            <w:r>
              <w:rPr>
                <w:rFonts w:ascii="Arial" w:cs="Arial" w:eastAsia="Arial" w:hAnsi="Arial"/>
                <w:sz w:val="21"/>
                <w:szCs w:val="21"/>
                <w:color w:val="auto"/>
              </w:rPr>
              <w:t>1,589,185</w:t>
            </w:r>
          </w:p>
        </w:tc>
        <w:tc>
          <w:tcPr>
            <w:tcW w:w="24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216"/>
              <w:spacing w:after="0" w:line="237" w:lineRule="exact"/>
              <w:rPr>
                <w:sz w:val="20"/>
                <w:szCs w:val="20"/>
                <w:color w:val="auto"/>
              </w:rPr>
            </w:pPr>
            <w:r>
              <w:rPr>
                <w:rFonts w:ascii="Arial" w:cs="Arial" w:eastAsia="Arial" w:hAnsi="Arial"/>
                <w:sz w:val="21"/>
                <w:szCs w:val="21"/>
                <w:color w:val="auto"/>
              </w:rPr>
              <w:t>$</w:t>
            </w:r>
          </w:p>
        </w:tc>
        <w:tc>
          <w:tcPr>
            <w:tcW w:w="1120" w:type="dxa"/>
            <w:vAlign w:val="bottom"/>
            <w:shd w:val="clear" w:color="auto" w:fill="CCEEFF"/>
          </w:tcPr>
          <w:p>
            <w:pPr>
              <w:jc w:val="right"/>
              <w:ind w:right="120"/>
              <w:spacing w:after="0" w:line="237" w:lineRule="exact"/>
              <w:rPr>
                <w:sz w:val="20"/>
                <w:szCs w:val="20"/>
                <w:color w:val="auto"/>
              </w:rPr>
            </w:pPr>
            <w:r>
              <w:rPr>
                <w:rFonts w:ascii="Arial" w:cs="Arial" w:eastAsia="Arial" w:hAnsi="Arial"/>
                <w:sz w:val="21"/>
                <w:szCs w:val="21"/>
                <w:color w:val="auto"/>
                <w:w w:val="94"/>
              </w:rPr>
              <w:t>1,293,273</w:t>
            </w:r>
          </w:p>
        </w:tc>
        <w:tc>
          <w:tcPr>
            <w:tcW w:w="80" w:type="dxa"/>
            <w:vAlign w:val="bottom"/>
            <w:shd w:val="clear" w:color="auto" w:fill="CCEEFF"/>
          </w:tcPr>
          <w:p>
            <w:pPr>
              <w:spacing w:after="0"/>
              <w:rPr>
                <w:sz w:val="20"/>
                <w:szCs w:val="20"/>
                <w:color w:val="auto"/>
              </w:rPr>
            </w:pPr>
          </w:p>
        </w:tc>
      </w:tr>
      <w:tr>
        <w:trPr>
          <w:trHeight w:val="243"/>
        </w:trPr>
        <w:tc>
          <w:tcPr>
            <w:tcW w:w="4140" w:type="dxa"/>
            <w:vAlign w:val="bottom"/>
            <w:tcBorders>
              <w:bottom w:val="single" w:sz="8" w:color="CCEEFF"/>
            </w:tcBorders>
            <w:gridSpan w:val="2"/>
          </w:tcPr>
          <w:p>
            <w:pPr>
              <w:spacing w:after="0"/>
              <w:rPr>
                <w:sz w:val="20"/>
                <w:szCs w:val="20"/>
                <w:color w:val="auto"/>
              </w:rPr>
            </w:pPr>
            <w:r>
              <w:rPr>
                <w:rFonts w:ascii="Arial" w:cs="Arial" w:eastAsia="Arial" w:hAnsi="Arial"/>
                <w:sz w:val="21"/>
                <w:szCs w:val="21"/>
                <w:color w:val="auto"/>
              </w:rPr>
              <w:t>Case sales (192-ounce case equivalents)</w:t>
            </w:r>
          </w:p>
        </w:tc>
        <w:tc>
          <w:tcPr>
            <w:tcW w:w="3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79"/>
              <w:spacing w:after="0"/>
              <w:rPr>
                <w:sz w:val="20"/>
                <w:szCs w:val="20"/>
                <w:color w:val="auto"/>
              </w:rPr>
            </w:pPr>
            <w:r>
              <w:rPr>
                <w:rFonts w:ascii="Arial" w:cs="Arial" w:eastAsia="Arial" w:hAnsi="Arial"/>
                <w:sz w:val="21"/>
                <w:szCs w:val="21"/>
                <w:color w:val="auto"/>
              </w:rPr>
              <w:t>54,611</w:t>
            </w:r>
          </w:p>
        </w:tc>
        <w:tc>
          <w:tcPr>
            <w:tcW w:w="28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80"/>
              <w:spacing w:after="0"/>
              <w:rPr>
                <w:sz w:val="20"/>
                <w:szCs w:val="20"/>
                <w:color w:val="auto"/>
              </w:rPr>
            </w:pPr>
            <w:r>
              <w:rPr>
                <w:rFonts w:ascii="Arial" w:cs="Arial" w:eastAsia="Arial" w:hAnsi="Arial"/>
                <w:sz w:val="21"/>
                <w:szCs w:val="21"/>
                <w:color w:val="auto"/>
              </w:rPr>
              <w:t>46,277</w:t>
            </w:r>
          </w:p>
        </w:tc>
        <w:tc>
          <w:tcPr>
            <w:tcW w:w="2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99"/>
              <w:spacing w:after="0"/>
              <w:rPr>
                <w:sz w:val="20"/>
                <w:szCs w:val="20"/>
                <w:color w:val="auto"/>
              </w:rPr>
            </w:pPr>
            <w:r>
              <w:rPr>
                <w:rFonts w:ascii="Arial" w:cs="Arial" w:eastAsia="Arial" w:hAnsi="Arial"/>
                <w:sz w:val="21"/>
                <w:szCs w:val="21"/>
                <w:color w:val="auto"/>
              </w:rPr>
              <w:t>156,532</w:t>
            </w:r>
          </w:p>
        </w:tc>
        <w:tc>
          <w:tcPr>
            <w:tcW w:w="24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20"/>
              <w:spacing w:after="0"/>
              <w:rPr>
                <w:sz w:val="20"/>
                <w:szCs w:val="20"/>
                <w:color w:val="auto"/>
              </w:rPr>
            </w:pPr>
            <w:r>
              <w:rPr>
                <w:rFonts w:ascii="Arial" w:cs="Arial" w:eastAsia="Arial" w:hAnsi="Arial"/>
                <w:sz w:val="21"/>
                <w:szCs w:val="21"/>
                <w:color w:val="auto"/>
              </w:rPr>
              <w:t>125,231</w:t>
            </w:r>
          </w:p>
        </w:tc>
        <w:tc>
          <w:tcPr>
            <w:tcW w:w="80" w:type="dxa"/>
            <w:vAlign w:val="bottom"/>
            <w:tcBorders>
              <w:bottom w:val="single" w:sz="8" w:color="CCEEFF"/>
            </w:tcBorders>
          </w:tcPr>
          <w:p>
            <w:pPr>
              <w:spacing w:after="0"/>
              <w:rPr>
                <w:sz w:val="21"/>
                <w:szCs w:val="21"/>
                <w:color w:val="auto"/>
              </w:rPr>
            </w:pPr>
          </w:p>
        </w:tc>
      </w:tr>
      <w:tr>
        <w:trPr>
          <w:trHeight w:val="237"/>
        </w:trPr>
        <w:tc>
          <w:tcPr>
            <w:tcW w:w="4140" w:type="dxa"/>
            <w:vAlign w:val="bottom"/>
            <w:tcBorders>
              <w:bottom w:val="single" w:sz="8" w:color="CCEEFF"/>
            </w:tcBorders>
            <w:gridSpan w:val="2"/>
            <w:shd w:val="clear" w:color="auto" w:fill="CCEEFF"/>
          </w:tcPr>
          <w:p>
            <w:pPr>
              <w:spacing w:after="0" w:line="237" w:lineRule="exact"/>
              <w:rPr>
                <w:sz w:val="20"/>
                <w:szCs w:val="20"/>
                <w:color w:val="auto"/>
              </w:rPr>
            </w:pPr>
            <w:r>
              <w:rPr>
                <w:rFonts w:ascii="Arial" w:cs="Arial" w:eastAsia="Arial" w:hAnsi="Arial"/>
                <w:sz w:val="21"/>
                <w:szCs w:val="21"/>
                <w:color w:val="auto"/>
              </w:rPr>
              <w:t>Average net sales per case</w:t>
            </w:r>
          </w:p>
        </w:tc>
        <w:tc>
          <w:tcPr>
            <w:tcW w:w="380" w:type="dxa"/>
            <w:vAlign w:val="bottom"/>
            <w:tcBorders>
              <w:bottom w:val="single" w:sz="8" w:color="auto"/>
            </w:tcBorders>
            <w:shd w:val="clear" w:color="auto" w:fill="CCEEFF"/>
          </w:tcPr>
          <w:p>
            <w:pPr>
              <w:jc w:val="right"/>
              <w:ind w:right="76"/>
              <w:spacing w:after="0" w:line="237" w:lineRule="exact"/>
              <w:rPr>
                <w:sz w:val="20"/>
                <w:szCs w:val="20"/>
                <w:color w:val="auto"/>
              </w:rPr>
            </w:pPr>
            <w:r>
              <w:rPr>
                <w:rFonts w:ascii="Arial" w:cs="Arial" w:eastAsia="Arial" w:hAnsi="Arial"/>
                <w:sz w:val="21"/>
                <w:szCs w:val="21"/>
                <w:color w:val="auto"/>
              </w:rPr>
              <w:t>$</w:t>
            </w:r>
          </w:p>
        </w:tc>
        <w:tc>
          <w:tcPr>
            <w:tcW w:w="1300" w:type="dxa"/>
            <w:vAlign w:val="bottom"/>
            <w:tcBorders>
              <w:bottom w:val="single" w:sz="8" w:color="auto"/>
            </w:tcBorders>
            <w:shd w:val="clear" w:color="auto" w:fill="CCEEFF"/>
          </w:tcPr>
          <w:p>
            <w:pPr>
              <w:jc w:val="right"/>
              <w:ind w:right="79"/>
              <w:spacing w:after="0" w:line="237" w:lineRule="exact"/>
              <w:rPr>
                <w:sz w:val="20"/>
                <w:szCs w:val="20"/>
                <w:color w:val="auto"/>
              </w:rPr>
            </w:pPr>
            <w:r>
              <w:rPr>
                <w:rFonts w:ascii="Arial" w:cs="Arial" w:eastAsia="Arial" w:hAnsi="Arial"/>
                <w:sz w:val="21"/>
                <w:szCs w:val="21"/>
                <w:color w:val="auto"/>
              </w:rPr>
              <w:t>9.92</w:t>
            </w:r>
          </w:p>
        </w:tc>
        <w:tc>
          <w:tcPr>
            <w:tcW w:w="2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156"/>
              <w:spacing w:after="0" w:line="237" w:lineRule="exact"/>
              <w:rPr>
                <w:sz w:val="20"/>
                <w:szCs w:val="20"/>
                <w:color w:val="auto"/>
              </w:rPr>
            </w:pPr>
            <w:r>
              <w:rPr>
                <w:rFonts w:ascii="Arial" w:cs="Arial" w:eastAsia="Arial" w:hAnsi="Arial"/>
                <w:sz w:val="21"/>
                <w:szCs w:val="21"/>
                <w:color w:val="auto"/>
              </w:rPr>
              <w:t>$</w:t>
            </w:r>
          </w:p>
        </w:tc>
        <w:tc>
          <w:tcPr>
            <w:tcW w:w="1100" w:type="dxa"/>
            <w:vAlign w:val="bottom"/>
            <w:tcBorders>
              <w:bottom w:val="single" w:sz="8" w:color="auto"/>
            </w:tcBorders>
            <w:shd w:val="clear" w:color="auto" w:fill="CCEEFF"/>
          </w:tcPr>
          <w:p>
            <w:pPr>
              <w:jc w:val="right"/>
              <w:ind w:right="80"/>
              <w:spacing w:after="0" w:line="237" w:lineRule="exact"/>
              <w:rPr>
                <w:sz w:val="20"/>
                <w:szCs w:val="20"/>
                <w:color w:val="auto"/>
              </w:rPr>
            </w:pPr>
            <w:r>
              <w:rPr>
                <w:rFonts w:ascii="Arial" w:cs="Arial" w:eastAsia="Arial" w:hAnsi="Arial"/>
                <w:sz w:val="21"/>
                <w:szCs w:val="21"/>
                <w:color w:val="auto"/>
              </w:rPr>
              <w:t>10.26</w:t>
            </w:r>
          </w:p>
        </w:tc>
        <w:tc>
          <w:tcPr>
            <w:tcW w:w="2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56"/>
              <w:spacing w:after="0" w:line="237" w:lineRule="exact"/>
              <w:rPr>
                <w:sz w:val="20"/>
                <w:szCs w:val="20"/>
                <w:color w:val="auto"/>
              </w:rPr>
            </w:pPr>
            <w:r>
              <w:rPr>
                <w:rFonts w:ascii="Arial" w:cs="Arial" w:eastAsia="Arial" w:hAnsi="Arial"/>
                <w:sz w:val="21"/>
                <w:szCs w:val="21"/>
                <w:color w:val="auto"/>
              </w:rPr>
              <w:t>$</w:t>
            </w:r>
          </w:p>
        </w:tc>
        <w:tc>
          <w:tcPr>
            <w:tcW w:w="1200" w:type="dxa"/>
            <w:vAlign w:val="bottom"/>
            <w:tcBorders>
              <w:bottom w:val="single" w:sz="8" w:color="auto"/>
            </w:tcBorders>
            <w:shd w:val="clear" w:color="auto" w:fill="CCEEFF"/>
          </w:tcPr>
          <w:p>
            <w:pPr>
              <w:jc w:val="right"/>
              <w:ind w:right="99"/>
              <w:spacing w:after="0" w:line="237" w:lineRule="exact"/>
              <w:rPr>
                <w:sz w:val="20"/>
                <w:szCs w:val="20"/>
                <w:color w:val="auto"/>
              </w:rPr>
            </w:pPr>
            <w:r>
              <w:rPr>
                <w:rFonts w:ascii="Arial" w:cs="Arial" w:eastAsia="Arial" w:hAnsi="Arial"/>
                <w:sz w:val="21"/>
                <w:szCs w:val="21"/>
                <w:color w:val="auto"/>
              </w:rPr>
              <w:t>10.15</w:t>
            </w:r>
          </w:p>
        </w:tc>
        <w:tc>
          <w:tcPr>
            <w:tcW w:w="2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216"/>
              <w:spacing w:after="0" w:line="237" w:lineRule="exact"/>
              <w:rPr>
                <w:sz w:val="20"/>
                <w:szCs w:val="20"/>
                <w:color w:val="auto"/>
              </w:rPr>
            </w:pPr>
            <w:r>
              <w:rPr>
                <w:rFonts w:ascii="Arial" w:cs="Arial" w:eastAsia="Arial" w:hAnsi="Arial"/>
                <w:sz w:val="21"/>
                <w:szCs w:val="21"/>
                <w:color w:val="auto"/>
              </w:rPr>
              <w:t>$</w:t>
            </w:r>
          </w:p>
        </w:tc>
        <w:tc>
          <w:tcPr>
            <w:tcW w:w="1120" w:type="dxa"/>
            <w:vAlign w:val="bottom"/>
            <w:tcBorders>
              <w:bottom w:val="single" w:sz="8" w:color="auto"/>
            </w:tcBorders>
            <w:shd w:val="clear" w:color="auto" w:fill="CCEEFF"/>
          </w:tcPr>
          <w:p>
            <w:pPr>
              <w:jc w:val="right"/>
              <w:ind w:right="120"/>
              <w:spacing w:after="0" w:line="237" w:lineRule="exact"/>
              <w:rPr>
                <w:sz w:val="20"/>
                <w:szCs w:val="20"/>
                <w:color w:val="auto"/>
              </w:rPr>
            </w:pPr>
            <w:r>
              <w:rPr>
                <w:rFonts w:ascii="Arial" w:cs="Arial" w:eastAsia="Arial" w:hAnsi="Arial"/>
                <w:sz w:val="21"/>
                <w:szCs w:val="21"/>
                <w:color w:val="auto"/>
              </w:rPr>
              <w:t>10.33</w:t>
            </w:r>
          </w:p>
        </w:tc>
        <w:tc>
          <w:tcPr>
            <w:tcW w:w="80" w:type="dxa"/>
            <w:vAlign w:val="bottom"/>
            <w:tcBorders>
              <w:bottom w:val="single" w:sz="8" w:color="CCEEFF"/>
            </w:tcBorders>
            <w:shd w:val="clear" w:color="auto" w:fill="CCEEFF"/>
          </w:tcPr>
          <w:p>
            <w:pPr>
              <w:spacing w:after="0"/>
              <w:rPr>
                <w:sz w:val="20"/>
                <w:szCs w:val="20"/>
                <w:color w:val="auto"/>
              </w:rPr>
            </w:pPr>
          </w:p>
        </w:tc>
      </w:tr>
      <w:tr>
        <w:trPr>
          <w:trHeight w:val="20"/>
        </w:trPr>
        <w:tc>
          <w:tcPr>
            <w:tcW w:w="3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5"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See Item 2, “Management’s Discussion and Analysis of Financial Condition and Results of Operations - Our Business” for additional information related to the increase in sales.</w:t>
      </w:r>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Critical Accounting Policies</w:t>
      </w:r>
    </w:p>
    <w:p>
      <w:pPr>
        <w:spacing w:after="0" w:line="239"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Changes to our critical accounting policies are discussed in “Recent Accounting Pronouncements” below. There have been no other material changes to our critical accounting policies from the information provided in Item 7, “Management’s Discussion and Analysis of Financial Condition and Results of Operations”, included in our Form 10-K for the fiscal year ended December 31, 2011.</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Recent Accounting Pronouncements</w:t>
      </w:r>
    </w:p>
    <w:p>
      <w:pPr>
        <w:spacing w:after="0" w:line="239"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In July 2012, the Financial Accounting Standards Board (the “FASB”) issued Accounting Standards Update (“ASU”) No. 2012-02, “Intangibles-Goodwill and Other (Topic 350): Testing Indefinite-Lived Intangible Assets for Impairment.” ASU 2012-02 permits entities to assess qualitative factors first in determining whether the existence of events and circumstances indicates that it is more likely than not that the indefinite-lived intangible asset is impaired. If, after assessing the totality of events and circumstances, an entity concludes that it is not more likely than not that the indefinite-lived intangible asset is impaired, no further analysis would be required. The guidance is</w:t>
      </w:r>
    </w:p>
    <w:p>
      <w:pPr>
        <w:sectPr>
          <w:pgSz w:w="11900" w:h="16838" w:orient="portrait"/>
          <w:cols w:equalWidth="0" w:num="1">
            <w:col w:w="11420"/>
          </w:cols>
          <w:pgMar w:left="240" w:top="118" w:right="239" w:bottom="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5" w:lineRule="exact"/>
        <w:rPr>
          <w:sz w:val="20"/>
          <w:szCs w:val="20"/>
          <w:color w:val="auto"/>
        </w:rPr>
      </w:pPr>
    </w:p>
    <w:p>
      <w:pPr>
        <w:jc w:val="both"/>
        <w:spacing w:after="0"/>
        <w:rPr>
          <w:sz w:val="20"/>
          <w:szCs w:val="20"/>
          <w:color w:val="auto"/>
        </w:rPr>
      </w:pPr>
      <w:r>
        <w:rPr>
          <w:rFonts w:ascii="Arial" w:cs="Arial" w:eastAsia="Arial" w:hAnsi="Arial"/>
          <w:sz w:val="22"/>
          <w:szCs w:val="22"/>
          <w:color w:val="auto"/>
        </w:rPr>
        <w:t>effective for annual and interim impairment tests performed for fiscal years beginning after September 15, 2012, with early adoption permitted. The adoption of ASU 2012-02 will not have a material impact on the Company’s financial position, results of operations or liquidity.</w:t>
      </w:r>
    </w:p>
    <w:p>
      <w:pPr>
        <w:spacing w:after="0" w:line="213"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1"/>
          <w:szCs w:val="21"/>
          <w:color w:val="auto"/>
        </w:rPr>
        <w:t>In June 2011, the FASB issued ASU No. 2011-05, “Presentation of Comprehensive Income.” ASU 2011-05 eliminates the option to report other comprehensive income and its components in the statement of changes in stockholders’ equity and requires an entity to present the total of comprehensive income, the components of net income and the components of other comprehensive income either in a single continuous statement or in two separate but consecutive statements. ASU 2011-05 became effective for the Company on January 1, 2012. The adoption of ASU 2011-05 did not have any impact on the Company’s financial position, results of operations or liquidity.</w:t>
      </w:r>
    </w:p>
    <w:p>
      <w:pPr>
        <w:spacing w:after="0" w:line="20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9"/>
          <w:szCs w:val="19"/>
          <w:color w:val="auto"/>
        </w:rPr>
        <w:t>In May 2011, the FASB issued ASU No. 2011-04, “Amendments to Achieve Common Fair Value Measurement and Disclosure Requirements in U.S. GAAP and IFRS.” This pronouncement was issued to provide a consistent definition of fair value and ensure that the fair value measurement and disclosure requirements are similar between U.S. GAAP and International Financial Reporting Standards (“IFRS”). ASU 2011-04 changes certain fair value measurement principles and enhances the disclosure requirements particularly for level 3 fair value measurements. ASU 2011-04 became effective for the Company on January 1, 2012. The adoption of ASU 2011-04 did not have any impact on the Company’s financial position, results of operations or liquidity.</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Inflation</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We do not believe that inflation had a significant impact on our results of operations for the periods presented.</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w:t>
      </w:r>
    </w:p>
    <w:p>
      <w:pPr>
        <w:spacing w:after="0" w:line="23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color w:val="auto"/>
        </w:rPr>
        <w:t>The Private Securities Litigation Reform Act of 1995 (the “Act”) provides a safe harbor for forward-looking statements made by or on behalf of the Company. Certain statements made in this report may constitute forward-looking statements (within the meaning of Section 27A of the Securities Act of 1933, as amended, and Section 21E of the Securities Exchange Act of 1934, as amended) (the “Exchange Act”) regarding the expectations of management with respect to revenues, profitability, adequacy of funds from operations and our existing credit facility, among other things. All statements containing a projection of revenues, income (loss), earnings (loss) per share, capital expenditures, dividends, capital structure or other financial items, a statement of management’s plans and objectives for future operations, or a statement of future economic performance contained in management’s discussion and analysis of financial condition and results of operations, including statements related to new products, volume growth and statements encompassing general optimism about future operating results and non-historical information, are forward-looking statements within the meaning of the Act. Without limiting the foregoing, the words “believes,” “thinks,” “anticipates,” “plans,” “expects,” and similar expressions are intended to identify forward-looking statements.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5"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Management cautions that these statements are qualified by their terms and/or important factors, many of which are outside our control, involve a number of risks, uncertainties and other factors, that could cause actual results and events to differ materially from the statements made including, but not limited to, the following:</w:t>
      </w:r>
    </w:p>
    <w:p>
      <w:pPr>
        <w:spacing w:after="0" w:line="213" w:lineRule="exact"/>
        <w:rPr>
          <w:sz w:val="20"/>
          <w:szCs w:val="20"/>
          <w:color w:val="auto"/>
        </w:rPr>
      </w:pPr>
    </w:p>
    <w:p>
      <w:pPr>
        <w:ind w:left="380" w:hanging="372"/>
        <w:spacing w:after="0" w:line="239" w:lineRule="auto"/>
        <w:tabs>
          <w:tab w:leader="none" w:pos="380" w:val="left"/>
        </w:tabs>
        <w:numPr>
          <w:ilvl w:val="0"/>
          <w:numId w:val="26"/>
        </w:numPr>
        <w:rPr>
          <w:rFonts w:ascii="Arial" w:cs="Arial" w:eastAsia="Arial" w:hAnsi="Arial"/>
          <w:sz w:val="22"/>
          <w:szCs w:val="22"/>
          <w:color w:val="auto"/>
        </w:rPr>
      </w:pPr>
      <w:r>
        <w:rPr>
          <w:rFonts w:ascii="Arial" w:cs="Arial" w:eastAsia="Arial" w:hAnsi="Arial"/>
          <w:sz w:val="22"/>
          <w:szCs w:val="22"/>
          <w:color w:val="auto"/>
        </w:rPr>
        <w:t>Disruption in distribution or sales and/or decline in sales due to the termination and/or appointment of existing and/or new domestic and/or international distributors;</w:t>
      </w:r>
    </w:p>
    <w:p>
      <w:pPr>
        <w:ind w:left="380" w:hanging="372"/>
        <w:spacing w:after="0" w:line="230" w:lineRule="auto"/>
        <w:tabs>
          <w:tab w:leader="none" w:pos="380" w:val="left"/>
        </w:tabs>
        <w:numPr>
          <w:ilvl w:val="0"/>
          <w:numId w:val="26"/>
        </w:numPr>
        <w:rPr>
          <w:rFonts w:ascii="Arial" w:cs="Arial" w:eastAsia="Arial" w:hAnsi="Arial"/>
          <w:sz w:val="22"/>
          <w:szCs w:val="22"/>
          <w:color w:val="auto"/>
        </w:rPr>
      </w:pPr>
      <w:r>
        <w:rPr>
          <w:rFonts w:ascii="Arial" w:cs="Arial" w:eastAsia="Arial" w:hAnsi="Arial"/>
          <w:sz w:val="22"/>
          <w:szCs w:val="22"/>
          <w:color w:val="auto"/>
        </w:rPr>
        <w:t>Lack of anticipated demand for our products in international markets;</w:t>
      </w:r>
    </w:p>
    <w:p>
      <w:pPr>
        <w:ind w:left="380" w:hanging="372"/>
        <w:spacing w:after="0" w:line="230" w:lineRule="auto"/>
        <w:tabs>
          <w:tab w:leader="none" w:pos="380" w:val="left"/>
        </w:tabs>
        <w:numPr>
          <w:ilvl w:val="0"/>
          <w:numId w:val="26"/>
        </w:numPr>
        <w:rPr>
          <w:rFonts w:ascii="Arial" w:cs="Arial" w:eastAsia="Arial" w:hAnsi="Arial"/>
          <w:sz w:val="22"/>
          <w:szCs w:val="22"/>
          <w:color w:val="auto"/>
        </w:rPr>
      </w:pPr>
      <w:r>
        <w:rPr>
          <w:rFonts w:ascii="Arial" w:cs="Arial" w:eastAsia="Arial" w:hAnsi="Arial"/>
          <w:sz w:val="22"/>
          <w:szCs w:val="22"/>
          <w:color w:val="auto"/>
        </w:rPr>
        <w:t>Unfavorable international regulations, including taxation requirements, product registration requirements, tariffs and/or trade restrictions;</w:t>
      </w:r>
    </w:p>
    <w:p>
      <w:pPr>
        <w:spacing w:after="0" w:line="1" w:lineRule="exact"/>
        <w:rPr>
          <w:rFonts w:ascii="Arial" w:cs="Arial" w:eastAsia="Arial" w:hAnsi="Arial"/>
          <w:sz w:val="22"/>
          <w:szCs w:val="22"/>
          <w:color w:val="auto"/>
        </w:rPr>
      </w:pPr>
    </w:p>
    <w:p>
      <w:pPr>
        <w:ind w:left="380" w:hanging="372"/>
        <w:spacing w:after="0" w:line="230" w:lineRule="auto"/>
        <w:tabs>
          <w:tab w:leader="none" w:pos="380" w:val="left"/>
        </w:tabs>
        <w:numPr>
          <w:ilvl w:val="0"/>
          <w:numId w:val="26"/>
        </w:numPr>
        <w:rPr>
          <w:rFonts w:ascii="Arial" w:cs="Arial" w:eastAsia="Arial" w:hAnsi="Arial"/>
          <w:sz w:val="22"/>
          <w:szCs w:val="22"/>
          <w:color w:val="auto"/>
        </w:rPr>
      </w:pPr>
      <w:r>
        <w:rPr>
          <w:rFonts w:ascii="Arial" w:cs="Arial" w:eastAsia="Arial" w:hAnsi="Arial"/>
          <w:sz w:val="22"/>
          <w:szCs w:val="22"/>
          <w:color w:val="auto"/>
        </w:rPr>
        <w:t>Our ability to achieve profitability from our operations outside the United States;</w:t>
      </w:r>
    </w:p>
    <w:p>
      <w:pPr>
        <w:ind w:left="380" w:hanging="372"/>
        <w:spacing w:after="0" w:line="267" w:lineRule="auto"/>
        <w:tabs>
          <w:tab w:leader="none" w:pos="380" w:val="left"/>
        </w:tabs>
        <w:numPr>
          <w:ilvl w:val="0"/>
          <w:numId w:val="26"/>
        </w:numPr>
        <w:rPr>
          <w:rFonts w:ascii="Arial" w:cs="Arial" w:eastAsia="Arial" w:hAnsi="Arial"/>
          <w:sz w:val="19"/>
          <w:szCs w:val="19"/>
          <w:color w:val="auto"/>
        </w:rPr>
      </w:pPr>
      <w:r>
        <w:rPr>
          <w:rFonts w:ascii="Arial" w:cs="Arial" w:eastAsia="Arial" w:hAnsi="Arial"/>
          <w:sz w:val="19"/>
          <w:szCs w:val="19"/>
          <w:color w:val="auto"/>
        </w:rPr>
        <w:t>Our ability to manage legal and regulatory requirements in foreign jurisdictions, potential difficulties in staffing and managing foreign operations, potentially higher incidence of fraud or corruption and credit risk of foreign customers and distributors;</w:t>
      </w:r>
    </w:p>
    <w:p>
      <w:pPr>
        <w:ind w:left="380" w:hanging="372"/>
        <w:spacing w:after="0" w:line="230" w:lineRule="auto"/>
        <w:tabs>
          <w:tab w:leader="none" w:pos="380" w:val="left"/>
        </w:tabs>
        <w:numPr>
          <w:ilvl w:val="0"/>
          <w:numId w:val="26"/>
        </w:numPr>
        <w:rPr>
          <w:rFonts w:ascii="Arial" w:cs="Arial" w:eastAsia="Arial" w:hAnsi="Arial"/>
          <w:sz w:val="22"/>
          <w:szCs w:val="22"/>
          <w:color w:val="auto"/>
        </w:rPr>
      </w:pPr>
      <w:r>
        <w:rPr>
          <w:rFonts w:ascii="Arial" w:cs="Arial" w:eastAsia="Arial" w:hAnsi="Arial"/>
          <w:sz w:val="22"/>
          <w:szCs w:val="22"/>
          <w:color w:val="auto"/>
        </w:rPr>
        <w:t>Our ability to effectively manage our inventories and/or our accounts receivables;</w:t>
      </w:r>
    </w:p>
    <w:p>
      <w:pPr>
        <w:jc w:val="both"/>
        <w:ind w:left="380" w:hanging="372"/>
        <w:spacing w:after="0" w:line="230" w:lineRule="auto"/>
        <w:tabs>
          <w:tab w:leader="none" w:pos="380" w:val="left"/>
        </w:tabs>
        <w:numPr>
          <w:ilvl w:val="0"/>
          <w:numId w:val="26"/>
        </w:numPr>
        <w:rPr>
          <w:rFonts w:ascii="Arial" w:cs="Arial" w:eastAsia="Arial" w:hAnsi="Arial"/>
          <w:sz w:val="22"/>
          <w:szCs w:val="22"/>
          <w:color w:val="auto"/>
        </w:rPr>
      </w:pPr>
      <w:r>
        <w:rPr>
          <w:rFonts w:ascii="Arial" w:cs="Arial" w:eastAsia="Arial" w:hAnsi="Arial"/>
          <w:sz w:val="22"/>
          <w:szCs w:val="22"/>
          <w:color w:val="auto"/>
        </w:rPr>
        <w:t>Our foreign currency exchange rate risk with respect to our sales, expenses, profits, assets and liabilities denominated in currencies other than the U.S. dollar, which will continue to increase as foreign sales increase, since we do not use derivative financial instruments to reduce our net exposure to currency fluctuations;</w:t>
      </w:r>
    </w:p>
    <w:p>
      <w:pPr>
        <w:spacing w:after="0" w:line="2" w:lineRule="exact"/>
        <w:rPr>
          <w:rFonts w:ascii="Arial" w:cs="Arial" w:eastAsia="Arial" w:hAnsi="Arial"/>
          <w:sz w:val="22"/>
          <w:szCs w:val="22"/>
          <w:color w:val="auto"/>
        </w:rPr>
      </w:pPr>
    </w:p>
    <w:p>
      <w:pPr>
        <w:ind w:left="380" w:hanging="372"/>
        <w:spacing w:after="0" w:line="230" w:lineRule="auto"/>
        <w:tabs>
          <w:tab w:leader="none" w:pos="380" w:val="left"/>
        </w:tabs>
        <w:numPr>
          <w:ilvl w:val="0"/>
          <w:numId w:val="26"/>
        </w:numPr>
        <w:rPr>
          <w:rFonts w:ascii="Arial" w:cs="Arial" w:eastAsia="Arial" w:hAnsi="Arial"/>
          <w:sz w:val="22"/>
          <w:szCs w:val="22"/>
          <w:color w:val="auto"/>
        </w:rPr>
      </w:pPr>
      <w:r>
        <w:rPr>
          <w:rFonts w:ascii="Arial" w:cs="Arial" w:eastAsia="Arial" w:hAnsi="Arial"/>
          <w:sz w:val="22"/>
          <w:szCs w:val="22"/>
          <w:color w:val="auto"/>
        </w:rPr>
        <w:t>Changes in accounting standards may affect our reported profitability;</w:t>
      </w:r>
    </w:p>
    <w:p>
      <w:pPr>
        <w:ind w:left="380" w:hanging="372"/>
        <w:spacing w:after="0" w:line="230" w:lineRule="auto"/>
        <w:tabs>
          <w:tab w:leader="none" w:pos="380" w:val="left"/>
        </w:tabs>
        <w:numPr>
          <w:ilvl w:val="0"/>
          <w:numId w:val="26"/>
        </w:numPr>
        <w:rPr>
          <w:rFonts w:ascii="Arial" w:cs="Arial" w:eastAsia="Arial" w:hAnsi="Arial"/>
          <w:sz w:val="22"/>
          <w:szCs w:val="22"/>
          <w:color w:val="auto"/>
        </w:rPr>
      </w:pPr>
      <w:r>
        <w:rPr>
          <w:rFonts w:ascii="Arial" w:cs="Arial" w:eastAsia="Arial" w:hAnsi="Arial"/>
          <w:sz w:val="22"/>
          <w:szCs w:val="22"/>
          <w:color w:val="auto"/>
        </w:rPr>
        <w:t>Any proceedings which may be brought against us by the Securities and Exchange Commission (the “SEC”) or other governmental agencies;</w:t>
      </w:r>
    </w:p>
    <w:p>
      <w:pPr>
        <w:spacing w:after="0" w:line="1" w:lineRule="exact"/>
        <w:rPr>
          <w:rFonts w:ascii="Arial" w:cs="Arial" w:eastAsia="Arial" w:hAnsi="Arial"/>
          <w:sz w:val="22"/>
          <w:szCs w:val="22"/>
          <w:color w:val="auto"/>
        </w:rPr>
      </w:pPr>
    </w:p>
    <w:p>
      <w:pPr>
        <w:ind w:left="380" w:hanging="372"/>
        <w:spacing w:after="0" w:line="237" w:lineRule="auto"/>
        <w:tabs>
          <w:tab w:leader="none" w:pos="380" w:val="left"/>
        </w:tabs>
        <w:numPr>
          <w:ilvl w:val="0"/>
          <w:numId w:val="26"/>
        </w:numPr>
        <w:rPr>
          <w:rFonts w:ascii="Arial" w:cs="Arial" w:eastAsia="Arial" w:hAnsi="Arial"/>
          <w:sz w:val="22"/>
          <w:szCs w:val="22"/>
          <w:color w:val="auto"/>
        </w:rPr>
      </w:pPr>
      <w:r>
        <w:rPr>
          <w:rFonts w:ascii="Arial" w:cs="Arial" w:eastAsia="Arial" w:hAnsi="Arial"/>
          <w:sz w:val="22"/>
          <w:szCs w:val="22"/>
          <w:color w:val="auto"/>
        </w:rPr>
        <w:t>The outcome of shareholder securities litigation and shareholder derivative actions filed against us and/or against certain of our officers and directors, and the possibility of other private litigation;</w:t>
      </w:r>
    </w:p>
    <w:p>
      <w:pPr>
        <w:sectPr>
          <w:pgSz w:w="11900" w:h="16838" w:orient="portrait"/>
          <w:cols w:equalWidth="0" w:num="1">
            <w:col w:w="11420"/>
          </w:cols>
          <w:pgMar w:left="240" w:top="341" w:right="239" w:bottom="0" w:gutter="0" w:footer="0" w:header="0"/>
        </w:sectPr>
      </w:pPr>
    </w:p>
    <w:bookmarkStart w:id="30" w:name="page31"/>
    <w:bookmarkEnd w:id="30"/>
    <w:p>
      <w:pPr>
        <w:ind w:left="380" w:hanging="372"/>
        <w:spacing w:after="0"/>
        <w:tabs>
          <w:tab w:leader="none" w:pos="380" w:val="left"/>
        </w:tabs>
        <w:numPr>
          <w:ilvl w:val="0"/>
          <w:numId w:val="27"/>
        </w:numPr>
        <w:rPr>
          <w:rFonts w:ascii="Arial" w:cs="Arial" w:eastAsia="Arial" w:hAnsi="Arial"/>
          <w:sz w:val="22"/>
          <w:szCs w:val="22"/>
          <w:color w:val="auto"/>
        </w:rPr>
      </w:pPr>
      <w:r>
        <w:rPr>
          <w:rFonts w:ascii="Arial" w:cs="Arial" w:eastAsia="Arial" w:hAnsi="Arial"/>
          <w:sz w:val="22"/>
          <w:szCs w:val="22"/>
          <w:color w:val="auto"/>
        </w:rPr>
        <w:t>The possibility of future shareholder derivative actions or shareholder securities litigation filed against us;</w:t>
      </w:r>
    </w:p>
    <w:p>
      <w:pPr>
        <w:spacing w:after="0" w:line="8" w:lineRule="exact"/>
        <w:rPr>
          <w:rFonts w:ascii="Arial" w:cs="Arial" w:eastAsia="Arial" w:hAnsi="Arial"/>
          <w:sz w:val="22"/>
          <w:szCs w:val="22"/>
          <w:color w:val="auto"/>
        </w:rPr>
      </w:pPr>
    </w:p>
    <w:p>
      <w:pPr>
        <w:ind w:left="380" w:hanging="372"/>
        <w:spacing w:after="0" w:line="230" w:lineRule="auto"/>
        <w:tabs>
          <w:tab w:leader="none" w:pos="380" w:val="left"/>
        </w:tabs>
        <w:numPr>
          <w:ilvl w:val="0"/>
          <w:numId w:val="27"/>
        </w:numPr>
        <w:rPr>
          <w:rFonts w:ascii="Arial" w:cs="Arial" w:eastAsia="Arial" w:hAnsi="Arial"/>
          <w:sz w:val="22"/>
          <w:szCs w:val="22"/>
          <w:color w:val="auto"/>
        </w:rPr>
      </w:pPr>
      <w:r>
        <w:rPr>
          <w:rFonts w:ascii="Arial" w:cs="Arial" w:eastAsia="Arial" w:hAnsi="Arial"/>
          <w:sz w:val="22"/>
          <w:szCs w:val="22"/>
          <w:color w:val="auto"/>
        </w:rPr>
        <w:t>The current uncertainty and volatility in the national and global economy;</w:t>
      </w:r>
    </w:p>
    <w:p>
      <w:pPr>
        <w:ind w:left="380" w:hanging="372"/>
        <w:spacing w:after="0" w:line="230" w:lineRule="auto"/>
        <w:tabs>
          <w:tab w:leader="none" w:pos="380" w:val="left"/>
        </w:tabs>
        <w:numPr>
          <w:ilvl w:val="0"/>
          <w:numId w:val="27"/>
        </w:numPr>
        <w:rPr>
          <w:rFonts w:ascii="Arial" w:cs="Arial" w:eastAsia="Arial" w:hAnsi="Arial"/>
          <w:sz w:val="22"/>
          <w:szCs w:val="22"/>
          <w:color w:val="auto"/>
        </w:rPr>
      </w:pPr>
      <w:r>
        <w:rPr>
          <w:rFonts w:ascii="Arial" w:cs="Arial" w:eastAsia="Arial" w:hAnsi="Arial"/>
          <w:sz w:val="22"/>
          <w:szCs w:val="22"/>
          <w:color w:val="auto"/>
        </w:rPr>
        <w:t>The impact of lower disposable incomes of our consumers, as a result of the current state of the economy, the continuing high levels of unemployment and high gasoline prices;</w:t>
      </w:r>
    </w:p>
    <w:p>
      <w:pPr>
        <w:spacing w:after="0" w:line="1" w:lineRule="exact"/>
        <w:rPr>
          <w:rFonts w:ascii="Arial" w:cs="Arial" w:eastAsia="Arial" w:hAnsi="Arial"/>
          <w:sz w:val="22"/>
          <w:szCs w:val="22"/>
          <w:color w:val="auto"/>
        </w:rPr>
      </w:pPr>
    </w:p>
    <w:p>
      <w:pPr>
        <w:jc w:val="both"/>
        <w:ind w:left="380" w:hanging="372"/>
        <w:spacing w:after="0" w:line="230" w:lineRule="auto"/>
        <w:tabs>
          <w:tab w:leader="none" w:pos="380" w:val="left"/>
        </w:tabs>
        <w:numPr>
          <w:ilvl w:val="0"/>
          <w:numId w:val="27"/>
        </w:numPr>
        <w:rPr>
          <w:rFonts w:ascii="Arial" w:cs="Arial" w:eastAsia="Arial" w:hAnsi="Arial"/>
          <w:sz w:val="22"/>
          <w:szCs w:val="22"/>
          <w:color w:val="auto"/>
        </w:rPr>
      </w:pPr>
      <w:r>
        <w:rPr>
          <w:rFonts w:ascii="Arial" w:cs="Arial" w:eastAsia="Arial" w:hAnsi="Arial"/>
          <w:sz w:val="22"/>
          <w:szCs w:val="22"/>
          <w:color w:val="auto"/>
        </w:rPr>
        <w:t>The outcome of future auctions of auction rate securities and/or our ability to recover payments thereunder and/or the creditworthiness of issuers of our auction rate securities and/or our 2011 Put Option and/or their ability to make payment thereunder;</w:t>
      </w:r>
    </w:p>
    <w:p>
      <w:pPr>
        <w:spacing w:after="0" w:line="2" w:lineRule="exact"/>
        <w:rPr>
          <w:rFonts w:ascii="Arial" w:cs="Arial" w:eastAsia="Arial" w:hAnsi="Arial"/>
          <w:sz w:val="22"/>
          <w:szCs w:val="22"/>
          <w:color w:val="auto"/>
        </w:rPr>
      </w:pPr>
    </w:p>
    <w:p>
      <w:pPr>
        <w:ind w:left="380" w:hanging="372"/>
        <w:spacing w:after="0"/>
        <w:tabs>
          <w:tab w:leader="none" w:pos="380" w:val="left"/>
        </w:tabs>
        <w:numPr>
          <w:ilvl w:val="0"/>
          <w:numId w:val="27"/>
        </w:numPr>
        <w:rPr>
          <w:rFonts w:ascii="Arial" w:cs="Arial" w:eastAsia="Arial" w:hAnsi="Arial"/>
          <w:sz w:val="21"/>
          <w:szCs w:val="21"/>
          <w:color w:val="auto"/>
        </w:rPr>
      </w:pPr>
      <w:r>
        <w:rPr>
          <w:rFonts w:ascii="Arial" w:cs="Arial" w:eastAsia="Arial" w:hAnsi="Arial"/>
          <w:sz w:val="21"/>
          <w:szCs w:val="21"/>
          <w:color w:val="auto"/>
        </w:rPr>
        <w:t>Our ability to address any significant deficiencies or material weakness in our internal control over financial reporting;</w:t>
      </w:r>
    </w:p>
    <w:p>
      <w:pPr>
        <w:spacing w:after="0" w:line="1" w:lineRule="exact"/>
        <w:rPr>
          <w:rFonts w:ascii="Arial" w:cs="Arial" w:eastAsia="Arial" w:hAnsi="Arial"/>
          <w:sz w:val="21"/>
          <w:szCs w:val="21"/>
          <w:color w:val="auto"/>
        </w:rPr>
      </w:pPr>
    </w:p>
    <w:p>
      <w:pPr>
        <w:ind w:left="380" w:hanging="372"/>
        <w:spacing w:after="0" w:line="230" w:lineRule="auto"/>
        <w:tabs>
          <w:tab w:leader="none" w:pos="380" w:val="left"/>
        </w:tabs>
        <w:numPr>
          <w:ilvl w:val="0"/>
          <w:numId w:val="27"/>
        </w:numPr>
        <w:rPr>
          <w:rFonts w:ascii="Arial" w:cs="Arial" w:eastAsia="Arial" w:hAnsi="Arial"/>
          <w:sz w:val="22"/>
          <w:szCs w:val="22"/>
          <w:color w:val="auto"/>
        </w:rPr>
      </w:pPr>
      <w:r>
        <w:rPr>
          <w:rFonts w:ascii="Arial" w:cs="Arial" w:eastAsia="Arial" w:hAnsi="Arial"/>
          <w:sz w:val="22"/>
          <w:szCs w:val="22"/>
          <w:color w:val="auto"/>
        </w:rPr>
        <w:t>Our ability to generate sufficient cash flows to support capital expansion plans and general operating activities;</w:t>
      </w:r>
    </w:p>
    <w:p>
      <w:pPr>
        <w:ind w:left="380" w:hanging="372"/>
        <w:spacing w:after="0" w:line="230" w:lineRule="auto"/>
        <w:tabs>
          <w:tab w:leader="none" w:pos="380" w:val="left"/>
        </w:tabs>
        <w:numPr>
          <w:ilvl w:val="0"/>
          <w:numId w:val="27"/>
        </w:numPr>
        <w:rPr>
          <w:rFonts w:ascii="Arial" w:cs="Arial" w:eastAsia="Arial" w:hAnsi="Arial"/>
          <w:sz w:val="22"/>
          <w:szCs w:val="22"/>
          <w:color w:val="auto"/>
        </w:rPr>
      </w:pPr>
      <w:r>
        <w:rPr>
          <w:rFonts w:ascii="Arial" w:cs="Arial" w:eastAsia="Arial" w:hAnsi="Arial"/>
          <w:sz w:val="22"/>
          <w:szCs w:val="22"/>
          <w:color w:val="auto"/>
        </w:rPr>
        <w:t>Decreased demand for our products resulting from changes in consumer preferences or from decreased consumer discretionary spending power;</w:t>
      </w:r>
    </w:p>
    <w:p>
      <w:pPr>
        <w:spacing w:after="0" w:line="1" w:lineRule="exact"/>
        <w:rPr>
          <w:rFonts w:ascii="Arial" w:cs="Arial" w:eastAsia="Arial" w:hAnsi="Arial"/>
          <w:sz w:val="22"/>
          <w:szCs w:val="22"/>
          <w:color w:val="auto"/>
        </w:rPr>
      </w:pPr>
    </w:p>
    <w:p>
      <w:pPr>
        <w:ind w:left="380" w:hanging="372"/>
        <w:spacing w:after="0" w:line="230" w:lineRule="auto"/>
        <w:tabs>
          <w:tab w:leader="none" w:pos="380" w:val="left"/>
        </w:tabs>
        <w:numPr>
          <w:ilvl w:val="0"/>
          <w:numId w:val="27"/>
        </w:numPr>
        <w:rPr>
          <w:rFonts w:ascii="Arial" w:cs="Arial" w:eastAsia="Arial" w:hAnsi="Arial"/>
          <w:sz w:val="22"/>
          <w:szCs w:val="22"/>
          <w:color w:val="auto"/>
        </w:rPr>
      </w:pPr>
      <w:r>
        <w:rPr>
          <w:rFonts w:ascii="Arial" w:cs="Arial" w:eastAsia="Arial" w:hAnsi="Arial"/>
          <w:sz w:val="22"/>
          <w:szCs w:val="22"/>
          <w:color w:val="auto"/>
        </w:rPr>
        <w:t>Changes in demand that are weather related, particularly in areas outside of California;</w:t>
      </w:r>
    </w:p>
    <w:p>
      <w:pPr>
        <w:ind w:left="380" w:hanging="372"/>
        <w:spacing w:after="0" w:line="230" w:lineRule="auto"/>
        <w:tabs>
          <w:tab w:leader="none" w:pos="380" w:val="left"/>
        </w:tabs>
        <w:numPr>
          <w:ilvl w:val="0"/>
          <w:numId w:val="27"/>
        </w:numPr>
        <w:rPr>
          <w:rFonts w:ascii="Arial" w:cs="Arial" w:eastAsia="Arial" w:hAnsi="Arial"/>
          <w:sz w:val="22"/>
          <w:szCs w:val="22"/>
          <w:color w:val="auto"/>
        </w:rPr>
      </w:pPr>
      <w:r>
        <w:rPr>
          <w:rFonts w:ascii="Arial" w:cs="Arial" w:eastAsia="Arial" w:hAnsi="Arial"/>
          <w:sz w:val="22"/>
          <w:szCs w:val="22"/>
          <w:color w:val="auto"/>
        </w:rPr>
        <w:t>Competitive products and pricing pressures and our ability to gain or maintain our share of sales in the marketplace as a result of actions by competitors;</w:t>
      </w:r>
    </w:p>
    <w:p>
      <w:pPr>
        <w:spacing w:after="0" w:line="1" w:lineRule="exact"/>
        <w:rPr>
          <w:rFonts w:ascii="Arial" w:cs="Arial" w:eastAsia="Arial" w:hAnsi="Arial"/>
          <w:sz w:val="22"/>
          <w:szCs w:val="22"/>
          <w:color w:val="auto"/>
        </w:rPr>
      </w:pPr>
    </w:p>
    <w:p>
      <w:pPr>
        <w:ind w:left="380" w:hanging="372"/>
        <w:spacing w:after="0" w:line="230" w:lineRule="auto"/>
        <w:tabs>
          <w:tab w:leader="none" w:pos="380" w:val="left"/>
        </w:tabs>
        <w:numPr>
          <w:ilvl w:val="0"/>
          <w:numId w:val="27"/>
        </w:numPr>
        <w:rPr>
          <w:rFonts w:ascii="Arial" w:cs="Arial" w:eastAsia="Arial" w:hAnsi="Arial"/>
          <w:sz w:val="22"/>
          <w:szCs w:val="22"/>
          <w:color w:val="auto"/>
        </w:rPr>
      </w:pPr>
      <w:r>
        <w:rPr>
          <w:rFonts w:ascii="Arial" w:cs="Arial" w:eastAsia="Arial" w:hAnsi="Arial"/>
          <w:sz w:val="22"/>
          <w:szCs w:val="22"/>
          <w:color w:val="auto"/>
        </w:rPr>
        <w:t>Our ability to introduce new products;</w:t>
      </w:r>
    </w:p>
    <w:p>
      <w:pPr>
        <w:ind w:left="380" w:hanging="372"/>
        <w:spacing w:after="0" w:line="230" w:lineRule="auto"/>
        <w:tabs>
          <w:tab w:leader="none" w:pos="380" w:val="left"/>
        </w:tabs>
        <w:numPr>
          <w:ilvl w:val="0"/>
          <w:numId w:val="27"/>
        </w:numPr>
        <w:rPr>
          <w:rFonts w:ascii="Arial" w:cs="Arial" w:eastAsia="Arial" w:hAnsi="Arial"/>
          <w:sz w:val="22"/>
          <w:szCs w:val="22"/>
          <w:color w:val="auto"/>
        </w:rPr>
      </w:pPr>
      <w:r>
        <w:rPr>
          <w:rFonts w:ascii="Arial" w:cs="Arial" w:eastAsia="Arial" w:hAnsi="Arial"/>
          <w:sz w:val="22"/>
          <w:szCs w:val="22"/>
          <w:color w:val="auto"/>
        </w:rPr>
        <w:t>An inability to achieve volume growth through product and packaging initiatives;</w:t>
      </w:r>
    </w:p>
    <w:p>
      <w:pPr>
        <w:jc w:val="both"/>
        <w:ind w:left="380" w:hanging="372"/>
        <w:spacing w:after="0" w:line="230" w:lineRule="auto"/>
        <w:tabs>
          <w:tab w:leader="none" w:pos="380" w:val="left"/>
        </w:tabs>
        <w:numPr>
          <w:ilvl w:val="0"/>
          <w:numId w:val="27"/>
        </w:numPr>
        <w:rPr>
          <w:rFonts w:ascii="Arial" w:cs="Arial" w:eastAsia="Arial" w:hAnsi="Arial"/>
          <w:sz w:val="22"/>
          <w:szCs w:val="22"/>
          <w:color w:val="auto"/>
        </w:rPr>
      </w:pPr>
      <w:r>
        <w:rPr>
          <w:rFonts w:ascii="Arial" w:cs="Arial" w:eastAsia="Arial" w:hAnsi="Arial"/>
          <w:sz w:val="22"/>
          <w:szCs w:val="22"/>
          <w:color w:val="auto"/>
        </w:rPr>
        <w:t>Our ability to sustain the current level of sales and/or increase the sales of our Monster Energy® brand energy drinks and/or our Java Monster® line of non-carbonated dairy based coffee + energy drinks and/or our Monster Energy Extra Strength Nitrous Technology® drinks and/or our Peace Tea® iced teas and/or our Monster Rehab® energy drinks and/or our Worx Energy® energy shots;</w:t>
      </w:r>
    </w:p>
    <w:p>
      <w:pPr>
        <w:spacing w:after="0" w:line="2" w:lineRule="exact"/>
        <w:rPr>
          <w:rFonts w:ascii="Arial" w:cs="Arial" w:eastAsia="Arial" w:hAnsi="Arial"/>
          <w:sz w:val="22"/>
          <w:szCs w:val="22"/>
          <w:color w:val="auto"/>
        </w:rPr>
      </w:pPr>
    </w:p>
    <w:p>
      <w:pPr>
        <w:jc w:val="both"/>
        <w:ind w:left="380" w:hanging="372"/>
        <w:spacing w:after="0" w:line="287" w:lineRule="auto"/>
        <w:tabs>
          <w:tab w:leader="none" w:pos="380" w:val="left"/>
        </w:tabs>
        <w:numPr>
          <w:ilvl w:val="0"/>
          <w:numId w:val="27"/>
        </w:numPr>
        <w:rPr>
          <w:rFonts w:ascii="Arial" w:cs="Arial" w:eastAsia="Arial" w:hAnsi="Arial"/>
          <w:sz w:val="19"/>
          <w:szCs w:val="19"/>
          <w:color w:val="auto"/>
        </w:rPr>
      </w:pPr>
      <w:r>
        <w:rPr>
          <w:rFonts w:ascii="Arial" w:cs="Arial" w:eastAsia="Arial" w:hAnsi="Arial"/>
          <w:sz w:val="19"/>
          <w:szCs w:val="19"/>
          <w:color w:val="auto"/>
        </w:rPr>
        <w:t>The impact of criticism of our energy drink products and/or the energy drink market generally and/or legislation enacted, whether as a result of such criticism or otherwise, that limits or otherwise restricts the sale of energy drinks to minors and/or persons below a specified age and/or the venues and/or the size of containers in which energy drinks can be sold;</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8" w:lineRule="exact"/>
        <w:rPr>
          <w:sz w:val="20"/>
          <w:szCs w:val="20"/>
          <w:color w:val="auto"/>
        </w:rPr>
      </w:pPr>
    </w:p>
    <w:p>
      <w:pPr>
        <w:jc w:val="both"/>
        <w:ind w:left="380" w:hanging="372"/>
        <w:spacing w:after="0" w:line="243" w:lineRule="auto"/>
        <w:tabs>
          <w:tab w:leader="none" w:pos="380" w:val="left"/>
        </w:tabs>
        <w:numPr>
          <w:ilvl w:val="0"/>
          <w:numId w:val="28"/>
        </w:numPr>
        <w:rPr>
          <w:rFonts w:ascii="Arial" w:cs="Arial" w:eastAsia="Arial" w:hAnsi="Arial"/>
          <w:sz w:val="21"/>
          <w:szCs w:val="21"/>
          <w:color w:val="auto"/>
        </w:rPr>
      </w:pPr>
      <w:r>
        <w:rPr>
          <w:rFonts w:ascii="Arial" w:cs="Arial" w:eastAsia="Arial" w:hAnsi="Arial"/>
          <w:sz w:val="21"/>
          <w:szCs w:val="21"/>
          <w:color w:val="auto"/>
        </w:rPr>
        <w:t>Our ability to comply with and/or resultant lower consumer demand for energy drinks due to existing and/or future foreign, national, state and local laws and regulations and/or any changes therein, including changes in taxation requirements (including tax rate changes, new tax laws, new and/or increased excise and/or sales and/or other taxes on our products and revised tax law interpretations) and environmental laws, as well as the Federal Food, Drug and Cosmetic Act, the Dietary Supplement Health and Education Act, and regulations made thereunder or in connection therewith, as well as changes in any other food and drug laws in the United States and internationally, especially those that may affect the way in which our products are marketed, and/or labeled, and/or sold, including the contents thereof, as well as laws and regulations or rules made or enforced by the Food and Drug Administration, and/or the Bureau of Alcohol, Tobacco and Firearms and Explosives, and/or the Federal Trade Commission and/or certain state and/or city regulatory agencies and/or by any other countries in which we sell and/or decide to sell our products;</w:t>
      </w:r>
    </w:p>
    <w:p>
      <w:pPr>
        <w:spacing w:after="0" w:line="3" w:lineRule="exact"/>
        <w:rPr>
          <w:rFonts w:ascii="Arial" w:cs="Arial" w:eastAsia="Arial" w:hAnsi="Arial"/>
          <w:sz w:val="21"/>
          <w:szCs w:val="21"/>
          <w:color w:val="auto"/>
        </w:rPr>
      </w:pPr>
    </w:p>
    <w:p>
      <w:pPr>
        <w:ind w:left="380" w:hanging="372"/>
        <w:spacing w:after="0" w:line="267" w:lineRule="auto"/>
        <w:tabs>
          <w:tab w:leader="none" w:pos="380" w:val="left"/>
        </w:tabs>
        <w:numPr>
          <w:ilvl w:val="0"/>
          <w:numId w:val="28"/>
        </w:numPr>
        <w:rPr>
          <w:rFonts w:ascii="Arial" w:cs="Arial" w:eastAsia="Arial" w:hAnsi="Arial"/>
          <w:sz w:val="19"/>
          <w:szCs w:val="19"/>
          <w:color w:val="auto"/>
        </w:rPr>
      </w:pPr>
      <w:r>
        <w:rPr>
          <w:rFonts w:ascii="Arial" w:cs="Arial" w:eastAsia="Arial" w:hAnsi="Arial"/>
          <w:sz w:val="19"/>
          <w:szCs w:val="19"/>
          <w:color w:val="auto"/>
        </w:rPr>
        <w:t>The effect of inquiries from and/or actions by attorneys general and/or other government agencies and/or quasi-government agencies into the advertising, marketing, promotion, ingredients, usage and/or sale of our energy drink products;</w:t>
      </w:r>
    </w:p>
    <w:p>
      <w:pPr>
        <w:ind w:left="380" w:hanging="372"/>
        <w:spacing w:after="0" w:line="230" w:lineRule="auto"/>
        <w:tabs>
          <w:tab w:leader="none" w:pos="380" w:val="left"/>
        </w:tabs>
        <w:numPr>
          <w:ilvl w:val="0"/>
          <w:numId w:val="28"/>
        </w:numPr>
        <w:rPr>
          <w:rFonts w:ascii="Arial" w:cs="Arial" w:eastAsia="Arial" w:hAnsi="Arial"/>
          <w:sz w:val="22"/>
          <w:szCs w:val="22"/>
          <w:color w:val="auto"/>
        </w:rPr>
      </w:pPr>
      <w:r>
        <w:rPr>
          <w:rFonts w:ascii="Arial" w:cs="Arial" w:eastAsia="Arial" w:hAnsi="Arial"/>
          <w:sz w:val="22"/>
          <w:szCs w:val="22"/>
          <w:color w:val="auto"/>
        </w:rPr>
        <w:t>The effect of product liability litigation regarding our products and related unfavorable media attention;</w:t>
      </w:r>
    </w:p>
    <w:p>
      <w:pPr>
        <w:jc w:val="both"/>
        <w:ind w:left="380" w:hanging="372"/>
        <w:spacing w:after="0" w:line="230" w:lineRule="auto"/>
        <w:tabs>
          <w:tab w:leader="none" w:pos="380" w:val="left"/>
        </w:tabs>
        <w:numPr>
          <w:ilvl w:val="0"/>
          <w:numId w:val="28"/>
        </w:numPr>
        <w:rPr>
          <w:rFonts w:ascii="Arial" w:cs="Arial" w:eastAsia="Arial" w:hAnsi="Arial"/>
          <w:sz w:val="22"/>
          <w:szCs w:val="22"/>
          <w:color w:val="auto"/>
        </w:rPr>
      </w:pPr>
      <w:r>
        <w:rPr>
          <w:rFonts w:ascii="Arial" w:cs="Arial" w:eastAsia="Arial" w:hAnsi="Arial"/>
          <w:sz w:val="22"/>
          <w:szCs w:val="22"/>
          <w:color w:val="auto"/>
        </w:rPr>
        <w:t>Changes in the cost, quality and availability of containers, packaging materials, raw materials, supplements and juice concentrates, and the ability to obtain and/or maintain favorable supply arrangements and relationships and procure timely and/or adequate production of all or any of our products;</w:t>
      </w:r>
    </w:p>
    <w:p>
      <w:pPr>
        <w:spacing w:after="0" w:line="2" w:lineRule="exact"/>
        <w:rPr>
          <w:rFonts w:ascii="Arial" w:cs="Arial" w:eastAsia="Arial" w:hAnsi="Arial"/>
          <w:sz w:val="22"/>
          <w:szCs w:val="22"/>
          <w:color w:val="auto"/>
        </w:rPr>
      </w:pPr>
    </w:p>
    <w:p>
      <w:pPr>
        <w:ind w:left="380" w:hanging="372"/>
        <w:spacing w:after="0" w:line="230" w:lineRule="auto"/>
        <w:tabs>
          <w:tab w:leader="none" w:pos="380" w:val="left"/>
        </w:tabs>
        <w:numPr>
          <w:ilvl w:val="0"/>
          <w:numId w:val="28"/>
        </w:numPr>
        <w:rPr>
          <w:rFonts w:ascii="Arial" w:cs="Arial" w:eastAsia="Arial" w:hAnsi="Arial"/>
          <w:sz w:val="22"/>
          <w:szCs w:val="22"/>
          <w:color w:val="auto"/>
        </w:rPr>
      </w:pPr>
      <w:r>
        <w:rPr>
          <w:rFonts w:ascii="Arial" w:cs="Arial" w:eastAsia="Arial" w:hAnsi="Arial"/>
          <w:sz w:val="22"/>
          <w:szCs w:val="22"/>
          <w:color w:val="auto"/>
        </w:rPr>
        <w:t>Our ability to pass on to our customers all or a portion of the increasing costs of fuel and/or raw materials and/or ingredients and/or commodities affecting our business;</w:t>
      </w:r>
    </w:p>
    <w:p>
      <w:pPr>
        <w:spacing w:after="0" w:line="1" w:lineRule="exact"/>
        <w:rPr>
          <w:rFonts w:ascii="Arial" w:cs="Arial" w:eastAsia="Arial" w:hAnsi="Arial"/>
          <w:sz w:val="22"/>
          <w:szCs w:val="22"/>
          <w:color w:val="auto"/>
        </w:rPr>
      </w:pPr>
    </w:p>
    <w:p>
      <w:pPr>
        <w:jc w:val="both"/>
        <w:ind w:left="380" w:hanging="372"/>
        <w:spacing w:after="0" w:line="230" w:lineRule="auto"/>
        <w:tabs>
          <w:tab w:leader="none" w:pos="380" w:val="left"/>
        </w:tabs>
        <w:numPr>
          <w:ilvl w:val="0"/>
          <w:numId w:val="28"/>
        </w:numPr>
        <w:rPr>
          <w:rFonts w:ascii="Arial" w:cs="Arial" w:eastAsia="Arial" w:hAnsi="Arial"/>
          <w:sz w:val="22"/>
          <w:szCs w:val="22"/>
          <w:color w:val="auto"/>
        </w:rPr>
      </w:pPr>
      <w:r>
        <w:rPr>
          <w:rFonts w:ascii="Arial" w:cs="Arial" w:eastAsia="Arial" w:hAnsi="Arial"/>
          <w:sz w:val="22"/>
          <w:szCs w:val="22"/>
          <w:color w:val="auto"/>
        </w:rPr>
        <w:t>Our ability to achieve both domestic and international forecasts, which may be based on projected volumes and sales of many product types and/or new products, certain of which are more profitable than others; there can be no assurance that we will achieve projected levels or mixes of product sales;</w:t>
      </w:r>
    </w:p>
    <w:p>
      <w:pPr>
        <w:spacing w:after="0" w:line="2" w:lineRule="exact"/>
        <w:rPr>
          <w:rFonts w:ascii="Arial" w:cs="Arial" w:eastAsia="Arial" w:hAnsi="Arial"/>
          <w:sz w:val="22"/>
          <w:szCs w:val="22"/>
          <w:color w:val="auto"/>
        </w:rPr>
      </w:pPr>
    </w:p>
    <w:p>
      <w:pPr>
        <w:ind w:left="380" w:hanging="372"/>
        <w:spacing w:after="0" w:line="230" w:lineRule="auto"/>
        <w:tabs>
          <w:tab w:leader="none" w:pos="380" w:val="left"/>
        </w:tabs>
        <w:numPr>
          <w:ilvl w:val="0"/>
          <w:numId w:val="28"/>
        </w:numPr>
        <w:rPr>
          <w:rFonts w:ascii="Arial" w:cs="Arial" w:eastAsia="Arial" w:hAnsi="Arial"/>
          <w:sz w:val="22"/>
          <w:szCs w:val="22"/>
          <w:color w:val="auto"/>
        </w:rPr>
      </w:pPr>
      <w:r>
        <w:rPr>
          <w:rFonts w:ascii="Arial" w:cs="Arial" w:eastAsia="Arial" w:hAnsi="Arial"/>
          <w:sz w:val="22"/>
          <w:szCs w:val="22"/>
          <w:color w:val="auto"/>
        </w:rPr>
        <w:t>Our ability to penetrate new domestic and/or international markets;</w:t>
      </w:r>
    </w:p>
    <w:p>
      <w:pPr>
        <w:ind w:left="380" w:hanging="372"/>
        <w:spacing w:after="0"/>
        <w:tabs>
          <w:tab w:leader="none" w:pos="380" w:val="left"/>
        </w:tabs>
        <w:numPr>
          <w:ilvl w:val="0"/>
          <w:numId w:val="28"/>
        </w:numPr>
        <w:rPr>
          <w:rFonts w:ascii="Arial" w:cs="Arial" w:eastAsia="Arial" w:hAnsi="Arial"/>
          <w:sz w:val="21"/>
          <w:szCs w:val="21"/>
          <w:color w:val="auto"/>
        </w:rPr>
      </w:pPr>
      <w:r>
        <w:rPr>
          <w:rFonts w:ascii="Arial" w:cs="Arial" w:eastAsia="Arial" w:hAnsi="Arial"/>
          <w:sz w:val="21"/>
          <w:szCs w:val="21"/>
          <w:color w:val="auto"/>
        </w:rPr>
        <w:t>Our ability to gain approval or mitigate the delay in securing approval for the sale of our products in various countries;</w:t>
      </w:r>
    </w:p>
    <w:p>
      <w:pPr>
        <w:spacing w:after="0" w:line="1" w:lineRule="exact"/>
        <w:rPr>
          <w:rFonts w:ascii="Arial" w:cs="Arial" w:eastAsia="Arial" w:hAnsi="Arial"/>
          <w:sz w:val="21"/>
          <w:szCs w:val="21"/>
          <w:color w:val="auto"/>
        </w:rPr>
      </w:pPr>
    </w:p>
    <w:p>
      <w:pPr>
        <w:ind w:left="380" w:hanging="372"/>
        <w:spacing w:after="0" w:line="230" w:lineRule="auto"/>
        <w:tabs>
          <w:tab w:leader="none" w:pos="380" w:val="left"/>
        </w:tabs>
        <w:numPr>
          <w:ilvl w:val="0"/>
          <w:numId w:val="28"/>
        </w:numPr>
        <w:rPr>
          <w:rFonts w:ascii="Arial" w:cs="Arial" w:eastAsia="Arial" w:hAnsi="Arial"/>
          <w:sz w:val="22"/>
          <w:szCs w:val="22"/>
          <w:color w:val="auto"/>
        </w:rPr>
      </w:pPr>
      <w:r>
        <w:rPr>
          <w:rFonts w:ascii="Arial" w:cs="Arial" w:eastAsia="Arial" w:hAnsi="Arial"/>
          <w:sz w:val="22"/>
          <w:szCs w:val="22"/>
          <w:color w:val="auto"/>
        </w:rPr>
        <w:t>Economic or political instability in one or more of our international markets;</w:t>
      </w:r>
    </w:p>
    <w:p>
      <w:pPr>
        <w:ind w:left="380" w:hanging="372"/>
        <w:spacing w:after="0" w:line="230" w:lineRule="auto"/>
        <w:tabs>
          <w:tab w:leader="none" w:pos="380" w:val="left"/>
        </w:tabs>
        <w:numPr>
          <w:ilvl w:val="0"/>
          <w:numId w:val="28"/>
        </w:numPr>
        <w:rPr>
          <w:rFonts w:ascii="Arial" w:cs="Arial" w:eastAsia="Arial" w:hAnsi="Arial"/>
          <w:sz w:val="22"/>
          <w:szCs w:val="22"/>
          <w:color w:val="auto"/>
        </w:rPr>
      </w:pPr>
      <w:r>
        <w:rPr>
          <w:rFonts w:ascii="Arial" w:cs="Arial" w:eastAsia="Arial" w:hAnsi="Arial"/>
          <w:sz w:val="22"/>
          <w:szCs w:val="22"/>
          <w:color w:val="auto"/>
        </w:rPr>
        <w:t>Our ability to secure and/or retain competent and/or effective distributors internationally;</w:t>
      </w:r>
    </w:p>
    <w:p>
      <w:pPr>
        <w:ind w:left="380" w:hanging="372"/>
        <w:spacing w:after="0" w:line="230" w:lineRule="auto"/>
        <w:tabs>
          <w:tab w:leader="none" w:pos="380" w:val="left"/>
        </w:tabs>
        <w:numPr>
          <w:ilvl w:val="0"/>
          <w:numId w:val="28"/>
        </w:numPr>
        <w:rPr>
          <w:rFonts w:ascii="Arial" w:cs="Arial" w:eastAsia="Arial" w:hAnsi="Arial"/>
          <w:sz w:val="22"/>
          <w:szCs w:val="22"/>
          <w:color w:val="auto"/>
        </w:rPr>
      </w:pPr>
      <w:r>
        <w:rPr>
          <w:rFonts w:ascii="Arial" w:cs="Arial" w:eastAsia="Arial" w:hAnsi="Arial"/>
          <w:sz w:val="22"/>
          <w:szCs w:val="22"/>
          <w:color w:val="auto"/>
        </w:rPr>
        <w:t>The sales and/or marketing efforts of distributors of our products, most of which distribute products that are competitive with our products;</w:t>
      </w:r>
    </w:p>
    <w:p>
      <w:pPr>
        <w:spacing w:after="0" w:line="1" w:lineRule="exact"/>
        <w:rPr>
          <w:rFonts w:ascii="Arial" w:cs="Arial" w:eastAsia="Arial" w:hAnsi="Arial"/>
          <w:sz w:val="22"/>
          <w:szCs w:val="22"/>
          <w:color w:val="auto"/>
        </w:rPr>
      </w:pPr>
    </w:p>
    <w:p>
      <w:pPr>
        <w:jc w:val="both"/>
        <w:ind w:left="380" w:hanging="372"/>
        <w:spacing w:after="0" w:line="230" w:lineRule="auto"/>
        <w:tabs>
          <w:tab w:leader="none" w:pos="380" w:val="left"/>
        </w:tabs>
        <w:numPr>
          <w:ilvl w:val="0"/>
          <w:numId w:val="28"/>
        </w:numPr>
        <w:rPr>
          <w:rFonts w:ascii="Arial" w:cs="Arial" w:eastAsia="Arial" w:hAnsi="Arial"/>
          <w:sz w:val="22"/>
          <w:szCs w:val="22"/>
          <w:color w:val="auto"/>
        </w:rPr>
      </w:pPr>
      <w:r>
        <w:rPr>
          <w:rFonts w:ascii="Arial" w:cs="Arial" w:eastAsia="Arial" w:hAnsi="Arial"/>
          <w:sz w:val="22"/>
          <w:szCs w:val="22"/>
          <w:color w:val="auto"/>
        </w:rPr>
        <w:t>Unilateral decisions by distributors, convenience chains, grocery chains, specialty chain stores, club stores and other customers to discontinue carrying all or any of our products that they are carrying at any time and/or restrict the range of our products they carry and/or devote less resources to the sale of our products;</w:t>
      </w:r>
    </w:p>
    <w:p>
      <w:pPr>
        <w:spacing w:after="0" w:line="2" w:lineRule="exact"/>
        <w:rPr>
          <w:rFonts w:ascii="Arial" w:cs="Arial" w:eastAsia="Arial" w:hAnsi="Arial"/>
          <w:sz w:val="22"/>
          <w:szCs w:val="22"/>
          <w:color w:val="auto"/>
        </w:rPr>
      </w:pPr>
    </w:p>
    <w:p>
      <w:pPr>
        <w:ind w:left="380" w:hanging="372"/>
        <w:spacing w:after="0" w:line="230" w:lineRule="auto"/>
        <w:tabs>
          <w:tab w:leader="none" w:pos="380" w:val="left"/>
        </w:tabs>
        <w:numPr>
          <w:ilvl w:val="0"/>
          <w:numId w:val="28"/>
        </w:numPr>
        <w:rPr>
          <w:rFonts w:ascii="Arial" w:cs="Arial" w:eastAsia="Arial" w:hAnsi="Arial"/>
          <w:sz w:val="22"/>
          <w:szCs w:val="22"/>
          <w:color w:val="auto"/>
        </w:rPr>
      </w:pPr>
      <w:r>
        <w:rPr>
          <w:rFonts w:ascii="Arial" w:cs="Arial" w:eastAsia="Arial" w:hAnsi="Arial"/>
          <w:sz w:val="22"/>
          <w:szCs w:val="22"/>
          <w:color w:val="auto"/>
        </w:rPr>
        <w:t>The terms and/or availability of our credit facility and the actions of our creditors;</w:t>
      </w:r>
    </w:p>
    <w:p>
      <w:pPr>
        <w:ind w:left="380" w:hanging="372"/>
        <w:spacing w:after="0" w:line="230" w:lineRule="auto"/>
        <w:tabs>
          <w:tab w:leader="none" w:pos="380" w:val="left"/>
        </w:tabs>
        <w:numPr>
          <w:ilvl w:val="0"/>
          <w:numId w:val="28"/>
        </w:numPr>
        <w:rPr>
          <w:rFonts w:ascii="Arial" w:cs="Arial" w:eastAsia="Arial" w:hAnsi="Arial"/>
          <w:sz w:val="22"/>
          <w:szCs w:val="22"/>
          <w:color w:val="auto"/>
        </w:rPr>
      </w:pPr>
      <w:r>
        <w:rPr>
          <w:rFonts w:ascii="Arial" w:cs="Arial" w:eastAsia="Arial" w:hAnsi="Arial"/>
          <w:sz w:val="22"/>
          <w:szCs w:val="22"/>
          <w:color w:val="auto"/>
        </w:rPr>
        <w:t>The costs and/or effectiveness, now or in the future, of our advertising, marketing and promotional strategies;</w:t>
      </w:r>
    </w:p>
    <w:p>
      <w:pPr>
        <w:ind w:left="380" w:hanging="372"/>
        <w:spacing w:after="0" w:line="230" w:lineRule="auto"/>
        <w:tabs>
          <w:tab w:leader="none" w:pos="380" w:val="left"/>
        </w:tabs>
        <w:numPr>
          <w:ilvl w:val="0"/>
          <w:numId w:val="28"/>
        </w:numPr>
        <w:rPr>
          <w:rFonts w:ascii="Arial" w:cs="Arial" w:eastAsia="Arial" w:hAnsi="Arial"/>
          <w:sz w:val="22"/>
          <w:szCs w:val="22"/>
          <w:color w:val="auto"/>
        </w:rPr>
      </w:pPr>
      <w:r>
        <w:rPr>
          <w:rFonts w:ascii="Arial" w:cs="Arial" w:eastAsia="Arial" w:hAnsi="Arial"/>
          <w:sz w:val="22"/>
          <w:szCs w:val="22"/>
          <w:color w:val="auto"/>
        </w:rPr>
        <w:t>Changes in product category consumption;</w:t>
      </w:r>
    </w:p>
    <w:p>
      <w:pPr>
        <w:ind w:left="380" w:hanging="372"/>
        <w:spacing w:after="0" w:line="230" w:lineRule="auto"/>
        <w:tabs>
          <w:tab w:leader="none" w:pos="380" w:val="left"/>
        </w:tabs>
        <w:numPr>
          <w:ilvl w:val="0"/>
          <w:numId w:val="28"/>
        </w:numPr>
        <w:rPr>
          <w:rFonts w:ascii="Arial" w:cs="Arial" w:eastAsia="Arial" w:hAnsi="Arial"/>
          <w:sz w:val="22"/>
          <w:szCs w:val="22"/>
          <w:color w:val="auto"/>
        </w:rPr>
      </w:pPr>
      <w:r>
        <w:rPr>
          <w:rFonts w:ascii="Arial" w:cs="Arial" w:eastAsia="Arial" w:hAnsi="Arial"/>
          <w:sz w:val="22"/>
          <w:szCs w:val="22"/>
          <w:color w:val="auto"/>
        </w:rPr>
        <w:t>Unforeseen economic and political changes;</w:t>
      </w:r>
    </w:p>
    <w:p>
      <w:pPr>
        <w:ind w:left="380" w:hanging="372"/>
        <w:spacing w:after="0" w:line="230" w:lineRule="auto"/>
        <w:tabs>
          <w:tab w:leader="none" w:pos="380" w:val="left"/>
        </w:tabs>
        <w:numPr>
          <w:ilvl w:val="0"/>
          <w:numId w:val="28"/>
        </w:numPr>
        <w:rPr>
          <w:rFonts w:ascii="Arial" w:cs="Arial" w:eastAsia="Arial" w:hAnsi="Arial"/>
          <w:sz w:val="22"/>
          <w:szCs w:val="22"/>
          <w:color w:val="auto"/>
        </w:rPr>
      </w:pPr>
      <w:r>
        <w:rPr>
          <w:rFonts w:ascii="Arial" w:cs="Arial" w:eastAsia="Arial" w:hAnsi="Arial"/>
          <w:sz w:val="22"/>
          <w:szCs w:val="22"/>
          <w:color w:val="auto"/>
        </w:rPr>
        <w:t>Possible recalls of our products and/or defective production;</w:t>
      </w:r>
    </w:p>
    <w:p>
      <w:pPr>
        <w:ind w:left="380" w:right="20" w:hanging="372"/>
        <w:spacing w:after="0" w:line="237" w:lineRule="auto"/>
        <w:tabs>
          <w:tab w:leader="none" w:pos="380" w:val="left"/>
        </w:tabs>
        <w:numPr>
          <w:ilvl w:val="0"/>
          <w:numId w:val="28"/>
        </w:numPr>
        <w:rPr>
          <w:rFonts w:ascii="Arial" w:cs="Arial" w:eastAsia="Arial" w:hAnsi="Arial"/>
          <w:sz w:val="22"/>
          <w:szCs w:val="22"/>
          <w:color w:val="auto"/>
        </w:rPr>
      </w:pPr>
      <w:r>
        <w:rPr>
          <w:rFonts w:ascii="Arial" w:cs="Arial" w:eastAsia="Arial" w:hAnsi="Arial"/>
          <w:sz w:val="22"/>
          <w:szCs w:val="22"/>
          <w:color w:val="auto"/>
        </w:rPr>
        <w:t>Our ability to make suitable arrangements for the co-packing of any of our products and/or the timely replacement of discontinued co-packing arrangements;</w:t>
      </w:r>
    </w:p>
    <w:p>
      <w:pPr>
        <w:sectPr>
          <w:pgSz w:w="11900" w:h="16838" w:orient="portrait"/>
          <w:cols w:equalWidth="0" w:num="1">
            <w:col w:w="11420"/>
          </w:cols>
          <w:pgMar w:left="240" w:top="118" w:right="239" w:bottom="0" w:gutter="0" w:footer="0" w:header="0"/>
        </w:sectPr>
      </w:pP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18" w:right="239" w:bottom="0" w:gutter="0" w:footer="0" w:header="0"/>
          <w:type w:val="continuous"/>
        </w:sectPr>
      </w:pPr>
    </w:p>
    <w:bookmarkStart w:id="31" w:name="page32"/>
    <w:bookmarkEnd w:id="3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8" w:lineRule="exact"/>
        <w:rPr>
          <w:sz w:val="20"/>
          <w:szCs w:val="20"/>
          <w:color w:val="auto"/>
        </w:rPr>
      </w:pPr>
    </w:p>
    <w:p>
      <w:pPr>
        <w:ind w:left="380" w:hanging="372"/>
        <w:spacing w:after="0"/>
        <w:tabs>
          <w:tab w:leader="none" w:pos="380" w:val="left"/>
        </w:tabs>
        <w:numPr>
          <w:ilvl w:val="0"/>
          <w:numId w:val="29"/>
        </w:numPr>
        <w:rPr>
          <w:rFonts w:ascii="Arial" w:cs="Arial" w:eastAsia="Arial" w:hAnsi="Arial"/>
          <w:sz w:val="22"/>
          <w:szCs w:val="22"/>
          <w:color w:val="auto"/>
        </w:rPr>
      </w:pPr>
      <w:r>
        <w:rPr>
          <w:rFonts w:ascii="Arial" w:cs="Arial" w:eastAsia="Arial" w:hAnsi="Arial"/>
          <w:sz w:val="22"/>
          <w:szCs w:val="22"/>
          <w:color w:val="auto"/>
        </w:rPr>
        <w:t>Our ability to make suitable arrangements for the procurement of non-defective raw materials;</w:t>
      </w:r>
    </w:p>
    <w:p>
      <w:pPr>
        <w:spacing w:after="0" w:line="8" w:lineRule="exact"/>
        <w:rPr>
          <w:rFonts w:ascii="Arial" w:cs="Arial" w:eastAsia="Arial" w:hAnsi="Arial"/>
          <w:sz w:val="22"/>
          <w:szCs w:val="22"/>
          <w:color w:val="auto"/>
        </w:rPr>
      </w:pPr>
    </w:p>
    <w:p>
      <w:pPr>
        <w:ind w:left="380" w:hanging="372"/>
        <w:spacing w:after="0" w:line="230" w:lineRule="auto"/>
        <w:tabs>
          <w:tab w:leader="none" w:pos="380" w:val="left"/>
        </w:tabs>
        <w:numPr>
          <w:ilvl w:val="0"/>
          <w:numId w:val="29"/>
        </w:numPr>
        <w:rPr>
          <w:rFonts w:ascii="Arial" w:cs="Arial" w:eastAsia="Arial" w:hAnsi="Arial"/>
          <w:sz w:val="22"/>
          <w:szCs w:val="22"/>
          <w:color w:val="auto"/>
        </w:rPr>
      </w:pPr>
      <w:r>
        <w:rPr>
          <w:rFonts w:ascii="Arial" w:cs="Arial" w:eastAsia="Arial" w:hAnsi="Arial"/>
          <w:sz w:val="22"/>
          <w:szCs w:val="22"/>
          <w:color w:val="auto"/>
        </w:rPr>
        <w:t>Our inability to protect and/or the loss of our intellectual property rights and/or our inability to use our trademarks and/or trade names or designs in certain countries;</w:t>
      </w:r>
    </w:p>
    <w:p>
      <w:pPr>
        <w:spacing w:after="0" w:line="1" w:lineRule="exact"/>
        <w:rPr>
          <w:rFonts w:ascii="Arial" w:cs="Arial" w:eastAsia="Arial" w:hAnsi="Arial"/>
          <w:sz w:val="22"/>
          <w:szCs w:val="22"/>
          <w:color w:val="auto"/>
        </w:rPr>
      </w:pPr>
    </w:p>
    <w:p>
      <w:pPr>
        <w:ind w:left="380" w:hanging="372"/>
        <w:spacing w:after="0" w:line="230" w:lineRule="auto"/>
        <w:tabs>
          <w:tab w:leader="none" w:pos="380" w:val="left"/>
        </w:tabs>
        <w:numPr>
          <w:ilvl w:val="0"/>
          <w:numId w:val="29"/>
        </w:numPr>
        <w:rPr>
          <w:rFonts w:ascii="Arial" w:cs="Arial" w:eastAsia="Arial" w:hAnsi="Arial"/>
          <w:sz w:val="22"/>
          <w:szCs w:val="22"/>
          <w:color w:val="auto"/>
        </w:rPr>
      </w:pPr>
      <w:r>
        <w:rPr>
          <w:rFonts w:ascii="Arial" w:cs="Arial" w:eastAsia="Arial" w:hAnsi="Arial"/>
          <w:sz w:val="22"/>
          <w:szCs w:val="22"/>
          <w:color w:val="auto"/>
        </w:rPr>
        <w:t>Volatility of stock prices which may restrict stock sales, stock purchases or other opportunities;</w:t>
      </w:r>
    </w:p>
    <w:p>
      <w:pPr>
        <w:ind w:left="380" w:right="20" w:hanging="372"/>
        <w:spacing w:after="0" w:line="230" w:lineRule="auto"/>
        <w:tabs>
          <w:tab w:leader="none" w:pos="380" w:val="left"/>
        </w:tabs>
        <w:numPr>
          <w:ilvl w:val="0"/>
          <w:numId w:val="29"/>
        </w:numPr>
        <w:rPr>
          <w:rFonts w:ascii="Arial" w:cs="Arial" w:eastAsia="Arial" w:hAnsi="Arial"/>
          <w:sz w:val="22"/>
          <w:szCs w:val="22"/>
          <w:color w:val="auto"/>
        </w:rPr>
      </w:pPr>
      <w:r>
        <w:rPr>
          <w:rFonts w:ascii="Arial" w:cs="Arial" w:eastAsia="Arial" w:hAnsi="Arial"/>
          <w:sz w:val="22"/>
          <w:szCs w:val="22"/>
          <w:color w:val="auto"/>
        </w:rPr>
        <w:t>Provisions in our organizational documents and/or control by insiders which may prevent changes in control even if such changes would be beneficial to other stockholders;</w:t>
      </w:r>
    </w:p>
    <w:p>
      <w:pPr>
        <w:spacing w:after="0" w:line="1" w:lineRule="exact"/>
        <w:rPr>
          <w:rFonts w:ascii="Arial" w:cs="Arial" w:eastAsia="Arial" w:hAnsi="Arial"/>
          <w:sz w:val="22"/>
          <w:szCs w:val="22"/>
          <w:color w:val="auto"/>
        </w:rPr>
      </w:pPr>
    </w:p>
    <w:p>
      <w:pPr>
        <w:ind w:left="380" w:hanging="372"/>
        <w:spacing w:after="0" w:line="230" w:lineRule="auto"/>
        <w:tabs>
          <w:tab w:leader="none" w:pos="380" w:val="left"/>
        </w:tabs>
        <w:numPr>
          <w:ilvl w:val="0"/>
          <w:numId w:val="29"/>
        </w:numPr>
        <w:rPr>
          <w:rFonts w:ascii="Arial" w:cs="Arial" w:eastAsia="Arial" w:hAnsi="Arial"/>
          <w:sz w:val="22"/>
          <w:szCs w:val="22"/>
          <w:color w:val="auto"/>
        </w:rPr>
      </w:pPr>
      <w:r>
        <w:rPr>
          <w:rFonts w:ascii="Arial" w:cs="Arial" w:eastAsia="Arial" w:hAnsi="Arial"/>
          <w:sz w:val="22"/>
          <w:szCs w:val="22"/>
          <w:color w:val="auto"/>
        </w:rPr>
        <w:t>The failure of our bottlers and contract packers to manufacture our products on a timely basis or at all;</w:t>
      </w:r>
    </w:p>
    <w:p>
      <w:pPr>
        <w:ind w:left="380" w:hanging="372"/>
        <w:spacing w:after="0" w:line="230" w:lineRule="auto"/>
        <w:tabs>
          <w:tab w:leader="none" w:pos="380" w:val="left"/>
        </w:tabs>
        <w:numPr>
          <w:ilvl w:val="0"/>
          <w:numId w:val="29"/>
        </w:numPr>
        <w:rPr>
          <w:rFonts w:ascii="Arial" w:cs="Arial" w:eastAsia="Arial" w:hAnsi="Arial"/>
          <w:sz w:val="22"/>
          <w:szCs w:val="22"/>
          <w:color w:val="auto"/>
        </w:rPr>
      </w:pPr>
      <w:r>
        <w:rPr>
          <w:rFonts w:ascii="Arial" w:cs="Arial" w:eastAsia="Arial" w:hAnsi="Arial"/>
          <w:sz w:val="22"/>
          <w:szCs w:val="22"/>
          <w:color w:val="auto"/>
        </w:rPr>
        <w:t>Exposure to significant liabilities due to litigation, legal or regulatory proceedings;</w:t>
      </w:r>
    </w:p>
    <w:p>
      <w:pPr>
        <w:ind w:left="380" w:right="20" w:hanging="372"/>
        <w:spacing w:after="0" w:line="230" w:lineRule="auto"/>
        <w:tabs>
          <w:tab w:leader="none" w:pos="380" w:val="left"/>
        </w:tabs>
        <w:numPr>
          <w:ilvl w:val="0"/>
          <w:numId w:val="29"/>
        </w:numPr>
        <w:rPr>
          <w:rFonts w:ascii="Arial" w:cs="Arial" w:eastAsia="Arial" w:hAnsi="Arial"/>
          <w:sz w:val="22"/>
          <w:szCs w:val="22"/>
          <w:color w:val="auto"/>
        </w:rPr>
      </w:pPr>
      <w:r>
        <w:rPr>
          <w:rFonts w:ascii="Arial" w:cs="Arial" w:eastAsia="Arial" w:hAnsi="Arial"/>
          <w:sz w:val="22"/>
          <w:szCs w:val="22"/>
          <w:color w:val="auto"/>
        </w:rPr>
        <w:t>Any disruption in and/or lack of effectiveness of our information technology systems that disrupts our business or negatively impacts customer relationships; and</w:t>
      </w:r>
    </w:p>
    <w:p>
      <w:pPr>
        <w:spacing w:after="0" w:line="1" w:lineRule="exact"/>
        <w:rPr>
          <w:rFonts w:ascii="Arial" w:cs="Arial" w:eastAsia="Arial" w:hAnsi="Arial"/>
          <w:sz w:val="22"/>
          <w:szCs w:val="22"/>
          <w:color w:val="auto"/>
        </w:rPr>
      </w:pPr>
    </w:p>
    <w:p>
      <w:pPr>
        <w:ind w:left="380" w:hanging="372"/>
        <w:spacing w:after="0"/>
        <w:tabs>
          <w:tab w:leader="none" w:pos="380" w:val="left"/>
        </w:tabs>
        <w:numPr>
          <w:ilvl w:val="0"/>
          <w:numId w:val="29"/>
        </w:numPr>
        <w:rPr>
          <w:rFonts w:ascii="Arial" w:cs="Arial" w:eastAsia="Arial" w:hAnsi="Arial"/>
          <w:sz w:val="22"/>
          <w:szCs w:val="22"/>
          <w:color w:val="auto"/>
        </w:rPr>
      </w:pPr>
      <w:r>
        <w:rPr>
          <w:rFonts w:ascii="Arial" w:cs="Arial" w:eastAsia="Arial" w:hAnsi="Arial"/>
          <w:sz w:val="22"/>
          <w:szCs w:val="22"/>
          <w:color w:val="auto"/>
        </w:rPr>
        <w:t>Recruitment and retention of senior management, other key employees and our employee base in general.</w:t>
      </w:r>
    </w:p>
    <w:p>
      <w:pPr>
        <w:spacing w:after="0" w:line="215"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1"/>
          <w:szCs w:val="21"/>
          <w:color w:val="auto"/>
        </w:rPr>
        <w:t>The foregoing list of important factors and other risks detailed from time to time in our reports filed with the SEC is not exhaustive. See the section entitled “Risk Factors” in our Form 10-K for the fiscal year ended December 31, 2011, for a more complete discussion of these risks and uncertainties and for other risks and uncertainties. Those factors and the other risk factors described therein are not necessarily all of the important factors that could cause actual results or developments to differ materially from those expressed in any of our forward-looking statements. Other unknown or unpredictable factors also could harm our results. Consequently, our actual results could be materially different from the results described or anticipated by our forward-looking statements, due to the inherent uncertainty of estimates, forecasts and projections and may be better or worse than anticipated. Given these uncertainties, you should not rely on forward-looking statements. Forward-looking statements represent our estimates and assumptions only as of the date that they were made. We expressly disclaim any duty to provide updates to forward-looking statements, and the estimates and assumptions associated with them, after the date of this report, in order to reflect changes in circumstances or expectations or the occurrence of unanticipated events except to the extent required by applicable securities laws.</w:t>
      </w: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3. QUANTITATIVE AND QUALITATIVE DISCLOSURES ABOUT MARKET RISK</w:t>
      </w:r>
    </w:p>
    <w:p>
      <w:pPr>
        <w:spacing w:after="0" w:line="239" w:lineRule="exact"/>
        <w:rPr>
          <w:sz w:val="20"/>
          <w:szCs w:val="20"/>
          <w:color w:val="auto"/>
        </w:rPr>
      </w:pPr>
    </w:p>
    <w:p>
      <w:pPr>
        <w:jc w:val="both"/>
        <w:ind w:firstLine="648"/>
        <w:spacing w:after="0" w:line="328" w:lineRule="auto"/>
        <w:rPr>
          <w:sz w:val="20"/>
          <w:szCs w:val="20"/>
          <w:color w:val="auto"/>
        </w:rPr>
      </w:pPr>
      <w:r>
        <w:rPr>
          <w:rFonts w:ascii="Arial" w:cs="Arial" w:eastAsia="Arial" w:hAnsi="Arial"/>
          <w:sz w:val="19"/>
          <w:szCs w:val="19"/>
          <w:color w:val="auto"/>
        </w:rPr>
        <w:t>There have been no material changes in our market risk during the nine-months ended September 30, 2012 compared with the disclosures in Part II, Item 7A of our Annual Report on Form 10-K for the year ended December 31, 2011.</w:t>
      </w:r>
    </w:p>
    <w:p>
      <w:pPr>
        <w:spacing w:after="0" w:line="1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4. CONTROLS AND PROCEDURES</w:t>
      </w:r>
    </w:p>
    <w:p>
      <w:pPr>
        <w:spacing w:after="0" w:line="23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9"/>
          <w:szCs w:val="19"/>
          <w:i w:val="1"/>
          <w:iCs w:val="1"/>
          <w:color w:val="auto"/>
        </w:rPr>
        <w:t xml:space="preserve">Evaluation of Disclosure Controls and Procedures </w:t>
      </w:r>
      <w:r>
        <w:rPr>
          <w:rFonts w:ascii="Arial" w:cs="Arial" w:eastAsia="Arial" w:hAnsi="Arial"/>
          <w:sz w:val="19"/>
          <w:szCs w:val="19"/>
          <w:color w:val="auto"/>
        </w:rPr>
        <w:t>— Under the supervision and with the participation of the Company’s</w:t>
      </w:r>
      <w:r>
        <w:rPr>
          <w:rFonts w:ascii="Arial" w:cs="Arial" w:eastAsia="Arial" w:hAnsi="Arial"/>
          <w:sz w:val="19"/>
          <w:szCs w:val="19"/>
          <w:i w:val="1"/>
          <w:iCs w:val="1"/>
          <w:color w:val="auto"/>
        </w:rPr>
        <w:t xml:space="preserve"> </w:t>
      </w:r>
      <w:r>
        <w:rPr>
          <w:rFonts w:ascii="Arial" w:cs="Arial" w:eastAsia="Arial" w:hAnsi="Arial"/>
          <w:sz w:val="19"/>
          <w:szCs w:val="19"/>
          <w:color w:val="auto"/>
        </w:rPr>
        <w:t>management, including our Chief Executive Officer and Chief Financial Officer, we have evaluated the effectiveness of the design and operation of our disclosure controls and procedures (as defined in Rules 13(a)-15(e) and 15(d)-15(e) of the Exchange Act) as of the end of the period covered by this report. Based upon this evaluation, the Chief Executive Officer and Chief Financial Officer have concluded that our disclosure controls and procedures are adequate and effective to ensure that information we are required to disclose in reports that we file or submit under the Exchange Act is (1) recorded, processed, summarized and reported within the time periods specified in rules and forms of the SEC and (2) accumulated and communicated to our management, including its principal executive and principal financial officers, as appropriate, to allow timely decisions regarding required disclosures.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5" w:lineRule="exact"/>
        <w:rPr>
          <w:sz w:val="20"/>
          <w:szCs w:val="20"/>
          <w:color w:val="auto"/>
        </w:rPr>
      </w:pPr>
    </w:p>
    <w:p>
      <w:pPr>
        <w:jc w:val="both"/>
        <w:ind w:right="20" w:firstLine="648"/>
        <w:spacing w:after="0"/>
        <w:rPr>
          <w:sz w:val="20"/>
          <w:szCs w:val="20"/>
          <w:color w:val="auto"/>
        </w:rPr>
      </w:pPr>
      <w:r>
        <w:rPr>
          <w:rFonts w:ascii="Arial" w:cs="Arial" w:eastAsia="Arial" w:hAnsi="Arial"/>
          <w:sz w:val="22"/>
          <w:szCs w:val="22"/>
          <w:i w:val="1"/>
          <w:iCs w:val="1"/>
          <w:color w:val="auto"/>
        </w:rPr>
        <w:t xml:space="preserve">Changes in Internal Control Over Financial Reporting </w:t>
      </w:r>
      <w:r>
        <w:rPr>
          <w:rFonts w:ascii="Arial" w:cs="Arial" w:eastAsia="Arial" w:hAnsi="Arial"/>
          <w:sz w:val="22"/>
          <w:szCs w:val="22"/>
          <w:color w:val="auto"/>
        </w:rPr>
        <w:t>— There were no changes in the Company’s internal controls over</w:t>
      </w:r>
      <w:r>
        <w:rPr>
          <w:rFonts w:ascii="Arial" w:cs="Arial" w:eastAsia="Arial" w:hAnsi="Arial"/>
          <w:sz w:val="22"/>
          <w:szCs w:val="22"/>
          <w:i w:val="1"/>
          <w:iCs w:val="1"/>
          <w:color w:val="auto"/>
        </w:rPr>
        <w:t xml:space="preserve"> </w:t>
      </w:r>
      <w:r>
        <w:rPr>
          <w:rFonts w:ascii="Arial" w:cs="Arial" w:eastAsia="Arial" w:hAnsi="Arial"/>
          <w:sz w:val="22"/>
          <w:szCs w:val="22"/>
          <w:color w:val="auto"/>
        </w:rPr>
        <w:t>financial reporting during the quarter ended September 30, 2012, that have materially affected, or are reasonably likely to materially affect, our internal control over financial reporting.</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PART II - OTHER INFORMATION</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  LEGAL PROCEEDINGS</w:t>
      </w:r>
    </w:p>
    <w:p>
      <w:pPr>
        <w:spacing w:after="0" w:line="23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color w:val="auto"/>
        </w:rPr>
        <w:t>In September 2006, Christopher Chavez purporting to act on behalf of himself and a certain class of consumers filed an action in the Superior Court of the State of California, County of San Francisco, against the Company and its subsidiaries for unfair business practices, false advertising, violation of California Consumers Legal Remedies Act (“CLRA”), fraud, deceit and/or misrepresentation alleging that the Company misleadingly labels its Blue Sky® beverages as manufactured and canned/bottled wholly in Santa Fe, New Mexico. Defendants removed this Superior Court action to the United States District Court for the Northern District of California (the “District Court”) under the Class Action Fairness Act and filed motions for dismissal or transfer. On June 11, 2007, the District Court granted the Company’s motion to dismiss Chavez’s complaint with prejudice. On June 23, 2009, the United States Court of Appeals for the Ninth Circuit (“Ninth Circuit”) filed a memorandum opinion reversing the decision of the District Court and remanded the case to the District Court for further proceedings. The Company filed a motion to dismiss the CLRA claims; the plaintiff filed a motion for a decision on a preemption issue; and the plaintiff filed a motion for class certification. On June 18, 2010, the District Court entered an order certifying the class, ruled that there was no preemption by</w:t>
      </w:r>
    </w:p>
    <w:p>
      <w:pPr>
        <w:sectPr>
          <w:pgSz w:w="11900" w:h="16838" w:orient="portrait"/>
          <w:cols w:equalWidth="0" w:num="1">
            <w:col w:w="11420"/>
          </w:cols>
          <w:pgMar w:left="240" w:top="368" w:right="239" w:bottom="0" w:gutter="0" w:footer="0" w:header="0"/>
        </w:sectPr>
      </w:pPr>
    </w:p>
    <w:bookmarkStart w:id="32" w:name="page33"/>
    <w:bookmarkEnd w:id="32"/>
    <w:p>
      <w:pPr>
        <w:jc w:val="both"/>
        <w:spacing w:after="0" w:line="275" w:lineRule="auto"/>
        <w:rPr>
          <w:sz w:val="20"/>
          <w:szCs w:val="20"/>
          <w:color w:val="auto"/>
        </w:rPr>
      </w:pPr>
      <w:r>
        <w:rPr>
          <w:rFonts w:ascii="Arial" w:cs="Arial" w:eastAsia="Arial" w:hAnsi="Arial"/>
          <w:sz w:val="19"/>
          <w:szCs w:val="19"/>
          <w:color w:val="auto"/>
        </w:rPr>
        <w:t>federal law, and denied the Company’s motion to dismiss. The class that the District Court certified initially consists of all persons who purchased any beverage bearing the Blue Sky mark or brand in the United States at any time between May 16, 2002 and June 30, 2006. On September 9, 2010, the District Court approved the form of the class notice and its distribution plan; and set an opt-out date of December 10, 2010. On January 27, 2012, the parties entered into a settlement agreement on terms acceptable to the Company. On June 1, 2012, the District Court granted final approval of the settlement and entered judgment. On June 26, 2012, an objector to the settlement filed a notice appealing the District Court’s judgment, which is now pending in the Ninth Circuit Court of Appeals. The Company does not believe that the settlement or the pending appeal will have a material adverse effect on the Company’s financial position or results of operations.</w:t>
      </w:r>
    </w:p>
    <w:p>
      <w:pPr>
        <w:spacing w:after="0" w:line="186"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9"/>
          <w:szCs w:val="19"/>
          <w:color w:val="auto"/>
        </w:rPr>
        <w:t>In May 2009, Avraham Wellman, purporting to act on behalf of himself and a class of consumers in Canada, filed a putative class action in the Ontario Superior Court of Justice, in the City of Toronto, Ontario, Canada, against the Company and its former Canadian distributor, Pepsi-Cola Canada Ltd., as defendants. The plaintiff alleges that the defendants misleadingly packaged and labeled Monster Energy® products in Canada by not including sufficiently specific statements with respect to contra-indications and/or adverse reactions associated with the consumption of the energy drink products. The plaintiff’s claims against the defendants are for negligence, unjust enrichment, and making misleading/false representations in violation of the Competition Act (Canada), the Food and Drugs Act (Canada) and the Consumer Protection Act, 2002 (Ontario). The plaintiff claims general damages on behalf of the putative class in the amount of CDN$20 million,</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5"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together with punitive damages of CDN$5 million, plus legal costs and interest. The plaintiff’s certification motion materials have not yet been filed. The Company believes that any such damages, if awarded, would not have a material adverse effect on the Company’s financial position or results of operations. In accordance with class action practices in Ontario, the Company will not file an answer to the complaint until after the determination of the certification motion. The Company believes that the plaintiff’s complaint is without merit and plans a vigorous defense.</w:t>
      </w:r>
    </w:p>
    <w:p>
      <w:pPr>
        <w:spacing w:after="0" w:line="206" w:lineRule="exact"/>
        <w:rPr>
          <w:sz w:val="20"/>
          <w:szCs w:val="20"/>
          <w:color w:val="auto"/>
        </w:rPr>
      </w:pPr>
    </w:p>
    <w:p>
      <w:pPr>
        <w:jc w:val="both"/>
        <w:ind w:firstLine="702"/>
        <w:spacing w:after="0" w:line="247" w:lineRule="auto"/>
        <w:rPr>
          <w:sz w:val="20"/>
          <w:szCs w:val="20"/>
          <w:color w:val="auto"/>
        </w:rPr>
      </w:pPr>
      <w:r>
        <w:rPr>
          <w:rFonts w:ascii="Arial" w:cs="Arial" w:eastAsia="Arial" w:hAnsi="Arial"/>
          <w:sz w:val="21"/>
          <w:szCs w:val="21"/>
          <w:color w:val="auto"/>
        </w:rPr>
        <w:t>On October 17, 2012, Wendy Crossland and Richard Fournier filed a lawsuit in the Superior Court of the State of California, County of Riverside, against the Company claiming that the death of their 14 year old daughter (Anais Fournier) was caused by her consumption of two 24-ounce Monster Energy® drinks over the course of two days in December 2011. The plaintiffs allege strict product liability, negligence, fraudulent concealment, breach of implied warranties and wrongful death. The plaintiffs claim general damages in excess of $25,000 and punitive damages. The Company believes that the plaintiffs’ complaint is without merit and plans a vigorous defense. The Company also believes that any such damages, if awarded, would not have a material adverse effect on the Company’s financial position or results of operations.</w:t>
      </w:r>
    </w:p>
    <w:p>
      <w:pPr>
        <w:spacing w:after="0" w:line="205"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i w:val="1"/>
          <w:iCs w:val="1"/>
          <w:color w:val="auto"/>
        </w:rPr>
        <w:t xml:space="preserve">Securities Litigation </w:t>
      </w:r>
      <w:r>
        <w:rPr>
          <w:rFonts w:ascii="Arial" w:cs="Arial" w:eastAsia="Arial" w:hAnsi="Arial"/>
          <w:sz w:val="22"/>
          <w:szCs w:val="22"/>
          <w:color w:val="auto"/>
        </w:rPr>
        <w:t>— On September 11, 2008, a federal securities class action complaint styled</w:t>
      </w:r>
      <w:r>
        <w:rPr>
          <w:rFonts w:ascii="Arial" w:cs="Arial" w:eastAsia="Arial" w:hAnsi="Arial"/>
          <w:sz w:val="22"/>
          <w:szCs w:val="22"/>
          <w:i w:val="1"/>
          <w:iCs w:val="1"/>
          <w:color w:val="auto"/>
        </w:rPr>
        <w:t xml:space="preserve"> Cunha v. Hansen Natural Corp., et al. </w:t>
      </w:r>
      <w:r>
        <w:rPr>
          <w:rFonts w:ascii="Arial" w:cs="Arial" w:eastAsia="Arial" w:hAnsi="Arial"/>
          <w:sz w:val="22"/>
          <w:szCs w:val="22"/>
          <w:color w:val="auto"/>
        </w:rPr>
        <w:t>was filed in the United States District Court for the Central District of California (the “District Court”). On</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September 17, 2008, a second federal securities class action complaint styled </w:t>
      </w:r>
      <w:r>
        <w:rPr>
          <w:rFonts w:ascii="Arial" w:cs="Arial" w:eastAsia="Arial" w:hAnsi="Arial"/>
          <w:sz w:val="22"/>
          <w:szCs w:val="22"/>
          <w:i w:val="1"/>
          <w:iCs w:val="1"/>
          <w:color w:val="auto"/>
        </w:rPr>
        <w:t>Brown v. Hansen Natural Corp., et al.</w:t>
      </w:r>
      <w:r>
        <w:rPr>
          <w:rFonts w:ascii="Arial" w:cs="Arial" w:eastAsia="Arial" w:hAnsi="Arial"/>
          <w:sz w:val="22"/>
          <w:szCs w:val="22"/>
          <w:color w:val="auto"/>
        </w:rPr>
        <w:t xml:space="preserve"> was also filed in the District Court.</w:t>
      </w:r>
    </w:p>
    <w:p>
      <w:pPr>
        <w:spacing w:after="0" w:line="21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color w:val="auto"/>
        </w:rPr>
        <w:t>On July 14, 2009, the District Court entered an order consolidating the actions and appointing lead counsel and the Structural Ironworkers Local Union #1 Pension Fund as lead plaintiff. On August 28, 2009, lead plaintiff filed a Consolidated Complaint for Violations of Federal Securities Laws (the “Consolidated Class Action Complaint”). The Consolidated Class Action Complaint purported to be brought on behalf of a class of purchasers of the Company’s stock during the period November 9, 2006 through November 8, 2007 (the “Class Period”). It named as defendants the Company, Rodney C. Sacks, Hilton H. Schlosberg, and Thomas J. Kelly. Plaintiff principally alleged that, during the Class Period, the defendants made false and misleading statements relating to the Company’s distribution coordination agreements with Anheuser-Busch, Inc. (“AB”) and its sales of “Allied” energy drink lines, and engaged in sales of shares in the Company on the basis of material non-public information. Plaintiff also alleged that the Company’s financial statements for the second quarter of 2007 did not include certain promotional expenses. The Consolidated Class Action Complaint alleged violations of Sections 10(b) and 20(a) of the Securities Exchange Act of 1934, as amended (the “Exchange Act”) and Rule 10b-5 promulgated thereunder, and sought an unspecified amount of damages.</w:t>
      </w:r>
    </w:p>
    <w:p>
      <w:pPr>
        <w:spacing w:after="0" w:line="183"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On November 16, 2009, the defendants filed their motion to dismiss the Consolidated Class Action Complaint pursuant to Federal Rules of Civil Procedure 12(b)(6) and 9(b), as well as the Private Securities Litigation Reform Act. On July 12, 2010, following a hearing, the District Court granted the defendants’ motion to dismiss the Consolidated Class Action Complaint, with leave to amend, on the grounds, among others, that it failed to specify which statements plaintiff claimed were false or misleading, failed adequately to allege that certain statements were actionable or false or misleading, and failed adequately to demonstrate that defendants acted with scienter.</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ectPr>
          <w:pgSz w:w="11900" w:h="16838" w:orient="portrait"/>
          <w:cols w:equalWidth="0" w:num="1">
            <w:col w:w="11420"/>
          </w:cols>
          <w:pgMar w:left="240" w:top="118" w:right="239" w:bottom="0" w:gutter="0" w:footer="0" w:header="0"/>
        </w:sectPr>
      </w:pPr>
    </w:p>
    <w:p>
      <w:pPr>
        <w:spacing w:after="0" w:line="218" w:lineRule="exact"/>
        <w:rPr>
          <w:sz w:val="20"/>
          <w:szCs w:val="20"/>
          <w:color w:val="auto"/>
        </w:rPr>
      </w:pPr>
    </w:p>
    <w:p>
      <w:pPr>
        <w:ind w:firstLine="648"/>
        <w:spacing w:after="0" w:line="328" w:lineRule="auto"/>
        <w:rPr>
          <w:sz w:val="20"/>
          <w:szCs w:val="20"/>
          <w:color w:val="auto"/>
        </w:rPr>
      </w:pPr>
      <w:r>
        <w:rPr>
          <w:rFonts w:ascii="Arial" w:cs="Arial" w:eastAsia="Arial" w:hAnsi="Arial"/>
          <w:sz w:val="19"/>
          <w:szCs w:val="19"/>
          <w:color w:val="auto"/>
        </w:rPr>
        <w:t>On August 27, 2010, plaintiff filed a Consolidated Amended Class Action Complaint for Violations of Federal Securities Laws (the “Amended Class Action Complaint”). While similar in many respects to the Consolidated Class Action Complaint, the</w:t>
      </w:r>
    </w:p>
    <w:p>
      <w:pPr>
        <w:sectPr>
          <w:pgSz w:w="11900" w:h="16838" w:orient="portrait"/>
          <w:cols w:equalWidth="0" w:num="1">
            <w:col w:w="11420"/>
          </w:cols>
          <w:pgMar w:left="240" w:top="118" w:right="239" w:bottom="0" w:gutter="0" w:footer="0" w:header="0"/>
          <w:type w:val="continuous"/>
        </w:sectPr>
      </w:pPr>
    </w:p>
    <w:bookmarkStart w:id="33" w:name="page34"/>
    <w:bookmarkEnd w:id="33"/>
    <w:p>
      <w:pPr>
        <w:jc w:val="both"/>
        <w:spacing w:after="0" w:line="282" w:lineRule="auto"/>
        <w:rPr>
          <w:sz w:val="20"/>
          <w:szCs w:val="20"/>
          <w:color w:val="auto"/>
        </w:rPr>
      </w:pPr>
      <w:r>
        <w:rPr>
          <w:rFonts w:ascii="Arial" w:cs="Arial" w:eastAsia="Arial" w:hAnsi="Arial"/>
          <w:sz w:val="19"/>
          <w:szCs w:val="19"/>
          <w:color w:val="auto"/>
        </w:rPr>
        <w:t>Amended Class Action Complaint drops certain of the allegations set forth in the Consolidated Class Action Complaint and makes certain new allegations, including that the Company engaged in “channel stuffing” during the Class Period that rendered false or misleading the Company’s reported sales results and certain other statements made by the defendants. In addition, it no longer names Thomas J. Kelly as a defendant. The Amended Class Action Complaint continues to allege violations of Sections 10(b) and 20(a) of the Exchange Act and Rule 10b-5 promulgated thereunder, and seeks an unspecified amount of damages.</w:t>
      </w:r>
    </w:p>
    <w:p>
      <w:pPr>
        <w:spacing w:after="0" w:line="175"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9"/>
          <w:szCs w:val="19"/>
          <w:color w:val="auto"/>
        </w:rPr>
        <w:t>Defendants filed a motion to dismiss the Amended Class Action Complaint on November 8, 2010. At a hearing on defendants’ motion to dismiss the Amended Class Action Complaint held on May 12, 2011, the District Court issued a tentative ruling granting the motion to dismiss as to certain of plaintiff’s claims, including plaintiff’s allegations relating to promotional expenses, but denying the motion to dismiss with regard to the majority of plaintiff’s claims, including plaintiff’s channel stuffing allegations. On September 4, 2012, the District Court issued a Notice of Ruling (the “Order”) adopting the May 12, 2011 tentative ruling as its final ruling on defendants’ motion to dismiss. On October 22, 2012, the District Court denied defendants’ motion for reconsideration of the Order or certification of an interlocutory appeal from the Order. The District Court has set a schedule for briefing and discovery in connection with plaintiff’s motion for class certification, and has scheduled a hearing on that motion for April 1, 2013. Fact discovery in the action has been stayed pending resolution of the class certification motion.</w:t>
      </w:r>
    </w:p>
    <w:p>
      <w:pPr>
        <w:spacing w:after="0" w:line="186"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The Amended Class Action Complaint seeks an unspecified amount of damages. As a result, the amount or range of reasonably possible litigation losses to which the Company is exposed cannot be estimated. Although the ultimate outcome of this action cannot be determined with certainty, the Company believes that the allegations in the Amended Class Action Complaint are without merit. The Company intends to vigorously defend against this lawsuit.</w:t>
      </w:r>
    </w:p>
    <w:p>
      <w:pPr>
        <w:spacing w:after="0" w:line="21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9"/>
          <w:szCs w:val="19"/>
          <w:i w:val="1"/>
          <w:iCs w:val="1"/>
          <w:color w:val="auto"/>
        </w:rPr>
        <w:t xml:space="preserve">State Attorney General Inquiry </w:t>
      </w:r>
      <w:r>
        <w:rPr>
          <w:rFonts w:ascii="Arial" w:cs="Arial" w:eastAsia="Arial" w:hAnsi="Arial"/>
          <w:sz w:val="19"/>
          <w:szCs w:val="19"/>
          <w:color w:val="auto"/>
        </w:rPr>
        <w:t>– In July 2012, the Company received a subpoena from a state attorney general in</w:t>
      </w:r>
      <w:r>
        <w:rPr>
          <w:rFonts w:ascii="Arial" w:cs="Arial" w:eastAsia="Arial" w:hAnsi="Arial"/>
          <w:sz w:val="19"/>
          <w:szCs w:val="19"/>
          <w:i w:val="1"/>
          <w:iCs w:val="1"/>
          <w:color w:val="auto"/>
        </w:rPr>
        <w:t xml:space="preserve"> </w:t>
      </w:r>
      <w:r>
        <w:rPr>
          <w:rFonts w:ascii="Arial" w:cs="Arial" w:eastAsia="Arial" w:hAnsi="Arial"/>
          <w:sz w:val="19"/>
          <w:szCs w:val="19"/>
          <w:color w:val="auto"/>
        </w:rPr>
        <w:t>connection with an investigation concerning the Company’s advertising, marketing, promotion, ingredients, usage and sale of its Monster Energy® brand of energy drinks. As the investigation is in an early stage, it is unknown what, if any, action the state attorney general may take against the Company, the relief which may be sought in the event of any such proceeding or whether such proceeding could have a material adverse effect on the Company’s business, financial condition or results of operations.</w:t>
      </w:r>
    </w:p>
    <w:p>
      <w:pPr>
        <w:spacing w:after="0" w:line="175"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i w:val="1"/>
          <w:iCs w:val="1"/>
          <w:color w:val="auto"/>
        </w:rPr>
        <w:t xml:space="preserve">Derivative Litigation </w:t>
      </w:r>
      <w:r>
        <w:rPr>
          <w:rFonts w:ascii="Arial" w:cs="Arial" w:eastAsia="Arial" w:hAnsi="Arial"/>
          <w:sz w:val="22"/>
          <w:szCs w:val="22"/>
          <w:color w:val="auto"/>
        </w:rPr>
        <w:t>– On September 13, 2012, two derivative complaints were filed in California Superior Courts,</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purportedly on behalf of the Company, by shareholders of the Company who made no prior demand on the Company’s Board of Directors. One action, in the Superior Court for the County of Riverside, is styled </w:t>
      </w:r>
      <w:r>
        <w:rPr>
          <w:rFonts w:ascii="Arial" w:cs="Arial" w:eastAsia="Arial" w:hAnsi="Arial"/>
          <w:sz w:val="22"/>
          <w:szCs w:val="22"/>
          <w:i w:val="1"/>
          <w:iCs w:val="1"/>
          <w:color w:val="auto"/>
        </w:rPr>
        <w:t>Iron Workers District Council of Tennessee</w:t>
      </w:r>
      <w:r>
        <w:rPr>
          <w:rFonts w:ascii="Arial" w:cs="Arial" w:eastAsia="Arial" w:hAnsi="Arial"/>
          <w:sz w:val="22"/>
          <w:szCs w:val="22"/>
          <w:color w:val="auto"/>
        </w:rPr>
        <w:t xml:space="preserve"> </w:t>
      </w:r>
      <w:r>
        <w:rPr>
          <w:rFonts w:ascii="Arial" w:cs="Arial" w:eastAsia="Arial" w:hAnsi="Arial"/>
          <w:sz w:val="22"/>
          <w:szCs w:val="22"/>
          <w:i w:val="1"/>
          <w:iCs w:val="1"/>
          <w:color w:val="auto"/>
        </w:rPr>
        <w:t xml:space="preserve">Valley &amp; Vicinity Pension Plan v. Sacks, et al. </w:t>
      </w:r>
      <w:r>
        <w:rPr>
          <w:rFonts w:ascii="Arial" w:cs="Arial" w:eastAsia="Arial" w:hAnsi="Arial"/>
          <w:sz w:val="22"/>
          <w:szCs w:val="22"/>
          <w:color w:val="auto"/>
        </w:rPr>
        <w:t>The other action, in the Superior Court for the County of Los Angeles, is styled</w:t>
      </w:r>
      <w:r>
        <w:rPr>
          <w:rFonts w:ascii="Arial" w:cs="Arial" w:eastAsia="Arial" w:hAnsi="Arial"/>
          <w:sz w:val="22"/>
          <w:szCs w:val="22"/>
          <w:i w:val="1"/>
          <w:iCs w:val="1"/>
          <w:color w:val="auto"/>
        </w:rPr>
        <w:t xml:space="preserve"> Rumbaugh v. Sacks, et al.</w:t>
      </w:r>
    </w:p>
    <w:p>
      <w:pPr>
        <w:spacing w:after="0" w:line="215"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 xml:space="preserve">The </w:t>
      </w:r>
      <w:r>
        <w:rPr>
          <w:rFonts w:ascii="Arial" w:cs="Arial" w:eastAsia="Arial" w:hAnsi="Arial"/>
          <w:sz w:val="22"/>
          <w:szCs w:val="22"/>
          <w:i w:val="1"/>
          <w:iCs w:val="1"/>
          <w:color w:val="auto"/>
        </w:rPr>
        <w:t>Iron Workers</w:t>
      </w:r>
      <w:r>
        <w:rPr>
          <w:rFonts w:ascii="Arial" w:cs="Arial" w:eastAsia="Arial" w:hAnsi="Arial"/>
          <w:sz w:val="22"/>
          <w:szCs w:val="22"/>
          <w:color w:val="auto"/>
        </w:rPr>
        <w:t xml:space="preserve"> complaint names as defendants certain officers, directors, and employees of the Company, including Sacks, Schlosberg, Harold C. Taber, Jr., Benjamin M. Polk, Norman C. Epstein, Mark S. Vidergauz, Sydney Selati, and Thomas J. Kelly. The </w:t>
      </w:r>
      <w:r>
        <w:rPr>
          <w:rFonts w:ascii="Arial" w:cs="Arial" w:eastAsia="Arial" w:hAnsi="Arial"/>
          <w:sz w:val="22"/>
          <w:szCs w:val="22"/>
          <w:i w:val="1"/>
          <w:iCs w:val="1"/>
          <w:color w:val="auto"/>
        </w:rPr>
        <w:t>Rumbaugh</w:t>
      </w:r>
      <w:r>
        <w:rPr>
          <w:rFonts w:ascii="Arial" w:cs="Arial" w:eastAsia="Arial" w:hAnsi="Arial"/>
          <w:sz w:val="22"/>
          <w:szCs w:val="22"/>
          <w:color w:val="auto"/>
        </w:rPr>
        <w:t xml:space="preserve"> complaint names each of the same individuals as defendants, with the exception of Thomas J. Kelly. The Company is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8"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 xml:space="preserve">named as a nominal defendant in each action. The factual allegations of the two complaints are substantially similar. Each alleges, among other things, that the Individual Defendants breached their fiduciary duties to the Company by causing the Company to market, advertise, and promote its Monster Energy® brand of energy drinks in a way that has exposed, and will continue to expose, the Company to costly investigations into its compliance with federal and state laws and regulations pertaining to food and beverage advertising. The complaints further allege that, beginning in February 2012, the Individual Defendants further breached their fiduciary duties by making statements in press releases and public filings about the Company’s earnings and financial condition and by failing to disclose that the Company was improperly advertising, marketing, and promoting its Monster Energy® brand of energy drinks. The </w:t>
      </w:r>
      <w:r>
        <w:rPr>
          <w:rFonts w:ascii="Arial" w:cs="Arial" w:eastAsia="Arial" w:hAnsi="Arial"/>
          <w:sz w:val="19"/>
          <w:szCs w:val="19"/>
          <w:i w:val="1"/>
          <w:iCs w:val="1"/>
          <w:color w:val="auto"/>
        </w:rPr>
        <w:t>Iron Workers</w:t>
      </w:r>
      <w:r>
        <w:rPr>
          <w:rFonts w:ascii="Arial" w:cs="Arial" w:eastAsia="Arial" w:hAnsi="Arial"/>
          <w:sz w:val="19"/>
          <w:szCs w:val="19"/>
          <w:color w:val="auto"/>
        </w:rPr>
        <w:t xml:space="preserve"> complaint further alleges that while the Company’s shares were purportedly artificially inflated because of those improper statements, certain defendants sold Company stock while in possession of material non-public information regarding the Company’s “true” business health. The </w:t>
      </w:r>
      <w:r>
        <w:rPr>
          <w:rFonts w:ascii="Arial" w:cs="Arial" w:eastAsia="Arial" w:hAnsi="Arial"/>
          <w:sz w:val="19"/>
          <w:szCs w:val="19"/>
          <w:i w:val="1"/>
          <w:iCs w:val="1"/>
          <w:color w:val="auto"/>
        </w:rPr>
        <w:t>Iron Workers</w:t>
      </w:r>
      <w:r>
        <w:rPr>
          <w:rFonts w:ascii="Arial" w:cs="Arial" w:eastAsia="Arial" w:hAnsi="Arial"/>
          <w:sz w:val="19"/>
          <w:szCs w:val="19"/>
          <w:color w:val="auto"/>
        </w:rPr>
        <w:t xml:space="preserve"> complaint asserts causes of action for breach of fiduciary duty and unjust enrichment. In addition to those causes of action, the </w:t>
      </w:r>
      <w:r>
        <w:rPr>
          <w:rFonts w:ascii="Arial" w:cs="Arial" w:eastAsia="Arial" w:hAnsi="Arial"/>
          <w:sz w:val="19"/>
          <w:szCs w:val="19"/>
          <w:i w:val="1"/>
          <w:iCs w:val="1"/>
          <w:color w:val="auto"/>
        </w:rPr>
        <w:t>Rumbaugh</w:t>
      </w:r>
      <w:r>
        <w:rPr>
          <w:rFonts w:ascii="Arial" w:cs="Arial" w:eastAsia="Arial" w:hAnsi="Arial"/>
          <w:sz w:val="19"/>
          <w:szCs w:val="19"/>
          <w:color w:val="auto"/>
        </w:rPr>
        <w:t xml:space="preserve"> complaint also asserts causes of action for abuse of control, gross mismanagement and waste of corporate assets. The plaintiffs seek an unspecified amount of damages to be paid to the Company, adoption of corporate governance reforms, and equitable and injunctive relief.</w:t>
      </w:r>
    </w:p>
    <w:p>
      <w:pPr>
        <w:spacing w:after="0" w:line="184"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 xml:space="preserve">The complaints have been served on certain of the defendants named therein. The Company intends to seek transfer of the </w:t>
      </w:r>
      <w:r>
        <w:rPr>
          <w:rFonts w:ascii="Arial" w:cs="Arial" w:eastAsia="Arial" w:hAnsi="Arial"/>
          <w:sz w:val="22"/>
          <w:szCs w:val="22"/>
          <w:i w:val="1"/>
          <w:iCs w:val="1"/>
          <w:color w:val="auto"/>
        </w:rPr>
        <w:t xml:space="preserve">Rumbaugh </w:t>
      </w:r>
      <w:r>
        <w:rPr>
          <w:rFonts w:ascii="Arial" w:cs="Arial" w:eastAsia="Arial" w:hAnsi="Arial"/>
          <w:sz w:val="22"/>
          <w:szCs w:val="22"/>
          <w:color w:val="auto"/>
        </w:rPr>
        <w:t>complaint to Riverside, where it can be consolidated with the</w:t>
      </w:r>
      <w:r>
        <w:rPr>
          <w:rFonts w:ascii="Arial" w:cs="Arial" w:eastAsia="Arial" w:hAnsi="Arial"/>
          <w:sz w:val="22"/>
          <w:szCs w:val="22"/>
          <w:i w:val="1"/>
          <w:iCs w:val="1"/>
          <w:color w:val="auto"/>
        </w:rPr>
        <w:t xml:space="preserve"> Iron Workers </w:t>
      </w:r>
      <w:r>
        <w:rPr>
          <w:rFonts w:ascii="Arial" w:cs="Arial" w:eastAsia="Arial" w:hAnsi="Arial"/>
          <w:sz w:val="22"/>
          <w:szCs w:val="22"/>
          <w:color w:val="auto"/>
        </w:rPr>
        <w:t>complaint. The deadline for response to the</w:t>
      </w:r>
      <w:r>
        <w:rPr>
          <w:rFonts w:ascii="Arial" w:cs="Arial" w:eastAsia="Arial" w:hAnsi="Arial"/>
          <w:sz w:val="22"/>
          <w:szCs w:val="22"/>
          <w:i w:val="1"/>
          <w:iCs w:val="1"/>
          <w:color w:val="auto"/>
        </w:rPr>
        <w:t xml:space="preserve"> Iron Workers </w:t>
      </w:r>
      <w:r>
        <w:rPr>
          <w:rFonts w:ascii="Arial" w:cs="Arial" w:eastAsia="Arial" w:hAnsi="Arial"/>
          <w:sz w:val="22"/>
          <w:szCs w:val="22"/>
          <w:color w:val="auto"/>
        </w:rPr>
        <w:t>complaint has been extended until after the motion to transfer is decided. Although the ultimate outcome of these</w:t>
      </w:r>
      <w:r>
        <w:rPr>
          <w:rFonts w:ascii="Arial" w:cs="Arial" w:eastAsia="Arial" w:hAnsi="Arial"/>
          <w:sz w:val="22"/>
          <w:szCs w:val="22"/>
          <w:i w:val="1"/>
          <w:iCs w:val="1"/>
          <w:color w:val="auto"/>
        </w:rPr>
        <w:t xml:space="preserve"> </w:t>
      </w:r>
      <w:r>
        <w:rPr>
          <w:rFonts w:ascii="Arial" w:cs="Arial" w:eastAsia="Arial" w:hAnsi="Arial"/>
          <w:sz w:val="22"/>
          <w:szCs w:val="22"/>
          <w:color w:val="auto"/>
        </w:rPr>
        <w:t>matters cannot be determined with certainty, the Company believes that the complaints are without merit. The Company intends to vigorously defend against these lawsuits.</w:t>
      </w:r>
    </w:p>
    <w:p>
      <w:pPr>
        <w:spacing w:after="0" w:line="215"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1"/>
          <w:szCs w:val="21"/>
          <w:color w:val="auto"/>
        </w:rPr>
        <w:t>In addition to the above matters, the Company is subject to litigation from time to time in the normal course of business, including claims from terminated distributors. Although it is not possible to predict the outcome of such litigation, based on the facts known to the Company and after consultation with counsel, management believes that such litigation in the aggregate will likely not have a material adverse effect on the Company’s financial position or results of operations.</w:t>
      </w:r>
    </w:p>
    <w:p>
      <w:pPr>
        <w:sectPr>
          <w:pgSz w:w="11900" w:h="16838" w:orient="portrait"/>
          <w:cols w:equalWidth="0" w:num="1">
            <w:col w:w="11420"/>
          </w:cols>
          <w:pgMar w:left="240" w:top="118" w:right="239" w:bottom="0" w:gutter="0" w:footer="0" w:header="0"/>
        </w:sectPr>
      </w:pPr>
    </w:p>
    <w:bookmarkStart w:id="34" w:name="page35"/>
    <w:bookmarkEnd w:id="34"/>
    <w:p>
      <w:pPr>
        <w:spacing w:after="0"/>
        <w:tabs>
          <w:tab w:leader="none" w:pos="1280" w:val="left"/>
        </w:tabs>
        <w:rPr>
          <w:sz w:val="20"/>
          <w:szCs w:val="20"/>
          <w:color w:val="auto"/>
        </w:rPr>
      </w:pPr>
      <w:r>
        <w:rPr>
          <w:rFonts w:ascii="Arial" w:cs="Arial" w:eastAsia="Arial" w:hAnsi="Arial"/>
          <w:sz w:val="22"/>
          <w:szCs w:val="22"/>
          <w:b w:val="1"/>
          <w:bCs w:val="1"/>
          <w:color w:val="auto"/>
        </w:rPr>
        <w:t>ITEM 1A.</w:t>
      </w:r>
      <w:r>
        <w:rPr>
          <w:sz w:val="20"/>
          <w:szCs w:val="20"/>
          <w:color w:val="auto"/>
        </w:rPr>
        <w:tab/>
      </w:r>
      <w:r>
        <w:rPr>
          <w:rFonts w:ascii="Arial" w:cs="Arial" w:eastAsia="Arial" w:hAnsi="Arial"/>
          <w:sz w:val="21"/>
          <w:szCs w:val="21"/>
          <w:b w:val="1"/>
          <w:bCs w:val="1"/>
          <w:color w:val="auto"/>
        </w:rPr>
        <w:t>RISK FACTORS</w:t>
      </w:r>
    </w:p>
    <w:p>
      <w:pPr>
        <w:spacing w:after="0" w:line="24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Our Risk Factors are discussed in our Annual Report on Form 10-K for the fiscal year ended December 31, 2011. There have been no material changes with respect to the risk factors disclosed in our Annual Report on Form 10-K for the period ended December 31, 2011 and our Quarterly Report Form 10-Q for the period ended June 30, 2012, except for the following:</w:t>
      </w:r>
    </w:p>
    <w:p>
      <w:pPr>
        <w:spacing w:after="0" w:line="161" w:lineRule="exact"/>
        <w:rPr>
          <w:sz w:val="20"/>
          <w:szCs w:val="20"/>
          <w:color w:val="auto"/>
        </w:rPr>
      </w:pPr>
    </w:p>
    <w:p>
      <w:pPr>
        <w:jc w:val="both"/>
        <w:ind w:right="20" w:firstLine="648"/>
        <w:spacing w:after="0" w:line="251" w:lineRule="auto"/>
        <w:rPr>
          <w:sz w:val="20"/>
          <w:szCs w:val="20"/>
          <w:color w:val="auto"/>
        </w:rPr>
      </w:pPr>
      <w:r>
        <w:rPr>
          <w:rFonts w:ascii="Arial" w:cs="Arial" w:eastAsia="Arial" w:hAnsi="Arial"/>
          <w:sz w:val="22"/>
          <w:szCs w:val="22"/>
          <w:i w:val="1"/>
          <w:iCs w:val="1"/>
          <w:color w:val="auto"/>
        </w:rPr>
        <w:t>Product liability litigation regarding our products, and related unfavorable media attention, could expose us to significant liabilities or reduce demand for our products and thus negatively affect our financial results.</w:t>
      </w:r>
    </w:p>
    <w:p>
      <w:pPr>
        <w:spacing w:after="0" w:line="200"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We have recently been named as a defendant in a product liability lawsuit, which alleges the consumption of two 24-ounce cans of Monster Energy® over the course of two days, caused the wrongful death of a fourteen year old girl (Anais Fournier) in December 2011. We do not believe that our products are responsible for the death of Ms. Fournier and intend to vigorously defend the lawsuit. However, this lawsuit, other product liability litigation or the threat thereof and unfavorable media attention arising from pending</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8" w:lineRule="exact"/>
        <w:rPr>
          <w:sz w:val="20"/>
          <w:szCs w:val="20"/>
          <w:color w:val="auto"/>
        </w:rPr>
      </w:pPr>
    </w:p>
    <w:p>
      <w:pPr>
        <w:jc w:val="both"/>
        <w:spacing w:after="0"/>
        <w:rPr>
          <w:sz w:val="20"/>
          <w:szCs w:val="20"/>
          <w:color w:val="auto"/>
        </w:rPr>
      </w:pPr>
      <w:r>
        <w:rPr>
          <w:rFonts w:ascii="Arial" w:cs="Arial" w:eastAsia="Arial" w:hAnsi="Arial"/>
          <w:sz w:val="22"/>
          <w:szCs w:val="22"/>
          <w:color w:val="auto"/>
        </w:rPr>
        <w:t>or threatened product liability litigation, could consume significant financial and managerial resources and result in: (i) decreased demand for our products, (ii) significant awards against us and (iii) injury to our reputation. Our financial condition and business operations could be materially adversely affected by each of these factors.</w:t>
      </w:r>
    </w:p>
    <w:p>
      <w:pPr>
        <w:spacing w:after="0" w:line="207"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b w:val="1"/>
          <w:bCs w:val="1"/>
          <w:color w:val="auto"/>
        </w:rPr>
        <w:t>ITEM 2.</w:t>
      </w:r>
      <w:r>
        <w:rPr>
          <w:sz w:val="20"/>
          <w:szCs w:val="20"/>
          <w:color w:val="auto"/>
        </w:rPr>
        <w:tab/>
      </w:r>
      <w:r>
        <w:rPr>
          <w:rFonts w:ascii="Arial" w:cs="Arial" w:eastAsia="Arial" w:hAnsi="Arial"/>
          <w:sz w:val="21"/>
          <w:szCs w:val="21"/>
          <w:b w:val="1"/>
          <w:bCs w:val="1"/>
          <w:color w:val="auto"/>
        </w:rPr>
        <w:t>UNREGISTERED SALES OF EQUITY SECURITIES AND USE OF PROCEEDS</w:t>
      </w:r>
    </w:p>
    <w:p>
      <w:pPr>
        <w:spacing w:after="0" w:line="23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9"/>
          <w:szCs w:val="19"/>
          <w:color w:val="auto"/>
        </w:rPr>
        <w:t>On October 12, 2011, the Company’s Board of Directors authorized a new share repurchase program for the repurchase of up to $250.0 million of the Company’s outstanding common stock and on August 13, 2012, the Company’s Board of Directors approved the authorization of an increase of an additional $250.0 million (collectively the “2011-2012 Repurchase Plan”), increasing the total amount available under the 2011-2012 Repurchase Plan at that time to $500.0 million. During the three- and nine-months ended September 30, 2012, the Company purchased 6.9 million shares of common stock at an average purchase price of $57.99 per share for a total amount of $397.5 million (excluding broker commissions), which the Company holds in treasury.</w:t>
      </w:r>
    </w:p>
    <w:p>
      <w:pPr>
        <w:spacing w:after="0" w:line="178" w:lineRule="exact"/>
        <w:rPr>
          <w:sz w:val="20"/>
          <w:szCs w:val="20"/>
          <w:color w:val="auto"/>
        </w:rPr>
      </w:pPr>
    </w:p>
    <w:p>
      <w:pPr>
        <w:jc w:val="both"/>
        <w:ind w:right="20" w:firstLine="648"/>
        <w:spacing w:after="0" w:line="251" w:lineRule="auto"/>
        <w:rPr>
          <w:sz w:val="20"/>
          <w:szCs w:val="20"/>
          <w:color w:val="auto"/>
        </w:rPr>
      </w:pPr>
      <w:r>
        <w:rPr>
          <w:rFonts w:ascii="Arial" w:cs="Arial" w:eastAsia="Arial" w:hAnsi="Arial"/>
          <w:sz w:val="22"/>
          <w:szCs w:val="22"/>
          <w:color w:val="auto"/>
        </w:rPr>
        <w:t>Subsequent to September 30, 2012, the Company purchased an additional 1.9 million shares at an average purchase price of $54.99 per share, which exhausted the availability under the 2011-2012 Repurchase Plan.</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The following tabular summary reflects the Company’s repurchase activity during the quarter ended September 30, 2012.</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80" w:type="dxa"/>
            <w:vAlign w:val="bottom"/>
          </w:tcPr>
          <w:p>
            <w:pPr>
              <w:jc w:val="center"/>
              <w:ind w:right="241"/>
              <w:spacing w:after="0"/>
              <w:rPr>
                <w:sz w:val="20"/>
                <w:szCs w:val="20"/>
                <w:color w:val="auto"/>
              </w:rPr>
            </w:pPr>
            <w:r>
              <w:rPr>
                <w:rFonts w:ascii="Arial" w:cs="Arial" w:eastAsia="Arial" w:hAnsi="Arial"/>
                <w:sz w:val="20"/>
                <w:szCs w:val="20"/>
                <w:color w:val="auto"/>
                <w:w w:val="93"/>
              </w:rPr>
              <w:t>Maximum Number (or</w:t>
            </w:r>
          </w:p>
        </w:tc>
      </w:tr>
      <w:tr>
        <w:trPr>
          <w:trHeight w:val="230"/>
        </w:trPr>
        <w:tc>
          <w:tcPr>
            <w:tcW w:w="3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80" w:type="dxa"/>
            <w:vAlign w:val="bottom"/>
          </w:tcPr>
          <w:p>
            <w:pPr>
              <w:jc w:val="center"/>
              <w:ind w:right="201"/>
              <w:spacing w:after="0"/>
              <w:rPr>
                <w:sz w:val="20"/>
                <w:szCs w:val="20"/>
                <w:color w:val="auto"/>
              </w:rPr>
            </w:pPr>
            <w:r>
              <w:rPr>
                <w:rFonts w:ascii="Arial" w:cs="Arial" w:eastAsia="Arial" w:hAnsi="Arial"/>
                <w:sz w:val="20"/>
                <w:szCs w:val="20"/>
                <w:color w:val="auto"/>
                <w:w w:val="94"/>
              </w:rPr>
              <w:t>Approximate Dollar</w:t>
            </w:r>
          </w:p>
        </w:tc>
      </w:tr>
      <w:tr>
        <w:trPr>
          <w:trHeight w:val="230"/>
        </w:trPr>
        <w:tc>
          <w:tcPr>
            <w:tcW w:w="3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80" w:type="dxa"/>
            <w:vAlign w:val="bottom"/>
            <w:gridSpan w:val="2"/>
          </w:tcPr>
          <w:p>
            <w:pPr>
              <w:jc w:val="center"/>
              <w:ind w:right="280"/>
              <w:spacing w:after="0"/>
              <w:rPr>
                <w:sz w:val="20"/>
                <w:szCs w:val="20"/>
                <w:color w:val="auto"/>
              </w:rPr>
            </w:pPr>
            <w:r>
              <w:rPr>
                <w:rFonts w:ascii="Arial" w:cs="Arial" w:eastAsia="Arial" w:hAnsi="Arial"/>
                <w:sz w:val="20"/>
                <w:szCs w:val="20"/>
                <w:color w:val="auto"/>
                <w:w w:val="90"/>
              </w:rPr>
              <w:t>Total Number of</w:t>
            </w:r>
          </w:p>
        </w:tc>
        <w:tc>
          <w:tcPr>
            <w:tcW w:w="200" w:type="dxa"/>
            <w:vAlign w:val="bottom"/>
          </w:tcPr>
          <w:p>
            <w:pPr>
              <w:spacing w:after="0"/>
              <w:rPr>
                <w:sz w:val="19"/>
                <w:szCs w:val="19"/>
                <w:color w:val="auto"/>
              </w:rPr>
            </w:pPr>
          </w:p>
        </w:tc>
        <w:tc>
          <w:tcPr>
            <w:tcW w:w="2180" w:type="dxa"/>
            <w:vAlign w:val="bottom"/>
          </w:tcPr>
          <w:p>
            <w:pPr>
              <w:jc w:val="center"/>
              <w:ind w:right="201"/>
              <w:spacing w:after="0"/>
              <w:rPr>
                <w:sz w:val="20"/>
                <w:szCs w:val="20"/>
                <w:color w:val="auto"/>
              </w:rPr>
            </w:pPr>
            <w:r>
              <w:rPr>
                <w:rFonts w:ascii="Arial" w:cs="Arial" w:eastAsia="Arial" w:hAnsi="Arial"/>
                <w:sz w:val="20"/>
                <w:szCs w:val="20"/>
                <w:color w:val="auto"/>
                <w:w w:val="87"/>
              </w:rPr>
              <w:t>Value) of Shares that</w:t>
            </w:r>
          </w:p>
        </w:tc>
      </w:tr>
      <w:tr>
        <w:trPr>
          <w:trHeight w:val="230"/>
        </w:trPr>
        <w:tc>
          <w:tcPr>
            <w:tcW w:w="3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80" w:type="dxa"/>
            <w:vAlign w:val="bottom"/>
            <w:gridSpan w:val="2"/>
          </w:tcPr>
          <w:p>
            <w:pPr>
              <w:jc w:val="center"/>
              <w:ind w:right="280"/>
              <w:spacing w:after="0"/>
              <w:rPr>
                <w:sz w:val="20"/>
                <w:szCs w:val="20"/>
                <w:color w:val="auto"/>
              </w:rPr>
            </w:pPr>
            <w:r>
              <w:rPr>
                <w:rFonts w:ascii="Arial" w:cs="Arial" w:eastAsia="Arial" w:hAnsi="Arial"/>
                <w:sz w:val="20"/>
                <w:szCs w:val="20"/>
                <w:color w:val="auto"/>
                <w:w w:val="83"/>
              </w:rPr>
              <w:t>Shares Purchased</w:t>
            </w:r>
          </w:p>
        </w:tc>
        <w:tc>
          <w:tcPr>
            <w:tcW w:w="200" w:type="dxa"/>
            <w:vAlign w:val="bottom"/>
          </w:tcPr>
          <w:p>
            <w:pPr>
              <w:spacing w:after="0"/>
              <w:rPr>
                <w:sz w:val="19"/>
                <w:szCs w:val="19"/>
                <w:color w:val="auto"/>
              </w:rPr>
            </w:pPr>
          </w:p>
        </w:tc>
        <w:tc>
          <w:tcPr>
            <w:tcW w:w="2180" w:type="dxa"/>
            <w:vAlign w:val="bottom"/>
          </w:tcPr>
          <w:p>
            <w:pPr>
              <w:jc w:val="center"/>
              <w:ind w:right="241"/>
              <w:spacing w:after="0"/>
              <w:rPr>
                <w:sz w:val="20"/>
                <w:szCs w:val="20"/>
                <w:color w:val="auto"/>
              </w:rPr>
            </w:pPr>
            <w:r>
              <w:rPr>
                <w:rFonts w:ascii="Arial" w:cs="Arial" w:eastAsia="Arial" w:hAnsi="Arial"/>
                <w:sz w:val="20"/>
                <w:szCs w:val="20"/>
                <w:color w:val="auto"/>
                <w:w w:val="87"/>
              </w:rPr>
              <w:t>May Yet Be Purchased</w:t>
            </w:r>
          </w:p>
        </w:tc>
      </w:tr>
      <w:tr>
        <w:trPr>
          <w:trHeight w:val="230"/>
        </w:trPr>
        <w:tc>
          <w:tcPr>
            <w:tcW w:w="3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Arial" w:cs="Arial" w:eastAsia="Arial" w:hAnsi="Arial"/>
                <w:sz w:val="20"/>
                <w:szCs w:val="20"/>
                <w:color w:val="auto"/>
                <w:w w:val="90"/>
              </w:rPr>
              <w:t>Total Number</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80" w:type="dxa"/>
            <w:vAlign w:val="bottom"/>
            <w:gridSpan w:val="2"/>
          </w:tcPr>
          <w:p>
            <w:pPr>
              <w:jc w:val="center"/>
              <w:ind w:right="280"/>
              <w:spacing w:after="0"/>
              <w:rPr>
                <w:sz w:val="20"/>
                <w:szCs w:val="20"/>
                <w:color w:val="auto"/>
              </w:rPr>
            </w:pPr>
            <w:r>
              <w:rPr>
                <w:rFonts w:ascii="Arial" w:cs="Arial" w:eastAsia="Arial" w:hAnsi="Arial"/>
                <w:sz w:val="20"/>
                <w:szCs w:val="20"/>
                <w:color w:val="auto"/>
                <w:w w:val="91"/>
              </w:rPr>
              <w:t>as Part of Publicly</w:t>
            </w:r>
          </w:p>
        </w:tc>
        <w:tc>
          <w:tcPr>
            <w:tcW w:w="200" w:type="dxa"/>
            <w:vAlign w:val="bottom"/>
          </w:tcPr>
          <w:p>
            <w:pPr>
              <w:spacing w:after="0"/>
              <w:rPr>
                <w:sz w:val="19"/>
                <w:szCs w:val="19"/>
                <w:color w:val="auto"/>
              </w:rPr>
            </w:pPr>
          </w:p>
        </w:tc>
        <w:tc>
          <w:tcPr>
            <w:tcW w:w="2180" w:type="dxa"/>
            <w:vAlign w:val="bottom"/>
          </w:tcPr>
          <w:p>
            <w:pPr>
              <w:jc w:val="center"/>
              <w:ind w:right="201"/>
              <w:spacing w:after="0"/>
              <w:rPr>
                <w:sz w:val="20"/>
                <w:szCs w:val="20"/>
                <w:color w:val="auto"/>
              </w:rPr>
            </w:pPr>
            <w:r>
              <w:rPr>
                <w:rFonts w:ascii="Arial" w:cs="Arial" w:eastAsia="Arial" w:hAnsi="Arial"/>
                <w:sz w:val="20"/>
                <w:szCs w:val="20"/>
                <w:color w:val="auto"/>
                <w:w w:val="88"/>
              </w:rPr>
              <w:t>Under the Plans or</w:t>
            </w:r>
          </w:p>
        </w:tc>
      </w:tr>
      <w:tr>
        <w:trPr>
          <w:trHeight w:val="230"/>
        </w:trPr>
        <w:tc>
          <w:tcPr>
            <w:tcW w:w="3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Arial" w:cs="Arial" w:eastAsia="Arial" w:hAnsi="Arial"/>
                <w:sz w:val="20"/>
                <w:szCs w:val="20"/>
                <w:color w:val="auto"/>
                <w:w w:val="86"/>
              </w:rPr>
              <w:t>of Shares</w:t>
            </w:r>
          </w:p>
        </w:tc>
        <w:tc>
          <w:tcPr>
            <w:tcW w:w="300" w:type="dxa"/>
            <w:vAlign w:val="bottom"/>
          </w:tcPr>
          <w:p>
            <w:pPr>
              <w:spacing w:after="0"/>
              <w:rPr>
                <w:sz w:val="19"/>
                <w:szCs w:val="19"/>
                <w:color w:val="auto"/>
              </w:rPr>
            </w:pPr>
          </w:p>
        </w:tc>
        <w:tc>
          <w:tcPr>
            <w:tcW w:w="1640" w:type="dxa"/>
            <w:vAlign w:val="bottom"/>
            <w:gridSpan w:val="3"/>
          </w:tcPr>
          <w:p>
            <w:pPr>
              <w:jc w:val="center"/>
              <w:ind w:right="300"/>
              <w:spacing w:after="0"/>
              <w:rPr>
                <w:sz w:val="20"/>
                <w:szCs w:val="20"/>
                <w:color w:val="auto"/>
              </w:rPr>
            </w:pPr>
            <w:r>
              <w:rPr>
                <w:rFonts w:ascii="Arial" w:cs="Arial" w:eastAsia="Arial" w:hAnsi="Arial"/>
                <w:sz w:val="20"/>
                <w:szCs w:val="20"/>
                <w:color w:val="auto"/>
                <w:w w:val="87"/>
              </w:rPr>
              <w:t>Average Price</w:t>
            </w:r>
          </w:p>
        </w:tc>
        <w:tc>
          <w:tcPr>
            <w:tcW w:w="1980" w:type="dxa"/>
            <w:vAlign w:val="bottom"/>
            <w:gridSpan w:val="2"/>
          </w:tcPr>
          <w:p>
            <w:pPr>
              <w:jc w:val="center"/>
              <w:ind w:right="280"/>
              <w:spacing w:after="0"/>
              <w:rPr>
                <w:sz w:val="20"/>
                <w:szCs w:val="20"/>
                <w:color w:val="auto"/>
              </w:rPr>
            </w:pPr>
            <w:r>
              <w:rPr>
                <w:rFonts w:ascii="Arial" w:cs="Arial" w:eastAsia="Arial" w:hAnsi="Arial"/>
                <w:sz w:val="20"/>
                <w:szCs w:val="20"/>
                <w:color w:val="auto"/>
                <w:w w:val="88"/>
              </w:rPr>
              <w:t>Announced Plans</w:t>
            </w:r>
          </w:p>
        </w:tc>
        <w:tc>
          <w:tcPr>
            <w:tcW w:w="200" w:type="dxa"/>
            <w:vAlign w:val="bottom"/>
          </w:tcPr>
          <w:p>
            <w:pPr>
              <w:spacing w:after="0"/>
              <w:rPr>
                <w:sz w:val="19"/>
                <w:szCs w:val="19"/>
                <w:color w:val="auto"/>
              </w:rPr>
            </w:pPr>
          </w:p>
        </w:tc>
        <w:tc>
          <w:tcPr>
            <w:tcW w:w="2180" w:type="dxa"/>
            <w:vAlign w:val="bottom"/>
          </w:tcPr>
          <w:p>
            <w:pPr>
              <w:jc w:val="center"/>
              <w:ind w:right="201"/>
              <w:spacing w:after="0"/>
              <w:rPr>
                <w:sz w:val="20"/>
                <w:szCs w:val="20"/>
                <w:color w:val="auto"/>
              </w:rPr>
            </w:pPr>
            <w:r>
              <w:rPr>
                <w:rFonts w:ascii="Arial" w:cs="Arial" w:eastAsia="Arial" w:hAnsi="Arial"/>
                <w:sz w:val="20"/>
                <w:szCs w:val="20"/>
                <w:color w:val="auto"/>
                <w:w w:val="89"/>
              </w:rPr>
              <w:t>Programs (In</w:t>
            </w:r>
          </w:p>
        </w:tc>
      </w:tr>
      <w:tr>
        <w:trPr>
          <w:trHeight w:val="246"/>
        </w:trPr>
        <w:tc>
          <w:tcPr>
            <w:tcW w:w="3740" w:type="dxa"/>
            <w:vAlign w:val="bottom"/>
            <w:gridSpan w:val="2"/>
          </w:tcPr>
          <w:p>
            <w:pPr>
              <w:spacing w:after="0"/>
              <w:rPr>
                <w:sz w:val="20"/>
                <w:szCs w:val="20"/>
                <w:color w:val="auto"/>
              </w:rPr>
            </w:pPr>
            <w:r>
              <w:rPr>
                <w:rFonts w:ascii="Arial" w:cs="Arial" w:eastAsia="Arial" w:hAnsi="Arial"/>
                <w:sz w:val="20"/>
                <w:szCs w:val="20"/>
                <w:color w:val="auto"/>
              </w:rPr>
              <w:t>Period</w:t>
            </w:r>
          </w:p>
        </w:tc>
        <w:tc>
          <w:tcPr>
            <w:tcW w:w="1380" w:type="dxa"/>
            <w:vAlign w:val="bottom"/>
          </w:tcPr>
          <w:p>
            <w:pPr>
              <w:jc w:val="center"/>
              <w:spacing w:after="0"/>
              <w:rPr>
                <w:sz w:val="20"/>
                <w:szCs w:val="20"/>
                <w:color w:val="auto"/>
              </w:rPr>
            </w:pPr>
            <w:r>
              <w:rPr>
                <w:rFonts w:ascii="Arial" w:cs="Arial" w:eastAsia="Arial" w:hAnsi="Arial"/>
                <w:sz w:val="20"/>
                <w:szCs w:val="20"/>
                <w:color w:val="auto"/>
                <w:w w:val="85"/>
              </w:rPr>
              <w:t>Purchased</w:t>
            </w: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20" w:type="dxa"/>
            <w:vAlign w:val="bottom"/>
            <w:gridSpan w:val="2"/>
          </w:tcPr>
          <w:p>
            <w:pPr>
              <w:jc w:val="center"/>
              <w:ind w:right="520"/>
              <w:spacing w:after="0"/>
              <w:rPr>
                <w:sz w:val="20"/>
                <w:szCs w:val="20"/>
                <w:color w:val="auto"/>
              </w:rPr>
            </w:pPr>
            <w:r>
              <w:rPr>
                <w:rFonts w:ascii="Arial" w:cs="Arial" w:eastAsia="Arial" w:hAnsi="Arial"/>
                <w:sz w:val="20"/>
                <w:szCs w:val="20"/>
                <w:color w:val="auto"/>
                <w:w w:val="86"/>
              </w:rPr>
              <w:t>per Share¹</w:t>
            </w:r>
          </w:p>
        </w:tc>
        <w:tc>
          <w:tcPr>
            <w:tcW w:w="1980" w:type="dxa"/>
            <w:vAlign w:val="bottom"/>
            <w:gridSpan w:val="2"/>
          </w:tcPr>
          <w:p>
            <w:pPr>
              <w:jc w:val="center"/>
              <w:ind w:right="280"/>
              <w:spacing w:after="0"/>
              <w:rPr>
                <w:sz w:val="20"/>
                <w:szCs w:val="20"/>
                <w:color w:val="auto"/>
              </w:rPr>
            </w:pPr>
            <w:r>
              <w:rPr>
                <w:rFonts w:ascii="Arial" w:cs="Arial" w:eastAsia="Arial" w:hAnsi="Arial"/>
                <w:sz w:val="20"/>
                <w:szCs w:val="20"/>
                <w:color w:val="auto"/>
                <w:w w:val="89"/>
              </w:rPr>
              <w:t>or Programs</w:t>
            </w:r>
          </w:p>
        </w:tc>
        <w:tc>
          <w:tcPr>
            <w:tcW w:w="200" w:type="dxa"/>
            <w:vAlign w:val="bottom"/>
          </w:tcPr>
          <w:p>
            <w:pPr>
              <w:spacing w:after="0"/>
              <w:rPr>
                <w:sz w:val="21"/>
                <w:szCs w:val="21"/>
                <w:color w:val="auto"/>
              </w:rPr>
            </w:pPr>
          </w:p>
        </w:tc>
        <w:tc>
          <w:tcPr>
            <w:tcW w:w="2180" w:type="dxa"/>
            <w:vAlign w:val="bottom"/>
          </w:tcPr>
          <w:p>
            <w:pPr>
              <w:jc w:val="center"/>
              <w:ind w:right="201"/>
              <w:spacing w:after="0"/>
              <w:rPr>
                <w:sz w:val="20"/>
                <w:szCs w:val="20"/>
                <w:color w:val="auto"/>
              </w:rPr>
            </w:pPr>
            <w:r>
              <w:rPr>
                <w:rFonts w:ascii="Arial" w:cs="Arial" w:eastAsia="Arial" w:hAnsi="Arial"/>
                <w:sz w:val="20"/>
                <w:szCs w:val="20"/>
                <w:color w:val="auto"/>
                <w:w w:val="87"/>
              </w:rPr>
              <w:t>thousands)²</w:t>
            </w:r>
          </w:p>
        </w:tc>
      </w:tr>
      <w:tr>
        <w:trPr>
          <w:trHeight w:val="223"/>
        </w:trPr>
        <w:tc>
          <w:tcPr>
            <w:tcW w:w="3440" w:type="dxa"/>
            <w:vAlign w:val="bottom"/>
            <w:tcBorders>
              <w:top w:val="single" w:sz="8" w:color="auto"/>
            </w:tcBorders>
            <w:shd w:val="clear" w:color="auto" w:fill="CCEEFF"/>
          </w:tcPr>
          <w:p>
            <w:pPr>
              <w:spacing w:after="0" w:line="223" w:lineRule="exact"/>
              <w:rPr>
                <w:sz w:val="20"/>
                <w:szCs w:val="20"/>
                <w:color w:val="auto"/>
              </w:rPr>
            </w:pPr>
            <w:r>
              <w:rPr>
                <w:rFonts w:ascii="Arial" w:cs="Arial" w:eastAsia="Arial" w:hAnsi="Arial"/>
                <w:sz w:val="20"/>
                <w:szCs w:val="20"/>
                <w:color w:val="auto"/>
              </w:rPr>
              <w:t>Jul 1 - Jul 31</w:t>
            </w:r>
          </w:p>
        </w:tc>
        <w:tc>
          <w:tcPr>
            <w:tcW w:w="30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ind w:right="1"/>
              <w:spacing w:after="0" w:line="223" w:lineRule="exact"/>
              <w:rPr>
                <w:sz w:val="20"/>
                <w:szCs w:val="20"/>
                <w:color w:val="auto"/>
              </w:rPr>
            </w:pPr>
            <w:r>
              <w:rPr>
                <w:rFonts w:ascii="Arial" w:cs="Arial" w:eastAsia="Arial" w:hAnsi="Arial"/>
                <w:sz w:val="20"/>
                <w:szCs w:val="20"/>
                <w:color w:val="auto"/>
              </w:rPr>
              <w:t>-</w:t>
            </w:r>
          </w:p>
        </w:tc>
        <w:tc>
          <w:tcPr>
            <w:tcW w:w="3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rPr>
              <w:t>$</w:t>
            </w:r>
          </w:p>
        </w:tc>
        <w:tc>
          <w:tcPr>
            <w:tcW w:w="1140" w:type="dxa"/>
            <w:vAlign w:val="bottom"/>
            <w:tcBorders>
              <w:top w:val="single" w:sz="8" w:color="auto"/>
            </w:tcBorders>
            <w:shd w:val="clear" w:color="auto" w:fill="CCEEFF"/>
          </w:tcPr>
          <w:p>
            <w:pPr>
              <w:jc w:val="right"/>
              <w:ind w:right="141"/>
              <w:spacing w:after="0" w:line="223" w:lineRule="exact"/>
              <w:rPr>
                <w:sz w:val="20"/>
                <w:szCs w:val="20"/>
                <w:color w:val="auto"/>
              </w:rPr>
            </w:pPr>
            <w:r>
              <w:rPr>
                <w:rFonts w:ascii="Arial" w:cs="Arial" w:eastAsia="Arial" w:hAnsi="Arial"/>
                <w:sz w:val="20"/>
                <w:szCs w:val="20"/>
                <w:color w:val="auto"/>
              </w:rPr>
              <w:t>-</w:t>
            </w:r>
          </w:p>
        </w:tc>
        <w:tc>
          <w:tcPr>
            <w:tcW w:w="28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right"/>
              <w:ind w:right="1"/>
              <w:spacing w:after="0" w:line="223" w:lineRule="exact"/>
              <w:rPr>
                <w:sz w:val="20"/>
                <w:szCs w:val="20"/>
                <w:color w:val="auto"/>
              </w:rPr>
            </w:pPr>
            <w:r>
              <w:rPr>
                <w:rFonts w:ascii="Arial" w:cs="Arial" w:eastAsia="Arial" w:hAnsi="Arial"/>
                <w:sz w:val="20"/>
                <w:szCs w:val="20"/>
                <w:color w:val="auto"/>
              </w:rPr>
              <w:t>-</w:t>
            </w:r>
          </w:p>
        </w:tc>
        <w:tc>
          <w:tcPr>
            <w:tcW w:w="2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rPr>
              <w:t>$</w:t>
            </w:r>
          </w:p>
        </w:tc>
        <w:tc>
          <w:tcPr>
            <w:tcW w:w="2180" w:type="dxa"/>
            <w:vAlign w:val="bottom"/>
            <w:tcBorders>
              <w:top w:val="single" w:sz="8" w:color="auto"/>
            </w:tcBorders>
            <w:shd w:val="clear" w:color="auto" w:fill="CCEEFF"/>
          </w:tcPr>
          <w:p>
            <w:pPr>
              <w:jc w:val="right"/>
              <w:ind w:right="41"/>
              <w:spacing w:after="0" w:line="223" w:lineRule="exact"/>
              <w:rPr>
                <w:sz w:val="20"/>
                <w:szCs w:val="20"/>
                <w:color w:val="auto"/>
              </w:rPr>
            </w:pPr>
            <w:r>
              <w:rPr>
                <w:rFonts w:ascii="Arial" w:cs="Arial" w:eastAsia="Arial" w:hAnsi="Arial"/>
                <w:sz w:val="20"/>
                <w:szCs w:val="20"/>
                <w:color w:val="auto"/>
              </w:rPr>
              <w:t>250,000</w:t>
            </w:r>
          </w:p>
        </w:tc>
      </w:tr>
      <w:tr>
        <w:trPr>
          <w:trHeight w:val="230"/>
        </w:trPr>
        <w:tc>
          <w:tcPr>
            <w:tcW w:w="3740" w:type="dxa"/>
            <w:vAlign w:val="bottom"/>
            <w:gridSpan w:val="2"/>
          </w:tcPr>
          <w:p>
            <w:pPr>
              <w:spacing w:after="0"/>
              <w:rPr>
                <w:sz w:val="20"/>
                <w:szCs w:val="20"/>
                <w:color w:val="auto"/>
              </w:rPr>
            </w:pPr>
            <w:r>
              <w:rPr>
                <w:rFonts w:ascii="Arial" w:cs="Arial" w:eastAsia="Arial" w:hAnsi="Arial"/>
                <w:sz w:val="20"/>
                <w:szCs w:val="20"/>
                <w:color w:val="auto"/>
              </w:rPr>
              <w:t>Aug 13 authorized increase</w:t>
            </w:r>
          </w:p>
        </w:tc>
        <w:tc>
          <w:tcPr>
            <w:tcW w:w="1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2180" w:type="dxa"/>
            <w:vAlign w:val="bottom"/>
          </w:tcPr>
          <w:p>
            <w:pPr>
              <w:jc w:val="right"/>
              <w:ind w:right="41"/>
              <w:spacing w:after="0"/>
              <w:rPr>
                <w:sz w:val="20"/>
                <w:szCs w:val="20"/>
                <w:color w:val="auto"/>
              </w:rPr>
            </w:pPr>
            <w:r>
              <w:rPr>
                <w:rFonts w:ascii="Arial" w:cs="Arial" w:eastAsia="Arial" w:hAnsi="Arial"/>
                <w:sz w:val="20"/>
                <w:szCs w:val="20"/>
                <w:color w:val="auto"/>
              </w:rPr>
              <w:t>250,000</w:t>
            </w:r>
          </w:p>
        </w:tc>
      </w:tr>
      <w:tr>
        <w:trPr>
          <w:trHeight w:val="230"/>
        </w:trPr>
        <w:tc>
          <w:tcPr>
            <w:tcW w:w="34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2180" w:type="dxa"/>
            <w:vAlign w:val="bottom"/>
            <w:shd w:val="clear" w:color="auto" w:fill="CCEEFF"/>
          </w:tcPr>
          <w:p>
            <w:pPr>
              <w:jc w:val="right"/>
              <w:ind w:right="41"/>
              <w:spacing w:after="0"/>
              <w:rPr>
                <w:sz w:val="20"/>
                <w:szCs w:val="20"/>
                <w:color w:val="auto"/>
              </w:rPr>
            </w:pPr>
            <w:r>
              <w:rPr>
                <w:rFonts w:ascii="Arial" w:cs="Arial" w:eastAsia="Arial" w:hAnsi="Arial"/>
                <w:sz w:val="20"/>
                <w:szCs w:val="20"/>
                <w:color w:val="auto"/>
              </w:rPr>
              <w:t>500,000</w:t>
            </w:r>
          </w:p>
        </w:tc>
      </w:tr>
      <w:tr>
        <w:trPr>
          <w:trHeight w:val="230"/>
        </w:trPr>
        <w:tc>
          <w:tcPr>
            <w:tcW w:w="3740" w:type="dxa"/>
            <w:vAlign w:val="bottom"/>
            <w:gridSpan w:val="2"/>
          </w:tcPr>
          <w:p>
            <w:pPr>
              <w:spacing w:after="0"/>
              <w:rPr>
                <w:sz w:val="20"/>
                <w:szCs w:val="20"/>
                <w:color w:val="auto"/>
              </w:rPr>
            </w:pPr>
            <w:r>
              <w:rPr>
                <w:rFonts w:ascii="Arial" w:cs="Arial" w:eastAsia="Arial" w:hAnsi="Arial"/>
                <w:sz w:val="20"/>
                <w:szCs w:val="20"/>
                <w:color w:val="auto"/>
              </w:rPr>
              <w:t>Aug 1 - Aug 31</w:t>
            </w:r>
          </w:p>
        </w:tc>
        <w:tc>
          <w:tcPr>
            <w:tcW w:w="1380" w:type="dxa"/>
            <w:vAlign w:val="bottom"/>
          </w:tcPr>
          <w:p>
            <w:pPr>
              <w:jc w:val="right"/>
              <w:ind w:right="1"/>
              <w:spacing w:after="0"/>
              <w:rPr>
                <w:sz w:val="20"/>
                <w:szCs w:val="20"/>
                <w:color w:val="auto"/>
              </w:rPr>
            </w:pPr>
            <w:r>
              <w:rPr>
                <w:rFonts w:ascii="Arial" w:cs="Arial" w:eastAsia="Arial" w:hAnsi="Arial"/>
                <w:sz w:val="20"/>
                <w:szCs w:val="20"/>
                <w:color w:val="auto"/>
              </w:rPr>
              <w:t>4,397,679</w:t>
            </w:r>
          </w:p>
        </w:tc>
        <w:tc>
          <w:tcPr>
            <w:tcW w:w="52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140" w:type="dxa"/>
            <w:vAlign w:val="bottom"/>
          </w:tcPr>
          <w:p>
            <w:pPr>
              <w:jc w:val="right"/>
              <w:ind w:right="1"/>
              <w:spacing w:after="0"/>
              <w:rPr>
                <w:sz w:val="20"/>
                <w:szCs w:val="20"/>
                <w:color w:val="auto"/>
              </w:rPr>
            </w:pPr>
            <w:r>
              <w:rPr>
                <w:rFonts w:ascii="Arial" w:cs="Arial" w:eastAsia="Arial" w:hAnsi="Arial"/>
                <w:sz w:val="20"/>
                <w:szCs w:val="20"/>
                <w:color w:val="auto"/>
              </w:rPr>
              <w:t>59.52</w:t>
            </w:r>
          </w:p>
        </w:tc>
        <w:tc>
          <w:tcPr>
            <w:tcW w:w="280" w:type="dxa"/>
            <w:vAlign w:val="bottom"/>
          </w:tcPr>
          <w:p>
            <w:pPr>
              <w:spacing w:after="0"/>
              <w:rPr>
                <w:sz w:val="19"/>
                <w:szCs w:val="19"/>
                <w:color w:val="auto"/>
              </w:rPr>
            </w:pPr>
          </w:p>
        </w:tc>
        <w:tc>
          <w:tcPr>
            <w:tcW w:w="1700" w:type="dxa"/>
            <w:vAlign w:val="bottom"/>
          </w:tcPr>
          <w:p>
            <w:pPr>
              <w:jc w:val="right"/>
              <w:ind w:right="1"/>
              <w:spacing w:after="0"/>
              <w:rPr>
                <w:sz w:val="20"/>
                <w:szCs w:val="20"/>
                <w:color w:val="auto"/>
              </w:rPr>
            </w:pPr>
            <w:r>
              <w:rPr>
                <w:rFonts w:ascii="Arial" w:cs="Arial" w:eastAsia="Arial" w:hAnsi="Arial"/>
                <w:sz w:val="20"/>
                <w:szCs w:val="20"/>
                <w:color w:val="auto"/>
              </w:rPr>
              <w:t>4,397,679</w:t>
            </w:r>
          </w:p>
        </w:tc>
        <w:tc>
          <w:tcPr>
            <w:tcW w:w="2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2180" w:type="dxa"/>
            <w:vAlign w:val="bottom"/>
          </w:tcPr>
          <w:p>
            <w:pPr>
              <w:jc w:val="right"/>
              <w:ind w:right="41"/>
              <w:spacing w:after="0"/>
              <w:rPr>
                <w:sz w:val="20"/>
                <w:szCs w:val="20"/>
                <w:color w:val="auto"/>
              </w:rPr>
            </w:pPr>
            <w:r>
              <w:rPr>
                <w:rFonts w:ascii="Arial" w:cs="Arial" w:eastAsia="Arial" w:hAnsi="Arial"/>
                <w:sz w:val="20"/>
                <w:szCs w:val="20"/>
                <w:color w:val="auto"/>
              </w:rPr>
              <w:t>238,151</w:t>
            </w:r>
          </w:p>
        </w:tc>
      </w:tr>
      <w:tr>
        <w:trPr>
          <w:trHeight w:val="230"/>
        </w:trPr>
        <w:tc>
          <w:tcPr>
            <w:tcW w:w="374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Sept 1 - Sept 30</w:t>
            </w:r>
          </w:p>
        </w:tc>
        <w:tc>
          <w:tcPr>
            <w:tcW w:w="13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2,456,864</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14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55.25</w:t>
            </w:r>
          </w:p>
        </w:tc>
        <w:tc>
          <w:tcPr>
            <w:tcW w:w="28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6,854,543</w:t>
            </w:r>
          </w:p>
        </w:tc>
        <w:tc>
          <w:tcPr>
            <w:tcW w:w="2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2180" w:type="dxa"/>
            <w:vAlign w:val="bottom"/>
            <w:shd w:val="clear" w:color="auto" w:fill="CCEEFF"/>
          </w:tcPr>
          <w:p>
            <w:pPr>
              <w:jc w:val="right"/>
              <w:ind w:right="41"/>
              <w:spacing w:after="0"/>
              <w:rPr>
                <w:sz w:val="20"/>
                <w:szCs w:val="20"/>
                <w:color w:val="auto"/>
              </w:rPr>
            </w:pPr>
            <w:r>
              <w:rPr>
                <w:rFonts w:ascii="Arial" w:cs="Arial" w:eastAsia="Arial" w:hAnsi="Arial"/>
                <w:sz w:val="20"/>
                <w:szCs w:val="20"/>
                <w:color w:val="auto"/>
              </w:rPr>
              <w:t>102,368</w:t>
            </w:r>
          </w:p>
        </w:tc>
      </w:tr>
      <w:tr>
        <w:trPr>
          <w:trHeight w:val="223"/>
        </w:trPr>
        <w:tc>
          <w:tcPr>
            <w:tcW w:w="3740" w:type="dxa"/>
            <w:vAlign w:val="bottom"/>
            <w:gridSpan w:val="2"/>
          </w:tcPr>
          <w:p>
            <w:pPr>
              <w:ind w:left="900"/>
              <w:spacing w:after="0" w:line="223" w:lineRule="exact"/>
              <w:rPr>
                <w:sz w:val="20"/>
                <w:szCs w:val="20"/>
                <w:color w:val="auto"/>
              </w:rPr>
            </w:pPr>
            <w:r>
              <w:rPr>
                <w:rFonts w:ascii="Arial" w:cs="Arial" w:eastAsia="Arial" w:hAnsi="Arial"/>
                <w:sz w:val="20"/>
                <w:szCs w:val="20"/>
                <w:color w:val="auto"/>
              </w:rPr>
              <w:t>Total</w:t>
            </w:r>
          </w:p>
        </w:tc>
        <w:tc>
          <w:tcPr>
            <w:tcW w:w="1380" w:type="dxa"/>
            <w:vAlign w:val="bottom"/>
            <w:tcBorders>
              <w:bottom w:val="single" w:sz="8" w:color="auto"/>
            </w:tcBorders>
          </w:tcPr>
          <w:p>
            <w:pPr>
              <w:jc w:val="right"/>
              <w:ind w:right="1"/>
              <w:spacing w:after="0" w:line="223" w:lineRule="exact"/>
              <w:rPr>
                <w:sz w:val="20"/>
                <w:szCs w:val="20"/>
                <w:color w:val="auto"/>
              </w:rPr>
            </w:pPr>
            <w:r>
              <w:rPr>
                <w:rFonts w:ascii="Arial" w:cs="Arial" w:eastAsia="Arial" w:hAnsi="Arial"/>
                <w:sz w:val="20"/>
                <w:szCs w:val="20"/>
                <w:color w:val="auto"/>
              </w:rPr>
              <w:t>6,854,543</w:t>
            </w:r>
          </w:p>
        </w:tc>
        <w:tc>
          <w:tcPr>
            <w:tcW w:w="520" w:type="dxa"/>
            <w:vAlign w:val="bottom"/>
            <w:gridSpan w:val="2"/>
          </w:tcPr>
          <w:p>
            <w:pPr>
              <w:jc w:val="right"/>
              <w:spacing w:after="0" w:line="223" w:lineRule="exact"/>
              <w:rPr>
                <w:sz w:val="20"/>
                <w:szCs w:val="20"/>
                <w:color w:val="auto"/>
              </w:rPr>
            </w:pPr>
            <w:r>
              <w:rPr>
                <w:rFonts w:ascii="Arial" w:cs="Arial" w:eastAsia="Arial" w:hAnsi="Arial"/>
                <w:sz w:val="20"/>
                <w:szCs w:val="20"/>
                <w:color w:val="auto"/>
              </w:rPr>
              <w:t>$</w:t>
            </w:r>
          </w:p>
        </w:tc>
        <w:tc>
          <w:tcPr>
            <w:tcW w:w="1140" w:type="dxa"/>
            <w:vAlign w:val="bottom"/>
          </w:tcPr>
          <w:p>
            <w:pPr>
              <w:jc w:val="right"/>
              <w:ind w:right="1"/>
              <w:spacing w:after="0" w:line="223" w:lineRule="exact"/>
              <w:rPr>
                <w:sz w:val="20"/>
                <w:szCs w:val="20"/>
                <w:color w:val="auto"/>
              </w:rPr>
            </w:pPr>
            <w:r>
              <w:rPr>
                <w:rFonts w:ascii="Arial" w:cs="Arial" w:eastAsia="Arial" w:hAnsi="Arial"/>
                <w:sz w:val="20"/>
                <w:szCs w:val="20"/>
                <w:color w:val="auto"/>
              </w:rPr>
              <w:t>57.99</w:t>
            </w:r>
          </w:p>
        </w:tc>
        <w:tc>
          <w:tcPr>
            <w:tcW w:w="2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80" w:type="dxa"/>
            <w:vAlign w:val="bottom"/>
          </w:tcPr>
          <w:p>
            <w:pPr>
              <w:spacing w:after="0"/>
              <w:rPr>
                <w:sz w:val="19"/>
                <w:szCs w:val="19"/>
                <w:color w:val="auto"/>
              </w:rPr>
            </w:pPr>
          </w:p>
        </w:tc>
      </w:tr>
      <w:tr>
        <w:trPr>
          <w:trHeight w:val="20"/>
        </w:trPr>
        <w:tc>
          <w:tcPr>
            <w:tcW w:w="3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¹Excluding broker commissions paid.</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²Net of broker commissions paid.</w:t>
      </w:r>
    </w:p>
    <w:p>
      <w:pPr>
        <w:spacing w:after="0" w:line="198"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21"/>
          <w:szCs w:val="21"/>
          <w:b w:val="1"/>
          <w:bCs w:val="1"/>
          <w:color w:val="auto"/>
        </w:rPr>
        <w:t>DEFAULTS UPON SENIOR SECURITIES</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None.</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21"/>
          <w:szCs w:val="21"/>
          <w:b w:val="1"/>
          <w:bCs w:val="1"/>
          <w:color w:val="auto"/>
        </w:rPr>
        <w:t>MINE SAFETY DISCLOSURES</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Not applicable.</w:t>
      </w:r>
    </w:p>
    <w:p>
      <w:pPr>
        <w:spacing w:after="0" w:line="227"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b w:val="1"/>
          <w:bCs w:val="1"/>
          <w:color w:val="auto"/>
        </w:rPr>
        <w:t>ITEM 5.</w:t>
      </w:r>
      <w:r>
        <w:rPr>
          <w:sz w:val="20"/>
          <w:szCs w:val="20"/>
          <w:color w:val="auto"/>
        </w:rPr>
        <w:tab/>
      </w:r>
      <w:r>
        <w:rPr>
          <w:rFonts w:ascii="Arial" w:cs="Arial" w:eastAsia="Arial" w:hAnsi="Arial"/>
          <w:sz w:val="22"/>
          <w:szCs w:val="22"/>
          <w:b w:val="1"/>
          <w:bCs w:val="1"/>
          <w:color w:val="auto"/>
        </w:rPr>
        <w:t>OTHER INFORMATION</w:t>
      </w:r>
    </w:p>
    <w:p>
      <w:pPr>
        <w:sectPr>
          <w:pgSz w:w="11900" w:h="16838" w:orient="portrait"/>
          <w:cols w:equalWidth="0" w:num="1">
            <w:col w:w="11420"/>
          </w:cols>
          <w:pgMar w:left="240" w:top="112" w:right="239" w:bottom="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75"/>
        </w:trPr>
        <w:tc>
          <w:tcPr>
            <w:tcW w:w="1240" w:type="dxa"/>
            <w:vAlign w:val="bottom"/>
          </w:tcPr>
          <w:p>
            <w:pPr>
              <w:ind w:left="660"/>
              <w:spacing w:after="0"/>
              <w:rPr>
                <w:sz w:val="20"/>
                <w:szCs w:val="20"/>
                <w:color w:val="auto"/>
              </w:rPr>
            </w:pPr>
            <w:r>
              <w:rPr>
                <w:rFonts w:ascii="Arial" w:cs="Arial" w:eastAsia="Arial" w:hAnsi="Arial"/>
                <w:sz w:val="22"/>
                <w:szCs w:val="22"/>
                <w:color w:val="auto"/>
                <w:w w:val="95"/>
              </w:rPr>
              <w:t>None.</w:t>
            </w:r>
          </w:p>
        </w:tc>
        <w:tc>
          <w:tcPr>
            <w:tcW w:w="10180" w:type="dxa"/>
            <w:vAlign w:val="bottom"/>
          </w:tcPr>
          <w:p>
            <w:pPr>
              <w:spacing w:after="0"/>
              <w:rPr>
                <w:sz w:val="23"/>
                <w:szCs w:val="23"/>
                <w:color w:val="auto"/>
              </w:rPr>
            </w:pPr>
          </w:p>
        </w:tc>
      </w:tr>
      <w:tr>
        <w:trPr>
          <w:trHeight w:val="486"/>
        </w:trPr>
        <w:tc>
          <w:tcPr>
            <w:tcW w:w="1240" w:type="dxa"/>
            <w:vAlign w:val="bottom"/>
          </w:tcPr>
          <w:p>
            <w:pPr>
              <w:spacing w:after="0"/>
              <w:rPr>
                <w:sz w:val="20"/>
                <w:szCs w:val="20"/>
                <w:color w:val="auto"/>
              </w:rPr>
            </w:pPr>
            <w:r>
              <w:rPr>
                <w:rFonts w:ascii="Arial" w:cs="Arial" w:eastAsia="Arial" w:hAnsi="Arial"/>
                <w:sz w:val="22"/>
                <w:szCs w:val="22"/>
                <w:b w:val="1"/>
                <w:bCs w:val="1"/>
                <w:color w:val="auto"/>
              </w:rPr>
              <w:t>ITEM 6.</w:t>
            </w:r>
          </w:p>
        </w:tc>
        <w:tc>
          <w:tcPr>
            <w:tcW w:w="10180" w:type="dxa"/>
            <w:vAlign w:val="bottom"/>
          </w:tcPr>
          <w:p>
            <w:pPr>
              <w:ind w:left="60"/>
              <w:spacing w:after="0"/>
              <w:rPr>
                <w:sz w:val="20"/>
                <w:szCs w:val="20"/>
                <w:color w:val="auto"/>
              </w:rPr>
            </w:pPr>
            <w:r>
              <w:rPr>
                <w:rFonts w:ascii="Arial" w:cs="Arial" w:eastAsia="Arial" w:hAnsi="Arial"/>
                <w:sz w:val="22"/>
                <w:szCs w:val="22"/>
                <w:b w:val="1"/>
                <w:bCs w:val="1"/>
                <w:color w:val="auto"/>
              </w:rPr>
              <w:t>EXHIBITS</w:t>
            </w:r>
          </w:p>
        </w:tc>
      </w:tr>
      <w:tr>
        <w:trPr>
          <w:trHeight w:val="455"/>
        </w:trPr>
        <w:tc>
          <w:tcPr>
            <w:tcW w:w="1240" w:type="dxa"/>
            <w:vAlign w:val="bottom"/>
          </w:tcPr>
          <w:p>
            <w:pPr>
              <w:spacing w:after="0"/>
              <w:rPr>
                <w:sz w:val="20"/>
                <w:szCs w:val="20"/>
                <w:color w:val="auto"/>
              </w:rPr>
            </w:pPr>
            <w:r>
              <w:rPr>
                <w:rFonts w:ascii="Arial" w:cs="Arial" w:eastAsia="Arial" w:hAnsi="Arial"/>
                <w:sz w:val="22"/>
                <w:szCs w:val="22"/>
                <w:color w:val="auto"/>
              </w:rPr>
              <w:t>31.1*</w:t>
            </w:r>
          </w:p>
        </w:tc>
        <w:tc>
          <w:tcPr>
            <w:tcW w:w="10180" w:type="dxa"/>
            <w:vAlign w:val="bottom"/>
          </w:tcPr>
          <w:p>
            <w:pPr>
              <w:ind w:left="300"/>
              <w:spacing w:after="0"/>
              <w:rPr>
                <w:sz w:val="20"/>
                <w:szCs w:val="20"/>
                <w:color w:val="auto"/>
              </w:rPr>
            </w:pPr>
            <w:r>
              <w:rPr>
                <w:rFonts w:ascii="Arial" w:cs="Arial" w:eastAsia="Arial" w:hAnsi="Arial"/>
                <w:sz w:val="22"/>
                <w:szCs w:val="22"/>
                <w:color w:val="auto"/>
              </w:rPr>
              <w:t>Certification of Chief Executive Officer Pursuant to Section 302 of the Sarbanes-</w:t>
            </w:r>
          </w:p>
        </w:tc>
      </w:tr>
      <w:tr>
        <w:trPr>
          <w:trHeight w:val="275"/>
        </w:trPr>
        <w:tc>
          <w:tcPr>
            <w:tcW w:w="1240" w:type="dxa"/>
            <w:vAlign w:val="bottom"/>
          </w:tcPr>
          <w:p>
            <w:pPr>
              <w:spacing w:after="0"/>
              <w:rPr>
                <w:sz w:val="23"/>
                <w:szCs w:val="23"/>
                <w:color w:val="auto"/>
              </w:rPr>
            </w:pPr>
          </w:p>
        </w:tc>
        <w:tc>
          <w:tcPr>
            <w:tcW w:w="10180" w:type="dxa"/>
            <w:vAlign w:val="bottom"/>
          </w:tcPr>
          <w:p>
            <w:pPr>
              <w:ind w:left="300"/>
              <w:spacing w:after="0"/>
              <w:rPr>
                <w:sz w:val="20"/>
                <w:szCs w:val="20"/>
                <w:color w:val="auto"/>
              </w:rPr>
            </w:pPr>
            <w:r>
              <w:rPr>
                <w:rFonts w:ascii="Arial" w:cs="Arial" w:eastAsia="Arial" w:hAnsi="Arial"/>
                <w:sz w:val="22"/>
                <w:szCs w:val="22"/>
                <w:color w:val="auto"/>
              </w:rPr>
              <w:t>Oxley Act of 2002</w:t>
            </w:r>
          </w:p>
        </w:tc>
      </w:tr>
      <w:tr>
        <w:trPr>
          <w:trHeight w:val="455"/>
        </w:trPr>
        <w:tc>
          <w:tcPr>
            <w:tcW w:w="1240" w:type="dxa"/>
            <w:vAlign w:val="bottom"/>
          </w:tcPr>
          <w:p>
            <w:pPr>
              <w:spacing w:after="0"/>
              <w:rPr>
                <w:sz w:val="20"/>
                <w:szCs w:val="20"/>
                <w:color w:val="auto"/>
              </w:rPr>
            </w:pPr>
            <w:r>
              <w:rPr>
                <w:rFonts w:ascii="Arial" w:cs="Arial" w:eastAsia="Arial" w:hAnsi="Arial"/>
                <w:sz w:val="22"/>
                <w:szCs w:val="22"/>
                <w:color w:val="auto"/>
              </w:rPr>
              <w:t>31.2*</w:t>
            </w:r>
          </w:p>
        </w:tc>
        <w:tc>
          <w:tcPr>
            <w:tcW w:w="10180" w:type="dxa"/>
            <w:vAlign w:val="bottom"/>
          </w:tcPr>
          <w:p>
            <w:pPr>
              <w:ind w:left="300"/>
              <w:spacing w:after="0"/>
              <w:rPr>
                <w:sz w:val="20"/>
                <w:szCs w:val="20"/>
                <w:color w:val="auto"/>
              </w:rPr>
            </w:pPr>
            <w:r>
              <w:rPr>
                <w:rFonts w:ascii="Arial" w:cs="Arial" w:eastAsia="Arial" w:hAnsi="Arial"/>
                <w:sz w:val="22"/>
                <w:szCs w:val="22"/>
                <w:color w:val="auto"/>
              </w:rPr>
              <w:t>Certification of Chief Financial Officer Pursuant to Section 302 of the Sarbanes-</w:t>
            </w:r>
          </w:p>
        </w:tc>
      </w:tr>
      <w:tr>
        <w:trPr>
          <w:trHeight w:val="275"/>
        </w:trPr>
        <w:tc>
          <w:tcPr>
            <w:tcW w:w="1240" w:type="dxa"/>
            <w:vAlign w:val="bottom"/>
          </w:tcPr>
          <w:p>
            <w:pPr>
              <w:spacing w:after="0"/>
              <w:rPr>
                <w:sz w:val="23"/>
                <w:szCs w:val="23"/>
                <w:color w:val="auto"/>
              </w:rPr>
            </w:pPr>
          </w:p>
        </w:tc>
        <w:tc>
          <w:tcPr>
            <w:tcW w:w="10180" w:type="dxa"/>
            <w:vAlign w:val="bottom"/>
          </w:tcPr>
          <w:p>
            <w:pPr>
              <w:ind w:left="300"/>
              <w:spacing w:after="0"/>
              <w:rPr>
                <w:sz w:val="20"/>
                <w:szCs w:val="20"/>
                <w:color w:val="auto"/>
              </w:rPr>
            </w:pPr>
            <w:r>
              <w:rPr>
                <w:rFonts w:ascii="Arial" w:cs="Arial" w:eastAsia="Arial" w:hAnsi="Arial"/>
                <w:sz w:val="22"/>
                <w:szCs w:val="22"/>
                <w:color w:val="auto"/>
              </w:rPr>
              <w:t>Oxley Act of 2002</w:t>
            </w:r>
          </w:p>
        </w:tc>
      </w:tr>
      <w:tr>
        <w:trPr>
          <w:trHeight w:val="455"/>
        </w:trPr>
        <w:tc>
          <w:tcPr>
            <w:tcW w:w="1240" w:type="dxa"/>
            <w:vAlign w:val="bottom"/>
          </w:tcPr>
          <w:p>
            <w:pPr>
              <w:spacing w:after="0"/>
              <w:rPr>
                <w:sz w:val="20"/>
                <w:szCs w:val="20"/>
                <w:color w:val="auto"/>
              </w:rPr>
            </w:pPr>
            <w:r>
              <w:rPr>
                <w:rFonts w:ascii="Arial" w:cs="Arial" w:eastAsia="Arial" w:hAnsi="Arial"/>
                <w:sz w:val="22"/>
                <w:szCs w:val="22"/>
                <w:color w:val="auto"/>
              </w:rPr>
              <w:t>32.1*</w:t>
            </w:r>
          </w:p>
        </w:tc>
        <w:tc>
          <w:tcPr>
            <w:tcW w:w="10180" w:type="dxa"/>
            <w:vAlign w:val="bottom"/>
          </w:tcPr>
          <w:p>
            <w:pPr>
              <w:ind w:left="300"/>
              <w:spacing w:after="0"/>
              <w:rPr>
                <w:sz w:val="20"/>
                <w:szCs w:val="20"/>
                <w:color w:val="auto"/>
              </w:rPr>
            </w:pPr>
            <w:r>
              <w:rPr>
                <w:rFonts w:ascii="Arial" w:cs="Arial" w:eastAsia="Arial" w:hAnsi="Arial"/>
                <w:sz w:val="22"/>
                <w:szCs w:val="22"/>
                <w:color w:val="auto"/>
                <w:w w:val="90"/>
              </w:rPr>
              <w:t>Certification of Chief Executive Officer Pursuant to 18 U.S.C. Section 1350, as Adopted Pursuant to Section 906</w:t>
            </w:r>
          </w:p>
        </w:tc>
      </w:tr>
      <w:tr>
        <w:trPr>
          <w:trHeight w:val="275"/>
        </w:trPr>
        <w:tc>
          <w:tcPr>
            <w:tcW w:w="1240" w:type="dxa"/>
            <w:vAlign w:val="bottom"/>
          </w:tcPr>
          <w:p>
            <w:pPr>
              <w:spacing w:after="0"/>
              <w:rPr>
                <w:sz w:val="23"/>
                <w:szCs w:val="23"/>
                <w:color w:val="auto"/>
              </w:rPr>
            </w:pPr>
          </w:p>
        </w:tc>
        <w:tc>
          <w:tcPr>
            <w:tcW w:w="10180" w:type="dxa"/>
            <w:vAlign w:val="bottom"/>
          </w:tcPr>
          <w:p>
            <w:pPr>
              <w:ind w:left="300"/>
              <w:spacing w:after="0"/>
              <w:rPr>
                <w:sz w:val="20"/>
                <w:szCs w:val="20"/>
                <w:color w:val="auto"/>
              </w:rPr>
            </w:pPr>
            <w:r>
              <w:rPr>
                <w:rFonts w:ascii="Arial" w:cs="Arial" w:eastAsia="Arial" w:hAnsi="Arial"/>
                <w:sz w:val="22"/>
                <w:szCs w:val="22"/>
                <w:color w:val="auto"/>
              </w:rPr>
              <w:t>of the Sarbanes-Oxley Act of 2002</w:t>
            </w:r>
          </w:p>
        </w:tc>
      </w:tr>
      <w:tr>
        <w:trPr>
          <w:trHeight w:val="455"/>
        </w:trPr>
        <w:tc>
          <w:tcPr>
            <w:tcW w:w="1240" w:type="dxa"/>
            <w:vAlign w:val="bottom"/>
          </w:tcPr>
          <w:p>
            <w:pPr>
              <w:spacing w:after="0"/>
              <w:rPr>
                <w:sz w:val="20"/>
                <w:szCs w:val="20"/>
                <w:color w:val="auto"/>
              </w:rPr>
            </w:pPr>
            <w:r>
              <w:rPr>
                <w:rFonts w:ascii="Arial" w:cs="Arial" w:eastAsia="Arial" w:hAnsi="Arial"/>
                <w:sz w:val="22"/>
                <w:szCs w:val="22"/>
                <w:color w:val="auto"/>
              </w:rPr>
              <w:t>32.2*</w:t>
            </w:r>
          </w:p>
        </w:tc>
        <w:tc>
          <w:tcPr>
            <w:tcW w:w="10180" w:type="dxa"/>
            <w:vAlign w:val="bottom"/>
          </w:tcPr>
          <w:p>
            <w:pPr>
              <w:ind w:left="300"/>
              <w:spacing w:after="0"/>
              <w:rPr>
                <w:sz w:val="20"/>
                <w:szCs w:val="20"/>
                <w:color w:val="auto"/>
              </w:rPr>
            </w:pPr>
            <w:r>
              <w:rPr>
                <w:rFonts w:ascii="Arial" w:cs="Arial" w:eastAsia="Arial" w:hAnsi="Arial"/>
                <w:sz w:val="22"/>
                <w:szCs w:val="22"/>
                <w:color w:val="auto"/>
                <w:w w:val="90"/>
              </w:rPr>
              <w:t>Certification by Chief Financial Officer Pursuant to 18 U.S.C. Section 1350, as Adopted Pursuant to Section 906</w:t>
            </w:r>
          </w:p>
        </w:tc>
      </w:tr>
      <w:tr>
        <w:trPr>
          <w:trHeight w:val="275"/>
        </w:trPr>
        <w:tc>
          <w:tcPr>
            <w:tcW w:w="1240" w:type="dxa"/>
            <w:vAlign w:val="bottom"/>
          </w:tcPr>
          <w:p>
            <w:pPr>
              <w:spacing w:after="0"/>
              <w:rPr>
                <w:sz w:val="23"/>
                <w:szCs w:val="23"/>
                <w:color w:val="auto"/>
              </w:rPr>
            </w:pPr>
          </w:p>
        </w:tc>
        <w:tc>
          <w:tcPr>
            <w:tcW w:w="10180" w:type="dxa"/>
            <w:vAlign w:val="bottom"/>
          </w:tcPr>
          <w:p>
            <w:pPr>
              <w:ind w:left="300"/>
              <w:spacing w:after="0"/>
              <w:rPr>
                <w:sz w:val="20"/>
                <w:szCs w:val="20"/>
                <w:color w:val="auto"/>
              </w:rPr>
            </w:pPr>
            <w:r>
              <w:rPr>
                <w:rFonts w:ascii="Arial" w:cs="Arial" w:eastAsia="Arial" w:hAnsi="Arial"/>
                <w:sz w:val="22"/>
                <w:szCs w:val="22"/>
                <w:color w:val="auto"/>
              </w:rPr>
              <w:t>of the Sarbanes-Oxley Act of 2002</w:t>
            </w:r>
          </w:p>
        </w:tc>
      </w:tr>
      <w:tr>
        <w:trPr>
          <w:trHeight w:val="455"/>
        </w:trPr>
        <w:tc>
          <w:tcPr>
            <w:tcW w:w="1240" w:type="dxa"/>
            <w:vAlign w:val="bottom"/>
          </w:tcPr>
          <w:p>
            <w:pPr>
              <w:spacing w:after="0"/>
              <w:rPr>
                <w:sz w:val="20"/>
                <w:szCs w:val="20"/>
                <w:color w:val="auto"/>
              </w:rPr>
            </w:pPr>
            <w:r>
              <w:rPr>
                <w:rFonts w:ascii="Arial" w:cs="Arial" w:eastAsia="Arial" w:hAnsi="Arial"/>
                <w:sz w:val="22"/>
                <w:szCs w:val="22"/>
                <w:color w:val="auto"/>
              </w:rPr>
              <w:t>101*</w:t>
            </w:r>
          </w:p>
        </w:tc>
        <w:tc>
          <w:tcPr>
            <w:tcW w:w="10180" w:type="dxa"/>
            <w:vAlign w:val="bottom"/>
          </w:tcPr>
          <w:p>
            <w:pPr>
              <w:ind w:left="300"/>
              <w:spacing w:after="0"/>
              <w:rPr>
                <w:sz w:val="20"/>
                <w:szCs w:val="20"/>
                <w:color w:val="auto"/>
              </w:rPr>
            </w:pPr>
            <w:r>
              <w:rPr>
                <w:rFonts w:ascii="Arial" w:cs="Arial" w:eastAsia="Arial" w:hAnsi="Arial"/>
                <w:sz w:val="22"/>
                <w:szCs w:val="22"/>
                <w:color w:val="auto"/>
                <w:w w:val="94"/>
              </w:rPr>
              <w:t>The following financial information from Monster Beverage Corporation’s Quarterly Report on Form 10-Q for</w:t>
            </w:r>
          </w:p>
        </w:tc>
      </w:tr>
      <w:tr>
        <w:trPr>
          <w:trHeight w:val="261"/>
        </w:trPr>
        <w:tc>
          <w:tcPr>
            <w:tcW w:w="1240" w:type="dxa"/>
            <w:vAlign w:val="bottom"/>
          </w:tcPr>
          <w:p>
            <w:pPr>
              <w:spacing w:after="0"/>
              <w:rPr>
                <w:sz w:val="22"/>
                <w:szCs w:val="22"/>
                <w:color w:val="auto"/>
              </w:rPr>
            </w:pPr>
          </w:p>
        </w:tc>
        <w:tc>
          <w:tcPr>
            <w:tcW w:w="10180" w:type="dxa"/>
            <w:vAlign w:val="bottom"/>
          </w:tcPr>
          <w:p>
            <w:pPr>
              <w:ind w:left="300"/>
              <w:spacing w:after="0"/>
              <w:rPr>
                <w:sz w:val="20"/>
                <w:szCs w:val="20"/>
                <w:color w:val="auto"/>
              </w:rPr>
            </w:pPr>
            <w:r>
              <w:rPr>
                <w:rFonts w:ascii="Arial" w:cs="Arial" w:eastAsia="Arial" w:hAnsi="Arial"/>
                <w:sz w:val="22"/>
                <w:szCs w:val="22"/>
                <w:color w:val="auto"/>
                <w:w w:val="98"/>
              </w:rPr>
              <w:t>the quarter ended September 30, 2012, formatted in XBRL (eXtensible Business Reporting Language):</w:t>
            </w:r>
          </w:p>
        </w:tc>
      </w:tr>
    </w:tbl>
    <w:p>
      <w:pPr>
        <w:jc w:val="both"/>
        <w:ind w:left="1540" w:right="40" w:hanging="6"/>
        <w:spacing w:after="0" w:line="267" w:lineRule="auto"/>
        <w:tabs>
          <w:tab w:leader="none" w:pos="1821" w:val="left"/>
        </w:tabs>
        <w:numPr>
          <w:ilvl w:val="1"/>
          <w:numId w:val="30"/>
        </w:numPr>
        <w:rPr>
          <w:rFonts w:ascii="Arial" w:cs="Arial" w:eastAsia="Arial" w:hAnsi="Arial"/>
          <w:sz w:val="19"/>
          <w:szCs w:val="19"/>
          <w:color w:val="auto"/>
        </w:rPr>
      </w:pPr>
      <w:r>
        <w:rPr>
          <w:rFonts w:ascii="Arial" w:cs="Arial" w:eastAsia="Arial" w:hAnsi="Arial"/>
          <w:sz w:val="19"/>
          <w:szCs w:val="19"/>
          <w:color w:val="auto"/>
        </w:rPr>
        <w:t>Condensed Consolidated Balance Sheets as of September 30, 2012 and December 31, 2011, (ii) Condensed Consolidated Statements of Income for the three- and nine-months ended September 30, 2012 and 2011,</w:t>
      </w:r>
    </w:p>
    <w:p>
      <w:pPr>
        <w:jc w:val="both"/>
        <w:ind w:left="1540" w:right="40" w:hanging="6"/>
        <w:spacing w:after="0" w:line="287" w:lineRule="auto"/>
        <w:tabs>
          <w:tab w:leader="none" w:pos="1979" w:val="left"/>
        </w:tabs>
        <w:numPr>
          <w:ilvl w:val="1"/>
          <w:numId w:val="31"/>
        </w:numPr>
        <w:rPr>
          <w:rFonts w:ascii="Arial" w:cs="Arial" w:eastAsia="Arial" w:hAnsi="Arial"/>
          <w:sz w:val="19"/>
          <w:szCs w:val="19"/>
          <w:color w:val="auto"/>
        </w:rPr>
      </w:pPr>
      <w:r>
        <w:rPr>
          <w:rFonts w:ascii="Arial" w:cs="Arial" w:eastAsia="Arial" w:hAnsi="Arial"/>
          <w:sz w:val="19"/>
          <w:szCs w:val="19"/>
          <w:color w:val="auto"/>
        </w:rPr>
        <w:t>Condensed Consolidated Statements of Comprehensive Income for the three- and nine-months ended September 30, 2012 and 2011, (iv) Condensed Consolidated Statements of Cash Flows for the nine-months ended September 30, 2012 and 2011, and (v) the Notes to Condensed Consolidated Financial Statements.</w:t>
      </w:r>
    </w:p>
    <w:p>
      <w:pPr>
        <w:spacing w:after="0" w:line="164"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b w:val="1"/>
          <w:bCs w:val="1"/>
          <w:color w:val="auto"/>
        </w:rPr>
        <w:t>*  Filed herewith</w:t>
      </w:r>
    </w:p>
    <w:p>
      <w:pPr>
        <w:spacing w:after="0" w:line="21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SIGNATURES</w:t>
      </w:r>
    </w:p>
    <w:p>
      <w:pPr>
        <w:spacing w:after="0" w:line="212" w:lineRule="exact"/>
        <w:rPr>
          <w:sz w:val="20"/>
          <w:szCs w:val="20"/>
          <w:color w:val="auto"/>
        </w:rPr>
      </w:pPr>
    </w:p>
    <w:p>
      <w:pPr>
        <w:ind w:right="100" w:firstLine="648"/>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88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5480" w:type="dxa"/>
            <w:vAlign w:val="bottom"/>
            <w:gridSpan w:val="2"/>
          </w:tcPr>
          <w:p>
            <w:pPr>
              <w:spacing w:after="0"/>
              <w:rPr>
                <w:sz w:val="20"/>
                <w:szCs w:val="20"/>
                <w:color w:val="auto"/>
              </w:rPr>
            </w:pPr>
            <w:r>
              <w:rPr>
                <w:rFonts w:ascii="Arial" w:cs="Arial" w:eastAsia="Arial" w:hAnsi="Arial"/>
                <w:sz w:val="22"/>
                <w:szCs w:val="22"/>
                <w:color w:val="auto"/>
              </w:rPr>
              <w:t>MONSTER BEVERAGE COPORATION</w:t>
            </w:r>
          </w:p>
        </w:tc>
      </w:tr>
      <w:tr>
        <w:trPr>
          <w:trHeight w:val="275"/>
        </w:trPr>
        <w:tc>
          <w:tcPr>
            <w:tcW w:w="3880" w:type="dxa"/>
            <w:vAlign w:val="bottom"/>
          </w:tcPr>
          <w:p>
            <w:pPr>
              <w:spacing w:after="0"/>
              <w:rPr>
                <w:sz w:val="23"/>
                <w:szCs w:val="23"/>
                <w:color w:val="auto"/>
              </w:rPr>
            </w:pPr>
          </w:p>
        </w:tc>
        <w:tc>
          <w:tcPr>
            <w:tcW w:w="2100" w:type="dxa"/>
            <w:vAlign w:val="bottom"/>
          </w:tcPr>
          <w:p>
            <w:pPr>
              <w:spacing w:after="0"/>
              <w:rPr>
                <w:sz w:val="23"/>
                <w:szCs w:val="23"/>
                <w:color w:val="auto"/>
              </w:rPr>
            </w:pPr>
          </w:p>
        </w:tc>
        <w:tc>
          <w:tcPr>
            <w:tcW w:w="5480" w:type="dxa"/>
            <w:vAlign w:val="bottom"/>
            <w:gridSpan w:val="2"/>
          </w:tcPr>
          <w:p>
            <w:pPr>
              <w:spacing w:after="0"/>
              <w:rPr>
                <w:sz w:val="20"/>
                <w:szCs w:val="20"/>
                <w:color w:val="auto"/>
              </w:rPr>
            </w:pPr>
            <w:r>
              <w:rPr>
                <w:rFonts w:ascii="Arial" w:cs="Arial" w:eastAsia="Arial" w:hAnsi="Arial"/>
                <w:sz w:val="22"/>
                <w:szCs w:val="22"/>
                <w:color w:val="auto"/>
              </w:rPr>
              <w:t>Registrant</w:t>
            </w:r>
          </w:p>
        </w:tc>
      </w:tr>
      <w:tr>
        <w:trPr>
          <w:trHeight w:val="679"/>
        </w:trPr>
        <w:tc>
          <w:tcPr>
            <w:tcW w:w="3880" w:type="dxa"/>
            <w:vAlign w:val="bottom"/>
          </w:tcPr>
          <w:p>
            <w:pPr>
              <w:spacing w:after="0"/>
              <w:rPr>
                <w:sz w:val="20"/>
                <w:szCs w:val="20"/>
                <w:color w:val="auto"/>
              </w:rPr>
            </w:pPr>
            <w:r>
              <w:rPr>
                <w:rFonts w:ascii="Arial" w:cs="Arial" w:eastAsia="Arial" w:hAnsi="Arial"/>
                <w:sz w:val="22"/>
                <w:szCs w:val="22"/>
                <w:color w:val="auto"/>
              </w:rPr>
              <w:t>Date: November 9, 2012</w:t>
            </w:r>
          </w:p>
        </w:tc>
        <w:tc>
          <w:tcPr>
            <w:tcW w:w="2100" w:type="dxa"/>
            <w:vAlign w:val="bottom"/>
          </w:tcPr>
          <w:p>
            <w:pPr>
              <w:spacing w:after="0"/>
              <w:rPr>
                <w:sz w:val="24"/>
                <w:szCs w:val="24"/>
                <w:color w:val="auto"/>
              </w:rPr>
            </w:pPr>
          </w:p>
        </w:tc>
        <w:tc>
          <w:tcPr>
            <w:tcW w:w="216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92"/>
              </w:rPr>
              <w:t>/s/ RODNEY C. SACKS</w:t>
            </w:r>
          </w:p>
        </w:tc>
        <w:tc>
          <w:tcPr>
            <w:tcW w:w="3320" w:type="dxa"/>
            <w:vAlign w:val="bottom"/>
          </w:tcPr>
          <w:p>
            <w:pPr>
              <w:spacing w:after="0"/>
              <w:rPr>
                <w:sz w:val="24"/>
                <w:szCs w:val="24"/>
                <w:color w:val="auto"/>
              </w:rPr>
            </w:pPr>
          </w:p>
        </w:tc>
      </w:tr>
      <w:tr>
        <w:trPr>
          <w:trHeight w:val="242"/>
        </w:trPr>
        <w:tc>
          <w:tcPr>
            <w:tcW w:w="388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5480" w:type="dxa"/>
            <w:vAlign w:val="bottom"/>
            <w:gridSpan w:val="2"/>
          </w:tcPr>
          <w:p>
            <w:pPr>
              <w:spacing w:after="0" w:line="242" w:lineRule="exact"/>
              <w:rPr>
                <w:sz w:val="20"/>
                <w:szCs w:val="20"/>
                <w:color w:val="auto"/>
              </w:rPr>
            </w:pPr>
            <w:r>
              <w:rPr>
                <w:rFonts w:ascii="Arial" w:cs="Arial" w:eastAsia="Arial" w:hAnsi="Arial"/>
                <w:sz w:val="22"/>
                <w:szCs w:val="22"/>
                <w:color w:val="auto"/>
              </w:rPr>
              <w:t>Rodney C. Sacks</w:t>
            </w:r>
          </w:p>
        </w:tc>
      </w:tr>
      <w:tr>
        <w:trPr>
          <w:trHeight w:val="243"/>
        </w:trPr>
        <w:tc>
          <w:tcPr>
            <w:tcW w:w="388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5480" w:type="dxa"/>
            <w:vAlign w:val="bottom"/>
            <w:gridSpan w:val="2"/>
          </w:tcPr>
          <w:p>
            <w:pPr>
              <w:spacing w:after="0" w:line="243" w:lineRule="exact"/>
              <w:rPr>
                <w:sz w:val="20"/>
                <w:szCs w:val="20"/>
                <w:color w:val="auto"/>
              </w:rPr>
            </w:pPr>
            <w:r>
              <w:rPr>
                <w:rFonts w:ascii="Arial" w:cs="Arial" w:eastAsia="Arial" w:hAnsi="Arial"/>
                <w:sz w:val="22"/>
                <w:szCs w:val="22"/>
                <w:color w:val="auto"/>
              </w:rPr>
              <w:t>Chairman of the Board of Directors</w:t>
            </w:r>
          </w:p>
        </w:tc>
      </w:tr>
      <w:tr>
        <w:trPr>
          <w:trHeight w:val="275"/>
        </w:trPr>
        <w:tc>
          <w:tcPr>
            <w:tcW w:w="3880" w:type="dxa"/>
            <w:vAlign w:val="bottom"/>
          </w:tcPr>
          <w:p>
            <w:pPr>
              <w:spacing w:after="0"/>
              <w:rPr>
                <w:sz w:val="23"/>
                <w:szCs w:val="23"/>
                <w:color w:val="auto"/>
              </w:rPr>
            </w:pPr>
          </w:p>
        </w:tc>
        <w:tc>
          <w:tcPr>
            <w:tcW w:w="2100" w:type="dxa"/>
            <w:vAlign w:val="bottom"/>
          </w:tcPr>
          <w:p>
            <w:pPr>
              <w:spacing w:after="0"/>
              <w:rPr>
                <w:sz w:val="23"/>
                <w:szCs w:val="23"/>
                <w:color w:val="auto"/>
              </w:rPr>
            </w:pPr>
          </w:p>
        </w:tc>
        <w:tc>
          <w:tcPr>
            <w:tcW w:w="5480" w:type="dxa"/>
            <w:vAlign w:val="bottom"/>
            <w:gridSpan w:val="2"/>
          </w:tcPr>
          <w:p>
            <w:pPr>
              <w:spacing w:after="0"/>
              <w:rPr>
                <w:sz w:val="20"/>
                <w:szCs w:val="20"/>
                <w:color w:val="auto"/>
              </w:rPr>
            </w:pPr>
            <w:r>
              <w:rPr>
                <w:rFonts w:ascii="Arial" w:cs="Arial" w:eastAsia="Arial" w:hAnsi="Arial"/>
                <w:sz w:val="22"/>
                <w:szCs w:val="22"/>
                <w:color w:val="auto"/>
              </w:rPr>
              <w:t>and Chief Executive Officer</w:t>
            </w:r>
          </w:p>
        </w:tc>
      </w:tr>
      <w:tr>
        <w:trPr>
          <w:trHeight w:val="422"/>
        </w:trPr>
        <w:tc>
          <w:tcPr>
            <w:tcW w:w="3880" w:type="dxa"/>
            <w:vAlign w:val="bottom"/>
          </w:tcPr>
          <w:p>
            <w:pPr>
              <w:spacing w:after="0"/>
              <w:rPr>
                <w:sz w:val="24"/>
                <w:szCs w:val="24"/>
                <w:color w:val="auto"/>
              </w:rPr>
            </w:pPr>
          </w:p>
        </w:tc>
        <w:tc>
          <w:tcPr>
            <w:tcW w:w="2100" w:type="dxa"/>
            <w:vAlign w:val="bottom"/>
          </w:tcPr>
          <w:p>
            <w:pPr>
              <w:jc w:val="right"/>
              <w:ind w:right="90"/>
              <w:spacing w:after="0"/>
              <w:rPr>
                <w:sz w:val="20"/>
                <w:szCs w:val="20"/>
                <w:color w:val="auto"/>
              </w:rPr>
            </w:pPr>
            <w:r>
              <w:rPr>
                <w:rFonts w:ascii="Arial" w:cs="Arial" w:eastAsia="Arial" w:hAnsi="Arial"/>
                <w:sz w:val="18"/>
                <w:szCs w:val="18"/>
                <w:color w:val="auto"/>
              </w:rPr>
              <w:t>56</w:t>
            </w:r>
          </w:p>
        </w:tc>
        <w:tc>
          <w:tcPr>
            <w:tcW w:w="2160" w:type="dxa"/>
            <w:vAlign w:val="bottom"/>
          </w:tcPr>
          <w:p>
            <w:pPr>
              <w:spacing w:after="0"/>
              <w:rPr>
                <w:sz w:val="24"/>
                <w:szCs w:val="24"/>
                <w:color w:val="auto"/>
              </w:rPr>
            </w:pPr>
          </w:p>
        </w:tc>
        <w:tc>
          <w:tcPr>
            <w:tcW w:w="3320" w:type="dxa"/>
            <w:vAlign w:val="bottom"/>
          </w:tcPr>
          <w:p>
            <w:pPr>
              <w:spacing w:after="0"/>
              <w:rPr>
                <w:sz w:val="24"/>
                <w:szCs w:val="24"/>
                <w:color w:val="auto"/>
              </w:rPr>
            </w:pPr>
          </w:p>
        </w:tc>
      </w:tr>
      <w:tr>
        <w:trPr>
          <w:trHeight w:val="132"/>
        </w:trPr>
        <w:tc>
          <w:tcPr>
            <w:tcW w:w="3880" w:type="dxa"/>
            <w:vAlign w:val="bottom"/>
            <w:tcBorders>
              <w:bottom w:val="single" w:sz="8" w:color="010101"/>
            </w:tcBorders>
          </w:tcPr>
          <w:p>
            <w:pPr>
              <w:spacing w:after="0"/>
              <w:rPr>
                <w:sz w:val="11"/>
                <w:szCs w:val="11"/>
                <w:color w:val="auto"/>
              </w:rPr>
            </w:pPr>
          </w:p>
        </w:tc>
        <w:tc>
          <w:tcPr>
            <w:tcW w:w="2100" w:type="dxa"/>
            <w:vAlign w:val="bottom"/>
            <w:tcBorders>
              <w:bottom w:val="single" w:sz="8" w:color="010101"/>
            </w:tcBorders>
          </w:tcPr>
          <w:p>
            <w:pPr>
              <w:spacing w:after="0"/>
              <w:rPr>
                <w:sz w:val="11"/>
                <w:szCs w:val="11"/>
                <w:color w:val="auto"/>
              </w:rPr>
            </w:pPr>
          </w:p>
        </w:tc>
        <w:tc>
          <w:tcPr>
            <w:tcW w:w="2160" w:type="dxa"/>
            <w:vAlign w:val="bottom"/>
            <w:tcBorders>
              <w:bottom w:val="single" w:sz="8" w:color="010101"/>
            </w:tcBorders>
          </w:tcPr>
          <w:p>
            <w:pPr>
              <w:spacing w:after="0"/>
              <w:rPr>
                <w:sz w:val="11"/>
                <w:szCs w:val="11"/>
                <w:color w:val="auto"/>
              </w:rPr>
            </w:pPr>
          </w:p>
        </w:tc>
        <w:tc>
          <w:tcPr>
            <w:tcW w:w="332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61" w:right="199" w:bottom="1440" w:gutter="0" w:footer="0" w:header="0"/>
        </w:sectPr>
      </w:pPr>
    </w:p>
    <w:bookmarkStart w:id="36" w:name="page37"/>
    <w:bookmarkEnd w:id="36"/>
    <w:p>
      <w:pPr>
        <w:jc w:val="right"/>
        <w:ind w:right="40"/>
        <w:spacing w:after="0"/>
        <w:rPr>
          <w:sz w:val="20"/>
          <w:szCs w:val="20"/>
          <w:color w:val="auto"/>
        </w:rPr>
      </w:pPr>
      <w:r>
        <w:rPr>
          <w:rFonts w:ascii="Arial" w:cs="Arial" w:eastAsia="Arial" w:hAnsi="Arial"/>
          <w:sz w:val="20"/>
          <w:szCs w:val="20"/>
          <w:b w:val="1"/>
          <w:bCs w:val="1"/>
          <w:color w:val="auto"/>
        </w:rPr>
        <w:t>EXHIBIT 31.1</w:t>
      </w:r>
    </w:p>
    <w:p>
      <w:pPr>
        <w:spacing w:after="0" w:line="236" w:lineRule="exact"/>
        <w:rPr>
          <w:sz w:val="20"/>
          <w:szCs w:val="20"/>
          <w:color w:val="auto"/>
        </w:rPr>
      </w:pPr>
    </w:p>
    <w:p>
      <w:pPr>
        <w:jc w:val="center"/>
        <w:ind w:right="40"/>
        <w:spacing w:after="0" w:line="250" w:lineRule="auto"/>
        <w:rPr>
          <w:sz w:val="20"/>
          <w:szCs w:val="20"/>
          <w:color w:val="auto"/>
        </w:rPr>
      </w:pPr>
      <w:r>
        <w:rPr>
          <w:rFonts w:ascii="Arial" w:cs="Arial" w:eastAsia="Arial" w:hAnsi="Arial"/>
          <w:sz w:val="20"/>
          <w:szCs w:val="20"/>
          <w:color w:val="auto"/>
        </w:rPr>
        <w:t>CERTIFICATION PURSUANT TO RULE 13A-14(a) OR 15D-14(a) OF THE SECURITIES EXCHANGE ACT OF 1934, AS ADOPTED PURSUANT TO SECTION 302 OF THE SARBANES-OXLEY ACT OF 2002</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I, Rodney Sacks, certify that:</w:t>
      </w:r>
    </w:p>
    <w:p>
      <w:pPr>
        <w:spacing w:after="0" w:line="229" w:lineRule="exact"/>
        <w:rPr>
          <w:sz w:val="20"/>
          <w:szCs w:val="20"/>
          <w:color w:val="auto"/>
        </w:rPr>
      </w:pPr>
    </w:p>
    <w:p>
      <w:pPr>
        <w:ind w:left="300" w:hanging="292"/>
        <w:spacing w:after="0"/>
        <w:tabs>
          <w:tab w:leader="none" w:pos="300" w:val="left"/>
        </w:tabs>
        <w:numPr>
          <w:ilvl w:val="0"/>
          <w:numId w:val="32"/>
        </w:numPr>
        <w:rPr>
          <w:rFonts w:ascii="Arial" w:cs="Arial" w:eastAsia="Arial" w:hAnsi="Arial"/>
          <w:sz w:val="20"/>
          <w:szCs w:val="20"/>
          <w:color w:val="auto"/>
        </w:rPr>
      </w:pPr>
      <w:r>
        <w:rPr>
          <w:rFonts w:ascii="Arial" w:cs="Arial" w:eastAsia="Arial" w:hAnsi="Arial"/>
          <w:sz w:val="20"/>
          <w:szCs w:val="20"/>
          <w:color w:val="auto"/>
        </w:rPr>
        <w:t>I have reviewed this quarterly report on Form 10-Q of Monster Beverage Corporation;</w:t>
      </w:r>
    </w:p>
    <w:p>
      <w:pPr>
        <w:spacing w:after="0" w:line="229" w:lineRule="exact"/>
        <w:rPr>
          <w:rFonts w:ascii="Arial" w:cs="Arial" w:eastAsia="Arial" w:hAnsi="Arial"/>
          <w:sz w:val="20"/>
          <w:szCs w:val="20"/>
          <w:color w:val="auto"/>
        </w:rPr>
      </w:pPr>
    </w:p>
    <w:p>
      <w:pPr>
        <w:jc w:val="both"/>
        <w:ind w:left="340" w:right="40" w:hanging="332"/>
        <w:spacing w:after="0" w:line="250" w:lineRule="auto"/>
        <w:tabs>
          <w:tab w:leader="none" w:pos="353" w:val="left"/>
        </w:tabs>
        <w:numPr>
          <w:ilvl w:val="0"/>
          <w:numId w:val="32"/>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9" w:lineRule="exact"/>
        <w:rPr>
          <w:rFonts w:ascii="Arial" w:cs="Arial" w:eastAsia="Arial" w:hAnsi="Arial"/>
          <w:sz w:val="20"/>
          <w:szCs w:val="20"/>
          <w:color w:val="auto"/>
        </w:rPr>
      </w:pPr>
    </w:p>
    <w:p>
      <w:pPr>
        <w:ind w:left="340" w:right="60" w:hanging="332"/>
        <w:spacing w:after="0" w:line="316" w:lineRule="auto"/>
        <w:tabs>
          <w:tab w:leader="none" w:pos="385"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3" w:lineRule="exact"/>
        <w:rPr>
          <w:rFonts w:ascii="Arial" w:cs="Arial" w:eastAsia="Arial" w:hAnsi="Arial"/>
          <w:sz w:val="18"/>
          <w:szCs w:val="18"/>
          <w:color w:val="auto"/>
        </w:rPr>
      </w:pPr>
    </w:p>
    <w:p>
      <w:pPr>
        <w:jc w:val="both"/>
        <w:ind w:left="340" w:right="40" w:hanging="332"/>
        <w:spacing w:after="0" w:line="250" w:lineRule="auto"/>
        <w:tabs>
          <w:tab w:leader="none" w:pos="380" w:val="left"/>
        </w:tabs>
        <w:numPr>
          <w:ilvl w:val="0"/>
          <w:numId w:val="32"/>
        </w:numPr>
        <w:rPr>
          <w:rFonts w:ascii="Arial" w:cs="Arial" w:eastAsia="Arial" w:hAnsi="Arial"/>
          <w:sz w:val="20"/>
          <w:szCs w:val="20"/>
          <w:color w:val="auto"/>
        </w:rPr>
      </w:pPr>
      <w:r>
        <w:rPr>
          <w:rFonts w:ascii="Arial" w:cs="Arial" w:eastAsia="Arial" w:hAnsi="Arial"/>
          <w:sz w:val="20"/>
          <w:szCs w:val="20"/>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9" w:lineRule="exact"/>
        <w:rPr>
          <w:rFonts w:ascii="Arial" w:cs="Arial" w:eastAsia="Arial" w:hAnsi="Arial"/>
          <w:sz w:val="20"/>
          <w:szCs w:val="20"/>
          <w:color w:val="auto"/>
        </w:rPr>
      </w:pPr>
    </w:p>
    <w:p>
      <w:pPr>
        <w:jc w:val="both"/>
        <w:ind w:left="1760" w:right="280" w:hanging="455"/>
        <w:spacing w:after="0" w:line="246" w:lineRule="auto"/>
        <w:tabs>
          <w:tab w:leader="none" w:pos="1760" w:val="left"/>
        </w:tabs>
        <w:numPr>
          <w:ilvl w:val="1"/>
          <w:numId w:val="32"/>
        </w:numPr>
        <w:rPr>
          <w:rFonts w:ascii="Arial" w:cs="Arial" w:eastAsia="Arial" w:hAnsi="Arial"/>
          <w:sz w:val="20"/>
          <w:szCs w:val="20"/>
          <w:color w:val="auto"/>
        </w:rPr>
      </w:pPr>
      <w:r>
        <w:rPr>
          <w:rFonts w:ascii="Arial" w:cs="Arial" w:eastAsia="Arial" w:hAnsi="Arial"/>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5" w:lineRule="exact"/>
        <w:rPr>
          <w:rFonts w:ascii="Arial" w:cs="Arial" w:eastAsia="Arial" w:hAnsi="Arial"/>
          <w:sz w:val="20"/>
          <w:szCs w:val="20"/>
          <w:color w:val="auto"/>
        </w:rPr>
      </w:pPr>
    </w:p>
    <w:p>
      <w:pPr>
        <w:jc w:val="both"/>
        <w:ind w:left="1760" w:right="280" w:hanging="455"/>
        <w:spacing w:after="0" w:line="291" w:lineRule="auto"/>
        <w:tabs>
          <w:tab w:leader="none" w:pos="176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Arial" w:cs="Arial" w:eastAsia="Arial" w:hAnsi="Arial"/>
          <w:sz w:val="18"/>
          <w:szCs w:val="18"/>
          <w:color w:val="auto"/>
        </w:rPr>
      </w:pPr>
    </w:p>
    <w:p>
      <w:pPr>
        <w:jc w:val="both"/>
        <w:ind w:left="1760" w:right="260" w:hanging="455"/>
        <w:spacing w:after="0" w:line="250" w:lineRule="auto"/>
        <w:tabs>
          <w:tab w:leader="none" w:pos="1760" w:val="left"/>
        </w:tabs>
        <w:numPr>
          <w:ilvl w:val="1"/>
          <w:numId w:val="32"/>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9" w:lineRule="exact"/>
        <w:rPr>
          <w:rFonts w:ascii="Arial" w:cs="Arial" w:eastAsia="Arial" w:hAnsi="Arial"/>
          <w:sz w:val="20"/>
          <w:szCs w:val="20"/>
          <w:color w:val="auto"/>
        </w:rPr>
      </w:pPr>
    </w:p>
    <w:p>
      <w:pPr>
        <w:jc w:val="both"/>
        <w:ind w:left="1760" w:right="280" w:hanging="455"/>
        <w:spacing w:after="0" w:line="246" w:lineRule="auto"/>
        <w:tabs>
          <w:tab w:leader="none" w:pos="1760" w:val="left"/>
        </w:tabs>
        <w:numPr>
          <w:ilvl w:val="1"/>
          <w:numId w:val="32"/>
        </w:numPr>
        <w:rPr>
          <w:rFonts w:ascii="Arial" w:cs="Arial" w:eastAsia="Arial" w:hAnsi="Arial"/>
          <w:sz w:val="20"/>
          <w:szCs w:val="20"/>
          <w:color w:val="auto"/>
        </w:rPr>
      </w:pPr>
      <w:r>
        <w:rPr>
          <w:rFonts w:ascii="Arial" w:cs="Arial" w:eastAsia="Arial" w:hAnsi="Arial"/>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307" w:lineRule="exact"/>
        <w:rPr>
          <w:rFonts w:ascii="Arial" w:cs="Arial" w:eastAsia="Arial" w:hAnsi="Arial"/>
          <w:sz w:val="20"/>
          <w:szCs w:val="20"/>
          <w:color w:val="auto"/>
        </w:rPr>
      </w:pPr>
    </w:p>
    <w:p>
      <w:pPr>
        <w:jc w:val="both"/>
        <w:ind w:left="340" w:right="40" w:hanging="332"/>
        <w:spacing w:after="0" w:line="250" w:lineRule="auto"/>
        <w:tabs>
          <w:tab w:leader="none" w:pos="392" w:val="left"/>
        </w:tabs>
        <w:numPr>
          <w:ilvl w:val="0"/>
          <w:numId w:val="32"/>
        </w:numPr>
        <w:rPr>
          <w:rFonts w:ascii="Arial" w:cs="Arial" w:eastAsia="Arial" w:hAnsi="Arial"/>
          <w:sz w:val="20"/>
          <w:szCs w:val="20"/>
          <w:color w:val="auto"/>
        </w:rPr>
      </w:pPr>
      <w:r>
        <w:rPr>
          <w:rFonts w:ascii="Arial" w:cs="Arial" w:eastAsia="Arial" w:hAnsi="Arial"/>
          <w:sz w:val="20"/>
          <w:szCs w:val="20"/>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spacing w:after="0" w:line="199" w:lineRule="exact"/>
        <w:rPr>
          <w:rFonts w:ascii="Arial" w:cs="Arial" w:eastAsia="Arial" w:hAnsi="Arial"/>
          <w:sz w:val="20"/>
          <w:szCs w:val="20"/>
          <w:color w:val="auto"/>
        </w:rPr>
      </w:pPr>
    </w:p>
    <w:p>
      <w:pPr>
        <w:jc w:val="both"/>
        <w:ind w:left="1760" w:right="280" w:hanging="455"/>
        <w:spacing w:after="0" w:line="250" w:lineRule="auto"/>
        <w:tabs>
          <w:tab w:leader="none" w:pos="1760" w:val="left"/>
        </w:tabs>
        <w:numPr>
          <w:ilvl w:val="1"/>
          <w:numId w:val="32"/>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9" w:lineRule="exact"/>
        <w:rPr>
          <w:rFonts w:ascii="Arial" w:cs="Arial" w:eastAsia="Arial" w:hAnsi="Arial"/>
          <w:sz w:val="20"/>
          <w:szCs w:val="20"/>
          <w:color w:val="auto"/>
        </w:rPr>
      </w:pPr>
    </w:p>
    <w:p>
      <w:pPr>
        <w:ind w:left="1760" w:right="280" w:hanging="455"/>
        <w:spacing w:after="0" w:line="260" w:lineRule="auto"/>
        <w:tabs>
          <w:tab w:leader="none" w:pos="1760" w:val="left"/>
        </w:tabs>
        <w:numPr>
          <w:ilvl w:val="1"/>
          <w:numId w:val="32"/>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-1859280</wp:posOffset>
            </wp:positionV>
            <wp:extent cx="7267575"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860" w:type="dxa"/>
            <w:vAlign w:val="bottom"/>
          </w:tcPr>
          <w:p>
            <w:pPr>
              <w:spacing w:after="0"/>
              <w:rPr>
                <w:sz w:val="20"/>
                <w:szCs w:val="20"/>
                <w:color w:val="auto"/>
              </w:rPr>
            </w:pPr>
            <w:r>
              <w:rPr>
                <w:rFonts w:ascii="Arial" w:cs="Arial" w:eastAsia="Arial" w:hAnsi="Arial"/>
                <w:sz w:val="20"/>
                <w:szCs w:val="20"/>
                <w:color w:val="auto"/>
              </w:rPr>
              <w:t>Date:</w:t>
            </w:r>
          </w:p>
        </w:tc>
        <w:tc>
          <w:tcPr>
            <w:tcW w:w="4860" w:type="dxa"/>
            <w:vAlign w:val="bottom"/>
          </w:tcPr>
          <w:p>
            <w:pPr>
              <w:ind w:left="420"/>
              <w:spacing w:after="0"/>
              <w:rPr>
                <w:sz w:val="20"/>
                <w:szCs w:val="20"/>
                <w:color w:val="auto"/>
              </w:rPr>
            </w:pPr>
            <w:r>
              <w:rPr>
                <w:rFonts w:ascii="Arial" w:cs="Arial" w:eastAsia="Arial" w:hAnsi="Arial"/>
                <w:sz w:val="20"/>
                <w:szCs w:val="20"/>
                <w:color w:val="auto"/>
              </w:rPr>
              <w:t>November 9, 2012</w:t>
            </w:r>
          </w:p>
        </w:tc>
        <w:tc>
          <w:tcPr>
            <w:tcW w:w="5700" w:type="dxa"/>
            <w:vAlign w:val="bottom"/>
            <w:tcBorders>
              <w:bottom w:val="single" w:sz="8" w:color="auto"/>
            </w:tcBorders>
          </w:tcPr>
          <w:p>
            <w:pPr>
              <w:ind w:left="100"/>
              <w:spacing w:after="0"/>
              <w:rPr>
                <w:sz w:val="20"/>
                <w:szCs w:val="20"/>
                <w:color w:val="auto"/>
              </w:rPr>
            </w:pPr>
            <w:r>
              <w:rPr>
                <w:rFonts w:ascii="Arial" w:cs="Arial" w:eastAsia="Arial" w:hAnsi="Arial"/>
                <w:sz w:val="20"/>
                <w:szCs w:val="20"/>
                <w:color w:val="auto"/>
              </w:rPr>
              <w:t>/s/Rodney C. Sacks</w:t>
            </w:r>
          </w:p>
        </w:tc>
        <w:tc>
          <w:tcPr>
            <w:tcW w:w="40" w:type="dxa"/>
            <w:vAlign w:val="bottom"/>
          </w:tcPr>
          <w:p>
            <w:pPr>
              <w:spacing w:after="0"/>
              <w:rPr>
                <w:sz w:val="21"/>
                <w:szCs w:val="21"/>
                <w:color w:val="auto"/>
              </w:rPr>
            </w:pPr>
          </w:p>
        </w:tc>
      </w:tr>
      <w:tr>
        <w:trPr>
          <w:trHeight w:val="206"/>
        </w:trPr>
        <w:tc>
          <w:tcPr>
            <w:tcW w:w="860" w:type="dxa"/>
            <w:vAlign w:val="bottom"/>
          </w:tcPr>
          <w:p>
            <w:pPr>
              <w:spacing w:after="0"/>
              <w:rPr>
                <w:sz w:val="17"/>
                <w:szCs w:val="17"/>
                <w:color w:val="auto"/>
              </w:rPr>
            </w:pPr>
          </w:p>
        </w:tc>
        <w:tc>
          <w:tcPr>
            <w:tcW w:w="4860" w:type="dxa"/>
            <w:vAlign w:val="bottom"/>
          </w:tcPr>
          <w:p>
            <w:pPr>
              <w:spacing w:after="0"/>
              <w:rPr>
                <w:sz w:val="17"/>
                <w:szCs w:val="17"/>
                <w:color w:val="auto"/>
              </w:rPr>
            </w:pPr>
          </w:p>
        </w:tc>
        <w:tc>
          <w:tcPr>
            <w:tcW w:w="5700" w:type="dxa"/>
            <w:vAlign w:val="bottom"/>
          </w:tcPr>
          <w:p>
            <w:pPr>
              <w:ind w:left="100"/>
              <w:spacing w:after="0" w:line="207" w:lineRule="exact"/>
              <w:rPr>
                <w:sz w:val="20"/>
                <w:szCs w:val="20"/>
                <w:color w:val="auto"/>
              </w:rPr>
            </w:pPr>
            <w:r>
              <w:rPr>
                <w:rFonts w:ascii="Arial" w:cs="Arial" w:eastAsia="Arial" w:hAnsi="Arial"/>
                <w:sz w:val="20"/>
                <w:szCs w:val="20"/>
                <w:color w:val="auto"/>
              </w:rPr>
              <w:t>Rodney C. Sacks</w:t>
            </w:r>
          </w:p>
        </w:tc>
        <w:tc>
          <w:tcPr>
            <w:tcW w:w="40" w:type="dxa"/>
            <w:vAlign w:val="bottom"/>
          </w:tcPr>
          <w:p>
            <w:pPr>
              <w:spacing w:after="0"/>
              <w:rPr>
                <w:sz w:val="17"/>
                <w:szCs w:val="17"/>
                <w:color w:val="auto"/>
              </w:rPr>
            </w:pPr>
          </w:p>
        </w:tc>
      </w:tr>
      <w:tr>
        <w:trPr>
          <w:trHeight w:val="230"/>
        </w:trPr>
        <w:tc>
          <w:tcPr>
            <w:tcW w:w="860" w:type="dxa"/>
            <w:vAlign w:val="bottom"/>
          </w:tcPr>
          <w:p>
            <w:pPr>
              <w:spacing w:after="0"/>
              <w:rPr>
                <w:sz w:val="19"/>
                <w:szCs w:val="19"/>
                <w:color w:val="auto"/>
              </w:rPr>
            </w:pPr>
          </w:p>
        </w:tc>
        <w:tc>
          <w:tcPr>
            <w:tcW w:w="4860" w:type="dxa"/>
            <w:vAlign w:val="bottom"/>
          </w:tcPr>
          <w:p>
            <w:pPr>
              <w:spacing w:after="0"/>
              <w:rPr>
                <w:sz w:val="19"/>
                <w:szCs w:val="19"/>
                <w:color w:val="auto"/>
              </w:rPr>
            </w:pPr>
          </w:p>
        </w:tc>
        <w:tc>
          <w:tcPr>
            <w:tcW w:w="5700" w:type="dxa"/>
            <w:vAlign w:val="bottom"/>
          </w:tcPr>
          <w:p>
            <w:pPr>
              <w:ind w:left="100"/>
              <w:spacing w:after="0"/>
              <w:rPr>
                <w:sz w:val="20"/>
                <w:szCs w:val="20"/>
                <w:color w:val="auto"/>
              </w:rPr>
            </w:pPr>
            <w:r>
              <w:rPr>
                <w:rFonts w:ascii="Arial" w:cs="Arial" w:eastAsia="Arial" w:hAnsi="Arial"/>
                <w:sz w:val="20"/>
                <w:szCs w:val="20"/>
                <w:color w:val="auto"/>
              </w:rPr>
              <w:t>Chairman of the Board of Directors</w:t>
            </w:r>
          </w:p>
        </w:tc>
        <w:tc>
          <w:tcPr>
            <w:tcW w:w="40" w:type="dxa"/>
            <w:vAlign w:val="bottom"/>
          </w:tcPr>
          <w:p>
            <w:pPr>
              <w:spacing w:after="0"/>
              <w:rPr>
                <w:sz w:val="19"/>
                <w:szCs w:val="19"/>
                <w:color w:val="auto"/>
              </w:rPr>
            </w:pPr>
          </w:p>
        </w:tc>
      </w:tr>
      <w:tr>
        <w:trPr>
          <w:trHeight w:val="250"/>
        </w:trPr>
        <w:tc>
          <w:tcPr>
            <w:tcW w:w="860" w:type="dxa"/>
            <w:vAlign w:val="bottom"/>
          </w:tcPr>
          <w:p>
            <w:pPr>
              <w:spacing w:after="0"/>
              <w:rPr>
                <w:sz w:val="21"/>
                <w:szCs w:val="21"/>
                <w:color w:val="auto"/>
              </w:rPr>
            </w:pPr>
          </w:p>
        </w:tc>
        <w:tc>
          <w:tcPr>
            <w:tcW w:w="4860" w:type="dxa"/>
            <w:vAlign w:val="bottom"/>
          </w:tcPr>
          <w:p>
            <w:pPr>
              <w:spacing w:after="0"/>
              <w:rPr>
                <w:sz w:val="21"/>
                <w:szCs w:val="21"/>
                <w:color w:val="auto"/>
              </w:rPr>
            </w:pPr>
          </w:p>
        </w:tc>
        <w:tc>
          <w:tcPr>
            <w:tcW w:w="5700" w:type="dxa"/>
            <w:vAlign w:val="bottom"/>
          </w:tcPr>
          <w:p>
            <w:pPr>
              <w:ind w:left="100"/>
              <w:spacing w:after="0"/>
              <w:rPr>
                <w:sz w:val="20"/>
                <w:szCs w:val="20"/>
                <w:color w:val="auto"/>
              </w:rPr>
            </w:pPr>
            <w:r>
              <w:rPr>
                <w:rFonts w:ascii="Arial" w:cs="Arial" w:eastAsia="Arial" w:hAnsi="Arial"/>
                <w:sz w:val="20"/>
                <w:szCs w:val="20"/>
                <w:color w:val="auto"/>
              </w:rPr>
              <w:t>and Chief Executive Officer</w:t>
            </w:r>
          </w:p>
        </w:tc>
        <w:tc>
          <w:tcPr>
            <w:tcW w:w="40" w:type="dxa"/>
            <w:vAlign w:val="bottom"/>
          </w:tcPr>
          <w:p>
            <w:pPr>
              <w:spacing w:after="0"/>
              <w:rPr>
                <w:sz w:val="21"/>
                <w:szCs w:val="21"/>
                <w:color w:val="auto"/>
              </w:rPr>
            </w:pPr>
          </w:p>
        </w:tc>
      </w:tr>
      <w:tr>
        <w:trPr>
          <w:trHeight w:val="344"/>
        </w:trPr>
        <w:tc>
          <w:tcPr>
            <w:tcW w:w="860" w:type="dxa"/>
            <w:vAlign w:val="bottom"/>
            <w:tcBorders>
              <w:bottom w:val="single" w:sz="8" w:color="010101"/>
            </w:tcBorders>
          </w:tcPr>
          <w:p>
            <w:pPr>
              <w:spacing w:after="0"/>
              <w:rPr>
                <w:sz w:val="24"/>
                <w:szCs w:val="24"/>
                <w:color w:val="auto"/>
              </w:rPr>
            </w:pPr>
          </w:p>
        </w:tc>
        <w:tc>
          <w:tcPr>
            <w:tcW w:w="4860" w:type="dxa"/>
            <w:vAlign w:val="bottom"/>
            <w:tcBorders>
              <w:bottom w:val="single" w:sz="8" w:color="010101"/>
            </w:tcBorders>
          </w:tcPr>
          <w:p>
            <w:pPr>
              <w:spacing w:after="0"/>
              <w:rPr>
                <w:sz w:val="24"/>
                <w:szCs w:val="24"/>
                <w:color w:val="auto"/>
              </w:rPr>
            </w:pPr>
          </w:p>
        </w:tc>
        <w:tc>
          <w:tcPr>
            <w:tcW w:w="570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15" w:right="199" w:bottom="1440" w:gutter="0" w:footer="0" w:header="0"/>
        </w:sectPr>
      </w:pPr>
    </w:p>
    <w:bookmarkStart w:id="37" w:name="page38"/>
    <w:bookmarkEnd w:id="37"/>
    <w:p>
      <w:pPr>
        <w:jc w:val="right"/>
        <w:ind w:right="40"/>
        <w:spacing w:after="0"/>
        <w:rPr>
          <w:sz w:val="20"/>
          <w:szCs w:val="20"/>
          <w:color w:val="auto"/>
        </w:rPr>
      </w:pPr>
      <w:r>
        <w:rPr>
          <w:rFonts w:ascii="Arial" w:cs="Arial" w:eastAsia="Arial" w:hAnsi="Arial"/>
          <w:sz w:val="20"/>
          <w:szCs w:val="20"/>
          <w:b w:val="1"/>
          <w:bCs w:val="1"/>
          <w:color w:val="auto"/>
        </w:rPr>
        <w:t>EXHIBIT 31.2</w:t>
      </w:r>
    </w:p>
    <w:p>
      <w:pPr>
        <w:spacing w:after="0" w:line="236" w:lineRule="exact"/>
        <w:rPr>
          <w:sz w:val="20"/>
          <w:szCs w:val="20"/>
          <w:color w:val="auto"/>
        </w:rPr>
      </w:pPr>
    </w:p>
    <w:p>
      <w:pPr>
        <w:jc w:val="center"/>
        <w:ind w:right="40"/>
        <w:spacing w:after="0" w:line="250" w:lineRule="auto"/>
        <w:rPr>
          <w:sz w:val="20"/>
          <w:szCs w:val="20"/>
          <w:color w:val="auto"/>
        </w:rPr>
      </w:pPr>
      <w:r>
        <w:rPr>
          <w:rFonts w:ascii="Arial" w:cs="Arial" w:eastAsia="Arial" w:hAnsi="Arial"/>
          <w:sz w:val="20"/>
          <w:szCs w:val="20"/>
          <w:color w:val="auto"/>
        </w:rPr>
        <w:t>CERTIFICATION PURSUANT TO RULE 13A-14(a) OR 15D-14(a) OF THE SECURITIES EXCHANGE ACT OF 1934, AS ADOPTED PURSUANT TO SECTION 302 OF THE SARBANES-OXLEY ACT OF 2002</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I, Hilton Schlosberg, certify that:</w:t>
      </w:r>
    </w:p>
    <w:p>
      <w:pPr>
        <w:spacing w:after="0" w:line="229" w:lineRule="exact"/>
        <w:rPr>
          <w:sz w:val="20"/>
          <w:szCs w:val="20"/>
          <w:color w:val="auto"/>
        </w:rPr>
      </w:pPr>
    </w:p>
    <w:p>
      <w:pPr>
        <w:ind w:left="320" w:hanging="312"/>
        <w:spacing w:after="0"/>
        <w:tabs>
          <w:tab w:leader="none" w:pos="320" w:val="left"/>
        </w:tabs>
        <w:numPr>
          <w:ilvl w:val="0"/>
          <w:numId w:val="33"/>
        </w:numPr>
        <w:rPr>
          <w:rFonts w:ascii="Arial" w:cs="Arial" w:eastAsia="Arial" w:hAnsi="Arial"/>
          <w:sz w:val="20"/>
          <w:szCs w:val="20"/>
          <w:color w:val="auto"/>
        </w:rPr>
      </w:pPr>
      <w:r>
        <w:rPr>
          <w:rFonts w:ascii="Arial" w:cs="Arial" w:eastAsia="Arial" w:hAnsi="Arial"/>
          <w:sz w:val="20"/>
          <w:szCs w:val="20"/>
          <w:color w:val="auto"/>
        </w:rPr>
        <w:t>I have reviewed this quarterly report on Form 10-Q of Monster Beverage Corporation;</w:t>
      </w:r>
    </w:p>
    <w:p>
      <w:pPr>
        <w:spacing w:after="0" w:line="229" w:lineRule="exact"/>
        <w:rPr>
          <w:rFonts w:ascii="Arial" w:cs="Arial" w:eastAsia="Arial" w:hAnsi="Arial"/>
          <w:sz w:val="20"/>
          <w:szCs w:val="20"/>
          <w:color w:val="auto"/>
        </w:rPr>
      </w:pPr>
    </w:p>
    <w:p>
      <w:pPr>
        <w:jc w:val="both"/>
        <w:ind w:left="340" w:right="40" w:hanging="332"/>
        <w:spacing w:after="0" w:line="250" w:lineRule="auto"/>
        <w:tabs>
          <w:tab w:leader="none" w:pos="434" w:val="left"/>
        </w:tabs>
        <w:numPr>
          <w:ilvl w:val="0"/>
          <w:numId w:val="33"/>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9" w:lineRule="exact"/>
        <w:rPr>
          <w:rFonts w:ascii="Arial" w:cs="Arial" w:eastAsia="Arial" w:hAnsi="Arial"/>
          <w:sz w:val="20"/>
          <w:szCs w:val="20"/>
          <w:color w:val="auto"/>
        </w:rPr>
      </w:pPr>
    </w:p>
    <w:p>
      <w:pPr>
        <w:ind w:left="340" w:right="60" w:hanging="332"/>
        <w:spacing w:after="0" w:line="316" w:lineRule="auto"/>
        <w:tabs>
          <w:tab w:leader="none" w:pos="529"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3" w:lineRule="exact"/>
        <w:rPr>
          <w:rFonts w:ascii="Arial" w:cs="Arial" w:eastAsia="Arial" w:hAnsi="Arial"/>
          <w:sz w:val="18"/>
          <w:szCs w:val="18"/>
          <w:color w:val="auto"/>
        </w:rPr>
      </w:pPr>
    </w:p>
    <w:p>
      <w:pPr>
        <w:jc w:val="both"/>
        <w:ind w:left="340" w:right="40" w:hanging="332"/>
        <w:spacing w:after="0" w:line="250" w:lineRule="auto"/>
        <w:tabs>
          <w:tab w:leader="none" w:pos="502" w:val="left"/>
        </w:tabs>
        <w:numPr>
          <w:ilvl w:val="0"/>
          <w:numId w:val="33"/>
        </w:numPr>
        <w:rPr>
          <w:rFonts w:ascii="Arial" w:cs="Arial" w:eastAsia="Arial" w:hAnsi="Arial"/>
          <w:sz w:val="20"/>
          <w:szCs w:val="20"/>
          <w:color w:val="auto"/>
        </w:rPr>
      </w:pPr>
      <w:r>
        <w:rPr>
          <w:rFonts w:ascii="Arial" w:cs="Arial" w:eastAsia="Arial" w:hAnsi="Arial"/>
          <w:sz w:val="20"/>
          <w:szCs w:val="20"/>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9" w:lineRule="exact"/>
        <w:rPr>
          <w:rFonts w:ascii="Arial" w:cs="Arial" w:eastAsia="Arial" w:hAnsi="Arial"/>
          <w:sz w:val="20"/>
          <w:szCs w:val="20"/>
          <w:color w:val="auto"/>
        </w:rPr>
      </w:pPr>
    </w:p>
    <w:p>
      <w:pPr>
        <w:jc w:val="both"/>
        <w:ind w:left="1620" w:right="40" w:hanging="315"/>
        <w:spacing w:after="0" w:line="291" w:lineRule="auto"/>
        <w:tabs>
          <w:tab w:leader="none" w:pos="1663"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8"/>
          <w:szCs w:val="18"/>
          <w:color w:val="auto"/>
        </w:rPr>
      </w:pPr>
    </w:p>
    <w:p>
      <w:pPr>
        <w:jc w:val="both"/>
        <w:ind w:left="1620" w:right="40" w:hanging="315"/>
        <w:spacing w:after="0" w:line="291" w:lineRule="auto"/>
        <w:tabs>
          <w:tab w:leader="none" w:pos="1863"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Arial" w:cs="Arial" w:eastAsia="Arial" w:hAnsi="Arial"/>
          <w:sz w:val="18"/>
          <w:szCs w:val="18"/>
          <w:color w:val="auto"/>
        </w:rPr>
      </w:pPr>
    </w:p>
    <w:p>
      <w:pPr>
        <w:jc w:val="both"/>
        <w:ind w:left="1620" w:right="40" w:hanging="315"/>
        <w:spacing w:after="0" w:line="250" w:lineRule="auto"/>
        <w:tabs>
          <w:tab w:leader="none" w:pos="2027" w:val="left"/>
        </w:tabs>
        <w:numPr>
          <w:ilvl w:val="1"/>
          <w:numId w:val="33"/>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9" w:lineRule="exact"/>
        <w:rPr>
          <w:rFonts w:ascii="Arial" w:cs="Arial" w:eastAsia="Arial" w:hAnsi="Arial"/>
          <w:sz w:val="20"/>
          <w:szCs w:val="20"/>
          <w:color w:val="auto"/>
        </w:rPr>
      </w:pPr>
    </w:p>
    <w:p>
      <w:pPr>
        <w:jc w:val="both"/>
        <w:ind w:left="1620" w:right="40" w:hanging="315"/>
        <w:spacing w:after="0" w:line="291" w:lineRule="auto"/>
        <w:tabs>
          <w:tab w:leader="none" w:pos="1809" w:val="left"/>
        </w:tabs>
        <w:numPr>
          <w:ilvl w:val="1"/>
          <w:numId w:val="3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67" w:lineRule="exact"/>
        <w:rPr>
          <w:rFonts w:ascii="Arial" w:cs="Arial" w:eastAsia="Arial" w:hAnsi="Arial"/>
          <w:sz w:val="18"/>
          <w:szCs w:val="18"/>
          <w:color w:val="auto"/>
        </w:rPr>
      </w:pPr>
    </w:p>
    <w:p>
      <w:pPr>
        <w:jc w:val="both"/>
        <w:ind w:left="340" w:right="40" w:hanging="332"/>
        <w:spacing w:after="0" w:line="250" w:lineRule="auto"/>
        <w:tabs>
          <w:tab w:leader="none" w:pos="542" w:val="left"/>
        </w:tabs>
        <w:numPr>
          <w:ilvl w:val="0"/>
          <w:numId w:val="33"/>
        </w:numPr>
        <w:rPr>
          <w:rFonts w:ascii="Arial" w:cs="Arial" w:eastAsia="Arial" w:hAnsi="Arial"/>
          <w:sz w:val="20"/>
          <w:szCs w:val="20"/>
          <w:color w:val="auto"/>
        </w:rPr>
      </w:pPr>
      <w:r>
        <w:rPr>
          <w:rFonts w:ascii="Arial" w:cs="Arial" w:eastAsia="Arial" w:hAnsi="Arial"/>
          <w:sz w:val="20"/>
          <w:szCs w:val="20"/>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spacing w:after="0" w:line="199" w:lineRule="exact"/>
        <w:rPr>
          <w:rFonts w:ascii="Arial" w:cs="Arial" w:eastAsia="Arial" w:hAnsi="Arial"/>
          <w:sz w:val="20"/>
          <w:szCs w:val="20"/>
          <w:color w:val="auto"/>
        </w:rPr>
      </w:pPr>
    </w:p>
    <w:p>
      <w:pPr>
        <w:jc w:val="both"/>
        <w:ind w:left="1620" w:right="40" w:hanging="315"/>
        <w:spacing w:after="0" w:line="250" w:lineRule="auto"/>
        <w:tabs>
          <w:tab w:leader="none" w:pos="1717" w:val="left"/>
        </w:tabs>
        <w:numPr>
          <w:ilvl w:val="1"/>
          <w:numId w:val="33"/>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9" w:lineRule="exact"/>
        <w:rPr>
          <w:rFonts w:ascii="Arial" w:cs="Arial" w:eastAsia="Arial" w:hAnsi="Arial"/>
          <w:sz w:val="20"/>
          <w:szCs w:val="20"/>
          <w:color w:val="auto"/>
        </w:rPr>
      </w:pPr>
    </w:p>
    <w:p>
      <w:pPr>
        <w:ind w:left="1620" w:right="40" w:hanging="315"/>
        <w:spacing w:after="0" w:line="260" w:lineRule="auto"/>
        <w:tabs>
          <w:tab w:leader="none" w:pos="1863" w:val="left"/>
        </w:tabs>
        <w:numPr>
          <w:ilvl w:val="1"/>
          <w:numId w:val="33"/>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-1859280</wp:posOffset>
            </wp:positionV>
            <wp:extent cx="7267575"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800" w:type="dxa"/>
            <w:vAlign w:val="bottom"/>
          </w:tcPr>
          <w:p>
            <w:pPr>
              <w:spacing w:after="0"/>
              <w:rPr>
                <w:sz w:val="20"/>
                <w:szCs w:val="20"/>
                <w:color w:val="auto"/>
              </w:rPr>
            </w:pPr>
            <w:r>
              <w:rPr>
                <w:rFonts w:ascii="Arial" w:cs="Arial" w:eastAsia="Arial" w:hAnsi="Arial"/>
                <w:sz w:val="20"/>
                <w:szCs w:val="20"/>
                <w:color w:val="auto"/>
              </w:rPr>
              <w:t>Date:</w:t>
            </w:r>
          </w:p>
        </w:tc>
        <w:tc>
          <w:tcPr>
            <w:tcW w:w="4920" w:type="dxa"/>
            <w:vAlign w:val="bottom"/>
          </w:tcPr>
          <w:p>
            <w:pPr>
              <w:ind w:left="360"/>
              <w:spacing w:after="0"/>
              <w:rPr>
                <w:sz w:val="20"/>
                <w:szCs w:val="20"/>
                <w:color w:val="auto"/>
              </w:rPr>
            </w:pPr>
            <w:r>
              <w:rPr>
                <w:rFonts w:ascii="Arial" w:cs="Arial" w:eastAsia="Arial" w:hAnsi="Arial"/>
                <w:sz w:val="20"/>
                <w:szCs w:val="20"/>
                <w:color w:val="auto"/>
              </w:rPr>
              <w:t>November 9, 2012</w:t>
            </w:r>
          </w:p>
        </w:tc>
        <w:tc>
          <w:tcPr>
            <w:tcW w:w="5700" w:type="dxa"/>
            <w:vAlign w:val="bottom"/>
            <w:tcBorders>
              <w:bottom w:val="single" w:sz="8" w:color="auto"/>
            </w:tcBorders>
          </w:tcPr>
          <w:p>
            <w:pPr>
              <w:ind w:left="100"/>
              <w:spacing w:after="0"/>
              <w:rPr>
                <w:sz w:val="20"/>
                <w:szCs w:val="20"/>
                <w:color w:val="auto"/>
              </w:rPr>
            </w:pPr>
            <w:r>
              <w:rPr>
                <w:rFonts w:ascii="Arial" w:cs="Arial" w:eastAsia="Arial" w:hAnsi="Arial"/>
                <w:sz w:val="20"/>
                <w:szCs w:val="20"/>
                <w:color w:val="auto"/>
              </w:rPr>
              <w:t>/s/ Hilton H. Schlosberg</w:t>
            </w:r>
          </w:p>
        </w:tc>
        <w:tc>
          <w:tcPr>
            <w:tcW w:w="40" w:type="dxa"/>
            <w:vAlign w:val="bottom"/>
          </w:tcPr>
          <w:p>
            <w:pPr>
              <w:spacing w:after="0"/>
              <w:rPr>
                <w:sz w:val="21"/>
                <w:szCs w:val="21"/>
                <w:color w:val="auto"/>
              </w:rPr>
            </w:pPr>
          </w:p>
        </w:tc>
      </w:tr>
      <w:tr>
        <w:trPr>
          <w:trHeight w:val="206"/>
        </w:trPr>
        <w:tc>
          <w:tcPr>
            <w:tcW w:w="800" w:type="dxa"/>
            <w:vAlign w:val="bottom"/>
          </w:tcPr>
          <w:p>
            <w:pPr>
              <w:spacing w:after="0"/>
              <w:rPr>
                <w:sz w:val="17"/>
                <w:szCs w:val="17"/>
                <w:color w:val="auto"/>
              </w:rPr>
            </w:pPr>
          </w:p>
        </w:tc>
        <w:tc>
          <w:tcPr>
            <w:tcW w:w="4920" w:type="dxa"/>
            <w:vAlign w:val="bottom"/>
          </w:tcPr>
          <w:p>
            <w:pPr>
              <w:spacing w:after="0"/>
              <w:rPr>
                <w:sz w:val="17"/>
                <w:szCs w:val="17"/>
                <w:color w:val="auto"/>
              </w:rPr>
            </w:pPr>
          </w:p>
        </w:tc>
        <w:tc>
          <w:tcPr>
            <w:tcW w:w="5700" w:type="dxa"/>
            <w:vAlign w:val="bottom"/>
          </w:tcPr>
          <w:p>
            <w:pPr>
              <w:ind w:left="100"/>
              <w:spacing w:after="0" w:line="207" w:lineRule="exact"/>
              <w:rPr>
                <w:sz w:val="20"/>
                <w:szCs w:val="20"/>
                <w:color w:val="auto"/>
              </w:rPr>
            </w:pPr>
            <w:r>
              <w:rPr>
                <w:rFonts w:ascii="Arial" w:cs="Arial" w:eastAsia="Arial" w:hAnsi="Arial"/>
                <w:sz w:val="20"/>
                <w:szCs w:val="20"/>
                <w:color w:val="auto"/>
              </w:rPr>
              <w:t>Hilton H. Schlosberg</w:t>
            </w:r>
          </w:p>
        </w:tc>
        <w:tc>
          <w:tcPr>
            <w:tcW w:w="40" w:type="dxa"/>
            <w:vAlign w:val="bottom"/>
          </w:tcPr>
          <w:p>
            <w:pPr>
              <w:spacing w:after="0"/>
              <w:rPr>
                <w:sz w:val="17"/>
                <w:szCs w:val="17"/>
                <w:color w:val="auto"/>
              </w:rPr>
            </w:pPr>
          </w:p>
        </w:tc>
      </w:tr>
      <w:tr>
        <w:trPr>
          <w:trHeight w:val="230"/>
        </w:trPr>
        <w:tc>
          <w:tcPr>
            <w:tcW w:w="800" w:type="dxa"/>
            <w:vAlign w:val="bottom"/>
          </w:tcPr>
          <w:p>
            <w:pPr>
              <w:spacing w:after="0"/>
              <w:rPr>
                <w:sz w:val="19"/>
                <w:szCs w:val="19"/>
                <w:color w:val="auto"/>
              </w:rPr>
            </w:pPr>
          </w:p>
        </w:tc>
        <w:tc>
          <w:tcPr>
            <w:tcW w:w="4920" w:type="dxa"/>
            <w:vAlign w:val="bottom"/>
          </w:tcPr>
          <w:p>
            <w:pPr>
              <w:spacing w:after="0"/>
              <w:rPr>
                <w:sz w:val="19"/>
                <w:szCs w:val="19"/>
                <w:color w:val="auto"/>
              </w:rPr>
            </w:pPr>
          </w:p>
        </w:tc>
        <w:tc>
          <w:tcPr>
            <w:tcW w:w="5700" w:type="dxa"/>
            <w:vAlign w:val="bottom"/>
          </w:tcPr>
          <w:p>
            <w:pPr>
              <w:ind w:left="100"/>
              <w:spacing w:after="0"/>
              <w:rPr>
                <w:sz w:val="20"/>
                <w:szCs w:val="20"/>
                <w:color w:val="auto"/>
              </w:rPr>
            </w:pPr>
            <w:r>
              <w:rPr>
                <w:rFonts w:ascii="Arial" w:cs="Arial" w:eastAsia="Arial" w:hAnsi="Arial"/>
                <w:sz w:val="20"/>
                <w:szCs w:val="20"/>
                <w:color w:val="auto"/>
              </w:rPr>
              <w:t>Vice Chairman of the Board of Directors,</w:t>
            </w:r>
          </w:p>
        </w:tc>
        <w:tc>
          <w:tcPr>
            <w:tcW w:w="40" w:type="dxa"/>
            <w:vAlign w:val="bottom"/>
          </w:tcPr>
          <w:p>
            <w:pPr>
              <w:spacing w:after="0"/>
              <w:rPr>
                <w:sz w:val="19"/>
                <w:szCs w:val="19"/>
                <w:color w:val="auto"/>
              </w:rPr>
            </w:pPr>
          </w:p>
        </w:tc>
      </w:tr>
      <w:tr>
        <w:trPr>
          <w:trHeight w:val="230"/>
        </w:trPr>
        <w:tc>
          <w:tcPr>
            <w:tcW w:w="800" w:type="dxa"/>
            <w:vAlign w:val="bottom"/>
          </w:tcPr>
          <w:p>
            <w:pPr>
              <w:spacing w:after="0"/>
              <w:rPr>
                <w:sz w:val="19"/>
                <w:szCs w:val="19"/>
                <w:color w:val="auto"/>
              </w:rPr>
            </w:pPr>
          </w:p>
        </w:tc>
        <w:tc>
          <w:tcPr>
            <w:tcW w:w="4920" w:type="dxa"/>
            <w:vAlign w:val="bottom"/>
          </w:tcPr>
          <w:p>
            <w:pPr>
              <w:spacing w:after="0"/>
              <w:rPr>
                <w:sz w:val="19"/>
                <w:szCs w:val="19"/>
                <w:color w:val="auto"/>
              </w:rPr>
            </w:pPr>
          </w:p>
        </w:tc>
        <w:tc>
          <w:tcPr>
            <w:tcW w:w="5700" w:type="dxa"/>
            <w:vAlign w:val="bottom"/>
          </w:tcPr>
          <w:p>
            <w:pPr>
              <w:ind w:left="100"/>
              <w:spacing w:after="0"/>
              <w:rPr>
                <w:sz w:val="20"/>
                <w:szCs w:val="20"/>
                <w:color w:val="auto"/>
              </w:rPr>
            </w:pPr>
            <w:r>
              <w:rPr>
                <w:rFonts w:ascii="Arial" w:cs="Arial" w:eastAsia="Arial" w:hAnsi="Arial"/>
                <w:sz w:val="20"/>
                <w:szCs w:val="20"/>
                <w:color w:val="auto"/>
              </w:rPr>
              <w:t>President, Chief Operating Officer, Chief</w:t>
            </w:r>
          </w:p>
        </w:tc>
        <w:tc>
          <w:tcPr>
            <w:tcW w:w="40" w:type="dxa"/>
            <w:vAlign w:val="bottom"/>
          </w:tcPr>
          <w:p>
            <w:pPr>
              <w:spacing w:after="0"/>
              <w:rPr>
                <w:sz w:val="19"/>
                <w:szCs w:val="19"/>
                <w:color w:val="auto"/>
              </w:rPr>
            </w:pPr>
          </w:p>
        </w:tc>
      </w:tr>
      <w:tr>
        <w:trPr>
          <w:trHeight w:val="250"/>
        </w:trPr>
        <w:tc>
          <w:tcPr>
            <w:tcW w:w="800" w:type="dxa"/>
            <w:vAlign w:val="bottom"/>
          </w:tcPr>
          <w:p>
            <w:pPr>
              <w:spacing w:after="0"/>
              <w:rPr>
                <w:sz w:val="21"/>
                <w:szCs w:val="21"/>
                <w:color w:val="auto"/>
              </w:rPr>
            </w:pPr>
          </w:p>
        </w:tc>
        <w:tc>
          <w:tcPr>
            <w:tcW w:w="4920" w:type="dxa"/>
            <w:vAlign w:val="bottom"/>
          </w:tcPr>
          <w:p>
            <w:pPr>
              <w:spacing w:after="0"/>
              <w:rPr>
                <w:sz w:val="21"/>
                <w:szCs w:val="21"/>
                <w:color w:val="auto"/>
              </w:rPr>
            </w:pPr>
          </w:p>
        </w:tc>
        <w:tc>
          <w:tcPr>
            <w:tcW w:w="5700" w:type="dxa"/>
            <w:vAlign w:val="bottom"/>
          </w:tcPr>
          <w:p>
            <w:pPr>
              <w:ind w:left="100"/>
              <w:spacing w:after="0"/>
              <w:rPr>
                <w:sz w:val="20"/>
                <w:szCs w:val="20"/>
                <w:color w:val="auto"/>
              </w:rPr>
            </w:pPr>
            <w:r>
              <w:rPr>
                <w:rFonts w:ascii="Arial" w:cs="Arial" w:eastAsia="Arial" w:hAnsi="Arial"/>
                <w:sz w:val="20"/>
                <w:szCs w:val="20"/>
                <w:color w:val="auto"/>
              </w:rPr>
              <w:t>Financial Officer and Secretary</w:t>
            </w:r>
          </w:p>
        </w:tc>
        <w:tc>
          <w:tcPr>
            <w:tcW w:w="40" w:type="dxa"/>
            <w:vAlign w:val="bottom"/>
          </w:tcPr>
          <w:p>
            <w:pPr>
              <w:spacing w:after="0"/>
              <w:rPr>
                <w:sz w:val="21"/>
                <w:szCs w:val="21"/>
                <w:color w:val="auto"/>
              </w:rPr>
            </w:pPr>
          </w:p>
        </w:tc>
      </w:tr>
      <w:tr>
        <w:trPr>
          <w:trHeight w:val="344"/>
        </w:trPr>
        <w:tc>
          <w:tcPr>
            <w:tcW w:w="800" w:type="dxa"/>
            <w:vAlign w:val="bottom"/>
            <w:tcBorders>
              <w:bottom w:val="single" w:sz="8" w:color="010101"/>
            </w:tcBorders>
          </w:tcPr>
          <w:p>
            <w:pPr>
              <w:spacing w:after="0"/>
              <w:rPr>
                <w:sz w:val="24"/>
                <w:szCs w:val="24"/>
                <w:color w:val="auto"/>
              </w:rPr>
            </w:pPr>
          </w:p>
        </w:tc>
        <w:tc>
          <w:tcPr>
            <w:tcW w:w="4920" w:type="dxa"/>
            <w:vAlign w:val="bottom"/>
            <w:tcBorders>
              <w:bottom w:val="single" w:sz="8" w:color="010101"/>
            </w:tcBorders>
          </w:tcPr>
          <w:p>
            <w:pPr>
              <w:spacing w:after="0"/>
              <w:rPr>
                <w:sz w:val="24"/>
                <w:szCs w:val="24"/>
                <w:color w:val="auto"/>
              </w:rPr>
            </w:pPr>
          </w:p>
        </w:tc>
        <w:tc>
          <w:tcPr>
            <w:tcW w:w="570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16" w:right="199" w:bottom="1440" w:gutter="0" w:footer="0" w:header="0"/>
        </w:sectPr>
      </w:pPr>
    </w:p>
    <w:bookmarkStart w:id="38" w:name="page39"/>
    <w:bookmarkEnd w:id="38"/>
    <w:p>
      <w:pPr>
        <w:jc w:val="right"/>
        <w:ind w:right="40"/>
        <w:spacing w:after="0"/>
        <w:rPr>
          <w:sz w:val="20"/>
          <w:szCs w:val="20"/>
          <w:color w:val="auto"/>
        </w:rPr>
      </w:pPr>
      <w:r>
        <w:rPr>
          <w:rFonts w:ascii="Arial" w:cs="Arial" w:eastAsia="Arial" w:hAnsi="Arial"/>
          <w:sz w:val="20"/>
          <w:szCs w:val="20"/>
          <w:b w:val="1"/>
          <w:bCs w:val="1"/>
          <w:color w:val="auto"/>
        </w:rPr>
        <w:t>EXHIBIT 32.1</w:t>
      </w:r>
    </w:p>
    <w:p>
      <w:pPr>
        <w:spacing w:after="0" w:line="236"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CERTIFICATION PURSUANT TO</w:t>
      </w:r>
    </w:p>
    <w:p>
      <w:pPr>
        <w:spacing w:after="0" w:line="15"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18 U.S.C. SECTION 1350,</w:t>
      </w:r>
    </w:p>
    <w:p>
      <w:pPr>
        <w:jc w:val="center"/>
        <w:ind w:right="40"/>
        <w:spacing w:after="0"/>
        <w:rPr>
          <w:sz w:val="20"/>
          <w:szCs w:val="20"/>
          <w:color w:val="auto"/>
        </w:rPr>
      </w:pPr>
      <w:r>
        <w:rPr>
          <w:rFonts w:ascii="Arial" w:cs="Arial" w:eastAsia="Arial" w:hAnsi="Arial"/>
          <w:sz w:val="20"/>
          <w:szCs w:val="20"/>
          <w:color w:val="auto"/>
        </w:rPr>
        <w:t>AS ADOPTED PURSUANT TO</w:t>
      </w:r>
    </w:p>
    <w:p>
      <w:pPr>
        <w:jc w:val="center"/>
        <w:ind w:right="40"/>
        <w:spacing w:after="0"/>
        <w:rPr>
          <w:sz w:val="20"/>
          <w:szCs w:val="20"/>
          <w:color w:val="auto"/>
        </w:rPr>
      </w:pPr>
      <w:r>
        <w:rPr>
          <w:rFonts w:ascii="Arial" w:cs="Arial" w:eastAsia="Arial" w:hAnsi="Arial"/>
          <w:sz w:val="20"/>
          <w:szCs w:val="20"/>
          <w:color w:val="auto"/>
        </w:rPr>
        <w:t>SECTION 906 OF THE SARBANES-OXLEY ACT OF 2002</w:t>
      </w:r>
    </w:p>
    <w:p>
      <w:pPr>
        <w:spacing w:after="0" w:line="213" w:lineRule="exact"/>
        <w:rPr>
          <w:sz w:val="20"/>
          <w:szCs w:val="20"/>
          <w:color w:val="auto"/>
        </w:rPr>
      </w:pPr>
    </w:p>
    <w:p>
      <w:pPr>
        <w:jc w:val="both"/>
        <w:ind w:right="40"/>
        <w:spacing w:after="0" w:line="246" w:lineRule="auto"/>
        <w:rPr>
          <w:sz w:val="20"/>
          <w:szCs w:val="20"/>
          <w:color w:val="auto"/>
        </w:rPr>
      </w:pPr>
      <w:r>
        <w:rPr>
          <w:rFonts w:ascii="Arial" w:cs="Arial" w:eastAsia="Arial" w:hAnsi="Arial"/>
          <w:sz w:val="20"/>
          <w:szCs w:val="20"/>
          <w:color w:val="auto"/>
        </w:rPr>
        <w:t>In connection with the quarterly report of Monster Beverage Corporation (the “Company”) on Form 10-Q for the quarter ended September 30, 2012 as filed with the Securities and Exchange Commission (the “Report”), the undersigned, Rodney C. Sacks, Chairman of the Board of Directors and Chief Executive Officer of the Company, certifies, pursuant to 18 U.S.C. 1350, as adopted pursuant to Section 906 of the Sarbanes-Oxley Act of 2002, that:</w:t>
      </w:r>
    </w:p>
    <w:p>
      <w:pPr>
        <w:spacing w:after="0" w:line="205" w:lineRule="exact"/>
        <w:rPr>
          <w:sz w:val="20"/>
          <w:szCs w:val="20"/>
          <w:color w:val="auto"/>
        </w:rPr>
      </w:pPr>
    </w:p>
    <w:p>
      <w:pPr>
        <w:ind w:left="960" w:hanging="304"/>
        <w:spacing w:after="0"/>
        <w:tabs>
          <w:tab w:leader="none" w:pos="960" w:val="left"/>
        </w:tabs>
        <w:numPr>
          <w:ilvl w:val="0"/>
          <w:numId w:val="34"/>
        </w:numPr>
        <w:rPr>
          <w:rFonts w:ascii="Arial" w:cs="Arial" w:eastAsia="Arial" w:hAnsi="Arial"/>
          <w:sz w:val="20"/>
          <w:szCs w:val="20"/>
          <w:color w:val="auto"/>
        </w:rPr>
      </w:pPr>
      <w:r>
        <w:rPr>
          <w:rFonts w:ascii="Arial" w:cs="Arial" w:eastAsia="Arial" w:hAnsi="Arial"/>
          <w:sz w:val="20"/>
          <w:szCs w:val="20"/>
          <w:color w:val="auto"/>
        </w:rPr>
        <w:t>The Report fully complies with the requirements of Section 13(a) or 15(d) of the Securities Exchange Act of 1934; and</w:t>
      </w:r>
    </w:p>
    <w:p>
      <w:pPr>
        <w:spacing w:after="0" w:line="229" w:lineRule="exact"/>
        <w:rPr>
          <w:rFonts w:ascii="Arial" w:cs="Arial" w:eastAsia="Arial" w:hAnsi="Arial"/>
          <w:sz w:val="20"/>
          <w:szCs w:val="20"/>
          <w:color w:val="auto"/>
        </w:rPr>
      </w:pPr>
    </w:p>
    <w:p>
      <w:pPr>
        <w:ind w:left="980" w:right="40" w:hanging="324"/>
        <w:spacing w:after="0" w:line="260" w:lineRule="auto"/>
        <w:tabs>
          <w:tab w:leader="none" w:pos="1007" w:val="left"/>
        </w:tabs>
        <w:numPr>
          <w:ilvl w:val="0"/>
          <w:numId w:val="34"/>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860" w:type="dxa"/>
            <w:vAlign w:val="bottom"/>
          </w:tcPr>
          <w:p>
            <w:pPr>
              <w:spacing w:after="0"/>
              <w:rPr>
                <w:sz w:val="20"/>
                <w:szCs w:val="20"/>
                <w:color w:val="auto"/>
              </w:rPr>
            </w:pPr>
            <w:r>
              <w:rPr>
                <w:rFonts w:ascii="Arial" w:cs="Arial" w:eastAsia="Arial" w:hAnsi="Arial"/>
                <w:sz w:val="20"/>
                <w:szCs w:val="20"/>
                <w:color w:val="auto"/>
              </w:rPr>
              <w:t>Date:</w:t>
            </w:r>
          </w:p>
        </w:tc>
        <w:tc>
          <w:tcPr>
            <w:tcW w:w="4860" w:type="dxa"/>
            <w:vAlign w:val="bottom"/>
          </w:tcPr>
          <w:p>
            <w:pPr>
              <w:ind w:left="420"/>
              <w:spacing w:after="0"/>
              <w:rPr>
                <w:sz w:val="20"/>
                <w:szCs w:val="20"/>
                <w:color w:val="auto"/>
              </w:rPr>
            </w:pPr>
            <w:r>
              <w:rPr>
                <w:rFonts w:ascii="Arial" w:cs="Arial" w:eastAsia="Arial" w:hAnsi="Arial"/>
                <w:sz w:val="20"/>
                <w:szCs w:val="20"/>
                <w:color w:val="auto"/>
              </w:rPr>
              <w:t>November 9, 2012</w:t>
            </w:r>
          </w:p>
        </w:tc>
        <w:tc>
          <w:tcPr>
            <w:tcW w:w="5700" w:type="dxa"/>
            <w:vAlign w:val="bottom"/>
            <w:tcBorders>
              <w:bottom w:val="single" w:sz="8" w:color="auto"/>
            </w:tcBorders>
          </w:tcPr>
          <w:p>
            <w:pPr>
              <w:ind w:left="100"/>
              <w:spacing w:after="0"/>
              <w:rPr>
                <w:sz w:val="20"/>
                <w:szCs w:val="20"/>
                <w:color w:val="auto"/>
              </w:rPr>
            </w:pPr>
            <w:r>
              <w:rPr>
                <w:rFonts w:ascii="Arial" w:cs="Arial" w:eastAsia="Arial" w:hAnsi="Arial"/>
                <w:sz w:val="20"/>
                <w:szCs w:val="20"/>
                <w:color w:val="auto"/>
              </w:rPr>
              <w:t>/s/ Rodney C. Sacks</w:t>
            </w:r>
          </w:p>
        </w:tc>
        <w:tc>
          <w:tcPr>
            <w:tcW w:w="40" w:type="dxa"/>
            <w:vAlign w:val="bottom"/>
          </w:tcPr>
          <w:p>
            <w:pPr>
              <w:spacing w:after="0"/>
              <w:rPr>
                <w:sz w:val="21"/>
                <w:szCs w:val="21"/>
                <w:color w:val="auto"/>
              </w:rPr>
            </w:pPr>
          </w:p>
        </w:tc>
      </w:tr>
      <w:tr>
        <w:trPr>
          <w:trHeight w:val="206"/>
        </w:trPr>
        <w:tc>
          <w:tcPr>
            <w:tcW w:w="860" w:type="dxa"/>
            <w:vAlign w:val="bottom"/>
          </w:tcPr>
          <w:p>
            <w:pPr>
              <w:spacing w:after="0"/>
              <w:rPr>
                <w:sz w:val="17"/>
                <w:szCs w:val="17"/>
                <w:color w:val="auto"/>
              </w:rPr>
            </w:pPr>
          </w:p>
        </w:tc>
        <w:tc>
          <w:tcPr>
            <w:tcW w:w="4860" w:type="dxa"/>
            <w:vAlign w:val="bottom"/>
          </w:tcPr>
          <w:p>
            <w:pPr>
              <w:spacing w:after="0"/>
              <w:rPr>
                <w:sz w:val="17"/>
                <w:szCs w:val="17"/>
                <w:color w:val="auto"/>
              </w:rPr>
            </w:pPr>
          </w:p>
        </w:tc>
        <w:tc>
          <w:tcPr>
            <w:tcW w:w="5700" w:type="dxa"/>
            <w:vAlign w:val="bottom"/>
          </w:tcPr>
          <w:p>
            <w:pPr>
              <w:ind w:left="100"/>
              <w:spacing w:after="0" w:line="207" w:lineRule="exact"/>
              <w:rPr>
                <w:sz w:val="20"/>
                <w:szCs w:val="20"/>
                <w:color w:val="auto"/>
              </w:rPr>
            </w:pPr>
            <w:r>
              <w:rPr>
                <w:rFonts w:ascii="Arial" w:cs="Arial" w:eastAsia="Arial" w:hAnsi="Arial"/>
                <w:sz w:val="20"/>
                <w:szCs w:val="20"/>
                <w:color w:val="auto"/>
              </w:rPr>
              <w:t>Rodney C. Sacks</w:t>
            </w:r>
          </w:p>
        </w:tc>
        <w:tc>
          <w:tcPr>
            <w:tcW w:w="40" w:type="dxa"/>
            <w:vAlign w:val="bottom"/>
          </w:tcPr>
          <w:p>
            <w:pPr>
              <w:spacing w:after="0"/>
              <w:rPr>
                <w:sz w:val="17"/>
                <w:szCs w:val="17"/>
                <w:color w:val="auto"/>
              </w:rPr>
            </w:pPr>
          </w:p>
        </w:tc>
      </w:tr>
      <w:tr>
        <w:trPr>
          <w:trHeight w:val="230"/>
        </w:trPr>
        <w:tc>
          <w:tcPr>
            <w:tcW w:w="860" w:type="dxa"/>
            <w:vAlign w:val="bottom"/>
          </w:tcPr>
          <w:p>
            <w:pPr>
              <w:spacing w:after="0"/>
              <w:rPr>
                <w:sz w:val="19"/>
                <w:szCs w:val="19"/>
                <w:color w:val="auto"/>
              </w:rPr>
            </w:pPr>
          </w:p>
        </w:tc>
        <w:tc>
          <w:tcPr>
            <w:tcW w:w="4860" w:type="dxa"/>
            <w:vAlign w:val="bottom"/>
          </w:tcPr>
          <w:p>
            <w:pPr>
              <w:spacing w:after="0"/>
              <w:rPr>
                <w:sz w:val="19"/>
                <w:szCs w:val="19"/>
                <w:color w:val="auto"/>
              </w:rPr>
            </w:pPr>
          </w:p>
        </w:tc>
        <w:tc>
          <w:tcPr>
            <w:tcW w:w="5700" w:type="dxa"/>
            <w:vAlign w:val="bottom"/>
          </w:tcPr>
          <w:p>
            <w:pPr>
              <w:ind w:left="100"/>
              <w:spacing w:after="0"/>
              <w:rPr>
                <w:sz w:val="20"/>
                <w:szCs w:val="20"/>
                <w:color w:val="auto"/>
              </w:rPr>
            </w:pPr>
            <w:r>
              <w:rPr>
                <w:rFonts w:ascii="Arial" w:cs="Arial" w:eastAsia="Arial" w:hAnsi="Arial"/>
                <w:sz w:val="20"/>
                <w:szCs w:val="20"/>
                <w:color w:val="auto"/>
              </w:rPr>
              <w:t>Chairman of the Board of Directors</w:t>
            </w:r>
          </w:p>
        </w:tc>
        <w:tc>
          <w:tcPr>
            <w:tcW w:w="40" w:type="dxa"/>
            <w:vAlign w:val="bottom"/>
          </w:tcPr>
          <w:p>
            <w:pPr>
              <w:spacing w:after="0"/>
              <w:rPr>
                <w:sz w:val="19"/>
                <w:szCs w:val="19"/>
                <w:color w:val="auto"/>
              </w:rPr>
            </w:pPr>
          </w:p>
        </w:tc>
      </w:tr>
      <w:tr>
        <w:trPr>
          <w:trHeight w:val="250"/>
        </w:trPr>
        <w:tc>
          <w:tcPr>
            <w:tcW w:w="860" w:type="dxa"/>
            <w:vAlign w:val="bottom"/>
          </w:tcPr>
          <w:p>
            <w:pPr>
              <w:spacing w:after="0"/>
              <w:rPr>
                <w:sz w:val="21"/>
                <w:szCs w:val="21"/>
                <w:color w:val="auto"/>
              </w:rPr>
            </w:pPr>
          </w:p>
        </w:tc>
        <w:tc>
          <w:tcPr>
            <w:tcW w:w="4860" w:type="dxa"/>
            <w:vAlign w:val="bottom"/>
          </w:tcPr>
          <w:p>
            <w:pPr>
              <w:spacing w:after="0"/>
              <w:rPr>
                <w:sz w:val="21"/>
                <w:szCs w:val="21"/>
                <w:color w:val="auto"/>
              </w:rPr>
            </w:pPr>
          </w:p>
        </w:tc>
        <w:tc>
          <w:tcPr>
            <w:tcW w:w="5700" w:type="dxa"/>
            <w:vAlign w:val="bottom"/>
          </w:tcPr>
          <w:p>
            <w:pPr>
              <w:ind w:left="100"/>
              <w:spacing w:after="0"/>
              <w:rPr>
                <w:sz w:val="20"/>
                <w:szCs w:val="20"/>
                <w:color w:val="auto"/>
              </w:rPr>
            </w:pPr>
            <w:r>
              <w:rPr>
                <w:rFonts w:ascii="Arial" w:cs="Arial" w:eastAsia="Arial" w:hAnsi="Arial"/>
                <w:sz w:val="20"/>
                <w:szCs w:val="20"/>
                <w:color w:val="auto"/>
              </w:rPr>
              <w:t>and Chief Executive Officer</w:t>
            </w:r>
          </w:p>
        </w:tc>
        <w:tc>
          <w:tcPr>
            <w:tcW w:w="40" w:type="dxa"/>
            <w:vAlign w:val="bottom"/>
          </w:tcPr>
          <w:p>
            <w:pPr>
              <w:spacing w:after="0"/>
              <w:rPr>
                <w:sz w:val="21"/>
                <w:szCs w:val="21"/>
                <w:color w:val="auto"/>
              </w:rPr>
            </w:pPr>
          </w:p>
        </w:tc>
      </w:tr>
      <w:tr>
        <w:trPr>
          <w:trHeight w:val="344"/>
        </w:trPr>
        <w:tc>
          <w:tcPr>
            <w:tcW w:w="860" w:type="dxa"/>
            <w:vAlign w:val="bottom"/>
            <w:tcBorders>
              <w:bottom w:val="single" w:sz="8" w:color="010101"/>
            </w:tcBorders>
          </w:tcPr>
          <w:p>
            <w:pPr>
              <w:spacing w:after="0"/>
              <w:rPr>
                <w:sz w:val="24"/>
                <w:szCs w:val="24"/>
                <w:color w:val="auto"/>
              </w:rPr>
            </w:pPr>
          </w:p>
        </w:tc>
        <w:tc>
          <w:tcPr>
            <w:tcW w:w="4860" w:type="dxa"/>
            <w:vAlign w:val="bottom"/>
            <w:tcBorders>
              <w:bottom w:val="single" w:sz="8" w:color="010101"/>
            </w:tcBorders>
          </w:tcPr>
          <w:p>
            <w:pPr>
              <w:spacing w:after="0"/>
              <w:rPr>
                <w:sz w:val="24"/>
                <w:szCs w:val="24"/>
                <w:color w:val="auto"/>
              </w:rPr>
            </w:pPr>
          </w:p>
        </w:tc>
        <w:tc>
          <w:tcPr>
            <w:tcW w:w="570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16" w:right="199" w:bottom="1440" w:gutter="0" w:footer="0" w:header="0"/>
        </w:sectPr>
      </w:pPr>
    </w:p>
    <w:bookmarkStart w:id="39" w:name="page40"/>
    <w:bookmarkEnd w:id="39"/>
    <w:p>
      <w:pPr>
        <w:jc w:val="right"/>
        <w:ind w:right="40"/>
        <w:spacing w:after="0"/>
        <w:rPr>
          <w:sz w:val="20"/>
          <w:szCs w:val="20"/>
          <w:color w:val="auto"/>
        </w:rPr>
      </w:pPr>
      <w:r>
        <w:rPr>
          <w:rFonts w:ascii="Arial" w:cs="Arial" w:eastAsia="Arial" w:hAnsi="Arial"/>
          <w:sz w:val="22"/>
          <w:szCs w:val="22"/>
          <w:b w:val="1"/>
          <w:bCs w:val="1"/>
          <w:color w:val="auto"/>
        </w:rPr>
        <w:t>EXHIBIT 32.2</w:t>
      </w:r>
    </w:p>
    <w:p>
      <w:pPr>
        <w:spacing w:after="0" w:line="231"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CERTIFICATION PURSUANT TO</w:t>
      </w:r>
    </w:p>
    <w:p>
      <w:pPr>
        <w:spacing w:after="0" w:line="15"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18 U.S.C. SECTION 1350,</w:t>
      </w:r>
    </w:p>
    <w:p>
      <w:pPr>
        <w:jc w:val="center"/>
        <w:ind w:right="40"/>
        <w:spacing w:after="0"/>
        <w:rPr>
          <w:sz w:val="20"/>
          <w:szCs w:val="20"/>
          <w:color w:val="auto"/>
        </w:rPr>
      </w:pPr>
      <w:r>
        <w:rPr>
          <w:rFonts w:ascii="Arial" w:cs="Arial" w:eastAsia="Arial" w:hAnsi="Arial"/>
          <w:sz w:val="20"/>
          <w:szCs w:val="20"/>
          <w:color w:val="auto"/>
        </w:rPr>
        <w:t>AS ADOPTED PURSUANT TO</w:t>
      </w:r>
    </w:p>
    <w:p>
      <w:pPr>
        <w:jc w:val="center"/>
        <w:ind w:right="40"/>
        <w:spacing w:after="0"/>
        <w:rPr>
          <w:sz w:val="20"/>
          <w:szCs w:val="20"/>
          <w:color w:val="auto"/>
        </w:rPr>
      </w:pPr>
      <w:r>
        <w:rPr>
          <w:rFonts w:ascii="Arial" w:cs="Arial" w:eastAsia="Arial" w:hAnsi="Arial"/>
          <w:sz w:val="20"/>
          <w:szCs w:val="20"/>
          <w:color w:val="auto"/>
        </w:rPr>
        <w:t>SECTION 906 OF THE SARBANES-OXLEY ACT OF 2002</w:t>
      </w:r>
    </w:p>
    <w:p>
      <w:pPr>
        <w:spacing w:after="0" w:line="213" w:lineRule="exact"/>
        <w:rPr>
          <w:sz w:val="20"/>
          <w:szCs w:val="20"/>
          <w:color w:val="auto"/>
        </w:rPr>
      </w:pPr>
    </w:p>
    <w:p>
      <w:pPr>
        <w:jc w:val="both"/>
        <w:ind w:right="40"/>
        <w:spacing w:after="0" w:line="246" w:lineRule="auto"/>
        <w:rPr>
          <w:sz w:val="20"/>
          <w:szCs w:val="20"/>
          <w:color w:val="auto"/>
        </w:rPr>
      </w:pPr>
      <w:r>
        <w:rPr>
          <w:rFonts w:ascii="Arial" w:cs="Arial" w:eastAsia="Arial" w:hAnsi="Arial"/>
          <w:sz w:val="20"/>
          <w:szCs w:val="20"/>
          <w:color w:val="auto"/>
        </w:rPr>
        <w:t>In connection with the quarterly report of Monster Beverage Corporation (the “Company”) on Form 10-Q for the quarter ended September 30, 2012 as filed with the Securities and Exchange Commission (the “Report”), the undersigned, Hilton H. Schlosberg, Vice Chairman of the Board of Directors, President, Chief Operating Officer, Chief Financial Officer and Secretary of the Company, certifies, pursuant to 18 U.S.C. 1350, as adopted pursuant to Section 906 of the Sarbanes-Oxley Act of 2002, that:</w:t>
      </w:r>
    </w:p>
    <w:p>
      <w:pPr>
        <w:spacing w:after="0" w:line="205" w:lineRule="exact"/>
        <w:rPr>
          <w:sz w:val="20"/>
          <w:szCs w:val="20"/>
          <w:color w:val="auto"/>
        </w:rPr>
      </w:pPr>
    </w:p>
    <w:p>
      <w:pPr>
        <w:ind w:left="960" w:hanging="304"/>
        <w:spacing w:after="0"/>
        <w:tabs>
          <w:tab w:leader="none" w:pos="960" w:val="left"/>
        </w:tabs>
        <w:numPr>
          <w:ilvl w:val="0"/>
          <w:numId w:val="35"/>
        </w:numPr>
        <w:rPr>
          <w:rFonts w:ascii="Arial" w:cs="Arial" w:eastAsia="Arial" w:hAnsi="Arial"/>
          <w:sz w:val="20"/>
          <w:szCs w:val="20"/>
          <w:color w:val="auto"/>
        </w:rPr>
      </w:pPr>
      <w:r>
        <w:rPr>
          <w:rFonts w:ascii="Arial" w:cs="Arial" w:eastAsia="Arial" w:hAnsi="Arial"/>
          <w:sz w:val="20"/>
          <w:szCs w:val="20"/>
          <w:color w:val="auto"/>
        </w:rPr>
        <w:t>The Report fully complies with the requirements of Section 13(a) or 15(d) of the Securities Exchange Act of 1934; and</w:t>
      </w:r>
    </w:p>
    <w:p>
      <w:pPr>
        <w:spacing w:after="0" w:line="229" w:lineRule="exact"/>
        <w:rPr>
          <w:rFonts w:ascii="Arial" w:cs="Arial" w:eastAsia="Arial" w:hAnsi="Arial"/>
          <w:sz w:val="20"/>
          <w:szCs w:val="20"/>
          <w:color w:val="auto"/>
        </w:rPr>
      </w:pPr>
    </w:p>
    <w:p>
      <w:pPr>
        <w:ind w:left="980" w:right="40" w:hanging="324"/>
        <w:spacing w:after="0" w:line="260" w:lineRule="auto"/>
        <w:tabs>
          <w:tab w:leader="none" w:pos="1007" w:val="left"/>
        </w:tabs>
        <w:numPr>
          <w:ilvl w:val="0"/>
          <w:numId w:val="35"/>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860" w:type="dxa"/>
            <w:vAlign w:val="bottom"/>
          </w:tcPr>
          <w:p>
            <w:pPr>
              <w:spacing w:after="0"/>
              <w:rPr>
                <w:sz w:val="20"/>
                <w:szCs w:val="20"/>
                <w:color w:val="auto"/>
              </w:rPr>
            </w:pPr>
            <w:r>
              <w:rPr>
                <w:rFonts w:ascii="Arial" w:cs="Arial" w:eastAsia="Arial" w:hAnsi="Arial"/>
                <w:sz w:val="20"/>
                <w:szCs w:val="20"/>
                <w:color w:val="auto"/>
              </w:rPr>
              <w:t>Date:</w:t>
            </w:r>
          </w:p>
        </w:tc>
        <w:tc>
          <w:tcPr>
            <w:tcW w:w="4860" w:type="dxa"/>
            <w:vAlign w:val="bottom"/>
          </w:tcPr>
          <w:p>
            <w:pPr>
              <w:ind w:left="420"/>
              <w:spacing w:after="0"/>
              <w:rPr>
                <w:sz w:val="20"/>
                <w:szCs w:val="20"/>
                <w:color w:val="auto"/>
              </w:rPr>
            </w:pPr>
            <w:r>
              <w:rPr>
                <w:rFonts w:ascii="Arial" w:cs="Arial" w:eastAsia="Arial" w:hAnsi="Arial"/>
                <w:sz w:val="20"/>
                <w:szCs w:val="20"/>
                <w:color w:val="auto"/>
              </w:rPr>
              <w:t>November 9, 2012</w:t>
            </w:r>
          </w:p>
        </w:tc>
        <w:tc>
          <w:tcPr>
            <w:tcW w:w="5700" w:type="dxa"/>
            <w:vAlign w:val="bottom"/>
            <w:tcBorders>
              <w:bottom w:val="single" w:sz="8" w:color="auto"/>
            </w:tcBorders>
          </w:tcPr>
          <w:p>
            <w:pPr>
              <w:ind w:left="100"/>
              <w:spacing w:after="0"/>
              <w:rPr>
                <w:sz w:val="20"/>
                <w:szCs w:val="20"/>
                <w:color w:val="auto"/>
              </w:rPr>
            </w:pPr>
            <w:r>
              <w:rPr>
                <w:rFonts w:ascii="Arial" w:cs="Arial" w:eastAsia="Arial" w:hAnsi="Arial"/>
                <w:sz w:val="20"/>
                <w:szCs w:val="20"/>
                <w:color w:val="auto"/>
              </w:rPr>
              <w:t>/s/ Hilton H. Schlosberg</w:t>
            </w:r>
          </w:p>
        </w:tc>
        <w:tc>
          <w:tcPr>
            <w:tcW w:w="40" w:type="dxa"/>
            <w:vAlign w:val="bottom"/>
          </w:tcPr>
          <w:p>
            <w:pPr>
              <w:spacing w:after="0"/>
              <w:rPr>
                <w:sz w:val="21"/>
                <w:szCs w:val="21"/>
                <w:color w:val="auto"/>
              </w:rPr>
            </w:pPr>
          </w:p>
        </w:tc>
      </w:tr>
      <w:tr>
        <w:trPr>
          <w:trHeight w:val="206"/>
        </w:trPr>
        <w:tc>
          <w:tcPr>
            <w:tcW w:w="860" w:type="dxa"/>
            <w:vAlign w:val="bottom"/>
          </w:tcPr>
          <w:p>
            <w:pPr>
              <w:spacing w:after="0"/>
              <w:rPr>
                <w:sz w:val="17"/>
                <w:szCs w:val="17"/>
                <w:color w:val="auto"/>
              </w:rPr>
            </w:pPr>
          </w:p>
        </w:tc>
        <w:tc>
          <w:tcPr>
            <w:tcW w:w="4860" w:type="dxa"/>
            <w:vAlign w:val="bottom"/>
          </w:tcPr>
          <w:p>
            <w:pPr>
              <w:spacing w:after="0"/>
              <w:rPr>
                <w:sz w:val="17"/>
                <w:szCs w:val="17"/>
                <w:color w:val="auto"/>
              </w:rPr>
            </w:pPr>
          </w:p>
        </w:tc>
        <w:tc>
          <w:tcPr>
            <w:tcW w:w="5700" w:type="dxa"/>
            <w:vAlign w:val="bottom"/>
          </w:tcPr>
          <w:p>
            <w:pPr>
              <w:ind w:left="100"/>
              <w:spacing w:after="0" w:line="207" w:lineRule="exact"/>
              <w:rPr>
                <w:sz w:val="20"/>
                <w:szCs w:val="20"/>
                <w:color w:val="auto"/>
              </w:rPr>
            </w:pPr>
            <w:r>
              <w:rPr>
                <w:rFonts w:ascii="Arial" w:cs="Arial" w:eastAsia="Arial" w:hAnsi="Arial"/>
                <w:sz w:val="20"/>
                <w:szCs w:val="20"/>
                <w:color w:val="auto"/>
              </w:rPr>
              <w:t>Hilton H. Schlosberg</w:t>
            </w:r>
          </w:p>
        </w:tc>
        <w:tc>
          <w:tcPr>
            <w:tcW w:w="40" w:type="dxa"/>
            <w:vAlign w:val="bottom"/>
          </w:tcPr>
          <w:p>
            <w:pPr>
              <w:spacing w:after="0"/>
              <w:rPr>
                <w:sz w:val="17"/>
                <w:szCs w:val="17"/>
                <w:color w:val="auto"/>
              </w:rPr>
            </w:pPr>
          </w:p>
        </w:tc>
      </w:tr>
      <w:tr>
        <w:trPr>
          <w:trHeight w:val="230"/>
        </w:trPr>
        <w:tc>
          <w:tcPr>
            <w:tcW w:w="860" w:type="dxa"/>
            <w:vAlign w:val="bottom"/>
          </w:tcPr>
          <w:p>
            <w:pPr>
              <w:spacing w:after="0"/>
              <w:rPr>
                <w:sz w:val="19"/>
                <w:szCs w:val="19"/>
                <w:color w:val="auto"/>
              </w:rPr>
            </w:pPr>
          </w:p>
        </w:tc>
        <w:tc>
          <w:tcPr>
            <w:tcW w:w="4860" w:type="dxa"/>
            <w:vAlign w:val="bottom"/>
          </w:tcPr>
          <w:p>
            <w:pPr>
              <w:spacing w:after="0"/>
              <w:rPr>
                <w:sz w:val="19"/>
                <w:szCs w:val="19"/>
                <w:color w:val="auto"/>
              </w:rPr>
            </w:pPr>
          </w:p>
        </w:tc>
        <w:tc>
          <w:tcPr>
            <w:tcW w:w="5700" w:type="dxa"/>
            <w:vAlign w:val="bottom"/>
          </w:tcPr>
          <w:p>
            <w:pPr>
              <w:ind w:left="100"/>
              <w:spacing w:after="0"/>
              <w:rPr>
                <w:sz w:val="20"/>
                <w:szCs w:val="20"/>
                <w:color w:val="auto"/>
              </w:rPr>
            </w:pPr>
            <w:r>
              <w:rPr>
                <w:rFonts w:ascii="Arial" w:cs="Arial" w:eastAsia="Arial" w:hAnsi="Arial"/>
                <w:sz w:val="20"/>
                <w:szCs w:val="20"/>
                <w:color w:val="auto"/>
              </w:rPr>
              <w:t>Vice Chairman of the Board of Directors,</w:t>
            </w:r>
          </w:p>
        </w:tc>
        <w:tc>
          <w:tcPr>
            <w:tcW w:w="40" w:type="dxa"/>
            <w:vAlign w:val="bottom"/>
          </w:tcPr>
          <w:p>
            <w:pPr>
              <w:spacing w:after="0"/>
              <w:rPr>
                <w:sz w:val="19"/>
                <w:szCs w:val="19"/>
                <w:color w:val="auto"/>
              </w:rPr>
            </w:pPr>
          </w:p>
        </w:tc>
      </w:tr>
      <w:tr>
        <w:trPr>
          <w:trHeight w:val="230"/>
        </w:trPr>
        <w:tc>
          <w:tcPr>
            <w:tcW w:w="860" w:type="dxa"/>
            <w:vAlign w:val="bottom"/>
          </w:tcPr>
          <w:p>
            <w:pPr>
              <w:spacing w:after="0"/>
              <w:rPr>
                <w:sz w:val="19"/>
                <w:szCs w:val="19"/>
                <w:color w:val="auto"/>
              </w:rPr>
            </w:pPr>
          </w:p>
        </w:tc>
        <w:tc>
          <w:tcPr>
            <w:tcW w:w="4860" w:type="dxa"/>
            <w:vAlign w:val="bottom"/>
          </w:tcPr>
          <w:p>
            <w:pPr>
              <w:spacing w:after="0"/>
              <w:rPr>
                <w:sz w:val="19"/>
                <w:szCs w:val="19"/>
                <w:color w:val="auto"/>
              </w:rPr>
            </w:pPr>
          </w:p>
        </w:tc>
        <w:tc>
          <w:tcPr>
            <w:tcW w:w="5700" w:type="dxa"/>
            <w:vAlign w:val="bottom"/>
          </w:tcPr>
          <w:p>
            <w:pPr>
              <w:ind w:left="100"/>
              <w:spacing w:after="0"/>
              <w:rPr>
                <w:sz w:val="20"/>
                <w:szCs w:val="20"/>
                <w:color w:val="auto"/>
              </w:rPr>
            </w:pPr>
            <w:r>
              <w:rPr>
                <w:rFonts w:ascii="Arial" w:cs="Arial" w:eastAsia="Arial" w:hAnsi="Arial"/>
                <w:sz w:val="20"/>
                <w:szCs w:val="20"/>
                <w:color w:val="auto"/>
              </w:rPr>
              <w:t>President, Chief Operating Officer, Chief</w:t>
            </w:r>
          </w:p>
        </w:tc>
        <w:tc>
          <w:tcPr>
            <w:tcW w:w="40" w:type="dxa"/>
            <w:vAlign w:val="bottom"/>
          </w:tcPr>
          <w:p>
            <w:pPr>
              <w:spacing w:after="0"/>
              <w:rPr>
                <w:sz w:val="19"/>
                <w:szCs w:val="19"/>
                <w:color w:val="auto"/>
              </w:rPr>
            </w:pPr>
          </w:p>
        </w:tc>
      </w:tr>
      <w:tr>
        <w:trPr>
          <w:trHeight w:val="250"/>
        </w:trPr>
        <w:tc>
          <w:tcPr>
            <w:tcW w:w="860" w:type="dxa"/>
            <w:vAlign w:val="bottom"/>
          </w:tcPr>
          <w:p>
            <w:pPr>
              <w:spacing w:after="0"/>
              <w:rPr>
                <w:sz w:val="21"/>
                <w:szCs w:val="21"/>
                <w:color w:val="auto"/>
              </w:rPr>
            </w:pPr>
          </w:p>
        </w:tc>
        <w:tc>
          <w:tcPr>
            <w:tcW w:w="4860" w:type="dxa"/>
            <w:vAlign w:val="bottom"/>
          </w:tcPr>
          <w:p>
            <w:pPr>
              <w:spacing w:after="0"/>
              <w:rPr>
                <w:sz w:val="21"/>
                <w:szCs w:val="21"/>
                <w:color w:val="auto"/>
              </w:rPr>
            </w:pPr>
          </w:p>
        </w:tc>
        <w:tc>
          <w:tcPr>
            <w:tcW w:w="5700" w:type="dxa"/>
            <w:vAlign w:val="bottom"/>
          </w:tcPr>
          <w:p>
            <w:pPr>
              <w:ind w:left="100"/>
              <w:spacing w:after="0"/>
              <w:rPr>
                <w:sz w:val="20"/>
                <w:szCs w:val="20"/>
                <w:color w:val="auto"/>
              </w:rPr>
            </w:pPr>
            <w:r>
              <w:rPr>
                <w:rFonts w:ascii="Arial" w:cs="Arial" w:eastAsia="Arial" w:hAnsi="Arial"/>
                <w:sz w:val="20"/>
                <w:szCs w:val="20"/>
                <w:color w:val="auto"/>
              </w:rPr>
              <w:t>Financial Officer and Secretary</w:t>
            </w:r>
          </w:p>
        </w:tc>
        <w:tc>
          <w:tcPr>
            <w:tcW w:w="40" w:type="dxa"/>
            <w:vAlign w:val="bottom"/>
          </w:tcPr>
          <w:p>
            <w:pPr>
              <w:spacing w:after="0"/>
              <w:rPr>
                <w:sz w:val="21"/>
                <w:szCs w:val="21"/>
                <w:color w:val="auto"/>
              </w:rPr>
            </w:pPr>
          </w:p>
        </w:tc>
      </w:tr>
      <w:tr>
        <w:trPr>
          <w:trHeight w:val="344"/>
        </w:trPr>
        <w:tc>
          <w:tcPr>
            <w:tcW w:w="860" w:type="dxa"/>
            <w:vAlign w:val="bottom"/>
            <w:tcBorders>
              <w:bottom w:val="single" w:sz="8" w:color="010101"/>
            </w:tcBorders>
          </w:tcPr>
          <w:p>
            <w:pPr>
              <w:spacing w:after="0"/>
              <w:rPr>
                <w:sz w:val="24"/>
                <w:szCs w:val="24"/>
                <w:color w:val="auto"/>
              </w:rPr>
            </w:pPr>
          </w:p>
        </w:tc>
        <w:tc>
          <w:tcPr>
            <w:tcW w:w="4860" w:type="dxa"/>
            <w:vAlign w:val="bottom"/>
            <w:tcBorders>
              <w:bottom w:val="single" w:sz="8" w:color="010101"/>
            </w:tcBorders>
          </w:tcPr>
          <w:p>
            <w:pPr>
              <w:spacing w:after="0"/>
              <w:rPr>
                <w:sz w:val="24"/>
                <w:szCs w:val="24"/>
                <w:color w:val="auto"/>
              </w:rPr>
            </w:pPr>
          </w:p>
        </w:tc>
        <w:tc>
          <w:tcPr>
            <w:tcW w:w="570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112"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31BD7B7"/>
    <w:multiLevelType w:val="hybridMultilevel"/>
    <w:lvl w:ilvl="0">
      <w:lvlJc w:val="left"/>
      <w:lvlText w:val="%1."/>
      <w:numFmt w:val="decimal"/>
      <w:start w:val="1"/>
    </w:lvl>
  </w:abstractNum>
  <w:abstractNum w:abstractNumId="1">
    <w:nsid w:val="3F2DBA31"/>
    <w:multiLevelType w:val="hybridMultilevel"/>
    <w:lvl w:ilvl="0">
      <w:lvlJc w:val="left"/>
      <w:lvlText w:val="(%1)"/>
      <w:numFmt w:val="lowerRoman"/>
      <w:start w:val="2"/>
    </w:lvl>
  </w:abstractNum>
  <w:abstractNum w:abstractNumId="2">
    <w:nsid w:val="7C83E458"/>
    <w:multiLevelType w:val="hybridMultilevel"/>
    <w:lvl w:ilvl="0">
      <w:lvlJc w:val="left"/>
      <w:lvlText w:val="%1."/>
      <w:numFmt w:val="decimal"/>
      <w:start w:val="2"/>
    </w:lvl>
  </w:abstractNum>
  <w:abstractNum w:abstractNumId="3">
    <w:nsid w:val="257130A3"/>
    <w:multiLevelType w:val="hybridMultilevel"/>
    <w:lvl w:ilvl="0">
      <w:lvlJc w:val="left"/>
      <w:lvlText w:val="%1."/>
      <w:numFmt w:val="decimal"/>
      <w:start w:val="3"/>
    </w:lvl>
  </w:abstractNum>
  <w:abstractNum w:abstractNumId="4">
    <w:nsid w:val="62BBD95A"/>
    <w:multiLevelType w:val="hybridMultilevel"/>
    <w:lvl w:ilvl="0">
      <w:lvlJc w:val="left"/>
      <w:lvlText w:val="%1."/>
      <w:numFmt w:val="decimal"/>
      <w:start w:val="4"/>
    </w:lvl>
  </w:abstractNum>
  <w:abstractNum w:abstractNumId="5">
    <w:nsid w:val="436C6125"/>
    <w:multiLevelType w:val="hybridMultilevel"/>
    <w:lvl w:ilvl="0">
      <w:lvlJc w:val="left"/>
      <w:lvlText w:val="·"/>
      <w:numFmt w:val="bullet"/>
      <w:start w:val="1"/>
    </w:lvl>
  </w:abstractNum>
  <w:abstractNum w:abstractNumId="6">
    <w:nsid w:val="628C895D"/>
    <w:multiLevelType w:val="hybridMultilevel"/>
    <w:lvl w:ilvl="0">
      <w:lvlJc w:val="left"/>
      <w:lvlText w:val="%1."/>
      <w:numFmt w:val="decimal"/>
      <w:start w:val="5"/>
    </w:lvl>
  </w:abstractNum>
  <w:abstractNum w:abstractNumId="7">
    <w:nsid w:val="333AB105"/>
    <w:multiLevelType w:val="hybridMultilevel"/>
    <w:lvl w:ilvl="0">
      <w:lvlJc w:val="left"/>
      <w:lvlText w:val="%1."/>
      <w:numFmt w:val="decimal"/>
      <w:start w:val="6"/>
    </w:lvl>
  </w:abstractNum>
  <w:abstractNum w:abstractNumId="8">
    <w:nsid w:val="721DA317"/>
    <w:multiLevelType w:val="hybridMultilevel"/>
    <w:lvl w:ilvl="0">
      <w:lvlJc w:val="left"/>
      <w:lvlText w:val="%1."/>
      <w:numFmt w:val="decimal"/>
      <w:start w:val="7"/>
    </w:lvl>
  </w:abstractNum>
  <w:abstractNum w:abstractNumId="9">
    <w:nsid w:val="2443A858"/>
    <w:multiLevelType w:val="hybridMultilevel"/>
    <w:lvl w:ilvl="0">
      <w:lvlJc w:val="left"/>
      <w:lvlText w:val="%1."/>
      <w:numFmt w:val="decimal"/>
      <w:start w:val="8"/>
    </w:lvl>
  </w:abstractNum>
  <w:abstractNum w:abstractNumId="10">
    <w:nsid w:val="2D1D5AE9"/>
    <w:multiLevelType w:val="hybridMultilevel"/>
    <w:lvl w:ilvl="0">
      <w:lvlJc w:val="left"/>
      <w:lvlText w:val="%1."/>
      <w:numFmt w:val="decimal"/>
      <w:start w:val="9"/>
    </w:lvl>
  </w:abstractNum>
  <w:abstractNum w:abstractNumId="11">
    <w:nsid w:val="6763845E"/>
    <w:multiLevelType w:val="hybridMultilevel"/>
    <w:lvl w:ilvl="0">
      <w:lvlJc w:val="left"/>
      <w:lvlText w:val="%1."/>
      <w:numFmt w:val="decimal"/>
      <w:start w:val="10"/>
    </w:lvl>
  </w:abstractNum>
  <w:abstractNum w:abstractNumId="12">
    <w:nsid w:val="75A2A8D4"/>
    <w:multiLevelType w:val="hybridMultilevel"/>
    <w:lvl w:ilvl="0">
      <w:lvlJc w:val="left"/>
      <w:lvlText w:val="%1."/>
      <w:numFmt w:val="decimal"/>
      <w:start w:val="11"/>
    </w:lvl>
  </w:abstractNum>
  <w:abstractNum w:abstractNumId="13">
    <w:nsid w:val="8EDBDAB"/>
    <w:multiLevelType w:val="hybridMultilevel"/>
    <w:lvl w:ilvl="0">
      <w:lvlJc w:val="left"/>
      <w:lvlText w:val="%1."/>
      <w:numFmt w:val="decimal"/>
      <w:start w:val="12"/>
    </w:lvl>
  </w:abstractNum>
  <w:abstractNum w:abstractNumId="14">
    <w:nsid w:val="79838CB2"/>
    <w:multiLevelType w:val="hybridMultilevel"/>
    <w:lvl w:ilvl="0">
      <w:lvlJc w:val="left"/>
      <w:lvlText w:val="%1."/>
      <w:numFmt w:val="decimal"/>
      <w:start w:val="13"/>
    </w:lvl>
  </w:abstractNum>
  <w:abstractNum w:abstractNumId="15">
    <w:nsid w:val="4353D0CD"/>
    <w:multiLevelType w:val="hybridMultilevel"/>
    <w:lvl w:ilvl="0">
      <w:lvlJc w:val="left"/>
      <w:lvlText w:val="%1."/>
      <w:numFmt w:val="decimal"/>
      <w:start w:val="14"/>
    </w:lvl>
  </w:abstractNum>
  <w:abstractNum w:abstractNumId="16">
    <w:nsid w:val="B03E0C6"/>
    <w:multiLevelType w:val="hybridMultilevel"/>
    <w:lvl w:ilvl="0">
      <w:lvlJc w:val="left"/>
      <w:lvlText w:val="%1."/>
      <w:numFmt w:val="decimal"/>
      <w:start w:val="15"/>
    </w:lvl>
  </w:abstractNum>
  <w:abstractNum w:abstractNumId="17">
    <w:nsid w:val="189A769B"/>
    <w:multiLevelType w:val="hybridMultilevel"/>
    <w:lvl w:ilvl="0">
      <w:lvlJc w:val="left"/>
      <w:lvlText w:val="%1."/>
      <w:numFmt w:val="decimal"/>
      <w:start w:val="16"/>
    </w:lvl>
  </w:abstractNum>
  <w:abstractNum w:abstractNumId="18">
    <w:nsid w:val="54E49EB4"/>
    <w:multiLevelType w:val="hybridMultilevel"/>
    <w:lvl w:ilvl="0">
      <w:lvlJc w:val="left"/>
      <w:lvlText w:val="·"/>
      <w:numFmt w:val="bullet"/>
      <w:start w:val="1"/>
    </w:lvl>
  </w:abstractNum>
  <w:abstractNum w:abstractNumId="19">
    <w:nsid w:val="71F32454"/>
    <w:multiLevelType w:val="hybridMultilevel"/>
    <w:lvl w:ilvl="0">
      <w:lvlJc w:val="left"/>
      <w:lvlText w:val="·"/>
      <w:numFmt w:val="bullet"/>
      <w:start w:val="1"/>
    </w:lvl>
  </w:abstractNum>
  <w:abstractNum w:abstractNumId="20">
    <w:nsid w:val="2CA88611"/>
    <w:multiLevelType w:val="hybridMultilevel"/>
    <w:lvl w:ilvl="0">
      <w:lvlJc w:val="left"/>
      <w:lvlText w:val="·"/>
      <w:numFmt w:val="bullet"/>
      <w:start w:val="1"/>
    </w:lvl>
  </w:abstractNum>
  <w:abstractNum w:abstractNumId="21">
    <w:nsid w:val="836C40E"/>
    <w:multiLevelType w:val="hybridMultilevel"/>
    <w:lvl w:ilvl="0">
      <w:lvlJc w:val="left"/>
      <w:lvlText w:val="·"/>
      <w:numFmt w:val="bullet"/>
      <w:start w:val="1"/>
    </w:lvl>
  </w:abstractNum>
  <w:abstractNum w:abstractNumId="22">
    <w:nsid w:val="2901D82"/>
    <w:multiLevelType w:val="hybridMultilevel"/>
    <w:lvl w:ilvl="0">
      <w:lvlJc w:val="left"/>
      <w:lvlText w:val="·"/>
      <w:numFmt w:val="bullet"/>
      <w:start w:val="1"/>
    </w:lvl>
  </w:abstractNum>
  <w:abstractNum w:abstractNumId="23">
    <w:nsid w:val="3A95F874"/>
    <w:multiLevelType w:val="hybridMultilevel"/>
    <w:lvl w:ilvl="0">
      <w:lvlJc w:val="left"/>
      <w:lvlText w:val="·"/>
      <w:numFmt w:val="bullet"/>
      <w:start w:val="1"/>
    </w:lvl>
  </w:abstractNum>
  <w:abstractNum w:abstractNumId="24">
    <w:nsid w:val="8138641"/>
    <w:multiLevelType w:val="hybridMultilevel"/>
    <w:lvl w:ilvl="0">
      <w:lvlJc w:val="left"/>
      <w:lvlText w:val="**"/>
      <w:numFmt w:val="bullet"/>
      <w:start w:val="1"/>
    </w:lvl>
  </w:abstractNum>
  <w:abstractNum w:abstractNumId="25">
    <w:nsid w:val="1E7FF521"/>
    <w:multiLevelType w:val="hybridMultilevel"/>
    <w:lvl w:ilvl="0">
      <w:lvlJc w:val="left"/>
      <w:lvlText w:val="·"/>
      <w:numFmt w:val="bullet"/>
      <w:start w:val="1"/>
    </w:lvl>
  </w:abstractNum>
  <w:abstractNum w:abstractNumId="26">
    <w:nsid w:val="7C3DBD3D"/>
    <w:multiLevelType w:val="hybridMultilevel"/>
    <w:lvl w:ilvl="0">
      <w:lvlJc w:val="left"/>
      <w:lvlText w:val="·"/>
      <w:numFmt w:val="bullet"/>
      <w:start w:val="1"/>
    </w:lvl>
  </w:abstractNum>
  <w:abstractNum w:abstractNumId="27">
    <w:nsid w:val="737B8DDC"/>
    <w:multiLevelType w:val="hybridMultilevel"/>
    <w:lvl w:ilvl="0">
      <w:lvlJc w:val="left"/>
      <w:lvlText w:val="·"/>
      <w:numFmt w:val="bullet"/>
      <w:start w:val="1"/>
    </w:lvl>
  </w:abstractNum>
  <w:abstractNum w:abstractNumId="28">
    <w:nsid w:val="6CEAF087"/>
    <w:multiLevelType w:val="hybridMultilevel"/>
    <w:lvl w:ilvl="0">
      <w:lvlJc w:val="left"/>
      <w:lvlText w:val="·"/>
      <w:numFmt w:val="bullet"/>
      <w:start w:val="1"/>
    </w:lvl>
  </w:abstractNum>
  <w:abstractNum w:abstractNumId="29">
    <w:nsid w:val="22221A70"/>
    <w:multiLevelType w:val="hybridMultilevel"/>
    <w:lvl w:ilvl="0">
      <w:lvlJc w:val="left"/>
      <w:lvlText w:val="*"/>
      <w:numFmt w:val="bullet"/>
      <w:start w:val="1"/>
    </w:lvl>
    <w:lvl w:ilvl="1">
      <w:lvlJc w:val="left"/>
      <w:lvlText w:val="(%2)"/>
      <w:numFmt w:val="lowerRoman"/>
      <w:start w:val="1"/>
    </w:lvl>
  </w:abstractNum>
  <w:abstractNum w:abstractNumId="30">
    <w:nsid w:val="4516DDE9"/>
    <w:multiLevelType w:val="hybridMultilevel"/>
    <w:lvl w:ilvl="0">
      <w:lvlJc w:val="left"/>
      <w:lvlText w:val="*"/>
      <w:numFmt w:val="bullet"/>
      <w:start w:val="1"/>
    </w:lvl>
    <w:lvl w:ilvl="1">
      <w:lvlJc w:val="left"/>
      <w:lvlText w:val="(%2)"/>
      <w:numFmt w:val="lowerRoman"/>
      <w:start w:val="3"/>
    </w:lvl>
  </w:abstractNum>
  <w:abstractNum w:abstractNumId="31">
    <w:nsid w:val="3006C83E"/>
    <w:multiLevelType w:val="hybridMultilevel"/>
    <w:lvl w:ilvl="0">
      <w:lvlJc w:val="left"/>
      <w:lvlText w:val="%1."/>
      <w:numFmt w:val="decimal"/>
      <w:start w:val="1"/>
    </w:lvl>
    <w:lvl w:ilvl="1">
      <w:lvlJc w:val="left"/>
      <w:lvlText w:val="%2."/>
      <w:numFmt w:val="lowerLetter"/>
      <w:start w:val="1"/>
    </w:lvl>
  </w:abstractNum>
  <w:abstractNum w:abstractNumId="32">
    <w:nsid w:val="614FD4A1"/>
    <w:multiLevelType w:val="hybridMultilevel"/>
    <w:lvl w:ilvl="0">
      <w:lvlJc w:val="left"/>
      <w:lvlText w:val="%1."/>
      <w:numFmt w:val="decimal"/>
      <w:start w:val="1"/>
    </w:lvl>
    <w:lvl w:ilvl="1">
      <w:lvlJc w:val="left"/>
      <w:lvlText w:val="%2."/>
      <w:numFmt w:val="lowerLetter"/>
      <w:start w:val="1"/>
    </w:lvl>
  </w:abstractNum>
  <w:abstractNum w:abstractNumId="33">
    <w:nsid w:val="419AC241"/>
    <w:multiLevelType w:val="hybridMultilevel"/>
    <w:lvl w:ilvl="0">
      <w:lvlJc w:val="left"/>
      <w:lvlText w:val="%1."/>
      <w:numFmt w:val="decimal"/>
      <w:start w:val="1"/>
    </w:lvl>
  </w:abstractNum>
  <w:abstractNum w:abstractNumId="34">
    <w:nsid w:val="5577F8E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2019-12-09T09:45:37Z</dcterms:created>
  <dcterms:modified xsi:type="dcterms:W3CDTF">2019-12-09T09:45:37Z</dcterms:modified>
</cp:coreProperties>
</file>