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8380" w:val="left"/>
        </w:tabs>
        <w:rPr>
          <w:sz w:val="20"/>
          <w:szCs w:val="20"/>
          <w:color w:val="auto"/>
        </w:rPr>
      </w:pPr>
      <w:r>
        <w:rPr>
          <w:rFonts w:ascii="Arial" w:cs="Arial" w:eastAsia="Arial" w:hAnsi="Arial"/>
          <w:sz w:val="22"/>
          <w:szCs w:val="22"/>
          <w:color w:val="auto"/>
        </w:rPr>
        <w:t>For the quarterly period ended March 31, 2013</w:t>
      </w:r>
      <w:r>
        <w:rPr>
          <w:sz w:val="20"/>
          <w:szCs w:val="20"/>
          <w:color w:val="auto"/>
        </w:rPr>
        <w:tab/>
      </w:r>
      <w:r>
        <w:rPr>
          <w:rFonts w:ascii="Arial" w:cs="Arial" w:eastAsia="Arial" w:hAnsi="Arial"/>
          <w:sz w:val="19"/>
          <w:szCs w:val="19"/>
          <w:color w:val="auto"/>
        </w:rPr>
        <w:t>Commission File Number 0-18761</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05" w:lineRule="exact"/>
        <w:rPr>
          <w:sz w:val="24"/>
          <w:szCs w:val="24"/>
          <w:color w:val="auto"/>
        </w:rPr>
      </w:pPr>
    </w:p>
    <w:p>
      <w:pPr>
        <w:jc w:val="center"/>
        <w:ind w:left="920"/>
        <w:spacing w:after="0"/>
        <w:rPr>
          <w:sz w:val="20"/>
          <w:szCs w:val="20"/>
          <w:color w:val="auto"/>
        </w:rPr>
      </w:pPr>
      <w:r>
        <w:rPr>
          <w:rFonts w:ascii="Arial" w:cs="Arial" w:eastAsia="Arial" w:hAnsi="Arial"/>
          <w:sz w:val="19"/>
          <w:szCs w:val="19"/>
          <w:color w:val="auto"/>
        </w:rPr>
        <w:t>Delaware</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Arial" w:cs="Arial" w:eastAsia="Arial" w:hAnsi="Arial"/>
          <w:sz w:val="19"/>
          <w:szCs w:val="19"/>
          <w:color w:val="auto"/>
        </w:rPr>
        <w:t>39-1679918</w:t>
      </w:r>
    </w:p>
    <w:p>
      <w:pPr>
        <w:spacing w:after="0" w:line="27" w:lineRule="exact"/>
        <w:rPr>
          <w:sz w:val="24"/>
          <w:szCs w:val="24"/>
          <w:color w:val="auto"/>
        </w:rPr>
      </w:pPr>
    </w:p>
    <w:p>
      <w:pPr>
        <w:sectPr>
          <w:pgSz w:w="11900" w:h="16838" w:orient="portrait"/>
          <w:cols w:equalWidth="0" w:num="2">
            <w:col w:w="6260" w:space="720"/>
            <w:col w:w="4440"/>
          </w:cols>
          <w:pgMar w:left="240" w:top="233" w:right="239" w:bottom="0" w:gutter="0" w:footer="0" w:header="0"/>
          <w:type w:val="continuous"/>
        </w:sectPr>
      </w:pPr>
    </w:p>
    <w:p>
      <w:pPr>
        <w:spacing w:after="0" w:line="11" w:lineRule="exact"/>
        <w:rPr>
          <w:sz w:val="24"/>
          <w:szCs w:val="24"/>
          <w:color w:val="auto"/>
        </w:rPr>
      </w:pPr>
    </w:p>
    <w:p>
      <w:pPr>
        <w:ind w:left="3180"/>
        <w:spacing w:after="0"/>
        <w:rPr>
          <w:sz w:val="20"/>
          <w:szCs w:val="20"/>
          <w:color w:val="auto"/>
        </w:rPr>
      </w:pPr>
      <w:r>
        <w:rPr>
          <w:rFonts w:ascii="Arial" w:cs="Arial" w:eastAsia="Arial" w:hAnsi="Arial"/>
          <w:sz w:val="13"/>
          <w:szCs w:val="13"/>
          <w:color w:val="auto"/>
        </w:rPr>
        <w:t>(State or other jurisdiction of</w:t>
      </w:r>
    </w:p>
    <w:p>
      <w:pPr>
        <w:ind w:left="318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6260" w:space="720"/>
            <w:col w:w="4440"/>
          </w:cols>
          <w:pgMar w:left="240" w:top="233" w:right="239" w:bottom="0" w:gutter="0" w:footer="0" w:header="0"/>
          <w:type w:val="continuous"/>
        </w:sect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550 Monica Circle, Suite 201</w:t>
      </w:r>
    </w:p>
    <w:p>
      <w:pPr>
        <w:jc w:val="center"/>
        <w:spacing w:after="0" w:line="235" w:lineRule="auto"/>
        <w:rPr>
          <w:sz w:val="20"/>
          <w:szCs w:val="20"/>
          <w:color w:val="auto"/>
        </w:rPr>
      </w:pPr>
      <w:r>
        <w:rPr>
          <w:rFonts w:ascii="Arial" w:cs="Arial" w:eastAsia="Arial" w:hAnsi="Arial"/>
          <w:sz w:val="22"/>
          <w:szCs w:val="22"/>
          <w:color w:val="auto"/>
        </w:rPr>
        <w:t>Corona, California 92880</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(951) 739 – 6200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6"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16"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0"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32"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58" w:lineRule="exact"/>
        <w:rPr>
          <w:sz w:val="24"/>
          <w:szCs w:val="24"/>
          <w:color w:val="auto"/>
        </w:rPr>
      </w:pPr>
    </w:p>
    <w:p>
      <w:pPr>
        <w:sectPr>
          <w:pgSz w:w="11900" w:h="16838" w:orient="portrait"/>
          <w:cols w:equalWidth="0" w:num="2">
            <w:col w:w="7100" w:space="720"/>
            <w:col w:w="3600"/>
          </w:cols>
          <w:pgMar w:left="240" w:top="233" w:right="239" w:bottom="0" w:gutter="0" w:footer="0" w:header="0"/>
          <w:type w:val="continuous"/>
        </w:sectPr>
      </w:pPr>
    </w:p>
    <w:p>
      <w:pPr>
        <w:spacing w:after="0"/>
        <w:rPr>
          <w:sz w:val="20"/>
          <w:szCs w:val="20"/>
          <w:color w:val="auto"/>
        </w:rPr>
      </w:pPr>
      <w:r>
        <w:rPr>
          <w:rFonts w:ascii="Arial" w:cs="Arial" w:eastAsia="Arial" w:hAnsi="Arial"/>
          <w:sz w:val="18"/>
          <w:szCs w:val="18"/>
          <w:color w:val="auto"/>
        </w:rPr>
        <w:t>Non-accelerated filer o (Do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22" w:lineRule="exact"/>
        <w:rPr>
          <w:sz w:val="24"/>
          <w:szCs w:val="24"/>
          <w:color w:val="auto"/>
        </w:rPr>
      </w:pPr>
    </w:p>
    <w:p>
      <w:pPr>
        <w:sectPr>
          <w:pgSz w:w="11900" w:h="16838" w:orient="portrait"/>
          <w:cols w:equalWidth="0" w:num="2">
            <w:col w:w="7100" w:space="720"/>
            <w:col w:w="3600"/>
          </w:cols>
          <w:pgMar w:left="240" w:top="233" w:right="239" w:bottom="0" w:gutter="0" w:footer="0" w:header="0"/>
          <w:type w:val="continuous"/>
        </w:sectPr>
      </w:pPr>
    </w:p>
    <w:p>
      <w:pPr>
        <w:spacing w:after="0" w:line="255"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2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Registrant had 165,963,808 shares of common stock, par value $0.005 per share, outstanding as of April 26,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MONSTER BEVERAGE CORPORATION AND SUBSIDIARIES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MARCH 31, 2013</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INDEX</w:t>
      </w:r>
    </w:p>
    <w:p>
      <w:pPr>
        <w:spacing w:after="0" w:line="233" w:lineRule="exact"/>
        <w:rPr>
          <w:sz w:val="24"/>
          <w:szCs w:val="24"/>
          <w:color w:val="auto"/>
        </w:rPr>
      </w:pPr>
    </w:p>
    <w:p>
      <w:pPr>
        <w:spacing w:after="0"/>
        <w:tabs>
          <w:tab w:leader="none" w:pos="1380" w:val="left"/>
          <w:tab w:leader="none" w:pos="10420" w:val="left"/>
        </w:tabs>
        <w:rPr>
          <w:rFonts w:ascii="Arial" w:cs="Arial" w:eastAsia="Arial" w:hAnsi="Arial"/>
          <w:sz w:val="22"/>
          <w:szCs w:val="22"/>
          <w:b w:val="1"/>
          <w:bCs w:val="1"/>
          <w:u w:val="single" w:color="auto"/>
          <w:color w:val="0000EE"/>
        </w:rPr>
      </w:pPr>
      <w:hyperlink w:anchor="page2">
        <w:r>
          <w:rPr>
            <w:rFonts w:ascii="Arial" w:cs="Arial" w:eastAsia="Arial" w:hAnsi="Arial"/>
            <w:sz w:val="22"/>
            <w:szCs w:val="22"/>
            <w:b w:val="1"/>
            <w:bCs w:val="1"/>
            <w:u w:val="single" w:color="auto"/>
            <w:color w:val="0000EE"/>
          </w:rPr>
          <w:t>Part I.</w:t>
        </w:r>
      </w:hyperlink>
      <w:r>
        <w:rPr>
          <w:rFonts w:ascii="Arial" w:cs="Arial" w:eastAsia="Arial" w:hAnsi="Arial"/>
          <w:sz w:val="22"/>
          <w:szCs w:val="22"/>
          <w:b w:val="1"/>
          <w:bCs w:val="1"/>
          <w:u w:val="single" w:color="auto"/>
          <w:color w:val="0000EE"/>
        </w:rPr>
        <w:tab/>
      </w:r>
      <w:hyperlink w:anchor="page2">
        <w:r>
          <w:rPr>
            <w:rFonts w:ascii="Arial" w:cs="Arial" w:eastAsia="Arial" w:hAnsi="Arial"/>
            <w:sz w:val="22"/>
            <w:szCs w:val="22"/>
            <w:b w:val="1"/>
            <w:bCs w:val="1"/>
            <w:u w:val="single" w:color="auto"/>
            <w:color w:val="0000EE"/>
          </w:rPr>
          <w:t>FINANCIAL INFORMATION</w:t>
        </w:r>
      </w:hyperlink>
      <w:r>
        <w:rPr>
          <w:rFonts w:ascii="Arial" w:cs="Arial" w:eastAsia="Arial" w:hAnsi="Arial"/>
          <w:sz w:val="22"/>
          <w:szCs w:val="22"/>
          <w:b w:val="1"/>
          <w:bCs w:val="1"/>
          <w:u w:val="single" w:color="auto"/>
          <w:color w:val="0000EE"/>
        </w:rPr>
        <w:tab/>
      </w:r>
      <w:r>
        <w:rPr>
          <w:rFonts w:ascii="Arial" w:cs="Arial" w:eastAsia="Arial" w:hAnsi="Arial"/>
          <w:sz w:val="19"/>
          <w:szCs w:val="19"/>
          <w:b w:val="1"/>
          <w:bCs w:val="1"/>
          <w:u w:val="single" w:color="auto"/>
          <w:color w:val="0000EE"/>
        </w:rPr>
        <w:t>Page No.</w:t>
      </w:r>
    </w:p>
    <w:p>
      <w:pPr>
        <w:sectPr>
          <w:pgSz w:w="11900" w:h="16838" w:orient="portrait"/>
          <w:cols w:equalWidth="0" w:num="1">
            <w:col w:w="11420"/>
          </w:cols>
          <w:pgMar w:left="240" w:top="233"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400" w:type="dxa"/>
            <w:vAlign w:val="bottom"/>
            <w:gridSpan w:val="4"/>
          </w:tcPr>
          <w:p>
            <w:pPr>
              <w:spacing w:after="0"/>
              <w:rPr>
                <w:rFonts w:ascii="Arial" w:cs="Arial" w:eastAsia="Arial" w:hAnsi="Arial"/>
                <w:sz w:val="22"/>
                <w:szCs w:val="22"/>
                <w:color w:val="0000EE"/>
              </w:rPr>
            </w:pPr>
            <w:hyperlink w:anchor="page2">
              <w:r>
                <w:rPr>
                  <w:rFonts w:ascii="Arial" w:cs="Arial" w:eastAsia="Arial" w:hAnsi="Arial"/>
                  <w:sz w:val="22"/>
                  <w:szCs w:val="22"/>
                  <w:color w:val="0000EE"/>
                </w:rPr>
                <w:t>Item 1.</w:t>
              </w:r>
            </w:hyperlink>
          </w:p>
        </w:tc>
        <w:tc>
          <w:tcPr>
            <w:tcW w:w="9100" w:type="dxa"/>
            <w:vAlign w:val="bottom"/>
            <w:gridSpan w:val="18"/>
          </w:tcPr>
          <w:p>
            <w:pPr>
              <w:spacing w:after="0"/>
              <w:rPr>
                <w:rFonts w:ascii="Arial" w:cs="Arial" w:eastAsia="Arial" w:hAnsi="Arial"/>
                <w:sz w:val="22"/>
                <w:szCs w:val="22"/>
                <w:color w:val="0000EE"/>
              </w:rPr>
            </w:pPr>
            <w:hyperlink w:anchor="page2">
              <w:r>
                <w:rPr>
                  <w:rFonts w:ascii="Arial" w:cs="Arial" w:eastAsia="Arial" w:hAnsi="Arial"/>
                  <w:sz w:val="22"/>
                  <w:szCs w:val="22"/>
                  <w:color w:val="0000EE"/>
                </w:rPr>
                <w:t>Condensed Consolidated Financial Statements (Unaudited)</w:t>
              </w:r>
            </w:hyperlink>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40" w:type="dxa"/>
            <w:vAlign w:val="bottom"/>
            <w:tcBorders>
              <w:bottom w:val="single" w:sz="8" w:color="0000EE"/>
            </w:tcBorders>
            <w:gridSpan w:val="14"/>
          </w:tcPr>
          <w:p>
            <w:pPr>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Condensed Consolidated Balance Sheets as of March 31, 2013 and December 31, 2012</w:t>
              </w:r>
            </w:hyperlink>
          </w:p>
        </w:tc>
        <w:tc>
          <w:tcPr>
            <w:tcW w:w="156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22"/>
                <w:szCs w:val="22"/>
                <w:color w:val="0000EE"/>
                <w:w w:val="95"/>
              </w:rPr>
            </w:pPr>
            <w:hyperlink w:anchor="page3">
              <w:r>
                <w:rPr>
                  <w:rFonts w:ascii="Arial" w:cs="Arial" w:eastAsia="Arial" w:hAnsi="Arial"/>
                  <w:sz w:val="22"/>
                  <w:szCs w:val="22"/>
                  <w:color w:val="0000EE"/>
                  <w:w w:val="95"/>
                </w:rPr>
                <w:t>Condensed Consolidated Statements of Income for the Three-Months Ended March 31, 2013 and</w:t>
              </w:r>
            </w:hyperlink>
          </w:p>
        </w:tc>
        <w:tc>
          <w:tcPr>
            <w:tcW w:w="96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Borders>
              <w:top w:val="single" w:sz="8" w:color="0000EE"/>
              <w:bottom w:val="single" w:sz="8" w:color="0000EE"/>
            </w:tcBorders>
          </w:tcPr>
          <w:p>
            <w:pPr>
              <w:spacing w:after="0" w:line="223" w:lineRule="exact"/>
              <w:rPr>
                <w:rFonts w:ascii="Arial" w:cs="Arial" w:eastAsia="Arial" w:hAnsi="Arial"/>
                <w:sz w:val="22"/>
                <w:szCs w:val="22"/>
                <w:color w:val="0000EE"/>
                <w:w w:val="85"/>
              </w:rPr>
            </w:pPr>
            <w:hyperlink w:anchor="page3">
              <w:r>
                <w:rPr>
                  <w:rFonts w:ascii="Arial" w:cs="Arial" w:eastAsia="Arial" w:hAnsi="Arial"/>
                  <w:sz w:val="22"/>
                  <w:szCs w:val="22"/>
                  <w:color w:val="0000EE"/>
                  <w:w w:val="85"/>
                </w:rPr>
                <w:t>2012</w:t>
              </w:r>
            </w:hyperlink>
          </w:p>
        </w:tc>
        <w:tc>
          <w:tcPr>
            <w:tcW w:w="2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2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3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22"/>
                <w:szCs w:val="22"/>
                <w:color w:val="0000EE"/>
                <w:w w:val="99"/>
              </w:rPr>
            </w:pPr>
            <w:hyperlink w:anchor="page4">
              <w:r>
                <w:rPr>
                  <w:rFonts w:ascii="Arial" w:cs="Arial" w:eastAsia="Arial" w:hAnsi="Arial"/>
                  <w:sz w:val="22"/>
                  <w:szCs w:val="22"/>
                  <w:color w:val="0000EE"/>
                  <w:w w:val="99"/>
                </w:rPr>
                <w:t>Condensed Consolidated Statements of Comprehensive Income for the Three-Months Ended</w:t>
              </w:r>
            </w:hyperlink>
          </w:p>
        </w:tc>
        <w:tc>
          <w:tcPr>
            <w:tcW w:w="96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20" w:type="dxa"/>
            <w:vAlign w:val="bottom"/>
            <w:tcBorders>
              <w:top w:val="single" w:sz="8" w:color="0000EE"/>
            </w:tcBorders>
            <w:gridSpan w:val="16"/>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March 31, 2013 and 2012</w:t>
              </w:r>
            </w:hyperlink>
          </w:p>
        </w:tc>
        <w:tc>
          <w:tcPr>
            <w:tcW w:w="1080" w:type="dxa"/>
            <w:vAlign w:val="bottom"/>
            <w:gridSpan w:val="2"/>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22"/>
                <w:szCs w:val="22"/>
                <w:color w:val="0000EE"/>
                <w:w w:val="95"/>
              </w:rPr>
            </w:pPr>
            <w:hyperlink w:anchor="page4">
              <w:r>
                <w:rPr>
                  <w:rFonts w:ascii="Arial" w:cs="Arial" w:eastAsia="Arial" w:hAnsi="Arial"/>
                  <w:sz w:val="22"/>
                  <w:szCs w:val="22"/>
                  <w:color w:val="0000EE"/>
                  <w:w w:val="95"/>
                </w:rPr>
                <w:t>Condensed Consolidated Statements of Cash Flows for the Three-Months Ended March 31, 2013</w:t>
              </w:r>
            </w:hyperlink>
          </w:p>
        </w:tc>
        <w:tc>
          <w:tcPr>
            <w:tcW w:w="96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Borders>
              <w:top w:val="single" w:sz="8" w:color="0000EE"/>
              <w:bottom w:val="single" w:sz="8" w:color="0000EE"/>
            </w:tcBorders>
            <w:gridSpan w:val="3"/>
          </w:tcPr>
          <w:p>
            <w:pPr>
              <w:spacing w:after="0" w:line="223" w:lineRule="exact"/>
              <w:rPr>
                <w:rFonts w:ascii="Arial" w:cs="Arial" w:eastAsia="Arial" w:hAnsi="Arial"/>
                <w:sz w:val="22"/>
                <w:szCs w:val="22"/>
                <w:color w:val="0000EE"/>
                <w:w w:val="84"/>
              </w:rPr>
            </w:pPr>
            <w:hyperlink w:anchor="page4">
              <w:r>
                <w:rPr>
                  <w:rFonts w:ascii="Arial" w:cs="Arial" w:eastAsia="Arial" w:hAnsi="Arial"/>
                  <w:sz w:val="22"/>
                  <w:szCs w:val="22"/>
                  <w:color w:val="0000EE"/>
                  <w:w w:val="84"/>
                </w:rPr>
                <w:t>and 2012</w:t>
              </w:r>
            </w:hyperlink>
          </w:p>
        </w:tc>
        <w:tc>
          <w:tcPr>
            <w:tcW w:w="7600" w:type="dxa"/>
            <w:vAlign w:val="bottom"/>
            <w:tcBorders>
              <w:top w:val="single" w:sz="8" w:color="0000EE"/>
            </w:tcBorders>
            <w:gridSpan w:val="14"/>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22"/>
                <w:szCs w:val="22"/>
                <w:color w:val="0000EE"/>
                <w:w w:val="87"/>
              </w:rPr>
            </w:pPr>
            <w:hyperlink w:anchor="page5">
              <w:r>
                <w:rPr>
                  <w:rFonts w:ascii="Arial" w:cs="Arial" w:eastAsia="Arial" w:hAnsi="Arial"/>
                  <w:sz w:val="22"/>
                  <w:szCs w:val="22"/>
                  <w:color w:val="0000EE"/>
                  <w:w w:val="87"/>
                </w:rPr>
                <w:t>Notes to Condensed Consolidated Financial Statements</w:t>
              </w:r>
            </w:hyperlink>
          </w:p>
        </w:tc>
        <w:tc>
          <w:tcPr>
            <w:tcW w:w="430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466"/>
        </w:trPr>
        <w:tc>
          <w:tcPr>
            <w:tcW w:w="1400" w:type="dxa"/>
            <w:vAlign w:val="bottom"/>
            <w:gridSpan w:val="4"/>
          </w:tcPr>
          <w:p>
            <w:pPr>
              <w:spacing w:after="0"/>
              <w:rPr>
                <w:rFonts w:ascii="Arial" w:cs="Arial" w:eastAsia="Arial" w:hAnsi="Arial"/>
                <w:sz w:val="22"/>
                <w:szCs w:val="22"/>
                <w:color w:val="0000EE"/>
              </w:rPr>
            </w:pPr>
            <w:hyperlink w:anchor="page19">
              <w:r>
                <w:rPr>
                  <w:rFonts w:ascii="Arial" w:cs="Arial" w:eastAsia="Arial" w:hAnsi="Arial"/>
                  <w:sz w:val="22"/>
                  <w:szCs w:val="22"/>
                  <w:color w:val="0000EE"/>
                </w:rPr>
                <w:t>Item 2.</w:t>
              </w:r>
            </w:hyperlink>
          </w:p>
        </w:tc>
        <w:tc>
          <w:tcPr>
            <w:tcW w:w="9100" w:type="dxa"/>
            <w:vAlign w:val="bottom"/>
            <w:gridSpan w:val="18"/>
          </w:tcPr>
          <w:p>
            <w:pPr>
              <w:spacing w:after="0"/>
              <w:rPr>
                <w:rFonts w:ascii="Arial" w:cs="Arial" w:eastAsia="Arial" w:hAnsi="Arial"/>
                <w:sz w:val="22"/>
                <w:szCs w:val="22"/>
                <w:color w:val="0000EE"/>
              </w:rPr>
            </w:pPr>
            <w:hyperlink w:anchor="page19">
              <w:r>
                <w:rPr>
                  <w:rFonts w:ascii="Arial" w:cs="Arial" w:eastAsia="Arial" w:hAnsi="Arial"/>
                  <w:sz w:val="22"/>
                  <w:szCs w:val="22"/>
                  <w:color w:val="0000EE"/>
                </w:rPr>
                <w:t>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60" w:type="dxa"/>
            <w:vAlign w:val="bottom"/>
            <w:tcBorders>
              <w:right w:val="single" w:sz="8" w:color="0000EE"/>
            </w:tcBorders>
            <w:gridSpan w:val="3"/>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gridSpan w:val="4"/>
          </w:tcPr>
          <w:p>
            <w:pPr>
              <w:spacing w:after="0"/>
              <w:rPr>
                <w:rFonts w:ascii="Arial" w:cs="Arial" w:eastAsia="Arial" w:hAnsi="Arial"/>
                <w:sz w:val="22"/>
                <w:szCs w:val="22"/>
                <w:color w:val="0000EE"/>
              </w:rPr>
            </w:pPr>
            <w:hyperlink w:anchor="page29">
              <w:r>
                <w:rPr>
                  <w:rFonts w:ascii="Arial" w:cs="Arial" w:eastAsia="Arial" w:hAnsi="Arial"/>
                  <w:sz w:val="22"/>
                  <w:szCs w:val="22"/>
                  <w:color w:val="0000EE"/>
                </w:rPr>
                <w:t>Item 3.</w:t>
              </w:r>
            </w:hyperlink>
          </w:p>
        </w:tc>
        <w:tc>
          <w:tcPr>
            <w:tcW w:w="9100" w:type="dxa"/>
            <w:vAlign w:val="bottom"/>
            <w:gridSpan w:val="18"/>
          </w:tcPr>
          <w:p>
            <w:pPr>
              <w:spacing w:after="0"/>
              <w:rPr>
                <w:rFonts w:ascii="Arial" w:cs="Arial" w:eastAsia="Arial" w:hAnsi="Arial"/>
                <w:sz w:val="22"/>
                <w:szCs w:val="22"/>
                <w:color w:val="0000EE"/>
              </w:rPr>
            </w:pPr>
            <w:hyperlink w:anchor="page29">
              <w:r>
                <w:rPr>
                  <w:rFonts w:ascii="Arial" w:cs="Arial" w:eastAsia="Arial" w:hAnsi="Arial"/>
                  <w:sz w:val="22"/>
                  <w:szCs w:val="22"/>
                  <w:color w:val="0000EE"/>
                </w:rPr>
                <w:t>Quantitative and Qualitative Disclosures About Market Risk</w:t>
              </w:r>
            </w:hyperlink>
          </w:p>
        </w:tc>
        <w:tc>
          <w:tcPr>
            <w:tcW w:w="960" w:type="dxa"/>
            <w:vAlign w:val="bottom"/>
          </w:tcPr>
          <w:p>
            <w:pPr>
              <w:jc w:val="right"/>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60" w:type="dxa"/>
            <w:vAlign w:val="bottom"/>
            <w:tcBorders>
              <w:right w:val="single" w:sz="8" w:color="0000EE"/>
            </w:tcBorders>
            <w:gridSpan w:val="3"/>
            <w:shd w:val="clear" w:color="auto" w:fill="0000EE"/>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gridSpan w:val="4"/>
          </w:tcPr>
          <w:p>
            <w:pPr>
              <w:spacing w:after="0"/>
              <w:rPr>
                <w:rFonts w:ascii="Arial" w:cs="Arial" w:eastAsia="Arial" w:hAnsi="Arial"/>
                <w:sz w:val="22"/>
                <w:szCs w:val="22"/>
                <w:color w:val="0000EE"/>
              </w:rPr>
            </w:pPr>
            <w:hyperlink w:anchor="page30">
              <w:r>
                <w:rPr>
                  <w:rFonts w:ascii="Arial" w:cs="Arial" w:eastAsia="Arial" w:hAnsi="Arial"/>
                  <w:sz w:val="22"/>
                  <w:szCs w:val="22"/>
                  <w:color w:val="0000EE"/>
                </w:rPr>
                <w:t>Item 4.</w:t>
              </w:r>
            </w:hyperlink>
          </w:p>
        </w:tc>
        <w:tc>
          <w:tcPr>
            <w:tcW w:w="9100" w:type="dxa"/>
            <w:vAlign w:val="bottom"/>
            <w:gridSpan w:val="18"/>
          </w:tcPr>
          <w:p>
            <w:pPr>
              <w:spacing w:after="0"/>
              <w:rPr>
                <w:rFonts w:ascii="Arial" w:cs="Arial" w:eastAsia="Arial" w:hAnsi="Arial"/>
                <w:sz w:val="22"/>
                <w:szCs w:val="22"/>
                <w:color w:val="0000EE"/>
              </w:rPr>
            </w:pPr>
            <w:hyperlink w:anchor="page30">
              <w:r>
                <w:rPr>
                  <w:rFonts w:ascii="Arial" w:cs="Arial" w:eastAsia="Arial" w:hAnsi="Arial"/>
                  <w:sz w:val="22"/>
                  <w:szCs w:val="22"/>
                  <w:color w:val="0000EE"/>
                </w:rPr>
                <w:t>Controls and Procedures</w:t>
              </w:r>
            </w:hyperlink>
          </w:p>
        </w:tc>
        <w:tc>
          <w:tcPr>
            <w:tcW w:w="960" w:type="dxa"/>
            <w:vAlign w:val="bottom"/>
          </w:tcPr>
          <w:p>
            <w:pPr>
              <w:jc w:val="right"/>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00" w:type="dxa"/>
            <w:vAlign w:val="bottom"/>
            <w:gridSpan w:val="2"/>
          </w:tcPr>
          <w:p>
            <w:pPr>
              <w:spacing w:after="0"/>
              <w:rPr>
                <w:rFonts w:ascii="Arial" w:cs="Arial" w:eastAsia="Arial" w:hAnsi="Arial"/>
                <w:sz w:val="22"/>
                <w:szCs w:val="22"/>
                <w:b w:val="1"/>
                <w:bCs w:val="1"/>
                <w:color w:val="0000EE"/>
              </w:rPr>
            </w:pPr>
            <w:hyperlink w:anchor="page30">
              <w:r>
                <w:rPr>
                  <w:rFonts w:ascii="Arial" w:cs="Arial" w:eastAsia="Arial" w:hAnsi="Arial"/>
                  <w:sz w:val="22"/>
                  <w:szCs w:val="22"/>
                  <w:b w:val="1"/>
                  <w:bCs w:val="1"/>
                  <w:color w:val="0000EE"/>
                </w:rPr>
                <w:t>Part II.</w:t>
              </w:r>
            </w:hyperlink>
          </w:p>
        </w:tc>
        <w:tc>
          <w:tcPr>
            <w:tcW w:w="700" w:type="dxa"/>
            <w:vAlign w:val="bottom"/>
            <w:gridSpan w:val="2"/>
          </w:tcPr>
          <w:p>
            <w:pPr>
              <w:spacing w:after="0"/>
              <w:rPr>
                <w:sz w:val="24"/>
                <w:szCs w:val="24"/>
                <w:color w:val="auto"/>
              </w:rPr>
            </w:pPr>
          </w:p>
        </w:tc>
        <w:tc>
          <w:tcPr>
            <w:tcW w:w="9100" w:type="dxa"/>
            <w:vAlign w:val="bottom"/>
            <w:gridSpan w:val="18"/>
          </w:tcPr>
          <w:p>
            <w:pPr>
              <w:spacing w:after="0"/>
              <w:rPr>
                <w:rFonts w:ascii="Arial" w:cs="Arial" w:eastAsia="Arial" w:hAnsi="Arial"/>
                <w:sz w:val="22"/>
                <w:szCs w:val="22"/>
                <w:b w:val="1"/>
                <w:bCs w:val="1"/>
                <w:color w:val="0000EE"/>
              </w:rPr>
            </w:pPr>
            <w:hyperlink w:anchor="page30">
              <w:r>
                <w:rPr>
                  <w:rFonts w:ascii="Arial" w:cs="Arial" w:eastAsia="Arial" w:hAnsi="Arial"/>
                  <w:sz w:val="22"/>
                  <w:szCs w:val="22"/>
                  <w:b w:val="1"/>
                  <w:bCs w:val="1"/>
                  <w:color w:val="0000EE"/>
                </w:rPr>
                <w:t>OTHER INFORMATION</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00" w:type="dxa"/>
            <w:vAlign w:val="bottom"/>
            <w:tcBorders>
              <w:top w:val="single" w:sz="8" w:color="0000EE"/>
            </w:tcBorders>
            <w:gridSpan w:val="2"/>
          </w:tcPr>
          <w:p>
            <w:pPr>
              <w:spacing w:after="0"/>
              <w:rPr>
                <w:rFonts w:ascii="Arial" w:cs="Arial" w:eastAsia="Arial" w:hAnsi="Arial"/>
                <w:sz w:val="22"/>
                <w:szCs w:val="22"/>
                <w:color w:val="0000EE"/>
              </w:rPr>
            </w:pPr>
            <w:hyperlink w:anchor="page30">
              <w:r>
                <w:rPr>
                  <w:rFonts w:ascii="Arial" w:cs="Arial" w:eastAsia="Arial" w:hAnsi="Arial"/>
                  <w:sz w:val="22"/>
                  <w:szCs w:val="22"/>
                  <w:color w:val="0000EE"/>
                </w:rPr>
                <w:t>Item 1.</w:t>
              </w:r>
            </w:hyperlink>
          </w:p>
        </w:tc>
        <w:tc>
          <w:tcPr>
            <w:tcW w:w="700" w:type="dxa"/>
            <w:vAlign w:val="bottom"/>
            <w:gridSpan w:val="2"/>
          </w:tcPr>
          <w:p>
            <w:pPr>
              <w:spacing w:after="0"/>
              <w:rPr>
                <w:sz w:val="24"/>
                <w:szCs w:val="24"/>
                <w:color w:val="auto"/>
              </w:rPr>
            </w:pPr>
          </w:p>
        </w:tc>
        <w:tc>
          <w:tcPr>
            <w:tcW w:w="2420" w:type="dxa"/>
            <w:vAlign w:val="bottom"/>
            <w:tcBorders>
              <w:top w:val="single" w:sz="8" w:color="0000EE"/>
            </w:tcBorders>
            <w:gridSpan w:val="9"/>
          </w:tcPr>
          <w:p>
            <w:pPr>
              <w:spacing w:after="0"/>
              <w:rPr>
                <w:rFonts w:ascii="Arial" w:cs="Arial" w:eastAsia="Arial" w:hAnsi="Arial"/>
                <w:sz w:val="22"/>
                <w:szCs w:val="22"/>
                <w:color w:val="0000EE"/>
              </w:rPr>
            </w:pPr>
            <w:hyperlink w:anchor="page30">
              <w:r>
                <w:rPr>
                  <w:rFonts w:ascii="Arial" w:cs="Arial" w:eastAsia="Arial" w:hAnsi="Arial"/>
                  <w:sz w:val="22"/>
                  <w:szCs w:val="22"/>
                  <w:color w:val="0000EE"/>
                </w:rPr>
                <w:t>Legal Proceedings</w:t>
              </w:r>
            </w:hyperlink>
          </w:p>
        </w:tc>
        <w:tc>
          <w:tcPr>
            <w:tcW w:w="668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rFonts w:ascii="Arial" w:cs="Arial" w:eastAsia="Arial" w:hAnsi="Arial"/>
                <w:sz w:val="22"/>
                <w:szCs w:val="22"/>
                <w:color w:val="0000EE"/>
                <w:w w:val="92"/>
              </w:rPr>
            </w:pPr>
            <w:hyperlink w:anchor="page33">
              <w:r>
                <w:rPr>
                  <w:rFonts w:ascii="Arial" w:cs="Arial" w:eastAsia="Arial" w:hAnsi="Arial"/>
                  <w:sz w:val="22"/>
                  <w:szCs w:val="22"/>
                  <w:color w:val="0000EE"/>
                  <w:w w:val="92"/>
                </w:rPr>
                <w:t>Item 1A.</w:t>
              </w:r>
            </w:hyperlink>
          </w:p>
        </w:tc>
        <w:tc>
          <w:tcPr>
            <w:tcW w:w="62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Risk Factors</w:t>
              </w:r>
            </w:hyperlink>
          </w:p>
        </w:tc>
        <w:tc>
          <w:tcPr>
            <w:tcW w:w="960" w:type="dxa"/>
            <w:vAlign w:val="bottom"/>
          </w:tcPr>
          <w:p>
            <w:pPr>
              <w:jc w:val="right"/>
              <w:spacing w:after="0"/>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tcBorders>
              <w:bottom w:val="single" w:sz="8" w:color="0000EE"/>
            </w:tcBorders>
            <w:gridSpan w:val="3"/>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Item 2.</w:t>
              </w:r>
            </w:hyperlink>
          </w:p>
        </w:tc>
        <w:tc>
          <w:tcPr>
            <w:tcW w:w="620" w:type="dxa"/>
            <w:vAlign w:val="bottom"/>
            <w:tcBorders>
              <w:bottom w:val="single" w:sz="8" w:color="0000EE"/>
            </w:tcBorders>
          </w:tcPr>
          <w:p>
            <w:pPr>
              <w:spacing w:after="0"/>
              <w:rPr>
                <w:sz w:val="24"/>
                <w:szCs w:val="24"/>
                <w:color w:val="auto"/>
              </w:rPr>
            </w:pPr>
          </w:p>
        </w:tc>
        <w:tc>
          <w:tcPr>
            <w:tcW w:w="5240" w:type="dxa"/>
            <w:vAlign w:val="bottom"/>
            <w:tcBorders>
              <w:bottom w:val="single" w:sz="8" w:color="0000EE"/>
            </w:tcBorders>
            <w:gridSpan w:val="13"/>
          </w:tcPr>
          <w:p>
            <w:pPr>
              <w:spacing w:after="0"/>
              <w:rPr>
                <w:rFonts w:ascii="Arial" w:cs="Arial" w:eastAsia="Arial" w:hAnsi="Arial"/>
                <w:sz w:val="22"/>
                <w:szCs w:val="22"/>
                <w:color w:val="0000EE"/>
                <w:w w:val="87"/>
              </w:rPr>
            </w:pPr>
            <w:hyperlink w:anchor="page33">
              <w:r>
                <w:rPr>
                  <w:rFonts w:ascii="Arial" w:cs="Arial" w:eastAsia="Arial" w:hAnsi="Arial"/>
                  <w:sz w:val="22"/>
                  <w:szCs w:val="22"/>
                  <w:color w:val="0000EE"/>
                  <w:w w:val="87"/>
                </w:rPr>
                <w:t>Unregistered Sales of Equity Securities and Use of Proceeds</w:t>
              </w:r>
            </w:hyperlink>
          </w:p>
        </w:tc>
        <w:tc>
          <w:tcPr>
            <w:tcW w:w="3860" w:type="dxa"/>
            <w:vAlign w:val="bottom"/>
            <w:gridSpan w:val="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466"/>
        </w:trPr>
        <w:tc>
          <w:tcPr>
            <w:tcW w:w="1400" w:type="dxa"/>
            <w:vAlign w:val="bottom"/>
            <w:gridSpan w:val="4"/>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Item 3.</w:t>
              </w:r>
            </w:hyperlink>
          </w:p>
        </w:tc>
        <w:tc>
          <w:tcPr>
            <w:tcW w:w="9100" w:type="dxa"/>
            <w:vAlign w:val="bottom"/>
            <w:gridSpan w:val="18"/>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Defaults Upon Senior Securities</w:t>
              </w:r>
            </w:hyperlink>
          </w:p>
        </w:tc>
        <w:tc>
          <w:tcPr>
            <w:tcW w:w="96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0" w:type="dxa"/>
            <w:vAlign w:val="bottom"/>
            <w:tcBorders>
              <w:left w:val="single" w:sz="8" w:color="0000EE"/>
            </w:tcBorders>
            <w:gridSpan w:val="4"/>
            <w:shd w:val="clear" w:color="auto" w:fill="0000EE"/>
          </w:tcPr>
          <w:p>
            <w:pPr>
              <w:spacing w:after="0" w:line="20" w:lineRule="exact"/>
              <w:rPr>
                <w:sz w:val="1"/>
                <w:szCs w:val="1"/>
                <w:color w:val="auto"/>
              </w:rPr>
            </w:pPr>
          </w:p>
        </w:tc>
        <w:tc>
          <w:tcPr>
            <w:tcW w:w="632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gridSpan w:val="4"/>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Item 4.</w:t>
              </w:r>
            </w:hyperlink>
          </w:p>
        </w:tc>
        <w:tc>
          <w:tcPr>
            <w:tcW w:w="9100" w:type="dxa"/>
            <w:vAlign w:val="bottom"/>
            <w:gridSpan w:val="18"/>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Mine Safety Disclosures</w:t>
              </w:r>
            </w:hyperlink>
          </w:p>
        </w:tc>
        <w:tc>
          <w:tcPr>
            <w:tcW w:w="96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gridSpan w:val="4"/>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Item 5.</w:t>
              </w:r>
            </w:hyperlink>
          </w:p>
        </w:tc>
        <w:tc>
          <w:tcPr>
            <w:tcW w:w="9100" w:type="dxa"/>
            <w:vAlign w:val="bottom"/>
            <w:gridSpan w:val="18"/>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Other Information</w:t>
              </w:r>
            </w:hyperlink>
          </w:p>
        </w:tc>
        <w:tc>
          <w:tcPr>
            <w:tcW w:w="96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520" w:type="dxa"/>
            <w:vAlign w:val="bottom"/>
            <w:gridSpan w:val="1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gridSpan w:val="4"/>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Item 6.</w:t>
              </w:r>
            </w:hyperlink>
          </w:p>
        </w:tc>
        <w:tc>
          <w:tcPr>
            <w:tcW w:w="9100" w:type="dxa"/>
            <w:vAlign w:val="bottom"/>
            <w:gridSpan w:val="18"/>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Exhibits</w:t>
              </w:r>
            </w:hyperlink>
          </w:p>
        </w:tc>
        <w:tc>
          <w:tcPr>
            <w:tcW w:w="960" w:type="dxa"/>
            <w:vAlign w:val="bottom"/>
          </w:tcPr>
          <w:p>
            <w:pPr>
              <w:jc w:val="right"/>
              <w:spacing w:after="0"/>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180" w:type="dxa"/>
            <w:vAlign w:val="bottom"/>
            <w:gridSpan w:val="1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Borders>
              <w:bottom w:val="single" w:sz="8" w:color="0000EE"/>
            </w:tcBorders>
            <w:gridSpan w:val="4"/>
          </w:tcPr>
          <w:p>
            <w:pPr>
              <w:spacing w:after="0"/>
              <w:rPr>
                <w:rFonts w:ascii="Arial" w:cs="Arial" w:eastAsia="Arial" w:hAnsi="Arial"/>
                <w:sz w:val="22"/>
                <w:szCs w:val="22"/>
                <w:color w:val="0000EE"/>
                <w:w w:val="85"/>
              </w:rPr>
            </w:pPr>
            <w:hyperlink w:anchor="page34">
              <w:r>
                <w:rPr>
                  <w:rFonts w:ascii="Arial" w:cs="Arial" w:eastAsia="Arial" w:hAnsi="Arial"/>
                  <w:sz w:val="22"/>
                  <w:szCs w:val="22"/>
                  <w:color w:val="0000EE"/>
                  <w:w w:val="85"/>
                </w:rPr>
                <w:t>Signatures</w:t>
              </w:r>
            </w:hyperlink>
          </w:p>
        </w:tc>
        <w:tc>
          <w:tcPr>
            <w:tcW w:w="8180" w:type="dxa"/>
            <w:vAlign w:val="bottom"/>
            <w:gridSpan w:val="1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453"/>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0" w:type="dxa"/>
            <w:vAlign w:val="bottom"/>
            <w:gridSpan w:val="11"/>
          </w:tcPr>
          <w:p>
            <w:pPr>
              <w:ind w:left="42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CONDENSED CONSOLIDATED FINANCIAL STATEMENTS (UNAUDITED)</w:t>
      </w:r>
    </w:p>
    <w:p>
      <w:pPr>
        <w:spacing w:after="0" w:line="233" w:lineRule="exact"/>
        <w:rPr>
          <w:sz w:val="20"/>
          <w:szCs w:val="20"/>
          <w:color w:val="auto"/>
        </w:rPr>
      </w:pPr>
    </w:p>
    <w:p>
      <w:pPr>
        <w:ind w:right="5300"/>
        <w:spacing w:after="0" w:line="249" w:lineRule="auto"/>
        <w:rPr>
          <w:sz w:val="20"/>
          <w:szCs w:val="20"/>
          <w:color w:val="auto"/>
        </w:rPr>
      </w:pPr>
      <w:r>
        <w:rPr>
          <w:rFonts w:ascii="Arial" w:cs="Arial" w:eastAsia="Arial" w:hAnsi="Arial"/>
          <w:sz w:val="21"/>
          <w:szCs w:val="21"/>
          <w:b w:val="1"/>
          <w:bCs w:val="1"/>
          <w:color w:val="auto"/>
        </w:rPr>
        <w:t>MONSTER BEVERAGE CORPORATION AND SUBSIDIARIES CONDENSED CONSOLIDATED BALANCE SHEETS AS OF MARCH 31, 2013 AND DECEMBER 31, 2012</w:t>
      </w:r>
    </w:p>
    <w:p>
      <w:pPr>
        <w:spacing w:after="0" w:line="235" w:lineRule="auto"/>
        <w:rPr>
          <w:sz w:val="20"/>
          <w:szCs w:val="20"/>
          <w:color w:val="auto"/>
        </w:rPr>
      </w:pPr>
      <w:r>
        <w:rPr>
          <w:rFonts w:ascii="Arial" w:cs="Arial" w:eastAsia="Arial" w:hAnsi="Arial"/>
          <w:sz w:val="22"/>
          <w:szCs w:val="22"/>
          <w:b w:val="1"/>
          <w:bCs w:val="1"/>
          <w:color w:val="auto"/>
        </w:rPr>
        <w:t>(In Thousands, Except Par Value)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spacing w:after="0" w:line="145" w:lineRule="exact"/>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CURRENT ASSETS:</w:t>
            </w:r>
          </w:p>
        </w:tc>
        <w:tc>
          <w:tcPr>
            <w:tcW w:w="600" w:type="dxa"/>
            <w:vAlign w:val="bottom"/>
            <w:tcBorders>
              <w:top w:val="single" w:sz="8" w:color="auto"/>
            </w:tcBorders>
          </w:tcPr>
          <w:p>
            <w:pPr>
              <w:spacing w:after="0"/>
              <w:rPr>
                <w:sz w:val="17"/>
                <w:szCs w:val="17"/>
                <w:color w:val="auto"/>
              </w:rPr>
            </w:pPr>
          </w:p>
        </w:tc>
        <w:tc>
          <w:tcPr>
            <w:tcW w:w="37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47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242,533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222,514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Short-term investments</w:t>
            </w: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102,139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97,042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60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308,675</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236,044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Distributor receivables</w:t>
            </w: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8,980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60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215,337</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35,628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24,983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Prepaid income taxes</w:t>
            </w:r>
          </w:p>
        </w:tc>
        <w:tc>
          <w:tcPr>
            <w:tcW w:w="60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6,403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33,709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Deferred income taxes</w:t>
            </w:r>
          </w:p>
        </w:tc>
        <w:tc>
          <w:tcPr>
            <w:tcW w:w="600" w:type="dxa"/>
            <w:vAlign w:val="bottom"/>
            <w:tcBorders>
              <w:bottom w:val="single" w:sz="8" w:color="CCEEFF"/>
            </w:tcBorders>
          </w:tcPr>
          <w:p>
            <w:pPr>
              <w:spacing w:after="0"/>
              <w:rPr>
                <w:sz w:val="17"/>
                <w:szCs w:val="17"/>
                <w:color w:val="auto"/>
              </w:rPr>
            </w:pPr>
          </w:p>
        </w:tc>
        <w:tc>
          <w:tcPr>
            <w:tcW w:w="37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17,004</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current assets</w:t>
            </w:r>
          </w:p>
        </w:tc>
        <w:tc>
          <w:tcPr>
            <w:tcW w:w="60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936,699</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835,068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INVESTMENTS</w:t>
            </w:r>
          </w:p>
        </w:tc>
        <w:tc>
          <w:tcPr>
            <w:tcW w:w="60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13,631</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74,596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69,137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60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60,856</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INTANGIBLES, net</w:t>
            </w: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57,999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54,648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60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3,591</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3,576</w:t>
            </w:r>
          </w:p>
        </w:tc>
        <w:tc>
          <w:tcPr>
            <w:tcW w:w="0" w:type="dxa"/>
            <w:vAlign w:val="bottom"/>
          </w:tcPr>
          <w:p>
            <w:pPr>
              <w:spacing w:after="0"/>
              <w:rPr>
                <w:sz w:val="1"/>
                <w:szCs w:val="1"/>
                <w:color w:val="auto"/>
              </w:rPr>
            </w:pPr>
          </w:p>
        </w:tc>
      </w:tr>
    </w:tbl>
    <w:p>
      <w:pPr>
        <w:sectPr>
          <w:pgSz w:w="11900" w:h="16838" w:orient="portrait"/>
          <w:cols w:equalWidth="0" w:num="1">
            <w:col w:w="11460"/>
          </w:cols>
          <w:pgMar w:left="240" w:top="89"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2000" w:type="dxa"/>
            <w:vAlign w:val="bottom"/>
            <w:tcBorders>
              <w:bottom w:val="single" w:sz="8" w:color="CCEEFF"/>
            </w:tcBorders>
          </w:tcPr>
          <w:p>
            <w:pPr>
              <w:spacing w:after="0"/>
              <w:rPr>
                <w:sz w:val="22"/>
                <w:szCs w:val="22"/>
                <w:color w:val="auto"/>
              </w:rPr>
            </w:pPr>
          </w:p>
        </w:tc>
        <w:tc>
          <w:tcPr>
            <w:tcW w:w="5820" w:type="dxa"/>
            <w:vAlign w:val="bottom"/>
            <w:tcBorders>
              <w:bottom w:val="single" w:sz="8" w:color="CCEEFF"/>
            </w:tcBorders>
            <w:gridSpan w:val="2"/>
          </w:tcPr>
          <w:p>
            <w:pPr>
              <w:jc w:val="center"/>
              <w:ind w:right="2300"/>
              <w:spacing w:after="0"/>
              <w:rPr>
                <w:sz w:val="20"/>
                <w:szCs w:val="20"/>
                <w:color w:val="auto"/>
              </w:rPr>
            </w:pPr>
            <w:r>
              <w:rPr>
                <w:rFonts w:ascii="Arial" w:cs="Arial" w:eastAsia="Arial" w:hAnsi="Arial"/>
                <w:sz w:val="16"/>
                <w:szCs w:val="16"/>
                <w:b w:val="1"/>
                <w:bCs w:val="1"/>
                <w:color w:val="auto"/>
                <w:w w:val="88"/>
              </w:rPr>
              <w:t>Total Assets</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1,147,372</w:t>
            </w:r>
          </w:p>
        </w:tc>
        <w:tc>
          <w:tcPr>
            <w:tcW w:w="14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1,043,325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820" w:type="dxa"/>
            <w:vAlign w:val="bottom"/>
            <w:gridSpan w:val="2"/>
          </w:tcPr>
          <w:p>
            <w:pPr>
              <w:jc w:val="center"/>
              <w:ind w:right="2300"/>
              <w:spacing w:after="0" w:line="162" w:lineRule="exact"/>
              <w:rPr>
                <w:sz w:val="20"/>
                <w:szCs w:val="20"/>
                <w:color w:val="auto"/>
              </w:rPr>
            </w:pPr>
            <w:r>
              <w:rPr>
                <w:rFonts w:ascii="Arial" w:cs="Arial" w:eastAsia="Arial" w:hAnsi="Arial"/>
                <w:sz w:val="16"/>
                <w:szCs w:val="16"/>
                <w:b w:val="1"/>
                <w:bCs w:val="1"/>
                <w:color w:val="auto"/>
              </w:rPr>
              <w:t>LIABILITIES AND STOCKHOLDERS’ EQUITY</w:t>
            </w: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52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135,477</w:t>
            </w:r>
          </w:p>
        </w:tc>
        <w:tc>
          <w:tcPr>
            <w:tcW w:w="140" w:type="dxa"/>
            <w:vAlign w:val="bottom"/>
          </w:tcPr>
          <w:p>
            <w:pPr>
              <w:spacing w:after="0"/>
              <w:rPr>
                <w:sz w:val="17"/>
                <w:szCs w:val="17"/>
                <w:color w:val="auto"/>
              </w:rPr>
            </w:pP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127,330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Accrued liabilities</w:t>
            </w: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55,356</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5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103,846</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91,208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13,079</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5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7,488</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12,926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Income taxes payable</w:t>
            </w:r>
          </w:p>
        </w:tc>
        <w:tc>
          <w:tcPr>
            <w:tcW w:w="5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14,520</w:t>
            </w:r>
          </w:p>
        </w:tc>
        <w:tc>
          <w:tcPr>
            <w:tcW w:w="1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gridSpan w:val="3"/>
          </w:tcPr>
          <w:p>
            <w:pPr>
              <w:ind w:left="160"/>
              <w:spacing w:after="0"/>
              <w:rPr>
                <w:sz w:val="20"/>
                <w:szCs w:val="20"/>
                <w:color w:val="auto"/>
              </w:rPr>
            </w:pPr>
            <w:r>
              <w:rPr>
                <w:rFonts w:ascii="Arial" w:cs="Arial" w:eastAsia="Arial" w:hAnsi="Arial"/>
                <w:sz w:val="16"/>
                <w:szCs w:val="16"/>
                <w:color w:val="auto"/>
              </w:rPr>
              <w:t>Total current liabilities</w:t>
            </w:r>
          </w:p>
        </w:tc>
        <w:tc>
          <w:tcPr>
            <w:tcW w:w="5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329,766</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288,545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2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5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116,235</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110,383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20" w:type="dxa"/>
            <w:vAlign w:val="bottom"/>
            <w:gridSpan w:val="3"/>
          </w:tcPr>
          <w:p>
            <w:pPr>
              <w:spacing w:after="0"/>
              <w:rPr>
                <w:sz w:val="20"/>
                <w:szCs w:val="20"/>
                <w:color w:val="auto"/>
              </w:rPr>
            </w:pPr>
            <w:r>
              <w:rPr>
                <w:rFonts w:ascii="Arial" w:cs="Arial" w:eastAsia="Arial" w:hAnsi="Arial"/>
                <w:sz w:val="16"/>
                <w:szCs w:val="16"/>
                <w:color w:val="auto"/>
              </w:rPr>
              <w:t>COMMITMENTS AND CONTINGENCIES (Note 9)</w:t>
            </w: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2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4"/>
              </w:rPr>
              <w:t>Common stock - $0.005 par value; 240,000 shares authorized; 203,895 shares issued and 165,655 outstanding as of</w:t>
            </w:r>
          </w:p>
        </w:tc>
        <w:tc>
          <w:tcPr>
            <w:tcW w:w="5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March 31, 2013; 203,759 shares issued and 165,776 outstanding as of December 31, 2012</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5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297,409</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287,953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1,572,160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1,508,664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gridSpan w:val="3"/>
          </w:tcPr>
          <w:p>
            <w:pPr>
              <w:spacing w:after="0"/>
              <w:rPr>
                <w:sz w:val="20"/>
                <w:szCs w:val="20"/>
                <w:color w:val="auto"/>
              </w:rPr>
            </w:pPr>
            <w:r>
              <w:rPr>
                <w:rFonts w:ascii="Arial" w:cs="Arial" w:eastAsia="Arial" w:hAnsi="Arial"/>
                <w:sz w:val="16"/>
                <w:szCs w:val="16"/>
                <w:color w:val="auto"/>
              </w:rPr>
              <w:t>Accumulated other comprehensive (loss) income</w:t>
            </w:r>
          </w:p>
        </w:tc>
        <w:tc>
          <w:tcPr>
            <w:tcW w:w="5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(543)</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2,074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Common stock in treasury, at cost; 38,240 and 37,983 shares as of March 31, 2013 and December 31, 2012,</w:t>
            </w:r>
          </w:p>
        </w:tc>
        <w:tc>
          <w:tcPr>
            <w:tcW w:w="5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respectively</w:t>
            </w:r>
          </w:p>
        </w:tc>
        <w:tc>
          <w:tcPr>
            <w:tcW w:w="5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(1,168,674)</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(1,155,313)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tcBorders>
              <w:bottom w:val="single" w:sz="8" w:color="CCEEFF"/>
            </w:tcBorders>
            <w:gridSpan w:val="3"/>
          </w:tcPr>
          <w:p>
            <w:pPr>
              <w:ind w:left="160"/>
              <w:spacing w:after="0"/>
              <w:rPr>
                <w:sz w:val="20"/>
                <w:szCs w:val="20"/>
                <w:color w:val="auto"/>
              </w:rPr>
            </w:pPr>
            <w:r>
              <w:rPr>
                <w:rFonts w:ascii="Arial" w:cs="Arial" w:eastAsia="Arial" w:hAnsi="Arial"/>
                <w:sz w:val="16"/>
                <w:szCs w:val="16"/>
                <w:color w:val="auto"/>
              </w:rPr>
              <w:t>Total stockholders’ equity</w:t>
            </w:r>
          </w:p>
        </w:tc>
        <w:tc>
          <w:tcPr>
            <w:tcW w:w="5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701,371</w:t>
            </w: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644,397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5820" w:type="dxa"/>
            <w:vAlign w:val="bottom"/>
            <w:tcBorders>
              <w:bottom w:val="single" w:sz="8" w:color="CCEEFF"/>
            </w:tcBorders>
            <w:gridSpan w:val="2"/>
            <w:shd w:val="clear" w:color="auto" w:fill="CCEEFF"/>
          </w:tcPr>
          <w:p>
            <w:pPr>
              <w:jc w:val="center"/>
              <w:ind w:right="230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5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1,147,372</w:t>
            </w: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1,043,325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080"/>
        <w:spacing w:after="0" w:line="254" w:lineRule="auto"/>
        <w:rPr>
          <w:sz w:val="20"/>
          <w:szCs w:val="20"/>
          <w:color w:val="auto"/>
        </w:rPr>
      </w:pPr>
      <w:r>
        <w:rPr>
          <w:rFonts w:ascii="Arial" w:cs="Arial" w:eastAsia="Arial" w:hAnsi="Arial"/>
          <w:sz w:val="21"/>
          <w:szCs w:val="21"/>
          <w:b w:val="1"/>
          <w:bCs w:val="1"/>
          <w:color w:val="auto"/>
        </w:rPr>
        <w:t>MONSTER BEVERAGE CORPORATION AND SUBSIDIARIES CONDENSED CONSOLIDATED STATEMENTS OF INCOME FOR THE THREE-MONTHS ENDED MARCH 31, 2013 AND 2012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Three-Months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484,223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454,605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232,184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213,436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252,039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144,733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114,884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107,306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126,285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investments and put options, net (Note 3)</w:t>
            </w: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2,571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other (expense) income</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105,404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126,631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41,908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63,496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76,099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8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 STOCK AND COMMON STOCK</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165,525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280" w:type="dxa"/>
            <w:vAlign w:val="bottom"/>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172,559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185,262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30" w:gutter="0" w:footer="0" w:header="0"/>
        </w:sectPr>
      </w:pPr>
    </w:p>
    <w:bookmarkStart w:id="3" w:name="page4"/>
    <w:bookmarkEnd w:id="3"/>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3460"/>
        <w:spacing w:after="0" w:line="234" w:lineRule="auto"/>
        <w:rPr>
          <w:sz w:val="20"/>
          <w:szCs w:val="20"/>
          <w:color w:val="auto"/>
        </w:rPr>
      </w:pPr>
      <w:r>
        <w:rPr>
          <w:rFonts w:ascii="Arial" w:cs="Arial" w:eastAsia="Arial" w:hAnsi="Arial"/>
          <w:sz w:val="22"/>
          <w:szCs w:val="22"/>
          <w:b w:val="1"/>
          <w:bCs w:val="1"/>
          <w:color w:val="auto"/>
        </w:rPr>
        <w:t>CONDENSED CONSOLIDATED STATEMENTS OF COMPREHENSIVE INCOME FOR THE THREE-MONTHS ENDED MARCH 31, 2013 AND 2012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40" w:type="dxa"/>
            <w:vAlign w:val="bottom"/>
            <w:gridSpan w:val="4"/>
          </w:tcPr>
          <w:p>
            <w:pPr>
              <w:jc w:val="right"/>
              <w:ind w:right="621"/>
              <w:spacing w:after="0"/>
              <w:rPr>
                <w:sz w:val="20"/>
                <w:szCs w:val="20"/>
                <w:color w:val="auto"/>
              </w:rPr>
            </w:pPr>
            <w:r>
              <w:rPr>
                <w:rFonts w:ascii="Arial" w:cs="Arial" w:eastAsia="Arial" w:hAnsi="Arial"/>
                <w:sz w:val="20"/>
                <w:szCs w:val="20"/>
                <w:color w:val="auto"/>
              </w:rPr>
              <w:t>Three-Months Ended</w:t>
            </w:r>
          </w:p>
        </w:tc>
      </w:tr>
      <w:tr>
        <w:trPr>
          <w:trHeight w:val="246"/>
        </w:trPr>
        <w:tc>
          <w:tcPr>
            <w:tcW w:w="8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March 31,</w:t>
            </w:r>
          </w:p>
        </w:tc>
        <w:tc>
          <w:tcPr>
            <w:tcW w:w="1040" w:type="dxa"/>
            <w:vAlign w:val="bottom"/>
            <w:tcBorders>
              <w:bottom w:val="single" w:sz="8" w:color="auto"/>
            </w:tcBorders>
          </w:tcPr>
          <w:p>
            <w:pPr>
              <w:spacing w:after="0"/>
              <w:rPr>
                <w:sz w:val="21"/>
                <w:szCs w:val="21"/>
                <w:color w:val="auto"/>
              </w:rPr>
            </w:pPr>
          </w:p>
        </w:tc>
      </w:tr>
      <w:tr>
        <w:trPr>
          <w:trHeight w:val="223"/>
        </w:trPr>
        <w:tc>
          <w:tcPr>
            <w:tcW w:w="83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2013</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2012</w:t>
            </w:r>
          </w:p>
        </w:tc>
      </w:tr>
      <w:tr>
        <w:trPr>
          <w:trHeight w:val="223"/>
        </w:trPr>
        <w:tc>
          <w:tcPr>
            <w:tcW w:w="83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Net income, as reported</w:t>
            </w:r>
          </w:p>
        </w:tc>
        <w:tc>
          <w:tcPr>
            <w:tcW w:w="380" w:type="dxa"/>
            <w:vAlign w:val="bottom"/>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63,496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76,099</w:t>
            </w:r>
          </w:p>
        </w:tc>
      </w:tr>
      <w:tr>
        <w:trPr>
          <w:trHeight w:val="230"/>
        </w:trPr>
        <w:tc>
          <w:tcPr>
            <w:tcW w:w="8300" w:type="dxa"/>
            <w:vAlign w:val="bottom"/>
          </w:tcPr>
          <w:p>
            <w:pPr>
              <w:spacing w:after="0"/>
              <w:rPr>
                <w:sz w:val="20"/>
                <w:szCs w:val="20"/>
                <w:color w:val="auto"/>
              </w:rPr>
            </w:pPr>
            <w:r>
              <w:rPr>
                <w:rFonts w:ascii="Arial" w:cs="Arial" w:eastAsia="Arial" w:hAnsi="Arial"/>
                <w:sz w:val="20"/>
                <w:szCs w:val="20"/>
                <w:color w:val="auto"/>
              </w:rPr>
              <w:t>Other comprehensive (loss) income:</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Change in foreign currency translation adjustment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(1,092)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2,455</w:t>
            </w:r>
          </w:p>
        </w:tc>
      </w:tr>
      <w:tr>
        <w:trPr>
          <w:trHeight w:val="230"/>
        </w:trPr>
        <w:tc>
          <w:tcPr>
            <w:tcW w:w="8300" w:type="dxa"/>
            <w:vAlign w:val="bottom"/>
          </w:tcPr>
          <w:p>
            <w:pPr>
              <w:ind w:left="180"/>
              <w:spacing w:after="0"/>
              <w:rPr>
                <w:sz w:val="20"/>
                <w:szCs w:val="20"/>
                <w:color w:val="auto"/>
              </w:rPr>
            </w:pPr>
            <w:r>
              <w:rPr>
                <w:rFonts w:ascii="Arial" w:cs="Arial" w:eastAsia="Arial" w:hAnsi="Arial"/>
                <w:sz w:val="20"/>
                <w:szCs w:val="20"/>
                <w:color w:val="auto"/>
              </w:rPr>
              <w:t>Available-for-sale investments:</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00" w:type="dxa"/>
            <w:vAlign w:val="bottom"/>
            <w:shd w:val="clear" w:color="auto" w:fill="CCEEFF"/>
          </w:tcPr>
          <w:p>
            <w:pPr>
              <w:ind w:left="540"/>
              <w:spacing w:after="0"/>
              <w:rPr>
                <w:sz w:val="20"/>
                <w:szCs w:val="20"/>
                <w:color w:val="auto"/>
              </w:rPr>
            </w:pPr>
            <w:r>
              <w:rPr>
                <w:rFonts w:ascii="Arial" w:cs="Arial" w:eastAsia="Arial" w:hAnsi="Arial"/>
                <w:sz w:val="20"/>
                <w:szCs w:val="20"/>
                <w:color w:val="auto"/>
              </w:rPr>
              <w:t>Change in net unrealized gains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r>
      <w:tr>
        <w:trPr>
          <w:trHeight w:val="230"/>
        </w:trPr>
        <w:tc>
          <w:tcPr>
            <w:tcW w:w="8300" w:type="dxa"/>
            <w:vAlign w:val="bottom"/>
            <w:tcBorders>
              <w:bottom w:val="single" w:sz="8" w:color="CCEEFF"/>
            </w:tcBorders>
          </w:tcPr>
          <w:p>
            <w:pPr>
              <w:ind w:left="540"/>
              <w:spacing w:after="0"/>
              <w:rPr>
                <w:sz w:val="20"/>
                <w:szCs w:val="20"/>
                <w:color w:val="auto"/>
              </w:rPr>
            </w:pPr>
            <w:r>
              <w:rPr>
                <w:rFonts w:ascii="Arial" w:cs="Arial" w:eastAsia="Arial" w:hAnsi="Arial"/>
                <w:sz w:val="20"/>
                <w:szCs w:val="20"/>
                <w:color w:val="auto"/>
              </w:rPr>
              <w:t>Reclassification adjustment for net gains included in net income</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(1,525)</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r>
      <w:tr>
        <w:trPr>
          <w:trHeight w:val="223"/>
        </w:trPr>
        <w:tc>
          <w:tcPr>
            <w:tcW w:w="8300" w:type="dxa"/>
            <w:vAlign w:val="bottom"/>
            <w:shd w:val="clear" w:color="auto" w:fill="CCEEFF"/>
          </w:tcPr>
          <w:p>
            <w:pPr>
              <w:ind w:left="540"/>
              <w:spacing w:after="0" w:line="223" w:lineRule="exact"/>
              <w:rPr>
                <w:sz w:val="20"/>
                <w:szCs w:val="20"/>
                <w:color w:val="auto"/>
              </w:rPr>
            </w:pPr>
            <w:r>
              <w:rPr>
                <w:rFonts w:ascii="Arial" w:cs="Arial" w:eastAsia="Arial" w:hAnsi="Arial"/>
                <w:sz w:val="20"/>
                <w:szCs w:val="20"/>
                <w:color w:val="auto"/>
              </w:rPr>
              <w:t>Net change in available-for-sale investments</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(1,525)</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r>
      <w:tr>
        <w:trPr>
          <w:trHeight w:val="223"/>
        </w:trPr>
        <w:tc>
          <w:tcPr>
            <w:tcW w:w="8300" w:type="dxa"/>
            <w:vAlign w:val="bottom"/>
            <w:tcBorders>
              <w:bottom w:val="single" w:sz="8" w:color="CCEEFF"/>
            </w:tcBorders>
          </w:tcPr>
          <w:p>
            <w:pPr>
              <w:spacing w:after="0" w:line="223" w:lineRule="exact"/>
              <w:rPr>
                <w:sz w:val="20"/>
                <w:szCs w:val="20"/>
                <w:color w:val="auto"/>
              </w:rPr>
            </w:pPr>
            <w:r>
              <w:rPr>
                <w:rFonts w:ascii="Arial" w:cs="Arial" w:eastAsia="Arial" w:hAnsi="Arial"/>
                <w:sz w:val="20"/>
                <w:szCs w:val="20"/>
                <w:color w:val="auto"/>
              </w:rPr>
              <w:t>Other comprehensive (loss) income</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(2,617)</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2,455</w:t>
            </w:r>
          </w:p>
        </w:tc>
      </w:tr>
      <w:tr>
        <w:trPr>
          <w:trHeight w:val="223"/>
        </w:trPr>
        <w:tc>
          <w:tcPr>
            <w:tcW w:w="83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Comprehensive income</w:t>
            </w:r>
          </w:p>
        </w:tc>
        <w:tc>
          <w:tcPr>
            <w:tcW w:w="380" w:type="dxa"/>
            <w:vAlign w:val="bottom"/>
            <w:tcBorders>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60,879</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78,554</w:t>
            </w:r>
          </w:p>
        </w:tc>
      </w:tr>
      <w:tr>
        <w:trPr>
          <w:trHeight w:val="20"/>
        </w:trPr>
        <w:tc>
          <w:tcPr>
            <w:tcW w:w="8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920"/>
        <w:spacing w:after="0" w:line="239" w:lineRule="auto"/>
        <w:rPr>
          <w:sz w:val="20"/>
          <w:szCs w:val="20"/>
          <w:color w:val="auto"/>
        </w:rPr>
      </w:pPr>
      <w:r>
        <w:rPr>
          <w:rFonts w:ascii="Arial" w:cs="Arial" w:eastAsia="Arial" w:hAnsi="Arial"/>
          <w:sz w:val="22"/>
          <w:szCs w:val="22"/>
          <w:b w:val="1"/>
          <w:bCs w:val="1"/>
          <w:color w:val="auto"/>
        </w:rPr>
        <w:t>MONSTER BEVERAGE CORPORATION AND SUBSIDIARIES CONDENSED CONSOLIDATED STATEMENTS OF CASH FLOWS FOR THE THREE-MONTHS ENDED MARCH 31, 2013 AND 2012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4"/>
          </w:tcPr>
          <w:p>
            <w:pPr>
              <w:jc w:val="right"/>
              <w:ind w:right="828"/>
              <w:spacing w:after="0"/>
              <w:rPr>
                <w:sz w:val="20"/>
                <w:szCs w:val="20"/>
                <w:color w:val="auto"/>
              </w:rPr>
            </w:pPr>
            <w:r>
              <w:rPr>
                <w:rFonts w:ascii="Arial" w:cs="Arial" w:eastAsia="Arial" w:hAnsi="Arial"/>
                <w:sz w:val="14"/>
                <w:szCs w:val="14"/>
                <w:b w:val="1"/>
                <w:bCs w:val="1"/>
                <w:color w:val="auto"/>
              </w:rPr>
              <w:t>Three-Months Ended</w:t>
            </w:r>
          </w:p>
        </w:tc>
      </w:tr>
      <w:tr>
        <w:trPr>
          <w:trHeight w:val="33"/>
        </w:trPr>
        <w:tc>
          <w:tcPr>
            <w:tcW w:w="8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1"/>
        </w:trPr>
        <w:tc>
          <w:tcPr>
            <w:tcW w:w="8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2013</w:t>
            </w:r>
          </w:p>
        </w:tc>
        <w:tc>
          <w:tcPr>
            <w:tcW w:w="200" w:type="dxa"/>
            <w:vAlign w:val="bottom"/>
          </w:tcPr>
          <w:p>
            <w:pPr>
              <w:spacing w:after="0"/>
              <w:rPr>
                <w:sz w:val="16"/>
                <w:szCs w:val="16"/>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b w:val="1"/>
                <w:bCs w:val="1"/>
                <w:color w:val="auto"/>
              </w:rPr>
              <w:t>March 31, 2012</w:t>
            </w:r>
          </w:p>
        </w:tc>
      </w:tr>
      <w:tr>
        <w:trPr>
          <w:trHeight w:val="26"/>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1"/>
        </w:trPr>
        <w:tc>
          <w:tcPr>
            <w:tcW w:w="8300" w:type="dxa"/>
            <w:vAlign w:val="bottom"/>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63,496</w:t>
            </w:r>
          </w:p>
        </w:tc>
        <w:tc>
          <w:tcPr>
            <w:tcW w:w="1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76,099</w:t>
            </w:r>
          </w:p>
        </w:tc>
      </w:tr>
      <w:tr>
        <w:trPr>
          <w:trHeight w:val="26"/>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1"/>
        </w:trPr>
        <w:tc>
          <w:tcPr>
            <w:tcW w:w="8300" w:type="dxa"/>
            <w:vAlign w:val="bottom"/>
          </w:tcPr>
          <w:p>
            <w:pPr>
              <w:ind w:left="360"/>
              <w:spacing w:after="0"/>
              <w:rPr>
                <w:sz w:val="20"/>
                <w:szCs w:val="20"/>
                <w:color w:val="auto"/>
              </w:rPr>
            </w:pPr>
            <w:r>
              <w:rPr>
                <w:rFonts w:ascii="Arial" w:cs="Arial" w:eastAsia="Arial" w:hAnsi="Arial"/>
                <w:sz w:val="14"/>
                <w:szCs w:val="14"/>
                <w:color w:val="auto"/>
              </w:rPr>
              <w:t>Amortization of trademark</w:t>
            </w:r>
          </w:p>
        </w:tc>
        <w:tc>
          <w:tcPr>
            <w:tcW w:w="2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6"/>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Depreciation and other amortization</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5,048</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4,956</w:t>
            </w:r>
          </w:p>
        </w:tc>
      </w:tr>
      <w:tr>
        <w:trPr>
          <w:trHeight w:val="191"/>
        </w:trPr>
        <w:tc>
          <w:tcPr>
            <w:tcW w:w="8300" w:type="dxa"/>
            <w:vAlign w:val="bottom"/>
          </w:tcPr>
          <w:p>
            <w:pPr>
              <w:ind w:left="360"/>
              <w:spacing w:after="0"/>
              <w:rPr>
                <w:sz w:val="20"/>
                <w:szCs w:val="20"/>
                <w:color w:val="auto"/>
              </w:rPr>
            </w:pPr>
            <w:r>
              <w:rPr>
                <w:rFonts w:ascii="Arial" w:cs="Arial" w:eastAsia="Arial" w:hAnsi="Arial"/>
                <w:sz w:val="14"/>
                <w:szCs w:val="14"/>
                <w:color w:val="auto"/>
              </w:rPr>
              <w:t>Gain on disposal of property and equipment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6"/>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6,959</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6,571</w:t>
            </w:r>
          </w:p>
        </w:tc>
      </w:tr>
      <w:tr>
        <w:trPr>
          <w:trHeight w:val="191"/>
        </w:trPr>
        <w:tc>
          <w:tcPr>
            <w:tcW w:w="8300" w:type="dxa"/>
            <w:vAlign w:val="bottom"/>
          </w:tcPr>
          <w:p>
            <w:pPr>
              <w:ind w:left="360"/>
              <w:spacing w:after="0"/>
              <w:rPr>
                <w:sz w:val="20"/>
                <w:szCs w:val="20"/>
                <w:color w:val="auto"/>
              </w:rPr>
            </w:pPr>
            <w:r>
              <w:rPr>
                <w:rFonts w:ascii="Arial" w:cs="Arial" w:eastAsia="Arial" w:hAnsi="Arial"/>
                <w:sz w:val="14"/>
                <w:szCs w:val="14"/>
                <w:color w:val="auto"/>
              </w:rPr>
              <w:t>(Gain) loss on put option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1,391</w:t>
            </w:r>
          </w:p>
        </w:tc>
      </w:tr>
      <w:tr>
        <w:trPr>
          <w:trHeight w:val="26"/>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Gain on investments, net</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(2,489)</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(1,787)</w:t>
            </w:r>
          </w:p>
        </w:tc>
      </w:tr>
      <w:tr>
        <w:trPr>
          <w:trHeight w:val="191"/>
        </w:trPr>
        <w:tc>
          <w:tcPr>
            <w:tcW w:w="830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2,574</w:t>
            </w:r>
          </w:p>
        </w:tc>
      </w:tr>
      <w:tr>
        <w:trPr>
          <w:trHeight w:val="26"/>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Tax benefit from exercise of stock options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w:t>
            </w:r>
          </w:p>
        </w:tc>
      </w:tr>
      <w:tr>
        <w:trPr>
          <w:trHeight w:val="191"/>
        </w:trPr>
        <w:tc>
          <w:tcPr>
            <w:tcW w:w="8300" w:type="dxa"/>
            <w:vAlign w:val="bottom"/>
          </w:tcPr>
          <w:p>
            <w:pPr>
              <w:ind w:left="360"/>
              <w:spacing w:after="0"/>
              <w:rPr>
                <w:sz w:val="20"/>
                <w:szCs w:val="20"/>
                <w:color w:val="auto"/>
              </w:rPr>
            </w:pPr>
            <w:r>
              <w:rPr>
                <w:rFonts w:ascii="Arial" w:cs="Arial" w:eastAsia="Arial" w:hAnsi="Arial"/>
                <w:sz w:val="14"/>
                <w:szCs w:val="14"/>
                <w:color w:val="auto"/>
              </w:rPr>
              <w:t>Effect on cash of changes in operating assets and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6"/>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Accounts receivable</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(69,713)</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(33,867)</w:t>
            </w:r>
          </w:p>
        </w:tc>
      </w:tr>
      <w:tr>
        <w:trPr>
          <w:trHeight w:val="191"/>
        </w:trPr>
        <w:tc>
          <w:tcPr>
            <w:tcW w:w="8300" w:type="dxa"/>
            <w:vAlign w:val="bottom"/>
          </w:tcPr>
          <w:p>
            <w:pPr>
              <w:ind w:left="540"/>
              <w:spacing w:after="0"/>
              <w:rPr>
                <w:sz w:val="20"/>
                <w:szCs w:val="20"/>
                <w:color w:val="auto"/>
              </w:rPr>
            </w:pPr>
            <w:r>
              <w:rPr>
                <w:rFonts w:ascii="Arial" w:cs="Arial" w:eastAsia="Arial" w:hAnsi="Arial"/>
                <w:sz w:val="14"/>
                <w:szCs w:val="14"/>
                <w:color w:val="auto"/>
              </w:rPr>
              <w:t>Distributor receivables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(8,314)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6"/>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Inventories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(14,080)</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(34,128)</w:t>
            </w:r>
          </w:p>
        </w:tc>
      </w:tr>
      <w:tr>
        <w:trPr>
          <w:trHeight w:val="191"/>
        </w:trPr>
        <w:tc>
          <w:tcPr>
            <w:tcW w:w="8300" w:type="dxa"/>
            <w:vAlign w:val="bottom"/>
          </w:tcPr>
          <w:p>
            <w:pPr>
              <w:ind w:left="54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(10,584)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257</w:t>
            </w:r>
          </w:p>
        </w:tc>
      </w:tr>
      <w:tr>
        <w:trPr>
          <w:trHeight w:val="26"/>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Prepaid income taxes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27,417</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(1,216)</w:t>
            </w:r>
          </w:p>
        </w:tc>
      </w:tr>
      <w:tr>
        <w:trPr>
          <w:trHeight w:val="191"/>
        </w:trPr>
        <w:tc>
          <w:tcPr>
            <w:tcW w:w="8300" w:type="dxa"/>
            <w:vAlign w:val="bottom"/>
          </w:tcPr>
          <w:p>
            <w:pPr>
              <w:ind w:left="54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7,479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16,201</w:t>
            </w:r>
          </w:p>
        </w:tc>
      </w:tr>
      <w:tr>
        <w:trPr>
          <w:trHeight w:val="26"/>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Accrued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9,879</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14,058</w:t>
            </w:r>
          </w:p>
        </w:tc>
      </w:tr>
      <w:tr>
        <w:trPr>
          <w:trHeight w:val="191"/>
        </w:trPr>
        <w:tc>
          <w:tcPr>
            <w:tcW w:w="8300" w:type="dxa"/>
            <w:vAlign w:val="bottom"/>
          </w:tcPr>
          <w:p>
            <w:pPr>
              <w:ind w:left="540"/>
              <w:spacing w:after="0"/>
              <w:rPr>
                <w:sz w:val="20"/>
                <w:szCs w:val="20"/>
                <w:color w:val="auto"/>
              </w:rPr>
            </w:pPr>
            <w:r>
              <w:rPr>
                <w:rFonts w:ascii="Arial" w:cs="Arial" w:eastAsia="Arial" w:hAnsi="Arial"/>
                <w:sz w:val="14"/>
                <w:szCs w:val="14"/>
                <w:color w:val="auto"/>
              </w:rPr>
              <w:t>Accrued promotional allowances</w:t>
            </w:r>
          </w:p>
        </w:tc>
        <w:tc>
          <w:tcPr>
            <w:tcW w:w="2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13,939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(34,034)</w:t>
            </w:r>
          </w:p>
        </w:tc>
      </w:tr>
      <w:tr>
        <w:trPr>
          <w:trHeight w:val="26"/>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Accrued distributor terminations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7,372</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91"/>
        </w:trPr>
        <w:tc>
          <w:tcPr>
            <w:tcW w:w="8300" w:type="dxa"/>
            <w:vAlign w:val="bottom"/>
          </w:tcPr>
          <w:p>
            <w:pPr>
              <w:ind w:left="54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(5,377)</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(3,836)</w:t>
            </w:r>
          </w:p>
        </w:tc>
      </w:tr>
      <w:tr>
        <w:trPr>
          <w:trHeight w:val="26"/>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Income taxes payable</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9,270</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25,784</w:t>
            </w:r>
          </w:p>
        </w:tc>
      </w:tr>
      <w:tr>
        <w:trPr>
          <w:trHeight w:val="191"/>
        </w:trPr>
        <w:tc>
          <w:tcPr>
            <w:tcW w:w="8300" w:type="dxa"/>
            <w:vAlign w:val="bottom"/>
          </w:tcPr>
          <w:p>
            <w:pPr>
              <w:ind w:left="540"/>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6,238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(1,615)</w:t>
            </w:r>
          </w:p>
        </w:tc>
      </w:tr>
      <w:tr>
        <w:trPr>
          <w:trHeight w:val="26"/>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45,893</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36,770</w:t>
            </w:r>
          </w:p>
        </w:tc>
      </w:tr>
      <w:tr>
        <w:trPr>
          <w:trHeight w:val="149"/>
        </w:trPr>
        <w:tc>
          <w:tcPr>
            <w:tcW w:w="8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96"/>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1"/>
        </w:trPr>
        <w:tc>
          <w:tcPr>
            <w:tcW w:w="8300" w:type="dxa"/>
            <w:vAlign w:val="bottom"/>
          </w:tcPr>
          <w:p>
            <w:pPr>
              <w:spacing w:after="0"/>
              <w:rPr>
                <w:sz w:val="20"/>
                <w:szCs w:val="20"/>
                <w:color w:val="auto"/>
              </w:rPr>
            </w:pPr>
            <w:r>
              <w:rPr>
                <w:rFonts w:ascii="Arial" w:cs="Arial" w:eastAsia="Arial" w:hAnsi="Arial"/>
                <w:sz w:val="14"/>
                <w:szCs w:val="14"/>
                <w:color w:val="auto"/>
              </w:rPr>
              <w:t>Maturities of held-to-maturity investments</w:t>
            </w:r>
          </w:p>
        </w:tc>
        <w:tc>
          <w:tcPr>
            <w:tcW w:w="2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66,344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141,806</w:t>
            </w:r>
          </w:p>
        </w:tc>
      </w:tr>
      <w:tr>
        <w:trPr>
          <w:trHeight w:val="26"/>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Sales of available-for-sale investments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29,891</w:t>
            </w:r>
          </w:p>
        </w:tc>
      </w:tr>
      <w:tr>
        <w:trPr>
          <w:trHeight w:val="191"/>
        </w:trPr>
        <w:tc>
          <w:tcPr>
            <w:tcW w:w="8300" w:type="dxa"/>
            <w:vAlign w:val="bottom"/>
          </w:tcPr>
          <w:p>
            <w:pPr>
              <w:spacing w:after="0"/>
              <w:rPr>
                <w:sz w:val="20"/>
                <w:szCs w:val="20"/>
                <w:color w:val="auto"/>
              </w:rPr>
            </w:pPr>
            <w:r>
              <w:rPr>
                <w:rFonts w:ascii="Arial" w:cs="Arial" w:eastAsia="Arial" w:hAnsi="Arial"/>
                <w:sz w:val="14"/>
                <w:szCs w:val="14"/>
                <w:color w:val="auto"/>
              </w:rPr>
              <w:t>Sales of trading investments</w:t>
            </w:r>
          </w:p>
        </w:tc>
        <w:tc>
          <w:tcPr>
            <w:tcW w:w="2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15,750</w:t>
            </w:r>
          </w:p>
        </w:tc>
      </w:tr>
      <w:tr>
        <w:trPr>
          <w:trHeight w:val="26"/>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Purchases of held-to-maturity investments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(69,464)</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(190,635)</w:t>
            </w:r>
          </w:p>
        </w:tc>
      </w:tr>
      <w:tr>
        <w:trPr>
          <w:trHeight w:val="191"/>
        </w:trPr>
        <w:tc>
          <w:tcPr>
            <w:tcW w:w="8300" w:type="dxa"/>
            <w:vAlign w:val="bottom"/>
          </w:tcPr>
          <w:p>
            <w:pPr>
              <w:spacing w:after="0"/>
              <w:rPr>
                <w:sz w:val="20"/>
                <w:szCs w:val="20"/>
                <w:color w:val="auto"/>
              </w:rPr>
            </w:pPr>
            <w:r>
              <w:rPr>
                <w:rFonts w:ascii="Arial" w:cs="Arial" w:eastAsia="Arial" w:hAnsi="Arial"/>
                <w:sz w:val="14"/>
                <w:szCs w:val="14"/>
                <w:color w:val="auto"/>
              </w:rPr>
              <w:t>Purchases of available-for-sale investments</w:t>
            </w:r>
          </w:p>
        </w:tc>
        <w:tc>
          <w:tcPr>
            <w:tcW w:w="2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(2,001)</w:t>
            </w:r>
          </w:p>
        </w:tc>
      </w:tr>
      <w:tr>
        <w:trPr>
          <w:trHeight w:val="26"/>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(8,732)</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(14,542)</w:t>
            </w:r>
          </w:p>
        </w:tc>
      </w:tr>
      <w:tr>
        <w:trPr>
          <w:trHeight w:val="26"/>
        </w:trPr>
        <w:tc>
          <w:tcPr>
            <w:tcW w:w="8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ectPr>
          <w:pgSz w:w="11900" w:h="16897" w:orient="portrait"/>
          <w:cols w:equalWidth="0" w:num="1">
            <w:col w:w="11420"/>
          </w:cols>
          <w:pgMar w:left="240" w:top="125" w:right="239" w:bottom="0" w:gutter="0" w:footer="0" w:header="0"/>
        </w:sectPr>
      </w:pPr>
    </w:p>
    <w:bookmarkStart w:id="4" w:name="page5"/>
    <w:bookmarkEnd w:id="4"/>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0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5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Additions to intangibles</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91"/>
        </w:trPr>
        <w:tc>
          <w:tcPr>
            <w:tcW w:w="8300" w:type="dxa"/>
            <w:vAlign w:val="bottom"/>
          </w:tcPr>
          <w:p>
            <w:pPr>
              <w:spacing w:after="0"/>
              <w:rPr>
                <w:sz w:val="20"/>
                <w:szCs w:val="20"/>
                <w:color w:val="auto"/>
              </w:rPr>
            </w:pPr>
            <w:r>
              <w:rPr>
                <w:rFonts w:ascii="Arial" w:cs="Arial" w:eastAsia="Arial" w:hAnsi="Arial"/>
                <w:sz w:val="14"/>
                <w:szCs w:val="14"/>
                <w:color w:val="auto"/>
              </w:rPr>
              <w:t>(Increase) decrease in other assets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(219)</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6"/>
        </w:trPr>
        <w:tc>
          <w:tcPr>
            <w:tcW w:w="83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Net cash used in investing activities</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(15,415)</w:t>
            </w: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(20,014)</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300" w:type="dxa"/>
            <w:vAlign w:val="bottom"/>
          </w:tcPr>
          <w:p>
            <w:pPr>
              <w:spacing w:after="0"/>
              <w:rPr>
                <w:sz w:val="20"/>
                <w:szCs w:val="20"/>
                <w:color w:val="auto"/>
              </w:rPr>
            </w:pPr>
            <w:r>
              <w:rPr>
                <w:rFonts w:ascii="Arial" w:cs="Arial" w:eastAsia="Arial" w:hAnsi="Arial"/>
                <w:sz w:val="14"/>
                <w:szCs w:val="14"/>
                <w:color w:val="auto"/>
              </w:rPr>
              <w:t>Principal payments on debt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(296)</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Tax benefit from exercise of stock options</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91"/>
        </w:trPr>
        <w:tc>
          <w:tcPr>
            <w:tcW w:w="830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5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2,381</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2,722</w:t>
            </w: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Purchases of common stock held in treasury</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(13,361)</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300" w:type="dxa"/>
            <w:vAlign w:val="bottom"/>
          </w:tcPr>
          <w:p>
            <w:pPr>
              <w:ind w:left="720"/>
              <w:spacing w:after="0"/>
              <w:rPr>
                <w:sz w:val="20"/>
                <w:szCs w:val="20"/>
                <w:color w:val="auto"/>
              </w:rPr>
            </w:pPr>
            <w:r>
              <w:rPr>
                <w:rFonts w:ascii="Arial" w:cs="Arial" w:eastAsia="Arial" w:hAnsi="Arial"/>
                <w:sz w:val="14"/>
                <w:szCs w:val="14"/>
                <w:color w:val="auto"/>
              </w:rPr>
              <w:t>Net cash (used in) provided by financing activities</w:t>
            </w: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(11,100)</w:t>
            </w:r>
          </w:p>
        </w:tc>
        <w:tc>
          <w:tcPr>
            <w:tcW w:w="1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2,604</w:t>
            </w:r>
          </w:p>
        </w:tc>
        <w:tc>
          <w:tcPr>
            <w:tcW w:w="0" w:type="dxa"/>
            <w:vAlign w:val="bottom"/>
          </w:tcPr>
          <w:p>
            <w:pPr>
              <w:spacing w:after="0"/>
              <w:rPr>
                <w:sz w:val="1"/>
                <w:szCs w:val="1"/>
                <w:color w:val="auto"/>
              </w:rPr>
            </w:pPr>
          </w:p>
        </w:tc>
      </w:tr>
      <w:tr>
        <w:trPr>
          <w:trHeight w:val="26"/>
        </w:trPr>
        <w:tc>
          <w:tcPr>
            <w:tcW w:w="83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30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5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641</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12,747</w:t>
            </w: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300" w:type="dxa"/>
            <w:vAlign w:val="bottom"/>
          </w:tcPr>
          <w:p>
            <w:pPr>
              <w:spacing w:after="0"/>
              <w:rPr>
                <w:sz w:val="20"/>
                <w:szCs w:val="20"/>
                <w:color w:val="auto"/>
              </w:rPr>
            </w:pPr>
            <w:r>
              <w:rPr>
                <w:rFonts w:ascii="Arial" w:cs="Arial" w:eastAsia="Arial" w:hAnsi="Arial"/>
                <w:sz w:val="14"/>
                <w:szCs w:val="14"/>
                <w:color w:val="auto"/>
              </w:rPr>
              <w:t>NET INCREASE IN CASH AND</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EQUIVALENTS</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20,019</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32,107</w:t>
            </w:r>
          </w:p>
        </w:tc>
        <w:tc>
          <w:tcPr>
            <w:tcW w:w="0" w:type="dxa"/>
            <w:vAlign w:val="bottom"/>
          </w:tcPr>
          <w:p>
            <w:pPr>
              <w:spacing w:after="0"/>
              <w:rPr>
                <w:sz w:val="1"/>
                <w:szCs w:val="1"/>
                <w:color w:val="auto"/>
              </w:rPr>
            </w:pPr>
          </w:p>
        </w:tc>
      </w:tr>
      <w:tr>
        <w:trPr>
          <w:trHeight w:val="191"/>
        </w:trPr>
        <w:tc>
          <w:tcPr>
            <w:tcW w:w="8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5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222,514</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359,331</w:t>
            </w:r>
          </w:p>
        </w:tc>
        <w:tc>
          <w:tcPr>
            <w:tcW w:w="0" w:type="dxa"/>
            <w:vAlign w:val="bottom"/>
          </w:tcPr>
          <w:p>
            <w:pPr>
              <w:spacing w:after="0"/>
              <w:rPr>
                <w:sz w:val="1"/>
                <w:szCs w:val="1"/>
                <w:color w:val="auto"/>
              </w:rPr>
            </w:pPr>
          </w:p>
        </w:tc>
      </w:tr>
      <w:tr>
        <w:trPr>
          <w:trHeight w:val="33"/>
        </w:trPr>
        <w:tc>
          <w:tcPr>
            <w:tcW w:w="83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end of period</w:t>
            </w:r>
          </w:p>
        </w:tc>
        <w:tc>
          <w:tcPr>
            <w:tcW w:w="52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242,533</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391,438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SUPPLEMENTAL INFORMATION:</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300" w:type="dxa"/>
            <w:vAlign w:val="bottom"/>
          </w:tcPr>
          <w:p>
            <w:pPr>
              <w:ind w:left="180"/>
              <w:spacing w:after="0"/>
              <w:rPr>
                <w:sz w:val="20"/>
                <w:szCs w:val="20"/>
                <w:color w:val="auto"/>
              </w:rPr>
            </w:pPr>
            <w:r>
              <w:rPr>
                <w:rFonts w:ascii="Arial" w:cs="Arial" w:eastAsia="Arial" w:hAnsi="Arial"/>
                <w:sz w:val="14"/>
                <w:szCs w:val="14"/>
                <w:color w:val="auto"/>
              </w:rPr>
              <w:t>Cash paid during the period for:</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Interest</w:t>
            </w:r>
          </w:p>
        </w:tc>
        <w:tc>
          <w:tcPr>
            <w:tcW w:w="52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Income taxes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300" w:type="dxa"/>
            <w:vAlign w:val="bottom"/>
            <w:vMerge w:val="continue"/>
          </w:tcPr>
          <w:p>
            <w:pPr>
              <w:spacing w:after="0"/>
              <w:rPr>
                <w:sz w:val="14"/>
                <w:szCs w:val="14"/>
                <w:color w:val="auto"/>
              </w:rPr>
            </w:pPr>
          </w:p>
        </w:tc>
        <w:tc>
          <w:tcPr>
            <w:tcW w:w="5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5,663</w:t>
            </w:r>
          </w:p>
        </w:tc>
        <w:tc>
          <w:tcPr>
            <w:tcW w:w="160" w:type="dxa"/>
            <w:vAlign w:val="bottom"/>
          </w:tcPr>
          <w:p>
            <w:pPr>
              <w:spacing w:after="0"/>
              <w:rPr>
                <w:sz w:val="14"/>
                <w:szCs w:val="14"/>
                <w:color w:val="auto"/>
              </w:rPr>
            </w:pP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23,491</w:t>
            </w: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920"/>
        <w:spacing w:after="0" w:line="239" w:lineRule="auto"/>
        <w:rPr>
          <w:sz w:val="20"/>
          <w:szCs w:val="20"/>
          <w:color w:val="auto"/>
        </w:rPr>
      </w:pPr>
      <w:r>
        <w:rPr>
          <w:rFonts w:ascii="Arial" w:cs="Arial" w:eastAsia="Arial" w:hAnsi="Arial"/>
          <w:sz w:val="22"/>
          <w:szCs w:val="22"/>
          <w:b w:val="1"/>
          <w:bCs w:val="1"/>
          <w:color w:val="auto"/>
        </w:rPr>
        <w:t>MONSTER BEVERAGE CORPORATION AND SUBSIDIARIES CONDENSED CONSOLIDATED STATEMENTS OF CASH FLOWS FOR THE THREE-MONTHS ENDED MARCH 31, 2013 AND 2012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SUPPLEMENTAL DISCLOSURE OF NON-CASH ITEMS</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Company entered into capital leases for the acquisition of promotional vehicles of $0.4 million and $0.8 million for the three-months ended March 31, 2013 and 2012, respectively.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Included in accounts receivable, net, are sales of available-for-sale investments of $5.8 million as of March 31, 2013.</w:t>
      </w:r>
    </w:p>
    <w:p>
      <w:pPr>
        <w:spacing w:after="0" w:line="268"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Included in accounts payable are property and equipment purchases of $2.0 million and $0.4 million as of March 31, 2013 and December 31, 2012, respectively.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BASIS OF PRESENTATION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Reference is made to the Notes to Consolidated Financial Statements, in Monster Beverage Corporation and Subsidiaries (the “Company” or, in reference to the Company’s former name, “Hansen Natural Corporation”) Annual Report on Form 10-K for the year ended December 31, 2012 (“Form 10-K”) for a summary of significant accounting policies utilized by the Company and its consolidated subsidiaries and other disclosures, which should be read in conjunction with this Quarterly Report on Form 10-Q (“Form 10-Q”).</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three-months ended March 31, 2013 and 2012 is unaudited and reflects all adjustments, which include only normal recurring adjustments and which in the opinion of management</w:t>
      </w:r>
    </w:p>
    <w:p>
      <w:pPr>
        <w:sectPr>
          <w:pgSz w:w="11900" w:h="16860" w:orient="portrait"/>
          <w:cols w:equalWidth="0" w:num="1">
            <w:col w:w="11420"/>
          </w:cols>
          <w:pgMar w:left="240" w:top="148" w:right="239" w:bottom="0" w:gutter="0" w:footer="0" w:header="0"/>
        </w:sectPr>
      </w:pPr>
    </w:p>
    <w:bookmarkStart w:id="5" w:name="page6"/>
    <w:bookmarkEnd w:id="5"/>
    <w:p>
      <w:pPr>
        <w:spacing w:after="0" w:line="6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are necessary to make the interim condensed consolidated financial statements not misleading. Results of operations for periods covered by this report may not necessarily be indicative of results of operations for the full year.</w:t>
      </w:r>
    </w:p>
    <w:p>
      <w:pPr>
        <w:spacing w:after="0" w:line="17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212"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RECENT ACCOUNTING PRONOUNCEMENTS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In February 2013, the Financial Accounting Standards Board (the “FASB”) issued Accounting Standards Update (“ASU”) No. 2013-02, “Comprehensive Income (Topic 220): Reporting of Amounts Reclassified Out of Accumulated Other Comprehensive Income”.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GAAP to be reclassified to net income in its entirety in the same reporting period. For other amounts that are not required under GAAP to be reclassified in their entirety to net income, an entity is required to cross-reference to other disclosures required under GAAP that provide additional detail about those amounts. The guidance became effective for the Company on January 1, 2013. The adoption of ASU 2013-02 did not have a material impact on the Company’s financial position, results of operations or liquidity.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INVESTMENTS</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following table summarizes the Company’s investments at: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left="83"/>
              <w:spacing w:after="0"/>
              <w:rPr>
                <w:sz w:val="20"/>
                <w:szCs w:val="20"/>
                <w:color w:val="auto"/>
              </w:rPr>
            </w:pPr>
            <w:r>
              <w:rPr>
                <w:rFonts w:ascii="Arial" w:cs="Arial" w:eastAsia="Arial" w:hAnsi="Arial"/>
                <w:sz w:val="15"/>
                <w:szCs w:val="15"/>
                <w:color w:val="auto"/>
                <w:w w:val="92"/>
              </w:rPr>
              <w:t>Continuous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63"/>
              <w:spacing w:after="0"/>
              <w:rPr>
                <w:sz w:val="20"/>
                <w:szCs w:val="20"/>
                <w:color w:val="auto"/>
              </w:rPr>
            </w:pPr>
            <w:r>
              <w:rPr>
                <w:rFonts w:ascii="Arial" w:cs="Arial" w:eastAsia="Arial" w:hAnsi="Arial"/>
                <w:sz w:val="15"/>
                <w:szCs w:val="15"/>
                <w:color w:val="auto"/>
                <w:w w:val="92"/>
              </w:rPr>
              <w:t>Continuous</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5"/>
                <w:szCs w:val="15"/>
                <w:color w:val="auto"/>
                <w:w w:val="84"/>
              </w:rPr>
              <w:t>Gross</w:t>
            </w:r>
          </w:p>
        </w:tc>
        <w:tc>
          <w:tcPr>
            <w:tcW w:w="2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left="83"/>
              <w:spacing w:after="0"/>
              <w:rPr>
                <w:sz w:val="20"/>
                <w:szCs w:val="20"/>
                <w:color w:val="auto"/>
              </w:rPr>
            </w:pPr>
            <w:r>
              <w:rPr>
                <w:rFonts w:ascii="Arial" w:cs="Arial" w:eastAsia="Arial" w:hAnsi="Arial"/>
                <w:sz w:val="15"/>
                <w:szCs w:val="15"/>
                <w:color w:val="auto"/>
                <w:w w:val="91"/>
              </w:rPr>
              <w:t>Unrealized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63"/>
              <w:spacing w:after="0"/>
              <w:rPr>
                <w:sz w:val="20"/>
                <w:szCs w:val="20"/>
                <w:color w:val="auto"/>
              </w:rPr>
            </w:pPr>
            <w:r>
              <w:rPr>
                <w:rFonts w:ascii="Arial" w:cs="Arial" w:eastAsia="Arial" w:hAnsi="Arial"/>
                <w:sz w:val="15"/>
                <w:szCs w:val="15"/>
                <w:color w:val="auto"/>
                <w:w w:val="91"/>
              </w:rPr>
              <w:t>Unrealized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5"/>
                <w:szCs w:val="15"/>
                <w:color w:val="auto"/>
                <w:w w:val="91"/>
              </w:rPr>
              <w:t>Unrealized</w:t>
            </w:r>
          </w:p>
        </w:tc>
        <w:tc>
          <w:tcPr>
            <w:tcW w:w="2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5"/>
                <w:szCs w:val="15"/>
                <w:color w:val="auto"/>
                <w:w w:val="94"/>
              </w:rPr>
              <w:t>Unrealized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left="83"/>
              <w:spacing w:after="0"/>
              <w:rPr>
                <w:sz w:val="20"/>
                <w:szCs w:val="20"/>
                <w:color w:val="auto"/>
              </w:rPr>
            </w:pPr>
            <w:r>
              <w:rPr>
                <w:rFonts w:ascii="Arial" w:cs="Arial" w:eastAsia="Arial" w:hAnsi="Arial"/>
                <w:sz w:val="15"/>
                <w:szCs w:val="15"/>
                <w:color w:val="auto"/>
                <w:w w:val="91"/>
              </w:rPr>
              <w:t>Loss Position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63"/>
              <w:spacing w:after="0"/>
              <w:rPr>
                <w:sz w:val="20"/>
                <w:szCs w:val="20"/>
                <w:color w:val="auto"/>
              </w:rPr>
            </w:pPr>
            <w:r>
              <w:rPr>
                <w:rFonts w:ascii="Arial" w:cs="Arial" w:eastAsia="Arial" w:hAnsi="Arial"/>
                <w:sz w:val="15"/>
                <w:szCs w:val="15"/>
                <w:color w:val="auto"/>
                <w:w w:val="91"/>
              </w:rPr>
              <w:t>Loss Position</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5"/>
                <w:szCs w:val="15"/>
                <w:color w:val="auto"/>
                <w:w w:val="97"/>
              </w:rPr>
              <w:t>Amortized</w:t>
            </w: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5"/>
                <w:szCs w:val="15"/>
                <w:color w:val="auto"/>
                <w:w w:val="98"/>
              </w:rPr>
              <w:t>Holding</w:t>
            </w:r>
          </w:p>
        </w:tc>
        <w:tc>
          <w:tcPr>
            <w:tcW w:w="2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5"/>
                <w:szCs w:val="15"/>
                <w:color w:val="auto"/>
              </w:rPr>
              <w:t>Holding</w:t>
            </w:r>
          </w:p>
        </w:tc>
        <w:tc>
          <w:tcPr>
            <w:tcW w:w="280" w:type="dxa"/>
            <w:vAlign w:val="bottom"/>
          </w:tcPr>
          <w:p>
            <w:pPr>
              <w:spacing w:after="0"/>
              <w:rPr>
                <w:sz w:val="18"/>
                <w:szCs w:val="18"/>
                <w:color w:val="auto"/>
              </w:rPr>
            </w:pPr>
          </w:p>
        </w:tc>
        <w:tc>
          <w:tcPr>
            <w:tcW w:w="980" w:type="dxa"/>
            <w:vAlign w:val="bottom"/>
          </w:tcPr>
          <w:p>
            <w:pPr>
              <w:jc w:val="center"/>
              <w:ind w:right="303"/>
              <w:spacing w:after="0"/>
              <w:rPr>
                <w:sz w:val="20"/>
                <w:szCs w:val="20"/>
                <w:color w:val="auto"/>
              </w:rPr>
            </w:pPr>
            <w:r>
              <w:rPr>
                <w:rFonts w:ascii="Arial" w:cs="Arial" w:eastAsia="Arial" w:hAnsi="Arial"/>
                <w:sz w:val="15"/>
                <w:szCs w:val="15"/>
                <w:color w:val="auto"/>
                <w:w w:val="92"/>
              </w:rPr>
              <w:t>Fair</w:t>
            </w:r>
          </w:p>
        </w:tc>
        <w:tc>
          <w:tcPr>
            <w:tcW w:w="100" w:type="dxa"/>
            <w:vAlign w:val="bottom"/>
          </w:tcPr>
          <w:p>
            <w:pPr>
              <w:spacing w:after="0"/>
              <w:rPr>
                <w:sz w:val="18"/>
                <w:szCs w:val="18"/>
                <w:color w:val="auto"/>
              </w:rPr>
            </w:pPr>
          </w:p>
        </w:tc>
        <w:tc>
          <w:tcPr>
            <w:tcW w:w="980" w:type="dxa"/>
            <w:vAlign w:val="bottom"/>
          </w:tcPr>
          <w:p>
            <w:pPr>
              <w:jc w:val="center"/>
              <w:ind w:left="63"/>
              <w:spacing w:after="0"/>
              <w:rPr>
                <w:sz w:val="20"/>
                <w:szCs w:val="20"/>
                <w:color w:val="auto"/>
              </w:rPr>
            </w:pPr>
            <w:r>
              <w:rPr>
                <w:rFonts w:ascii="Arial" w:cs="Arial" w:eastAsia="Arial" w:hAnsi="Arial"/>
                <w:sz w:val="15"/>
                <w:szCs w:val="15"/>
                <w:color w:val="auto"/>
                <w:w w:val="88"/>
              </w:rPr>
              <w:t>less than 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83"/>
              <w:spacing w:after="0"/>
              <w:rPr>
                <w:sz w:val="20"/>
                <w:szCs w:val="20"/>
                <w:color w:val="auto"/>
              </w:rPr>
            </w:pPr>
            <w:r>
              <w:rPr>
                <w:rFonts w:ascii="Arial" w:cs="Arial" w:eastAsia="Arial" w:hAnsi="Arial"/>
                <w:sz w:val="15"/>
                <w:szCs w:val="15"/>
                <w:color w:val="auto"/>
                <w:w w:val="90"/>
              </w:rPr>
              <w:t>greater than 12</w:t>
            </w:r>
          </w:p>
        </w:tc>
        <w:tc>
          <w:tcPr>
            <w:tcW w:w="0" w:type="dxa"/>
            <w:vAlign w:val="bottom"/>
          </w:tcPr>
          <w:p>
            <w:pPr>
              <w:spacing w:after="0"/>
              <w:rPr>
                <w:sz w:val="1"/>
                <w:szCs w:val="1"/>
                <w:color w:val="auto"/>
              </w:rPr>
            </w:pPr>
          </w:p>
        </w:tc>
      </w:tr>
      <w:tr>
        <w:trPr>
          <w:trHeight w:val="231"/>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March 31, 2013</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90"/>
              </w:rPr>
              <w:t>Cost</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86"/>
              </w:rPr>
              <w:t>Gains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5"/>
                <w:szCs w:val="15"/>
                <w:color w:val="auto"/>
                <w:w w:val="84"/>
              </w:rPr>
              <w:t>Losses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3"/>
              <w:spacing w:after="0"/>
              <w:rPr>
                <w:sz w:val="20"/>
                <w:szCs w:val="20"/>
                <w:color w:val="auto"/>
              </w:rPr>
            </w:pPr>
            <w:r>
              <w:rPr>
                <w:rFonts w:ascii="Arial" w:cs="Arial" w:eastAsia="Arial" w:hAnsi="Arial"/>
                <w:sz w:val="15"/>
                <w:szCs w:val="15"/>
                <w:color w:val="auto"/>
                <w:w w:val="93"/>
              </w:rPr>
              <w:t>Value</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left="83"/>
              <w:spacing w:after="0"/>
              <w:rPr>
                <w:sz w:val="20"/>
                <w:szCs w:val="20"/>
                <w:color w:val="auto"/>
              </w:rPr>
            </w:pPr>
            <w:r>
              <w:rPr>
                <w:rFonts w:ascii="Arial" w:cs="Arial" w:eastAsia="Arial" w:hAnsi="Arial"/>
                <w:sz w:val="15"/>
                <w:szCs w:val="15"/>
                <w:color w:val="auto"/>
                <w:w w:val="93"/>
              </w:rPr>
              <w:t>Months</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color w:val="auto"/>
                <w:w w:val="93"/>
              </w:rPr>
              <w:t>Months</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Held-to-Maturity</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U.S. Treasuries</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16,023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16,025</w:t>
            </w:r>
          </w:p>
        </w:tc>
        <w:tc>
          <w:tcPr>
            <w:tcW w:w="1080" w:type="dxa"/>
            <w:vAlign w:val="bottom"/>
            <w:gridSpan w:val="2"/>
            <w:shd w:val="clear" w:color="auto" w:fill="CCEEFF"/>
          </w:tcPr>
          <w:p>
            <w:pPr>
              <w:jc w:val="right"/>
              <w:ind w:right="7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3340" w:type="dxa"/>
            <w:vAlign w:val="bottom"/>
          </w:tcPr>
          <w:p>
            <w:pPr>
              <w:ind w:left="180"/>
              <w:spacing w:after="0"/>
              <w:rPr>
                <w:sz w:val="20"/>
                <w:szCs w:val="20"/>
                <w:color w:val="auto"/>
              </w:rPr>
            </w:pPr>
            <w:r>
              <w:rPr>
                <w:rFonts w:ascii="Arial" w:cs="Arial" w:eastAsia="Arial" w:hAnsi="Arial"/>
                <w:sz w:val="15"/>
                <w:szCs w:val="15"/>
                <w:color w:val="auto"/>
              </w:rPr>
              <w:t>Certificates of deposit</w:t>
            </w:r>
          </w:p>
        </w:tc>
        <w:tc>
          <w:tcPr>
            <w:tcW w:w="200" w:type="dxa"/>
            <w:vAlign w:val="bottom"/>
          </w:tcPr>
          <w:p>
            <w:pPr>
              <w:spacing w:after="0"/>
              <w:rPr>
                <w:sz w:val="18"/>
                <w:szCs w:val="18"/>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6,706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6,706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Municipal securities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75,671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75,703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3340" w:type="dxa"/>
            <w:vAlign w:val="bottom"/>
          </w:tcPr>
          <w:p>
            <w:pPr>
              <w:ind w:left="540"/>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98,400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34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98,434</w:t>
            </w:r>
          </w:p>
        </w:tc>
        <w:tc>
          <w:tcPr>
            <w:tcW w:w="1080" w:type="dxa"/>
            <w:vAlign w:val="bottom"/>
            <w:gridSpan w:val="2"/>
          </w:tcPr>
          <w:p>
            <w:pPr>
              <w:jc w:val="right"/>
              <w:ind w:right="743"/>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3340" w:type="dxa"/>
            <w:vAlign w:val="bottom"/>
            <w:tcBorders>
              <w:top w:val="single" w:sz="8" w:color="CCEEFF"/>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Trading</w:t>
            </w: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Auction rate securities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3,739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40" w:type="dxa"/>
            <w:vAlign w:val="bottom"/>
          </w:tcPr>
          <w:p>
            <w:pPr>
              <w:spacing w:after="0"/>
              <w:rPr>
                <w:sz w:val="20"/>
                <w:szCs w:val="20"/>
                <w:color w:val="auto"/>
              </w:rPr>
            </w:pPr>
            <w:r>
              <w:rPr>
                <w:rFonts w:ascii="Arial" w:cs="Arial" w:eastAsia="Arial" w:hAnsi="Arial"/>
                <w:sz w:val="15"/>
                <w:szCs w:val="15"/>
                <w:color w:val="auto"/>
              </w:rPr>
              <w:t>Long-term:</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Auction rate securities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13,631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540"/>
              <w:spacing w:after="0"/>
              <w:rPr>
                <w:sz w:val="20"/>
                <w:szCs w:val="20"/>
                <w:color w:val="auto"/>
              </w:rPr>
            </w:pPr>
            <w:r>
              <w:rPr>
                <w:rFonts w:ascii="Arial" w:cs="Arial" w:eastAsia="Arial" w:hAnsi="Arial"/>
                <w:sz w:val="15"/>
                <w:szCs w:val="15"/>
                <w:color w:val="auto"/>
              </w:rPr>
              <w:t>Total</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115,804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restart"/>
          </w:tcPr>
          <w:p>
            <w:pPr>
              <w:jc w:val="center"/>
              <w:ind w:left="83"/>
              <w:spacing w:after="0"/>
              <w:rPr>
                <w:sz w:val="20"/>
                <w:szCs w:val="20"/>
                <w:color w:val="auto"/>
              </w:rPr>
            </w:pPr>
            <w:r>
              <w:rPr>
                <w:rFonts w:ascii="Arial" w:cs="Arial" w:eastAsia="Arial" w:hAnsi="Arial"/>
                <w:sz w:val="15"/>
                <w:szCs w:val="15"/>
                <w:color w:val="auto"/>
                <w:w w:val="92"/>
              </w:rPr>
              <w:t>Continuous</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vMerge w:val="restart"/>
          </w:tcPr>
          <w:p>
            <w:pPr>
              <w:jc w:val="center"/>
              <w:ind w:right="63"/>
              <w:spacing w:after="0"/>
              <w:rPr>
                <w:sz w:val="20"/>
                <w:szCs w:val="20"/>
                <w:color w:val="auto"/>
              </w:rPr>
            </w:pPr>
            <w:r>
              <w:rPr>
                <w:rFonts w:ascii="Arial" w:cs="Arial" w:eastAsia="Arial" w:hAnsi="Arial"/>
                <w:sz w:val="15"/>
                <w:szCs w:val="15"/>
                <w:color w:val="auto"/>
                <w:w w:val="92"/>
              </w:rPr>
              <w:t>Continuous</w:t>
            </w:r>
          </w:p>
        </w:tc>
        <w:tc>
          <w:tcPr>
            <w:tcW w:w="0" w:type="dxa"/>
            <w:vAlign w:val="bottom"/>
          </w:tcPr>
          <w:p>
            <w:pPr>
              <w:spacing w:after="0" w:line="20" w:lineRule="exact"/>
              <w:rPr>
                <w:sz w:val="1"/>
                <w:szCs w:val="1"/>
                <w:color w:val="auto"/>
              </w:rPr>
            </w:pPr>
          </w:p>
        </w:tc>
      </w:tr>
      <w:tr>
        <w:trPr>
          <w:trHeight w:val="411"/>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5"/>
                <w:szCs w:val="15"/>
                <w:color w:val="auto"/>
                <w:w w:val="84"/>
              </w:rPr>
              <w:t>Gross</w:t>
            </w:r>
          </w:p>
        </w:tc>
        <w:tc>
          <w:tcPr>
            <w:tcW w:w="2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left="83"/>
              <w:spacing w:after="0"/>
              <w:rPr>
                <w:sz w:val="20"/>
                <w:szCs w:val="20"/>
                <w:color w:val="auto"/>
              </w:rPr>
            </w:pPr>
            <w:r>
              <w:rPr>
                <w:rFonts w:ascii="Arial" w:cs="Arial" w:eastAsia="Arial" w:hAnsi="Arial"/>
                <w:sz w:val="15"/>
                <w:szCs w:val="15"/>
                <w:color w:val="auto"/>
                <w:w w:val="91"/>
              </w:rPr>
              <w:t>Unrealized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63"/>
              <w:spacing w:after="0"/>
              <w:rPr>
                <w:sz w:val="20"/>
                <w:szCs w:val="20"/>
                <w:color w:val="auto"/>
              </w:rPr>
            </w:pPr>
            <w:r>
              <w:rPr>
                <w:rFonts w:ascii="Arial" w:cs="Arial" w:eastAsia="Arial" w:hAnsi="Arial"/>
                <w:sz w:val="15"/>
                <w:szCs w:val="15"/>
                <w:color w:val="auto"/>
                <w:w w:val="91"/>
              </w:rPr>
              <w:t>Unrealized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5"/>
                <w:szCs w:val="15"/>
                <w:color w:val="auto"/>
                <w:w w:val="91"/>
              </w:rPr>
              <w:t>Unrealized</w:t>
            </w:r>
          </w:p>
        </w:tc>
        <w:tc>
          <w:tcPr>
            <w:tcW w:w="2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5"/>
                <w:szCs w:val="15"/>
                <w:color w:val="auto"/>
                <w:w w:val="94"/>
              </w:rPr>
              <w:t>Unrealized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left="83"/>
              <w:spacing w:after="0"/>
              <w:rPr>
                <w:sz w:val="20"/>
                <w:szCs w:val="20"/>
                <w:color w:val="auto"/>
              </w:rPr>
            </w:pPr>
            <w:r>
              <w:rPr>
                <w:rFonts w:ascii="Arial" w:cs="Arial" w:eastAsia="Arial" w:hAnsi="Arial"/>
                <w:sz w:val="15"/>
                <w:szCs w:val="15"/>
                <w:color w:val="auto"/>
                <w:w w:val="91"/>
              </w:rPr>
              <w:t>Loss Position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63"/>
              <w:spacing w:after="0"/>
              <w:rPr>
                <w:sz w:val="20"/>
                <w:szCs w:val="20"/>
                <w:color w:val="auto"/>
              </w:rPr>
            </w:pPr>
            <w:r>
              <w:rPr>
                <w:rFonts w:ascii="Arial" w:cs="Arial" w:eastAsia="Arial" w:hAnsi="Arial"/>
                <w:sz w:val="15"/>
                <w:szCs w:val="15"/>
                <w:color w:val="auto"/>
                <w:w w:val="91"/>
              </w:rPr>
              <w:t>Loss Position</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5"/>
                <w:szCs w:val="15"/>
                <w:color w:val="auto"/>
                <w:w w:val="97"/>
              </w:rPr>
              <w:t>Amortized</w:t>
            </w: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5"/>
                <w:szCs w:val="15"/>
                <w:color w:val="auto"/>
                <w:w w:val="98"/>
              </w:rPr>
              <w:t>Holding</w:t>
            </w:r>
          </w:p>
        </w:tc>
        <w:tc>
          <w:tcPr>
            <w:tcW w:w="20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5"/>
                <w:szCs w:val="15"/>
                <w:color w:val="auto"/>
              </w:rPr>
              <w:t>Holding</w:t>
            </w:r>
          </w:p>
        </w:tc>
        <w:tc>
          <w:tcPr>
            <w:tcW w:w="280" w:type="dxa"/>
            <w:vAlign w:val="bottom"/>
          </w:tcPr>
          <w:p>
            <w:pPr>
              <w:spacing w:after="0"/>
              <w:rPr>
                <w:sz w:val="18"/>
                <w:szCs w:val="18"/>
                <w:color w:val="auto"/>
              </w:rPr>
            </w:pPr>
          </w:p>
        </w:tc>
        <w:tc>
          <w:tcPr>
            <w:tcW w:w="980" w:type="dxa"/>
            <w:vAlign w:val="bottom"/>
          </w:tcPr>
          <w:p>
            <w:pPr>
              <w:jc w:val="center"/>
              <w:ind w:right="303"/>
              <w:spacing w:after="0"/>
              <w:rPr>
                <w:sz w:val="20"/>
                <w:szCs w:val="20"/>
                <w:color w:val="auto"/>
              </w:rPr>
            </w:pPr>
            <w:r>
              <w:rPr>
                <w:rFonts w:ascii="Arial" w:cs="Arial" w:eastAsia="Arial" w:hAnsi="Arial"/>
                <w:sz w:val="15"/>
                <w:szCs w:val="15"/>
                <w:color w:val="auto"/>
                <w:w w:val="92"/>
              </w:rPr>
              <w:t>Fair</w:t>
            </w:r>
          </w:p>
        </w:tc>
        <w:tc>
          <w:tcPr>
            <w:tcW w:w="100" w:type="dxa"/>
            <w:vAlign w:val="bottom"/>
          </w:tcPr>
          <w:p>
            <w:pPr>
              <w:spacing w:after="0"/>
              <w:rPr>
                <w:sz w:val="18"/>
                <w:szCs w:val="18"/>
                <w:color w:val="auto"/>
              </w:rPr>
            </w:pPr>
          </w:p>
        </w:tc>
        <w:tc>
          <w:tcPr>
            <w:tcW w:w="980" w:type="dxa"/>
            <w:vAlign w:val="bottom"/>
          </w:tcPr>
          <w:p>
            <w:pPr>
              <w:jc w:val="center"/>
              <w:ind w:left="63"/>
              <w:spacing w:after="0"/>
              <w:rPr>
                <w:sz w:val="20"/>
                <w:szCs w:val="20"/>
                <w:color w:val="auto"/>
              </w:rPr>
            </w:pPr>
            <w:r>
              <w:rPr>
                <w:rFonts w:ascii="Arial" w:cs="Arial" w:eastAsia="Arial" w:hAnsi="Arial"/>
                <w:sz w:val="15"/>
                <w:szCs w:val="15"/>
                <w:color w:val="auto"/>
                <w:w w:val="88"/>
              </w:rPr>
              <w:t>less than 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83"/>
              <w:spacing w:after="0"/>
              <w:rPr>
                <w:sz w:val="20"/>
                <w:szCs w:val="20"/>
                <w:color w:val="auto"/>
              </w:rPr>
            </w:pPr>
            <w:r>
              <w:rPr>
                <w:rFonts w:ascii="Arial" w:cs="Arial" w:eastAsia="Arial" w:hAnsi="Arial"/>
                <w:sz w:val="15"/>
                <w:szCs w:val="15"/>
                <w:color w:val="auto"/>
                <w:w w:val="90"/>
              </w:rPr>
              <w:t>greater than 12</w:t>
            </w:r>
          </w:p>
        </w:tc>
        <w:tc>
          <w:tcPr>
            <w:tcW w:w="0" w:type="dxa"/>
            <w:vAlign w:val="bottom"/>
          </w:tcPr>
          <w:p>
            <w:pPr>
              <w:spacing w:after="0"/>
              <w:rPr>
                <w:sz w:val="1"/>
                <w:szCs w:val="1"/>
                <w:color w:val="auto"/>
              </w:rPr>
            </w:pPr>
          </w:p>
        </w:tc>
      </w:tr>
      <w:tr>
        <w:trPr>
          <w:trHeight w:val="231"/>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2012</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90"/>
              </w:rPr>
              <w:t>Cost</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86"/>
              </w:rPr>
              <w:t>Gains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5"/>
                <w:szCs w:val="15"/>
                <w:color w:val="auto"/>
                <w:w w:val="84"/>
              </w:rPr>
              <w:t>Losses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3"/>
              <w:spacing w:after="0"/>
              <w:rPr>
                <w:sz w:val="20"/>
                <w:szCs w:val="20"/>
                <w:color w:val="auto"/>
              </w:rPr>
            </w:pPr>
            <w:r>
              <w:rPr>
                <w:rFonts w:ascii="Arial" w:cs="Arial" w:eastAsia="Arial" w:hAnsi="Arial"/>
                <w:sz w:val="15"/>
                <w:szCs w:val="15"/>
                <w:color w:val="auto"/>
                <w:w w:val="93"/>
              </w:rPr>
              <w:t>Value</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left="83"/>
              <w:spacing w:after="0"/>
              <w:rPr>
                <w:sz w:val="20"/>
                <w:szCs w:val="20"/>
                <w:color w:val="auto"/>
              </w:rPr>
            </w:pPr>
            <w:r>
              <w:rPr>
                <w:rFonts w:ascii="Arial" w:cs="Arial" w:eastAsia="Arial" w:hAnsi="Arial"/>
                <w:sz w:val="15"/>
                <w:szCs w:val="15"/>
                <w:color w:val="auto"/>
                <w:w w:val="93"/>
              </w:rPr>
              <w:t>Months</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color w:val="auto"/>
                <w:w w:val="93"/>
              </w:rPr>
              <w:t>Months</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Held-to-Maturity</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U.S. Treasuries</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16,040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16,040</w:t>
            </w:r>
          </w:p>
        </w:tc>
        <w:tc>
          <w:tcPr>
            <w:tcW w:w="1080" w:type="dxa"/>
            <w:vAlign w:val="bottom"/>
            <w:gridSpan w:val="2"/>
            <w:shd w:val="clear" w:color="auto" w:fill="CCEEFF"/>
          </w:tcPr>
          <w:p>
            <w:pPr>
              <w:jc w:val="right"/>
              <w:ind w:right="7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3340" w:type="dxa"/>
            <w:vAlign w:val="bottom"/>
          </w:tcPr>
          <w:p>
            <w:pPr>
              <w:ind w:left="180"/>
              <w:spacing w:after="0"/>
              <w:rPr>
                <w:sz w:val="20"/>
                <w:szCs w:val="20"/>
                <w:color w:val="auto"/>
              </w:rPr>
            </w:pPr>
            <w:r>
              <w:rPr>
                <w:rFonts w:ascii="Arial" w:cs="Arial" w:eastAsia="Arial" w:hAnsi="Arial"/>
                <w:sz w:val="15"/>
                <w:szCs w:val="15"/>
                <w:color w:val="auto"/>
              </w:rPr>
              <w:t>Certificates of deposit</w:t>
            </w:r>
          </w:p>
        </w:tc>
        <w:tc>
          <w:tcPr>
            <w:tcW w:w="200" w:type="dxa"/>
            <w:vAlign w:val="bottom"/>
          </w:tcPr>
          <w:p>
            <w:pPr>
              <w:spacing w:after="0"/>
              <w:rPr>
                <w:sz w:val="18"/>
                <w:szCs w:val="18"/>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2,201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2,201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Municipal securities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77,038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77,027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83"/>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3340" w:type="dxa"/>
            <w:vAlign w:val="bottom"/>
          </w:tcPr>
          <w:p>
            <w:pPr>
              <w:spacing w:after="0"/>
              <w:rPr>
                <w:sz w:val="20"/>
                <w:szCs w:val="20"/>
                <w:color w:val="auto"/>
              </w:rPr>
            </w:pPr>
            <w:r>
              <w:rPr>
                <w:rFonts w:ascii="Arial" w:cs="Arial" w:eastAsia="Arial" w:hAnsi="Arial"/>
                <w:sz w:val="15"/>
                <w:szCs w:val="15"/>
                <w:b w:val="1"/>
                <w:bCs w:val="1"/>
                <w:color w:val="auto"/>
              </w:rPr>
              <w:t>Available-for-sale</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Long-term:</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Auction rate securities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3,310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2,483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5,793</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540"/>
              <w:spacing w:after="0"/>
              <w:rPr>
                <w:sz w:val="20"/>
                <w:szCs w:val="20"/>
                <w:color w:val="auto"/>
              </w:rPr>
            </w:pPr>
            <w:r>
              <w:rPr>
                <w:rFonts w:ascii="Arial" w:cs="Arial" w:eastAsia="Arial" w:hAnsi="Arial"/>
                <w:sz w:val="15"/>
                <w:szCs w:val="15"/>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98,589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101,061</w:t>
            </w:r>
          </w:p>
        </w:tc>
        <w:tc>
          <w:tcPr>
            <w:tcW w:w="1080" w:type="dxa"/>
            <w:vAlign w:val="bottom"/>
            <w:gridSpan w:val="2"/>
            <w:shd w:val="clear" w:color="auto" w:fill="CCEEFF"/>
          </w:tcPr>
          <w:p>
            <w:pPr>
              <w:jc w:val="right"/>
              <w:ind w:right="7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83"/>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Trading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3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Short-term:</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tcPr>
          <w:p>
            <w:pPr>
              <w:ind w:left="180"/>
              <w:spacing w:after="0"/>
              <w:rPr>
                <w:sz w:val="20"/>
                <w:szCs w:val="20"/>
                <w:color w:val="auto"/>
              </w:rPr>
            </w:pPr>
            <w:r>
              <w:rPr>
                <w:rFonts w:ascii="Arial" w:cs="Arial" w:eastAsia="Arial" w:hAnsi="Arial"/>
                <w:sz w:val="15"/>
                <w:szCs w:val="15"/>
                <w:color w:val="auto"/>
              </w:rPr>
              <w:t>Auction rate securities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1,763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Long-term:</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Auction rate securities</w:t>
            </w: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15,600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6" w:name="page7"/>
    <w:bookmarkEnd w:id="6"/>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540"/>
        <w:spacing w:after="0"/>
        <w:tabs>
          <w:tab w:leader="none" w:pos="7540" w:val="left"/>
          <w:tab w:leader="none" w:pos="8120" w:val="left"/>
        </w:tabs>
        <w:rPr>
          <w:sz w:val="20"/>
          <w:szCs w:val="20"/>
          <w:color w:val="auto"/>
        </w:rPr>
      </w:pPr>
      <w:r>
        <w:rPr>
          <w:rFonts w:ascii="Arial" w:cs="Arial" w:eastAsia="Arial" w:hAnsi="Arial"/>
          <w:sz w:val="15"/>
          <w:szCs w:val="15"/>
          <w:color w:val="auto"/>
        </w:rPr>
        <w:t>Total</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118,424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36195</wp:posOffset>
            </wp:positionV>
            <wp:extent cx="7886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45"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During the three-months ended March 31, 2013, the Company recognized $2.5 million of realized gains on the sale of available-for-sale investments. During the year ended December 31, 2012, realized gains or losses recognized on the sale of investments were not significant.</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recognized a net gain through earnings on its trading securities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40" w:type="dxa"/>
            <w:vAlign w:val="bottom"/>
          </w:tcPr>
          <w:p>
            <w:pPr>
              <w:spacing w:after="0"/>
              <w:rPr>
                <w:sz w:val="21"/>
                <w:szCs w:val="21"/>
                <w:color w:val="auto"/>
              </w:rPr>
            </w:pPr>
          </w:p>
        </w:tc>
        <w:tc>
          <w:tcPr>
            <w:tcW w:w="3120" w:type="dxa"/>
            <w:vAlign w:val="bottom"/>
            <w:gridSpan w:val="5"/>
          </w:tcPr>
          <w:p>
            <w:pPr>
              <w:jc w:val="right"/>
              <w:ind w:right="592"/>
              <w:spacing w:after="0"/>
              <w:rPr>
                <w:sz w:val="20"/>
                <w:szCs w:val="20"/>
                <w:color w:val="auto"/>
              </w:rPr>
            </w:pPr>
            <w:r>
              <w:rPr>
                <w:rFonts w:ascii="Arial" w:cs="Arial" w:eastAsia="Arial" w:hAnsi="Arial"/>
                <w:sz w:val="22"/>
                <w:szCs w:val="22"/>
                <w:color w:val="auto"/>
              </w:rPr>
              <w:t>Three-Months Ended</w:t>
            </w:r>
          </w:p>
        </w:tc>
      </w:tr>
      <w:tr>
        <w:trPr>
          <w:trHeight w:val="265"/>
        </w:trPr>
        <w:tc>
          <w:tcPr>
            <w:tcW w:w="754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96"/>
              </w:rPr>
              <w:t>March 31,</w:t>
            </w:r>
          </w:p>
        </w:tc>
        <w:tc>
          <w:tcPr>
            <w:tcW w:w="1100" w:type="dxa"/>
            <w:vAlign w:val="bottom"/>
            <w:tcBorders>
              <w:bottom w:val="single" w:sz="8" w:color="auto"/>
            </w:tcBorders>
          </w:tcPr>
          <w:p>
            <w:pPr>
              <w:spacing w:after="0"/>
              <w:rPr>
                <w:sz w:val="23"/>
                <w:szCs w:val="23"/>
                <w:color w:val="auto"/>
              </w:rPr>
            </w:pPr>
          </w:p>
        </w:tc>
      </w:tr>
      <w:tr>
        <w:trPr>
          <w:trHeight w:val="237"/>
        </w:trPr>
        <w:tc>
          <w:tcPr>
            <w:tcW w:w="75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2013</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2"/>
              <w:spacing w:after="0" w:line="237" w:lineRule="exact"/>
              <w:rPr>
                <w:sz w:val="20"/>
                <w:szCs w:val="20"/>
                <w:color w:val="auto"/>
              </w:rPr>
            </w:pPr>
            <w:r>
              <w:rPr>
                <w:rFonts w:ascii="Arial" w:cs="Arial" w:eastAsia="Arial" w:hAnsi="Arial"/>
                <w:sz w:val="22"/>
                <w:szCs w:val="22"/>
                <w:color w:val="auto"/>
              </w:rPr>
              <w:t>2012</w:t>
            </w:r>
          </w:p>
        </w:tc>
      </w:tr>
      <w:tr>
        <w:trPr>
          <w:trHeight w:val="237"/>
        </w:trPr>
        <w:tc>
          <w:tcPr>
            <w:tcW w:w="754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Gain on transfer from available-for-sale to trading</w:t>
            </w:r>
          </w:p>
        </w:tc>
        <w:tc>
          <w:tcPr>
            <w:tcW w:w="980" w:type="dxa"/>
            <w:vAlign w:val="bottom"/>
            <w:shd w:val="clear" w:color="auto" w:fill="CCEEFF"/>
          </w:tcPr>
          <w:p>
            <w:pPr>
              <w:jc w:val="right"/>
              <w:ind w:right="612"/>
              <w:spacing w:after="0" w:line="237" w:lineRule="exact"/>
              <w:rPr>
                <w:sz w:val="20"/>
                <w:szCs w:val="20"/>
                <w:color w:val="auto"/>
              </w:rPr>
            </w:pPr>
            <w:r>
              <w:rPr>
                <w:rFonts w:ascii="Arial" w:cs="Arial" w:eastAsia="Arial" w:hAnsi="Arial"/>
                <w:sz w:val="22"/>
                <w:szCs w:val="22"/>
                <w:color w:val="auto"/>
              </w:rPr>
              <w:t>$</w:t>
            </w:r>
          </w:p>
        </w:tc>
        <w:tc>
          <w:tcPr>
            <w:tcW w:w="380" w:type="dxa"/>
            <w:vAlign w:val="bottom"/>
            <w:shd w:val="clear" w:color="auto" w:fill="CCEEFF"/>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100" w:type="dxa"/>
            <w:vAlign w:val="bottom"/>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r>
      <w:tr>
        <w:trPr>
          <w:trHeight w:val="243"/>
        </w:trPr>
        <w:tc>
          <w:tcPr>
            <w:tcW w:w="7540" w:type="dxa"/>
            <w:vAlign w:val="bottom"/>
          </w:tcPr>
          <w:p>
            <w:pPr>
              <w:spacing w:after="0" w:line="243" w:lineRule="exact"/>
              <w:rPr>
                <w:sz w:val="20"/>
                <w:szCs w:val="20"/>
                <w:color w:val="auto"/>
              </w:rPr>
            </w:pPr>
            <w:r>
              <w:rPr>
                <w:rFonts w:ascii="Arial" w:cs="Arial" w:eastAsia="Arial" w:hAnsi="Arial"/>
                <w:sz w:val="22"/>
                <w:szCs w:val="22"/>
                <w:color w:val="auto"/>
              </w:rPr>
              <w:t>Gain on trading securities sold</w:t>
            </w:r>
          </w:p>
        </w:tc>
        <w:tc>
          <w:tcPr>
            <w:tcW w:w="980" w:type="dxa"/>
            <w:vAlign w:val="bottom"/>
          </w:tcPr>
          <w:p>
            <w:pPr>
              <w:spacing w:after="0"/>
              <w:rPr>
                <w:sz w:val="21"/>
                <w:szCs w:val="21"/>
                <w:color w:val="auto"/>
              </w:rPr>
            </w:pPr>
          </w:p>
        </w:tc>
        <w:tc>
          <w:tcPr>
            <w:tcW w:w="380" w:type="dxa"/>
            <w:vAlign w:val="bottom"/>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1,019</w:t>
            </w:r>
          </w:p>
        </w:tc>
      </w:tr>
      <w:tr>
        <w:trPr>
          <w:trHeight w:val="243"/>
        </w:trPr>
        <w:tc>
          <w:tcPr>
            <w:tcW w:w="7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Gain on trading securities held</w:t>
            </w:r>
          </w:p>
        </w:tc>
        <w:tc>
          <w:tcPr>
            <w:tcW w:w="9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rPr>
              <w:t>6</w:t>
            </w:r>
          </w:p>
        </w:tc>
        <w:tc>
          <w:tcPr>
            <w:tcW w:w="2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754</w:t>
            </w:r>
          </w:p>
        </w:tc>
      </w:tr>
      <w:tr>
        <w:trPr>
          <w:trHeight w:val="237"/>
        </w:trPr>
        <w:tc>
          <w:tcPr>
            <w:tcW w:w="7540" w:type="dxa"/>
            <w:vAlign w:val="bottom"/>
          </w:tcPr>
          <w:p>
            <w:pPr>
              <w:spacing w:after="0" w:line="237" w:lineRule="exact"/>
              <w:rPr>
                <w:sz w:val="20"/>
                <w:szCs w:val="20"/>
                <w:color w:val="auto"/>
              </w:rPr>
            </w:pPr>
            <w:r>
              <w:rPr>
                <w:rFonts w:ascii="Arial" w:cs="Arial" w:eastAsia="Arial" w:hAnsi="Arial"/>
                <w:sz w:val="22"/>
                <w:szCs w:val="22"/>
                <w:color w:val="auto"/>
              </w:rPr>
              <w:t>Gain on trading securites</w:t>
            </w:r>
          </w:p>
        </w:tc>
        <w:tc>
          <w:tcPr>
            <w:tcW w:w="980" w:type="dxa"/>
            <w:vAlign w:val="bottom"/>
            <w:tcBorders>
              <w:bottom w:val="single" w:sz="8" w:color="auto"/>
            </w:tcBorders>
          </w:tcPr>
          <w:p>
            <w:pPr>
              <w:jc w:val="right"/>
              <w:ind w:right="612"/>
              <w:spacing w:after="0" w:line="237" w:lineRule="exact"/>
              <w:rPr>
                <w:sz w:val="20"/>
                <w:szCs w:val="20"/>
                <w:color w:val="auto"/>
              </w:rPr>
            </w:pPr>
            <w:r>
              <w:rPr>
                <w:rFonts w:ascii="Arial" w:cs="Arial" w:eastAsia="Arial" w:hAnsi="Arial"/>
                <w:sz w:val="22"/>
                <w:szCs w:val="22"/>
                <w:color w:val="auto"/>
              </w:rPr>
              <w:t>$</w:t>
            </w:r>
          </w:p>
        </w:tc>
        <w:tc>
          <w:tcPr>
            <w:tcW w:w="38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6</w:t>
            </w:r>
          </w:p>
        </w:tc>
        <w:tc>
          <w:tcPr>
            <w:tcW w:w="280" w:type="dxa"/>
            <w:vAlign w:val="bottom"/>
          </w:tcPr>
          <w:p>
            <w:pPr>
              <w:spacing w:after="0"/>
              <w:rPr>
                <w:sz w:val="20"/>
                <w:szCs w:val="20"/>
                <w:color w:val="auto"/>
              </w:rPr>
            </w:pPr>
          </w:p>
        </w:tc>
        <w:tc>
          <w:tcPr>
            <w:tcW w:w="38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1,773</w:t>
            </w:r>
          </w:p>
        </w:tc>
      </w:tr>
      <w:tr>
        <w:trPr>
          <w:trHeight w:val="20"/>
        </w:trPr>
        <w:tc>
          <w:tcPr>
            <w:tcW w:w="7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right="40" w:firstLine="648"/>
        <w:spacing w:after="0" w:line="236" w:lineRule="auto"/>
        <w:rPr>
          <w:sz w:val="20"/>
          <w:szCs w:val="20"/>
          <w:color w:val="auto"/>
        </w:rPr>
      </w:pPr>
      <w:r>
        <w:rPr>
          <w:rFonts w:ascii="Arial" w:cs="Arial" w:eastAsia="Arial" w:hAnsi="Arial"/>
          <w:sz w:val="22"/>
          <w:szCs w:val="22"/>
          <w:color w:val="auto"/>
        </w:rPr>
        <w:t>The Company’s investments at March 31, 2013 and December 31, 2012 in U.S. Treasuries, certificates of deposit and/or municipal securities carried investment grade credit ratings. All of the Company’s investments at March 31, 2013 in municipal, educational or other public body securities with an auction reset feature (“auction rate securities”) also carried investment grade credit ratings. A portion of the Company’s investments at December 31, 2012 in auction rate securities carried investment grade credit ratings.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the underlying contractual maturities of the Company’s investments at: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945"/>
              <w:spacing w:after="0"/>
              <w:rPr>
                <w:sz w:val="20"/>
                <w:szCs w:val="20"/>
                <w:color w:val="auto"/>
              </w:rPr>
            </w:pPr>
            <w:r>
              <w:rPr>
                <w:rFonts w:ascii="Arial" w:cs="Arial" w:eastAsia="Arial" w:hAnsi="Arial"/>
                <w:sz w:val="19"/>
                <w:szCs w:val="19"/>
                <w:color w:val="auto"/>
              </w:rPr>
              <w:t>March 31, 2013</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885"/>
              <w:spacing w:after="0"/>
              <w:rPr>
                <w:sz w:val="20"/>
                <w:szCs w:val="20"/>
                <w:color w:val="auto"/>
              </w:rPr>
            </w:pPr>
            <w:r>
              <w:rPr>
                <w:rFonts w:ascii="Arial" w:cs="Arial" w:eastAsia="Arial" w:hAnsi="Arial"/>
                <w:sz w:val="19"/>
                <w:szCs w:val="19"/>
                <w:color w:val="auto"/>
              </w:rPr>
              <w:t>December 31, 2012</w:t>
            </w:r>
          </w:p>
        </w:tc>
        <w:tc>
          <w:tcPr>
            <w:tcW w:w="10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80" w:type="dxa"/>
            <w:vAlign w:val="bottom"/>
            <w:gridSpan w:val="3"/>
          </w:tcPr>
          <w:p>
            <w:pPr>
              <w:ind w:left="200"/>
              <w:spacing w:after="0"/>
              <w:rPr>
                <w:sz w:val="20"/>
                <w:szCs w:val="20"/>
                <w:color w:val="auto"/>
              </w:rPr>
            </w:pPr>
            <w:r>
              <w:rPr>
                <w:rFonts w:ascii="Arial" w:cs="Arial" w:eastAsia="Arial" w:hAnsi="Arial"/>
                <w:sz w:val="19"/>
                <w:szCs w:val="19"/>
                <w:color w:val="auto"/>
              </w:rPr>
              <w:t>Amortized Cost</w:t>
            </w:r>
          </w:p>
        </w:tc>
        <w:tc>
          <w:tcPr>
            <w:tcW w:w="2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9"/>
                <w:szCs w:val="19"/>
                <w:color w:val="auto"/>
              </w:rPr>
              <w:t>Fair Value</w:t>
            </w:r>
          </w:p>
        </w:tc>
        <w:tc>
          <w:tcPr>
            <w:tcW w:w="1860" w:type="dxa"/>
            <w:vAlign w:val="bottom"/>
            <w:gridSpan w:val="3"/>
          </w:tcPr>
          <w:p>
            <w:pPr>
              <w:ind w:left="180"/>
              <w:spacing w:after="0"/>
              <w:rPr>
                <w:sz w:val="20"/>
                <w:szCs w:val="20"/>
                <w:color w:val="auto"/>
              </w:rPr>
            </w:pPr>
            <w:r>
              <w:rPr>
                <w:rFonts w:ascii="Arial" w:cs="Arial" w:eastAsia="Arial" w:hAnsi="Arial"/>
                <w:sz w:val="19"/>
                <w:szCs w:val="19"/>
                <w:color w:val="auto"/>
              </w:rPr>
              <w:t>Amortized Cost</w:t>
            </w:r>
          </w:p>
        </w:tc>
        <w:tc>
          <w:tcPr>
            <w:tcW w:w="260" w:type="dxa"/>
            <w:vAlign w:val="bottom"/>
          </w:tcPr>
          <w:p>
            <w:pPr>
              <w:spacing w:after="0"/>
              <w:rPr>
                <w:sz w:val="24"/>
                <w:szCs w:val="24"/>
                <w:color w:val="auto"/>
              </w:rPr>
            </w:pPr>
          </w:p>
        </w:tc>
        <w:tc>
          <w:tcPr>
            <w:tcW w:w="1220" w:type="dxa"/>
            <w:vAlign w:val="bottom"/>
          </w:tcPr>
          <w:p>
            <w:pPr>
              <w:jc w:val="right"/>
              <w:ind w:right="305"/>
              <w:spacing w:after="0"/>
              <w:rPr>
                <w:sz w:val="20"/>
                <w:szCs w:val="20"/>
                <w:color w:val="auto"/>
              </w:rPr>
            </w:pPr>
            <w:r>
              <w:rPr>
                <w:rFonts w:ascii="Arial" w:cs="Arial" w:eastAsia="Arial" w:hAnsi="Arial"/>
                <w:sz w:val="19"/>
                <w:szCs w:val="19"/>
                <w:color w:val="auto"/>
                <w:w w:val="92"/>
              </w:rPr>
              <w:t>Fair Value</w:t>
            </w: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9"/>
                <w:szCs w:val="19"/>
                <w:color w:val="auto"/>
              </w:rPr>
              <w:t>Less than 1 year:</w:t>
            </w:r>
          </w:p>
        </w:tc>
        <w:tc>
          <w:tcPr>
            <w:tcW w:w="5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360"/>
              <w:spacing w:after="0" w:line="216" w:lineRule="exact"/>
              <w:rPr>
                <w:sz w:val="20"/>
                <w:szCs w:val="20"/>
                <w:color w:val="auto"/>
              </w:rPr>
            </w:pPr>
            <w:r>
              <w:rPr>
                <w:rFonts w:ascii="Arial" w:cs="Arial" w:eastAsia="Arial" w:hAnsi="Arial"/>
                <w:sz w:val="19"/>
                <w:szCs w:val="19"/>
                <w:color w:val="auto"/>
              </w:rPr>
              <w:t>U.S. Treasuries</w:t>
            </w:r>
          </w:p>
        </w:tc>
        <w:tc>
          <w:tcPr>
            <w:tcW w:w="56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1040" w:type="dxa"/>
            <w:vAlign w:val="bottom"/>
          </w:tcPr>
          <w:p>
            <w:pPr>
              <w:jc w:val="right"/>
              <w:ind w:right="26"/>
              <w:spacing w:after="0" w:line="216" w:lineRule="exact"/>
              <w:rPr>
                <w:sz w:val="20"/>
                <w:szCs w:val="20"/>
                <w:color w:val="auto"/>
              </w:rPr>
            </w:pPr>
            <w:r>
              <w:rPr>
                <w:rFonts w:ascii="Arial" w:cs="Arial" w:eastAsia="Arial" w:hAnsi="Arial"/>
                <w:sz w:val="19"/>
                <w:szCs w:val="19"/>
                <w:color w:val="auto"/>
              </w:rPr>
              <w:t>16,023</w:t>
            </w:r>
          </w:p>
        </w:tc>
        <w:tc>
          <w:tcPr>
            <w:tcW w:w="28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16,025</w:t>
            </w:r>
          </w:p>
        </w:tc>
        <w:tc>
          <w:tcPr>
            <w:tcW w:w="280" w:type="dxa"/>
            <w:vAlign w:val="bottom"/>
          </w:tcPr>
          <w:p>
            <w:pPr>
              <w:spacing w:after="0"/>
              <w:rPr>
                <w:sz w:val="18"/>
                <w:szCs w:val="18"/>
                <w:color w:val="auto"/>
              </w:rPr>
            </w:pPr>
          </w:p>
        </w:tc>
        <w:tc>
          <w:tcPr>
            <w:tcW w:w="560" w:type="dxa"/>
            <w:vAlign w:val="bottom"/>
          </w:tcPr>
          <w:p>
            <w:pPr>
              <w:ind w:left="180"/>
              <w:spacing w:after="0" w:line="216" w:lineRule="exact"/>
              <w:rPr>
                <w:sz w:val="20"/>
                <w:szCs w:val="20"/>
                <w:color w:val="auto"/>
              </w:rPr>
            </w:pPr>
            <w:r>
              <w:rPr>
                <w:rFonts w:ascii="Arial" w:cs="Arial" w:eastAsia="Arial" w:hAnsi="Arial"/>
                <w:sz w:val="19"/>
                <w:szCs w:val="19"/>
                <w:color w:val="auto"/>
              </w:rPr>
              <w:t>$</w:t>
            </w:r>
          </w:p>
        </w:tc>
        <w:tc>
          <w:tcPr>
            <w:tcW w:w="10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16,040</w:t>
            </w:r>
          </w:p>
        </w:tc>
        <w:tc>
          <w:tcPr>
            <w:tcW w:w="28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2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16,040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ind w:left="360"/>
              <w:spacing w:after="0" w:line="216" w:lineRule="exact"/>
              <w:rPr>
                <w:sz w:val="20"/>
                <w:szCs w:val="20"/>
                <w:color w:val="auto"/>
              </w:rPr>
            </w:pPr>
            <w:r>
              <w:rPr>
                <w:rFonts w:ascii="Arial" w:cs="Arial" w:eastAsia="Arial" w:hAnsi="Arial"/>
                <w:sz w:val="19"/>
                <w:szCs w:val="19"/>
                <w:color w:val="auto"/>
              </w:rPr>
              <w:t>Certificates of deposit</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6"/>
              <w:spacing w:after="0" w:line="216" w:lineRule="exact"/>
              <w:rPr>
                <w:sz w:val="20"/>
                <w:szCs w:val="20"/>
                <w:color w:val="auto"/>
              </w:rPr>
            </w:pPr>
            <w:r>
              <w:rPr>
                <w:rFonts w:ascii="Arial" w:cs="Arial" w:eastAsia="Arial" w:hAnsi="Arial"/>
                <w:sz w:val="19"/>
                <w:szCs w:val="19"/>
                <w:color w:val="auto"/>
              </w:rPr>
              <w:t>6,706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6,706</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2,201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2,201</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560" w:type="dxa"/>
            <w:vAlign w:val="bottom"/>
          </w:tcPr>
          <w:p>
            <w:pPr>
              <w:spacing w:after="0"/>
              <w:rPr>
                <w:sz w:val="18"/>
                <w:szCs w:val="18"/>
                <w:color w:val="auto"/>
              </w:rPr>
            </w:pPr>
          </w:p>
        </w:tc>
        <w:tc>
          <w:tcPr>
            <w:tcW w:w="1040" w:type="dxa"/>
            <w:vAlign w:val="bottom"/>
          </w:tcPr>
          <w:p>
            <w:pPr>
              <w:jc w:val="right"/>
              <w:ind w:right="26"/>
              <w:spacing w:after="0" w:line="216" w:lineRule="exact"/>
              <w:rPr>
                <w:sz w:val="20"/>
                <w:szCs w:val="20"/>
                <w:color w:val="auto"/>
              </w:rPr>
            </w:pPr>
            <w:r>
              <w:rPr>
                <w:rFonts w:ascii="Arial" w:cs="Arial" w:eastAsia="Arial" w:hAnsi="Arial"/>
                <w:sz w:val="19"/>
                <w:szCs w:val="19"/>
                <w:color w:val="auto"/>
              </w:rPr>
              <w:t>75,671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75,703</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77,038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77,027</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Due 11 - 20 years:</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360"/>
              <w:spacing w:after="0" w:line="216" w:lineRule="exact"/>
              <w:rPr>
                <w:sz w:val="20"/>
                <w:szCs w:val="20"/>
                <w:color w:val="auto"/>
              </w:rPr>
            </w:pPr>
            <w:r>
              <w:rPr>
                <w:rFonts w:ascii="Arial" w:cs="Arial" w:eastAsia="Arial" w:hAnsi="Arial"/>
                <w:sz w:val="19"/>
                <w:szCs w:val="19"/>
                <w:color w:val="auto"/>
              </w:rPr>
              <w:t>Auction rate securities</w:t>
            </w:r>
          </w:p>
        </w:tc>
        <w:tc>
          <w:tcPr>
            <w:tcW w:w="560" w:type="dxa"/>
            <w:vAlign w:val="bottom"/>
          </w:tcPr>
          <w:p>
            <w:pPr>
              <w:spacing w:after="0"/>
              <w:rPr>
                <w:sz w:val="18"/>
                <w:szCs w:val="18"/>
                <w:color w:val="auto"/>
              </w:rPr>
            </w:pPr>
          </w:p>
        </w:tc>
        <w:tc>
          <w:tcPr>
            <w:tcW w:w="1040" w:type="dxa"/>
            <w:vAlign w:val="bottom"/>
          </w:tcPr>
          <w:p>
            <w:pPr>
              <w:jc w:val="right"/>
              <w:ind w:right="26"/>
              <w:spacing w:after="0" w:line="216" w:lineRule="exact"/>
              <w:rPr>
                <w:sz w:val="20"/>
                <w:szCs w:val="20"/>
                <w:color w:val="auto"/>
              </w:rPr>
            </w:pPr>
            <w:r>
              <w:rPr>
                <w:rFonts w:ascii="Arial" w:cs="Arial" w:eastAsia="Arial" w:hAnsi="Arial"/>
                <w:sz w:val="19"/>
                <w:szCs w:val="19"/>
                <w:color w:val="auto"/>
              </w:rPr>
              <w:t>10,758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10,758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10,748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10,748</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Due 21 - 30 years:</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Borders>
              <w:bottom w:val="single" w:sz="8" w:color="CCEEFF"/>
            </w:tcBorders>
          </w:tcPr>
          <w:p>
            <w:pPr>
              <w:ind w:left="360"/>
              <w:spacing w:after="0" w:line="216" w:lineRule="exact"/>
              <w:rPr>
                <w:sz w:val="20"/>
                <w:szCs w:val="20"/>
                <w:color w:val="auto"/>
              </w:rPr>
            </w:pPr>
            <w:r>
              <w:rPr>
                <w:rFonts w:ascii="Arial" w:cs="Arial" w:eastAsia="Arial" w:hAnsi="Arial"/>
                <w:sz w:val="19"/>
                <w:szCs w:val="19"/>
                <w:color w:val="auto"/>
              </w:rPr>
              <w:t>Auction rate securities</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6"/>
              <w:spacing w:after="0" w:line="216" w:lineRule="exact"/>
              <w:rPr>
                <w:sz w:val="20"/>
                <w:szCs w:val="20"/>
                <w:color w:val="auto"/>
              </w:rPr>
            </w:pPr>
            <w:r>
              <w:rPr>
                <w:rFonts w:ascii="Arial" w:cs="Arial" w:eastAsia="Arial" w:hAnsi="Arial"/>
                <w:sz w:val="19"/>
                <w:szCs w:val="19"/>
                <w:color w:val="auto"/>
              </w:rPr>
              <w:t>6,612</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
              <w:spacing w:after="0" w:line="216" w:lineRule="exact"/>
              <w:rPr>
                <w:sz w:val="20"/>
                <w:szCs w:val="20"/>
                <w:color w:val="auto"/>
              </w:rPr>
            </w:pPr>
            <w:r>
              <w:rPr>
                <w:rFonts w:ascii="Arial" w:cs="Arial" w:eastAsia="Arial" w:hAnsi="Arial"/>
                <w:sz w:val="19"/>
                <w:szCs w:val="19"/>
                <w:color w:val="auto"/>
              </w:rPr>
              <w:t>6,612</w:t>
            </w:r>
          </w:p>
        </w:tc>
        <w:tc>
          <w:tcPr>
            <w:tcW w:w="2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
              <w:spacing w:after="0" w:line="216" w:lineRule="exact"/>
              <w:rPr>
                <w:sz w:val="20"/>
                <w:szCs w:val="20"/>
                <w:color w:val="auto"/>
              </w:rPr>
            </w:pPr>
            <w:r>
              <w:rPr>
                <w:rFonts w:ascii="Arial" w:cs="Arial" w:eastAsia="Arial" w:hAnsi="Arial"/>
                <w:sz w:val="19"/>
                <w:szCs w:val="19"/>
                <w:color w:val="auto"/>
              </w:rPr>
              <w:t>9,925</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
              <w:spacing w:after="0" w:line="216" w:lineRule="exact"/>
              <w:rPr>
                <w:sz w:val="20"/>
                <w:szCs w:val="20"/>
                <w:color w:val="auto"/>
              </w:rPr>
            </w:pPr>
            <w:r>
              <w:rPr>
                <w:rFonts w:ascii="Arial" w:cs="Arial" w:eastAsia="Arial" w:hAnsi="Arial"/>
                <w:sz w:val="19"/>
                <w:szCs w:val="19"/>
                <w:color w:val="auto"/>
              </w:rPr>
              <w:t>12,408</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ind w:left="180"/>
              <w:spacing w:after="0" w:line="210" w:lineRule="exact"/>
              <w:rPr>
                <w:sz w:val="20"/>
                <w:szCs w:val="20"/>
                <w:color w:val="auto"/>
              </w:rPr>
            </w:pPr>
            <w:r>
              <w:rPr>
                <w:rFonts w:ascii="Arial" w:cs="Arial" w:eastAsia="Arial" w:hAnsi="Arial"/>
                <w:sz w:val="19"/>
                <w:szCs w:val="19"/>
                <w:color w:val="auto"/>
              </w:rPr>
              <w:t>Total</w:t>
            </w:r>
          </w:p>
        </w:tc>
        <w:tc>
          <w:tcPr>
            <w:tcW w:w="560" w:type="dxa"/>
            <w:vAlign w:val="bottom"/>
            <w:tcBorders>
              <w:bottom w:val="single" w:sz="8" w:color="auto"/>
            </w:tcBorders>
            <w:shd w:val="clear" w:color="auto" w:fill="CCEEFF"/>
          </w:tcPr>
          <w:p>
            <w:pPr>
              <w:jc w:val="right"/>
              <w:ind w:right="205"/>
              <w:spacing w:after="0" w:line="210" w:lineRule="exact"/>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shd w:val="clear" w:color="auto" w:fill="CCEEFF"/>
          </w:tcPr>
          <w:p>
            <w:pPr>
              <w:jc w:val="right"/>
              <w:ind w:right="26"/>
              <w:spacing w:after="0" w:line="210" w:lineRule="exact"/>
              <w:rPr>
                <w:sz w:val="20"/>
                <w:szCs w:val="20"/>
                <w:color w:val="auto"/>
              </w:rPr>
            </w:pPr>
            <w:r>
              <w:rPr>
                <w:rFonts w:ascii="Arial" w:cs="Arial" w:eastAsia="Arial" w:hAnsi="Arial"/>
                <w:sz w:val="19"/>
                <w:szCs w:val="19"/>
                <w:color w:val="auto"/>
              </w:rPr>
              <w:t>115,770</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shd w:val="clear" w:color="auto" w:fill="CCEEFF"/>
          </w:tcPr>
          <w:p>
            <w:pPr>
              <w:jc w:val="right"/>
              <w:ind w:right="45"/>
              <w:spacing w:after="0" w:line="210" w:lineRule="exact"/>
              <w:rPr>
                <w:sz w:val="20"/>
                <w:szCs w:val="20"/>
                <w:color w:val="auto"/>
              </w:rPr>
            </w:pPr>
            <w:r>
              <w:rPr>
                <w:rFonts w:ascii="Arial" w:cs="Arial" w:eastAsia="Arial" w:hAnsi="Arial"/>
                <w:sz w:val="19"/>
                <w:szCs w:val="19"/>
                <w:color w:val="auto"/>
              </w:rPr>
              <w:t>115,804</w:t>
            </w:r>
          </w:p>
        </w:tc>
        <w:tc>
          <w:tcPr>
            <w:tcW w:w="2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180"/>
              <w:spacing w:after="0" w:line="210"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shd w:val="clear" w:color="auto" w:fill="CCEEFF"/>
          </w:tcPr>
          <w:p>
            <w:pPr>
              <w:jc w:val="right"/>
              <w:ind w:right="45"/>
              <w:spacing w:after="0" w:line="210" w:lineRule="exact"/>
              <w:rPr>
                <w:sz w:val="20"/>
                <w:szCs w:val="20"/>
                <w:color w:val="auto"/>
              </w:rPr>
            </w:pPr>
            <w:r>
              <w:rPr>
                <w:rFonts w:ascii="Arial" w:cs="Arial" w:eastAsia="Arial" w:hAnsi="Arial"/>
                <w:sz w:val="19"/>
                <w:szCs w:val="19"/>
                <w:color w:val="auto"/>
              </w:rPr>
              <w:t>115,952</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w:t>
            </w:r>
          </w:p>
        </w:tc>
        <w:tc>
          <w:tcPr>
            <w:tcW w:w="1220" w:type="dxa"/>
            <w:vAlign w:val="bottom"/>
            <w:tcBorders>
              <w:bottom w:val="single" w:sz="8" w:color="auto"/>
            </w:tcBorders>
            <w:shd w:val="clear" w:color="auto" w:fill="CCEEFF"/>
          </w:tcPr>
          <w:p>
            <w:pPr>
              <w:jc w:val="right"/>
              <w:ind w:right="25"/>
              <w:spacing w:after="0" w:line="210" w:lineRule="exact"/>
              <w:rPr>
                <w:sz w:val="20"/>
                <w:szCs w:val="20"/>
                <w:color w:val="auto"/>
              </w:rPr>
            </w:pPr>
            <w:r>
              <w:rPr>
                <w:rFonts w:ascii="Arial" w:cs="Arial" w:eastAsia="Arial" w:hAnsi="Arial"/>
                <w:sz w:val="19"/>
                <w:szCs w:val="19"/>
                <w:color w:val="auto"/>
              </w:rPr>
              <w:t>118,424</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186"/>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FAIR VALUE OF CERTAIN FINANCIAL ASSETS AND LIABILITIES</w:t>
      </w:r>
    </w:p>
    <w:p>
      <w:pPr>
        <w:spacing w:after="0" w:line="233"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9"/>
          <w:szCs w:val="19"/>
          <w:color w:val="auto"/>
        </w:rPr>
        <w:t>Accounting Standards Codification (“ASC”) 820 provides a framework for measuring fair value and requires expanded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169" w:lineRule="exact"/>
        <w:rPr>
          <w:sz w:val="20"/>
          <w:szCs w:val="20"/>
          <w:color w:val="auto"/>
        </w:rPr>
      </w:pPr>
    </w:p>
    <w:p>
      <w:pPr>
        <w:ind w:left="620" w:hanging="288"/>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Level 1: </w:t>
      </w:r>
      <w:r>
        <w:rPr>
          <w:rFonts w:ascii="Arial" w:cs="Arial" w:eastAsia="Arial" w:hAnsi="Arial"/>
          <w:sz w:val="22"/>
          <w:szCs w:val="22"/>
          <w:color w:val="auto"/>
        </w:rPr>
        <w:t>Quoted prices in active markets for identical assets or liabilities.</w:t>
      </w:r>
    </w:p>
    <w:p>
      <w:pPr>
        <w:spacing w:after="0" w:line="233" w:lineRule="exact"/>
        <w:rPr>
          <w:rFonts w:ascii="Arial" w:cs="Arial" w:eastAsia="Arial" w:hAnsi="Arial"/>
          <w:sz w:val="22"/>
          <w:szCs w:val="22"/>
          <w:color w:val="auto"/>
        </w:rPr>
      </w:pPr>
    </w:p>
    <w:p>
      <w:pPr>
        <w:jc w:val="both"/>
        <w:ind w:left="660" w:right="40" w:hanging="328"/>
        <w:spacing w:after="0" w:line="243" w:lineRule="auto"/>
        <w:tabs>
          <w:tab w:leader="none" w:pos="674"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Level 2: </w:t>
      </w:r>
      <w:r>
        <w:rPr>
          <w:rFonts w:ascii="Arial" w:cs="Arial" w:eastAsia="Arial" w:hAnsi="Arial"/>
          <w:sz w:val="22"/>
          <w:szCs w:val="22"/>
          <w:color w:val="auto"/>
        </w:rPr>
        <w:t>Observable inputs other than Level 1 prices, such as quoted prices for similar assets or liabilities; quoted prices in</w:t>
      </w:r>
      <w:r>
        <w:rPr>
          <w:rFonts w:ascii="Arial" w:cs="Arial" w:eastAsia="Arial" w:hAnsi="Arial"/>
          <w:sz w:val="22"/>
          <w:szCs w:val="22"/>
          <w:b w:val="1"/>
          <w:bCs w:val="1"/>
          <w:color w:val="auto"/>
        </w:rPr>
        <w:t xml:space="preserve"> </w:t>
      </w:r>
      <w:r>
        <w:rPr>
          <w:rFonts w:ascii="Arial" w:cs="Arial" w:eastAsia="Arial" w:hAnsi="Arial"/>
          <w:sz w:val="22"/>
          <w:szCs w:val="22"/>
          <w:color w:val="auto"/>
        </w:rPr>
        <w:t>markets that are not active; or other inputs that are observable or can be corroborated by observable market data for substantially the full term of the related assets or liabilities.</w:t>
      </w:r>
    </w:p>
    <w:p>
      <w:pPr>
        <w:sectPr>
          <w:pgSz w:w="11900" w:h="16869" w:orient="portrait"/>
          <w:cols w:equalWidth="0" w:num="1">
            <w:col w:w="11460"/>
          </w:cols>
          <w:pgMar w:left="240" w:top="153" w:right="199" w:bottom="0" w:gutter="0" w:footer="0" w:header="0"/>
        </w:sectPr>
      </w:pPr>
    </w:p>
    <w:bookmarkStart w:id="7" w:name="page8"/>
    <w:bookmarkEnd w:id="7"/>
    <w:p>
      <w:pPr>
        <w:ind w:left="660" w:right="20" w:hanging="328"/>
        <w:spacing w:after="0" w:line="256" w:lineRule="auto"/>
        <w:tabs>
          <w:tab w:leader="none" w:pos="633"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Level 3: </w:t>
      </w:r>
      <w:r>
        <w:rPr>
          <w:rFonts w:ascii="Arial" w:cs="Arial" w:eastAsia="Arial" w:hAnsi="Arial"/>
          <w:sz w:val="22"/>
          <w:szCs w:val="22"/>
          <w:color w:val="auto"/>
        </w:rPr>
        <w:t>Unobservable inputs that are supported by little or no market activity and that are significant to the fair value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assets or liabilities.</w:t>
      </w:r>
    </w:p>
    <w:p>
      <w:pPr>
        <w:spacing w:after="0" w:line="1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ASC 820 requires the use of observable market inputs (quoted market prices) when measuring fair value and requires a Level 1 quoted price to be used to measure fair value whenever possible.</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tables present the Company’s held-to-maturity investments at amortized cost as well as the fair value of the Company’s financial assets that are recorded at fair value on a recurring basis, segregated among the appropriate levels within the fair value hierarchy 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60" w:type="dxa"/>
            <w:vAlign w:val="bottom"/>
            <w:gridSpan w:val="2"/>
          </w:tcPr>
          <w:p>
            <w:pPr>
              <w:spacing w:after="0"/>
              <w:rPr>
                <w:sz w:val="20"/>
                <w:szCs w:val="20"/>
                <w:color w:val="auto"/>
              </w:rPr>
            </w:pPr>
            <w:r>
              <w:rPr>
                <w:rFonts w:ascii="Arial" w:cs="Arial" w:eastAsia="Arial" w:hAnsi="Arial"/>
                <w:sz w:val="20"/>
                <w:szCs w:val="20"/>
                <w:color w:val="auto"/>
              </w:rPr>
              <w:t>March 31, 2013</w:t>
            </w:r>
          </w:p>
        </w:tc>
        <w:tc>
          <w:tcPr>
            <w:tcW w:w="380" w:type="dxa"/>
            <w:vAlign w:val="bottom"/>
          </w:tcPr>
          <w:p>
            <w:pPr>
              <w:spacing w:after="0"/>
              <w:rPr>
                <w:sz w:val="21"/>
                <w:szCs w:val="21"/>
                <w:color w:val="auto"/>
              </w:rPr>
            </w:pPr>
          </w:p>
        </w:tc>
        <w:tc>
          <w:tcPr>
            <w:tcW w:w="1280" w:type="dxa"/>
            <w:vAlign w:val="bottom"/>
          </w:tcPr>
          <w:p>
            <w:pPr>
              <w:jc w:val="right"/>
              <w:ind w:right="441"/>
              <w:spacing w:after="0"/>
              <w:rPr>
                <w:sz w:val="20"/>
                <w:szCs w:val="20"/>
                <w:color w:val="auto"/>
              </w:rPr>
            </w:pPr>
            <w:r>
              <w:rPr>
                <w:rFonts w:ascii="Arial" w:cs="Arial" w:eastAsia="Arial" w:hAnsi="Arial"/>
                <w:sz w:val="20"/>
                <w:szCs w:val="20"/>
                <w:color w:val="auto"/>
              </w:rPr>
              <w:t>Level 1</w:t>
            </w:r>
          </w:p>
        </w:tc>
        <w:tc>
          <w:tcPr>
            <w:tcW w:w="400" w:type="dxa"/>
            <w:vAlign w:val="bottom"/>
          </w:tcPr>
          <w:p>
            <w:pPr>
              <w:spacing w:after="0"/>
              <w:rPr>
                <w:sz w:val="21"/>
                <w:szCs w:val="21"/>
                <w:color w:val="auto"/>
              </w:rPr>
            </w:pPr>
          </w:p>
        </w:tc>
        <w:tc>
          <w:tcPr>
            <w:tcW w:w="1260" w:type="dxa"/>
            <w:vAlign w:val="bottom"/>
          </w:tcPr>
          <w:p>
            <w:pPr>
              <w:jc w:val="right"/>
              <w:ind w:right="421"/>
              <w:spacing w:after="0"/>
              <w:rPr>
                <w:sz w:val="20"/>
                <w:szCs w:val="20"/>
                <w:color w:val="auto"/>
              </w:rPr>
            </w:pPr>
            <w:r>
              <w:rPr>
                <w:rFonts w:ascii="Arial" w:cs="Arial" w:eastAsia="Arial" w:hAnsi="Arial"/>
                <w:sz w:val="20"/>
                <w:szCs w:val="20"/>
                <w:color w:val="auto"/>
              </w:rPr>
              <w:t>Level 2</w:t>
            </w:r>
          </w:p>
        </w:tc>
        <w:tc>
          <w:tcPr>
            <w:tcW w:w="380" w:type="dxa"/>
            <w:vAlign w:val="bottom"/>
          </w:tcPr>
          <w:p>
            <w:pPr>
              <w:spacing w:after="0"/>
              <w:rPr>
                <w:sz w:val="21"/>
                <w:szCs w:val="21"/>
                <w:color w:val="auto"/>
              </w:rPr>
            </w:pPr>
          </w:p>
        </w:tc>
        <w:tc>
          <w:tcPr>
            <w:tcW w:w="1260" w:type="dxa"/>
            <w:vAlign w:val="bottom"/>
          </w:tcPr>
          <w:p>
            <w:pPr>
              <w:jc w:val="right"/>
              <w:ind w:right="421"/>
              <w:spacing w:after="0"/>
              <w:rPr>
                <w:sz w:val="20"/>
                <w:szCs w:val="20"/>
                <w:color w:val="auto"/>
              </w:rPr>
            </w:pPr>
            <w:r>
              <w:rPr>
                <w:rFonts w:ascii="Arial" w:cs="Arial" w:eastAsia="Arial" w:hAnsi="Arial"/>
                <w:sz w:val="20"/>
                <w:szCs w:val="20"/>
                <w:color w:val="auto"/>
              </w:rPr>
              <w:t>Level 3</w:t>
            </w:r>
          </w:p>
        </w:tc>
        <w:tc>
          <w:tcPr>
            <w:tcW w:w="420" w:type="dxa"/>
            <w:vAlign w:val="bottom"/>
          </w:tcPr>
          <w:p>
            <w:pPr>
              <w:spacing w:after="0"/>
              <w:rPr>
                <w:sz w:val="21"/>
                <w:szCs w:val="21"/>
                <w:color w:val="auto"/>
              </w:rPr>
            </w:pPr>
          </w:p>
        </w:tc>
        <w:tc>
          <w:tcPr>
            <w:tcW w:w="1180" w:type="dxa"/>
            <w:vAlign w:val="bottom"/>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Cash</w:t>
            </w:r>
          </w:p>
        </w:tc>
        <w:tc>
          <w:tcPr>
            <w:tcW w:w="38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153,066</w:t>
            </w:r>
          </w:p>
        </w:tc>
        <w:tc>
          <w:tcPr>
            <w:tcW w:w="40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38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420" w:type="dxa"/>
            <w:vAlign w:val="bottom"/>
            <w:tcBorders>
              <w:top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153,066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20"/>
                <w:szCs w:val="20"/>
                <w:color w:val="auto"/>
              </w:rPr>
              <w:t>Money market funds</w:t>
            </w:r>
          </w:p>
        </w:tc>
        <w:tc>
          <w:tcPr>
            <w:tcW w:w="38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76,930</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76,930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20"/>
                <w:szCs w:val="20"/>
                <w:color w:val="auto"/>
              </w:rPr>
              <w:t>U.S. Treasuries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16,023</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8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11,708</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11,708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20"/>
                <w:szCs w:val="20"/>
                <w:color w:val="auto"/>
              </w:rPr>
              <w:t>Municipal securities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83,206</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83,206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20"/>
                <w:szCs w:val="20"/>
                <w:color w:val="auto"/>
              </w:rPr>
              <w:t>Auction rate securities</w:t>
            </w:r>
          </w:p>
        </w:tc>
        <w:tc>
          <w:tcPr>
            <w:tcW w:w="38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17,370</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17,370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20"/>
                <w:szCs w:val="20"/>
                <w:color w:val="auto"/>
              </w:rPr>
              <w:t>Put option related to auction rate securities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2,011</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2,011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tcBorders>
              <w:bottom w:val="single" w:sz="8" w:color="CCEEFF"/>
            </w:tcBorders>
          </w:tcPr>
          <w:p>
            <w:pPr>
              <w:ind w:left="180"/>
              <w:spacing w:after="0" w:line="223" w:lineRule="exact"/>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229,996</w:t>
            </w:r>
          </w:p>
        </w:tc>
        <w:tc>
          <w:tcPr>
            <w:tcW w:w="4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110,937</w:t>
            </w:r>
          </w:p>
        </w:tc>
        <w:tc>
          <w:tcPr>
            <w:tcW w:w="3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19,381</w:t>
            </w: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360,314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20"/>
                <w:szCs w:val="20"/>
                <w:color w:val="auto"/>
              </w:rPr>
              <w:t>Amounts included in:</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ind w:left="60"/>
              <w:spacing w:after="0"/>
              <w:rPr>
                <w:sz w:val="20"/>
                <w:szCs w:val="20"/>
                <w:color w:val="auto"/>
              </w:rPr>
            </w:pPr>
            <w:r>
              <w:rPr>
                <w:rFonts w:ascii="Arial" w:cs="Arial" w:eastAsia="Arial" w:hAnsi="Arial"/>
                <w:sz w:val="20"/>
                <w:szCs w:val="20"/>
                <w:color w:val="auto"/>
              </w:rPr>
              <w:t>Cash and cash equivalents</w:t>
            </w:r>
          </w:p>
        </w:tc>
        <w:tc>
          <w:tcPr>
            <w:tcW w:w="3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229,996</w:t>
            </w:r>
          </w:p>
        </w:tc>
        <w:tc>
          <w:tcPr>
            <w:tcW w:w="4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12,537</w:t>
            </w:r>
          </w:p>
        </w:tc>
        <w:tc>
          <w:tcPr>
            <w:tcW w:w="3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242,533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ind w:left="60"/>
              <w:spacing w:after="0"/>
              <w:rPr>
                <w:sz w:val="20"/>
                <w:szCs w:val="20"/>
                <w:color w:val="auto"/>
              </w:rPr>
            </w:pPr>
            <w:r>
              <w:rPr>
                <w:rFonts w:ascii="Arial" w:cs="Arial" w:eastAsia="Arial" w:hAnsi="Arial"/>
                <w:sz w:val="20"/>
                <w:szCs w:val="20"/>
                <w:color w:val="auto"/>
              </w:rPr>
              <w:t>Short-term investments</w:t>
            </w:r>
          </w:p>
        </w:tc>
        <w:tc>
          <w:tcPr>
            <w:tcW w:w="38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98,400</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3,739</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102,139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ind w:left="60"/>
              <w:spacing w:after="0"/>
              <w:rPr>
                <w:sz w:val="20"/>
                <w:szCs w:val="20"/>
                <w:color w:val="auto"/>
              </w:rPr>
            </w:pPr>
            <w:r>
              <w:rPr>
                <w:rFonts w:ascii="Arial" w:cs="Arial" w:eastAsia="Arial" w:hAnsi="Arial"/>
                <w:sz w:val="20"/>
                <w:szCs w:val="20"/>
                <w:color w:val="auto"/>
              </w:rPr>
              <w:t>Investments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13,631</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13,631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ind w:left="60"/>
              <w:spacing w:after="0"/>
              <w:rPr>
                <w:sz w:val="20"/>
                <w:szCs w:val="20"/>
                <w:color w:val="auto"/>
              </w:rPr>
            </w:pPr>
            <w:r>
              <w:rPr>
                <w:rFonts w:ascii="Arial" w:cs="Arial" w:eastAsia="Arial" w:hAnsi="Arial"/>
                <w:sz w:val="20"/>
                <w:szCs w:val="20"/>
                <w:color w:val="auto"/>
              </w:rPr>
              <w:t>Prepaid expenses and other current assets</w:t>
            </w:r>
          </w:p>
        </w:tc>
        <w:tc>
          <w:tcPr>
            <w:tcW w:w="38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491</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ind w:left="60"/>
              <w:spacing w:after="0"/>
              <w:rPr>
                <w:sz w:val="20"/>
                <w:szCs w:val="20"/>
                <w:color w:val="auto"/>
              </w:rPr>
            </w:pPr>
            <w:r>
              <w:rPr>
                <w:rFonts w:ascii="Arial" w:cs="Arial" w:eastAsia="Arial" w:hAnsi="Arial"/>
                <w:sz w:val="20"/>
                <w:szCs w:val="20"/>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1,520</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180"/>
              <w:spacing w:after="0" w:line="223" w:lineRule="exact"/>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229,996</w:t>
            </w:r>
          </w:p>
        </w:tc>
        <w:tc>
          <w:tcPr>
            <w:tcW w:w="4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110,937</w:t>
            </w:r>
          </w:p>
        </w:tc>
        <w:tc>
          <w:tcPr>
            <w:tcW w:w="3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19,381</w:t>
            </w: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360,314</w:t>
            </w:r>
          </w:p>
        </w:tc>
        <w:tc>
          <w:tcPr>
            <w:tcW w:w="0" w:type="dxa"/>
            <w:vAlign w:val="bottom"/>
          </w:tcPr>
          <w:p>
            <w:pPr>
              <w:spacing w:after="0"/>
              <w:rPr>
                <w:sz w:val="1"/>
                <w:szCs w:val="1"/>
                <w:color w:val="auto"/>
              </w:rPr>
            </w:pPr>
          </w:p>
        </w:tc>
      </w:tr>
      <w:tr>
        <w:trPr>
          <w:trHeight w:val="20"/>
        </w:trPr>
        <w:tc>
          <w:tcPr>
            <w:tcW w:w="48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60" w:type="dxa"/>
            <w:vAlign w:val="bottom"/>
            <w:gridSpan w:val="2"/>
          </w:tcPr>
          <w:p>
            <w:pPr>
              <w:spacing w:after="0"/>
              <w:rPr>
                <w:sz w:val="20"/>
                <w:szCs w:val="20"/>
                <w:color w:val="auto"/>
              </w:rPr>
            </w:pPr>
            <w:r>
              <w:rPr>
                <w:rFonts w:ascii="Arial" w:cs="Arial" w:eastAsia="Arial" w:hAnsi="Arial"/>
                <w:sz w:val="20"/>
                <w:szCs w:val="20"/>
                <w:color w:val="auto"/>
              </w:rPr>
              <w:t>December 31, 2012</w:t>
            </w:r>
          </w:p>
        </w:tc>
        <w:tc>
          <w:tcPr>
            <w:tcW w:w="380" w:type="dxa"/>
            <w:vAlign w:val="bottom"/>
          </w:tcPr>
          <w:p>
            <w:pPr>
              <w:spacing w:after="0"/>
              <w:rPr>
                <w:sz w:val="24"/>
                <w:szCs w:val="24"/>
                <w:color w:val="auto"/>
              </w:rPr>
            </w:pPr>
          </w:p>
        </w:tc>
        <w:tc>
          <w:tcPr>
            <w:tcW w:w="1280" w:type="dxa"/>
            <w:vAlign w:val="bottom"/>
          </w:tcPr>
          <w:p>
            <w:pPr>
              <w:jc w:val="right"/>
              <w:ind w:right="441"/>
              <w:spacing w:after="0"/>
              <w:rPr>
                <w:sz w:val="20"/>
                <w:szCs w:val="20"/>
                <w:color w:val="auto"/>
              </w:rPr>
            </w:pPr>
            <w:r>
              <w:rPr>
                <w:rFonts w:ascii="Arial" w:cs="Arial" w:eastAsia="Arial" w:hAnsi="Arial"/>
                <w:sz w:val="20"/>
                <w:szCs w:val="20"/>
                <w:color w:val="auto"/>
              </w:rPr>
              <w:t>Level 1</w:t>
            </w:r>
          </w:p>
        </w:tc>
        <w:tc>
          <w:tcPr>
            <w:tcW w:w="400" w:type="dxa"/>
            <w:vAlign w:val="bottom"/>
          </w:tcPr>
          <w:p>
            <w:pPr>
              <w:spacing w:after="0"/>
              <w:rPr>
                <w:sz w:val="24"/>
                <w:szCs w:val="24"/>
                <w:color w:val="auto"/>
              </w:rPr>
            </w:pPr>
          </w:p>
        </w:tc>
        <w:tc>
          <w:tcPr>
            <w:tcW w:w="1260" w:type="dxa"/>
            <w:vAlign w:val="bottom"/>
          </w:tcPr>
          <w:p>
            <w:pPr>
              <w:jc w:val="right"/>
              <w:ind w:right="421"/>
              <w:spacing w:after="0"/>
              <w:rPr>
                <w:sz w:val="20"/>
                <w:szCs w:val="20"/>
                <w:color w:val="auto"/>
              </w:rPr>
            </w:pPr>
            <w:r>
              <w:rPr>
                <w:rFonts w:ascii="Arial" w:cs="Arial" w:eastAsia="Arial" w:hAnsi="Arial"/>
                <w:sz w:val="20"/>
                <w:szCs w:val="20"/>
                <w:color w:val="auto"/>
              </w:rPr>
              <w:t>Level 2</w:t>
            </w:r>
          </w:p>
        </w:tc>
        <w:tc>
          <w:tcPr>
            <w:tcW w:w="380" w:type="dxa"/>
            <w:vAlign w:val="bottom"/>
          </w:tcPr>
          <w:p>
            <w:pPr>
              <w:spacing w:after="0"/>
              <w:rPr>
                <w:sz w:val="24"/>
                <w:szCs w:val="24"/>
                <w:color w:val="auto"/>
              </w:rPr>
            </w:pPr>
          </w:p>
        </w:tc>
        <w:tc>
          <w:tcPr>
            <w:tcW w:w="1260" w:type="dxa"/>
            <w:vAlign w:val="bottom"/>
          </w:tcPr>
          <w:p>
            <w:pPr>
              <w:jc w:val="right"/>
              <w:ind w:right="421"/>
              <w:spacing w:after="0"/>
              <w:rPr>
                <w:sz w:val="20"/>
                <w:szCs w:val="20"/>
                <w:color w:val="auto"/>
              </w:rPr>
            </w:pPr>
            <w:r>
              <w:rPr>
                <w:rFonts w:ascii="Arial" w:cs="Arial" w:eastAsia="Arial" w:hAnsi="Arial"/>
                <w:sz w:val="20"/>
                <w:szCs w:val="20"/>
                <w:color w:val="auto"/>
              </w:rPr>
              <w:t>Level 3</w:t>
            </w:r>
          </w:p>
        </w:tc>
        <w:tc>
          <w:tcPr>
            <w:tcW w:w="420" w:type="dxa"/>
            <w:vAlign w:val="bottom"/>
          </w:tcPr>
          <w:p>
            <w:pPr>
              <w:spacing w:after="0"/>
              <w:rPr>
                <w:sz w:val="24"/>
                <w:szCs w:val="24"/>
                <w:color w:val="auto"/>
              </w:rPr>
            </w:pPr>
          </w:p>
        </w:tc>
        <w:tc>
          <w:tcPr>
            <w:tcW w:w="1180" w:type="dxa"/>
            <w:vAlign w:val="bottom"/>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Cash</w:t>
            </w:r>
          </w:p>
        </w:tc>
        <w:tc>
          <w:tcPr>
            <w:tcW w:w="38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147,113</w:t>
            </w:r>
          </w:p>
        </w:tc>
        <w:tc>
          <w:tcPr>
            <w:tcW w:w="40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38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420" w:type="dxa"/>
            <w:vAlign w:val="bottom"/>
            <w:tcBorders>
              <w:top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147,113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20"/>
                <w:szCs w:val="20"/>
                <w:color w:val="auto"/>
              </w:rPr>
              <w:t>Money market funds</w:t>
            </w:r>
          </w:p>
        </w:tc>
        <w:tc>
          <w:tcPr>
            <w:tcW w:w="38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63,974</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63,974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20"/>
                <w:szCs w:val="20"/>
                <w:color w:val="auto"/>
              </w:rPr>
              <w:t>U.S. Treasuries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24,065</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24,065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8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5,603</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20"/>
                <w:szCs w:val="20"/>
                <w:color w:val="auto"/>
              </w:rPr>
              <w:t>Municipal securities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77,038</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77,038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20"/>
                <w:szCs w:val="20"/>
                <w:color w:val="auto"/>
              </w:rPr>
              <w:t>Auction rate securities</w:t>
            </w:r>
          </w:p>
        </w:tc>
        <w:tc>
          <w:tcPr>
            <w:tcW w:w="38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23,156</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23,156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20"/>
                <w:szCs w:val="20"/>
                <w:color w:val="auto"/>
              </w:rPr>
              <w:t>Put option related to auction rate securities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1,929</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1,929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tcBorders>
              <w:bottom w:val="single" w:sz="8" w:color="CCEEFF"/>
            </w:tcBorders>
          </w:tcPr>
          <w:p>
            <w:pPr>
              <w:ind w:left="160"/>
              <w:spacing w:after="0" w:line="223" w:lineRule="exact"/>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211,087</w:t>
            </w:r>
          </w:p>
        </w:tc>
        <w:tc>
          <w:tcPr>
            <w:tcW w:w="4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106,706</w:t>
            </w:r>
          </w:p>
        </w:tc>
        <w:tc>
          <w:tcPr>
            <w:tcW w:w="3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25,085</w:t>
            </w: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342,878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20"/>
                <w:szCs w:val="20"/>
                <w:color w:val="auto"/>
              </w:rPr>
              <w:t>Amounts included in:</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ind w:left="60"/>
              <w:spacing w:after="0"/>
              <w:rPr>
                <w:sz w:val="20"/>
                <w:szCs w:val="20"/>
                <w:color w:val="auto"/>
              </w:rPr>
            </w:pPr>
            <w:r>
              <w:rPr>
                <w:rFonts w:ascii="Arial" w:cs="Arial" w:eastAsia="Arial" w:hAnsi="Arial"/>
                <w:sz w:val="20"/>
                <w:szCs w:val="20"/>
                <w:color w:val="auto"/>
              </w:rPr>
              <w:t>Cash and cash equivalents</w:t>
            </w:r>
          </w:p>
        </w:tc>
        <w:tc>
          <w:tcPr>
            <w:tcW w:w="3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211,087</w:t>
            </w:r>
          </w:p>
        </w:tc>
        <w:tc>
          <w:tcPr>
            <w:tcW w:w="4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11,427</w:t>
            </w:r>
          </w:p>
        </w:tc>
        <w:tc>
          <w:tcPr>
            <w:tcW w:w="3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222,514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ind w:left="60"/>
              <w:spacing w:after="0"/>
              <w:rPr>
                <w:sz w:val="20"/>
                <w:szCs w:val="20"/>
                <w:color w:val="auto"/>
              </w:rPr>
            </w:pPr>
            <w:r>
              <w:rPr>
                <w:rFonts w:ascii="Arial" w:cs="Arial" w:eastAsia="Arial" w:hAnsi="Arial"/>
                <w:sz w:val="20"/>
                <w:szCs w:val="20"/>
                <w:color w:val="auto"/>
              </w:rPr>
              <w:t>Short-term investments</w:t>
            </w:r>
          </w:p>
        </w:tc>
        <w:tc>
          <w:tcPr>
            <w:tcW w:w="38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95,279</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1,763</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97,042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ind w:left="60"/>
              <w:spacing w:after="0"/>
              <w:rPr>
                <w:sz w:val="20"/>
                <w:szCs w:val="20"/>
                <w:color w:val="auto"/>
              </w:rPr>
            </w:pPr>
            <w:r>
              <w:rPr>
                <w:rFonts w:ascii="Arial" w:cs="Arial" w:eastAsia="Arial" w:hAnsi="Arial"/>
                <w:sz w:val="20"/>
                <w:szCs w:val="20"/>
                <w:color w:val="auto"/>
              </w:rPr>
              <w:t>Investments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21,393</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21,393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ind w:left="60"/>
              <w:spacing w:after="0"/>
              <w:rPr>
                <w:sz w:val="20"/>
                <w:szCs w:val="20"/>
                <w:color w:val="auto"/>
              </w:rPr>
            </w:pPr>
            <w:r>
              <w:rPr>
                <w:rFonts w:ascii="Arial" w:cs="Arial" w:eastAsia="Arial" w:hAnsi="Arial"/>
                <w:sz w:val="20"/>
                <w:szCs w:val="20"/>
                <w:color w:val="auto"/>
              </w:rPr>
              <w:t>Prepaid expenses and other current assets</w:t>
            </w:r>
          </w:p>
        </w:tc>
        <w:tc>
          <w:tcPr>
            <w:tcW w:w="38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225</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CEEFF"/>
          </w:tcPr>
          <w:p>
            <w:pPr>
              <w:ind w:left="60"/>
              <w:spacing w:after="0"/>
              <w:rPr>
                <w:sz w:val="20"/>
                <w:szCs w:val="20"/>
                <w:color w:val="auto"/>
              </w:rPr>
            </w:pPr>
            <w:r>
              <w:rPr>
                <w:rFonts w:ascii="Arial" w:cs="Arial" w:eastAsia="Arial" w:hAnsi="Arial"/>
                <w:sz w:val="20"/>
                <w:szCs w:val="20"/>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1,704</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160"/>
              <w:spacing w:after="0" w:line="223" w:lineRule="exact"/>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211,087</w:t>
            </w:r>
          </w:p>
        </w:tc>
        <w:tc>
          <w:tcPr>
            <w:tcW w:w="4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106,706</w:t>
            </w:r>
          </w:p>
        </w:tc>
        <w:tc>
          <w:tcPr>
            <w:tcW w:w="3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25,085</w:t>
            </w: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342,878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majority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U.S. Treasuries, certificates of deposit and municipal securities, is based on other observable inputs, specifically a valuation model which utilizes vendor pricing for similar securities. There were no transfers between Level 1 and Level 2 measurements during the three-months ended March 31, 2013 or the year ended December 31, 2012, and there were no changes in the Company’s valuation techniques.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ectPr>
          <w:pgSz w:w="11900" w:h="16838" w:orient="portrait"/>
          <w:cols w:equalWidth="0" w:num="1">
            <w:col w:w="11420"/>
          </w:cols>
          <w:pgMar w:left="240" w:top="355" w:right="239" w:bottom="0" w:gutter="0" w:footer="0" w:header="0"/>
        </w:sectPr>
      </w:pPr>
    </w:p>
    <w:bookmarkStart w:id="8" w:name="page9"/>
    <w:bookmarkEnd w:id="8"/>
    <w:p>
      <w:pPr>
        <w:spacing w:after="0" w:line="79" w:lineRule="exact"/>
        <w:rPr>
          <w:sz w:val="20"/>
          <w:szCs w:val="20"/>
          <w:color w:val="auto"/>
        </w:rPr>
      </w:pPr>
    </w:p>
    <w:p>
      <w:pPr>
        <w:ind w:right="4340"/>
        <w:spacing w:after="0" w:line="335"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Company’s Level 3 assets are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three-months ended March 31, 2013.</w:t>
      </w:r>
    </w:p>
    <w:p>
      <w:pPr>
        <w:spacing w:after="0" w:line="17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following table presents quantitative information related to the significant unobservable inputs utilized in the Company’s Level 3 recurring fair value measurements as of March 31, 2013.</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60" w:type="dxa"/>
            <w:vAlign w:val="bottom"/>
          </w:tcPr>
          <w:p>
            <w:pPr>
              <w:ind w:left="660"/>
              <w:spacing w:after="0"/>
              <w:rPr>
                <w:sz w:val="20"/>
                <w:szCs w:val="20"/>
                <w:color w:val="auto"/>
              </w:rPr>
            </w:pPr>
            <w:r>
              <w:rPr>
                <w:rFonts w:ascii="Arial" w:cs="Arial" w:eastAsia="Arial" w:hAnsi="Arial"/>
                <w:sz w:val="19"/>
                <w:szCs w:val="19"/>
                <w:color w:val="auto"/>
              </w:rPr>
              <w:t>Valuation Technique</w:t>
            </w:r>
          </w:p>
        </w:tc>
        <w:tc>
          <w:tcPr>
            <w:tcW w:w="240" w:type="dxa"/>
            <w:vAlign w:val="bottom"/>
          </w:tcPr>
          <w:p>
            <w:pPr>
              <w:spacing w:after="0"/>
              <w:rPr>
                <w:sz w:val="20"/>
                <w:szCs w:val="20"/>
                <w:color w:val="auto"/>
              </w:rPr>
            </w:pPr>
          </w:p>
        </w:tc>
        <w:tc>
          <w:tcPr>
            <w:tcW w:w="2960" w:type="dxa"/>
            <w:vAlign w:val="bottom"/>
            <w:gridSpan w:val="2"/>
          </w:tcPr>
          <w:p>
            <w:pPr>
              <w:ind w:left="620"/>
              <w:spacing w:after="0"/>
              <w:rPr>
                <w:sz w:val="20"/>
                <w:szCs w:val="20"/>
                <w:color w:val="auto"/>
              </w:rPr>
            </w:pPr>
            <w:r>
              <w:rPr>
                <w:rFonts w:ascii="Arial" w:cs="Arial" w:eastAsia="Arial" w:hAnsi="Arial"/>
                <w:sz w:val="19"/>
                <w:szCs w:val="19"/>
                <w:color w:val="auto"/>
              </w:rPr>
              <w:t>Unobservable Input</w:t>
            </w:r>
          </w:p>
        </w:tc>
        <w:tc>
          <w:tcPr>
            <w:tcW w:w="2720" w:type="dxa"/>
            <w:vAlign w:val="bottom"/>
            <w:gridSpan w:val="2"/>
          </w:tcPr>
          <w:p>
            <w:pPr>
              <w:ind w:left="320"/>
              <w:spacing w:after="0"/>
              <w:rPr>
                <w:sz w:val="20"/>
                <w:szCs w:val="20"/>
                <w:color w:val="auto"/>
              </w:rPr>
            </w:pPr>
            <w:r>
              <w:rPr>
                <w:rFonts w:ascii="Arial" w:cs="Arial" w:eastAsia="Arial" w:hAnsi="Arial"/>
                <w:sz w:val="19"/>
                <w:szCs w:val="19"/>
                <w:color w:val="auto"/>
              </w:rPr>
              <w:t>Range (Weighted-Average)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9"/>
                <w:szCs w:val="19"/>
                <w:color w:val="auto"/>
              </w:rPr>
              <w:t>Auction Rate Securities:</w:t>
            </w:r>
          </w:p>
        </w:tc>
        <w:tc>
          <w:tcPr>
            <w:tcW w:w="2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20" w:type="dxa"/>
            <w:vAlign w:val="bottom"/>
          </w:tcPr>
          <w:p>
            <w:pPr>
              <w:ind w:left="160"/>
              <w:spacing w:after="0" w:line="193" w:lineRule="exact"/>
              <w:rPr>
                <w:sz w:val="20"/>
                <w:szCs w:val="20"/>
                <w:color w:val="auto"/>
              </w:rPr>
            </w:pPr>
            <w:r>
              <w:rPr>
                <w:rFonts w:ascii="Arial" w:cs="Arial" w:eastAsia="Arial" w:hAnsi="Arial"/>
                <w:sz w:val="19"/>
                <w:szCs w:val="19"/>
                <w:color w:val="auto"/>
              </w:rPr>
              <w:t>Trading</w:t>
            </w:r>
          </w:p>
        </w:tc>
        <w:tc>
          <w:tcPr>
            <w:tcW w:w="2860" w:type="dxa"/>
            <w:vAlign w:val="bottom"/>
          </w:tcPr>
          <w:p>
            <w:pPr>
              <w:spacing w:after="0" w:line="193" w:lineRule="exact"/>
              <w:rPr>
                <w:sz w:val="20"/>
                <w:szCs w:val="20"/>
                <w:color w:val="auto"/>
              </w:rPr>
            </w:pPr>
            <w:r>
              <w:rPr>
                <w:rFonts w:ascii="Arial" w:cs="Arial" w:eastAsia="Arial" w:hAnsi="Arial"/>
                <w:sz w:val="19"/>
                <w:szCs w:val="19"/>
                <w:color w:val="auto"/>
              </w:rPr>
              <w:t>Discounted cash flow</w:t>
            </w:r>
          </w:p>
        </w:tc>
        <w:tc>
          <w:tcPr>
            <w:tcW w:w="3200" w:type="dxa"/>
            <w:vAlign w:val="bottom"/>
            <w:gridSpan w:val="3"/>
          </w:tcPr>
          <w:p>
            <w:pPr>
              <w:ind w:left="240"/>
              <w:spacing w:after="0" w:line="193" w:lineRule="exact"/>
              <w:rPr>
                <w:sz w:val="20"/>
                <w:szCs w:val="20"/>
                <w:color w:val="auto"/>
              </w:rPr>
            </w:pPr>
            <w:r>
              <w:rPr>
                <w:rFonts w:ascii="Arial" w:cs="Arial" w:eastAsia="Arial" w:hAnsi="Arial"/>
                <w:sz w:val="19"/>
                <w:szCs w:val="19"/>
                <w:color w:val="auto"/>
              </w:rPr>
              <w:t>Maximum rate probability</w:t>
            </w:r>
          </w:p>
        </w:tc>
        <w:tc>
          <w:tcPr>
            <w:tcW w:w="1060" w:type="dxa"/>
            <w:vAlign w:val="bottom"/>
          </w:tcPr>
          <w:p>
            <w:pPr>
              <w:spacing w:after="0" w:line="193" w:lineRule="exact"/>
              <w:rPr>
                <w:sz w:val="20"/>
                <w:szCs w:val="20"/>
                <w:color w:val="auto"/>
              </w:rPr>
            </w:pPr>
            <w:r>
              <w:rPr>
                <w:rFonts w:ascii="Arial" w:cs="Arial" w:eastAsia="Arial" w:hAnsi="Arial"/>
                <w:sz w:val="19"/>
                <w:szCs w:val="19"/>
                <w:color w:val="auto"/>
                <w:w w:val="91"/>
              </w:rPr>
              <w:t>0.40%-1.84%</w:t>
            </w:r>
          </w:p>
        </w:tc>
        <w:tc>
          <w:tcPr>
            <w:tcW w:w="1660" w:type="dxa"/>
            <w:vAlign w:val="bottom"/>
          </w:tcPr>
          <w:p>
            <w:pPr>
              <w:ind w:left="20"/>
              <w:spacing w:after="0" w:line="193" w:lineRule="exact"/>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0" w:type="dxa"/>
            <w:vAlign w:val="bottom"/>
            <w:gridSpan w:val="3"/>
          </w:tcPr>
          <w:p>
            <w:pPr>
              <w:ind w:left="240"/>
              <w:spacing w:after="0" w:line="216" w:lineRule="exact"/>
              <w:rPr>
                <w:sz w:val="20"/>
                <w:szCs w:val="20"/>
                <w:color w:val="auto"/>
              </w:rPr>
            </w:pPr>
            <w:r>
              <w:rPr>
                <w:rFonts w:ascii="Arial" w:cs="Arial" w:eastAsia="Arial" w:hAnsi="Arial"/>
                <w:sz w:val="19"/>
                <w:szCs w:val="19"/>
                <w:color w:val="auto"/>
              </w:rPr>
              <w:t>Principal returned probability</w:t>
            </w:r>
          </w:p>
        </w:tc>
        <w:tc>
          <w:tcPr>
            <w:tcW w:w="2720" w:type="dxa"/>
            <w:vAlign w:val="bottom"/>
            <w:gridSpan w:val="2"/>
          </w:tcPr>
          <w:p>
            <w:pPr>
              <w:spacing w:after="0" w:line="216" w:lineRule="exact"/>
              <w:rPr>
                <w:sz w:val="20"/>
                <w:szCs w:val="20"/>
                <w:color w:val="auto"/>
              </w:rPr>
            </w:pPr>
            <w:r>
              <w:rPr>
                <w:rFonts w:ascii="Arial" w:cs="Arial" w:eastAsia="Arial" w:hAnsi="Arial"/>
                <w:sz w:val="19"/>
                <w:szCs w:val="19"/>
                <w:color w:val="auto"/>
              </w:rPr>
              <w:t>86.69%-95.49% (87.8%)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0" w:type="dxa"/>
            <w:vAlign w:val="bottom"/>
            <w:gridSpan w:val="3"/>
          </w:tcPr>
          <w:p>
            <w:pPr>
              <w:ind w:left="240"/>
              <w:spacing w:after="0" w:line="216" w:lineRule="exact"/>
              <w:rPr>
                <w:sz w:val="20"/>
                <w:szCs w:val="20"/>
                <w:color w:val="auto"/>
              </w:rPr>
            </w:pPr>
            <w:r>
              <w:rPr>
                <w:rFonts w:ascii="Arial" w:cs="Arial" w:eastAsia="Arial" w:hAnsi="Arial"/>
                <w:sz w:val="19"/>
                <w:szCs w:val="19"/>
                <w:color w:val="auto"/>
              </w:rPr>
              <w:t>Default probability</w:t>
            </w:r>
          </w:p>
        </w:tc>
        <w:tc>
          <w:tcPr>
            <w:tcW w:w="2720" w:type="dxa"/>
            <w:vAlign w:val="bottom"/>
            <w:gridSpan w:val="2"/>
          </w:tcPr>
          <w:p>
            <w:pPr>
              <w:spacing w:after="0" w:line="216" w:lineRule="exact"/>
              <w:rPr>
                <w:sz w:val="20"/>
                <w:szCs w:val="20"/>
                <w:color w:val="auto"/>
              </w:rPr>
            </w:pPr>
            <w:r>
              <w:rPr>
                <w:rFonts w:ascii="Arial" w:cs="Arial" w:eastAsia="Arial" w:hAnsi="Arial"/>
                <w:sz w:val="19"/>
                <w:szCs w:val="19"/>
                <w:color w:val="auto"/>
              </w:rPr>
              <w:t>3.88%-11.69% (11.2%)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0" w:type="dxa"/>
            <w:vAlign w:val="bottom"/>
            <w:gridSpan w:val="3"/>
          </w:tcPr>
          <w:p>
            <w:pPr>
              <w:ind w:left="240"/>
              <w:spacing w:after="0" w:line="216" w:lineRule="exact"/>
              <w:rPr>
                <w:sz w:val="20"/>
                <w:szCs w:val="20"/>
                <w:color w:val="auto"/>
              </w:rPr>
            </w:pPr>
            <w:r>
              <w:rPr>
                <w:rFonts w:ascii="Arial" w:cs="Arial" w:eastAsia="Arial" w:hAnsi="Arial"/>
                <w:sz w:val="19"/>
                <w:szCs w:val="19"/>
                <w:color w:val="auto"/>
              </w:rPr>
              <w:t>Liquidity risk</w:t>
            </w:r>
          </w:p>
        </w:tc>
        <w:tc>
          <w:tcPr>
            <w:tcW w:w="1060" w:type="dxa"/>
            <w:vAlign w:val="bottom"/>
          </w:tcPr>
          <w:p>
            <w:pPr>
              <w:spacing w:after="0" w:line="216" w:lineRule="exact"/>
              <w:rPr>
                <w:sz w:val="20"/>
                <w:szCs w:val="20"/>
                <w:color w:val="auto"/>
              </w:rPr>
            </w:pPr>
            <w:r>
              <w:rPr>
                <w:rFonts w:ascii="Arial" w:cs="Arial" w:eastAsia="Arial" w:hAnsi="Arial"/>
                <w:sz w:val="19"/>
                <w:szCs w:val="19"/>
                <w:color w:val="auto"/>
                <w:w w:val="91"/>
              </w:rPr>
              <w:t>3.50%-3.50%</w:t>
            </w:r>
          </w:p>
        </w:tc>
        <w:tc>
          <w:tcPr>
            <w:tcW w:w="1660" w:type="dxa"/>
            <w:vAlign w:val="bottom"/>
          </w:tcPr>
          <w:p>
            <w:pPr>
              <w:ind w:left="20"/>
              <w:spacing w:after="0" w:line="216" w:lineRule="exact"/>
              <w:rPr>
                <w:sz w:val="20"/>
                <w:szCs w:val="20"/>
                <w:color w:val="auto"/>
              </w:rPr>
            </w:pPr>
            <w:r>
              <w:rPr>
                <w:rFonts w:ascii="Arial" w:cs="Arial" w:eastAsia="Arial" w:hAnsi="Arial"/>
                <w:sz w:val="19"/>
                <w:szCs w:val="19"/>
                <w:color w:val="auto"/>
              </w:rPr>
              <w:t>(3.50%)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200" w:type="dxa"/>
            <w:vAlign w:val="bottom"/>
            <w:gridSpan w:val="3"/>
          </w:tcPr>
          <w:p>
            <w:pPr>
              <w:ind w:left="240"/>
              <w:spacing w:after="0"/>
              <w:rPr>
                <w:sz w:val="20"/>
                <w:szCs w:val="20"/>
                <w:color w:val="auto"/>
              </w:rPr>
            </w:pPr>
            <w:r>
              <w:rPr>
                <w:rFonts w:ascii="Arial" w:cs="Arial" w:eastAsia="Arial" w:hAnsi="Arial"/>
                <w:sz w:val="19"/>
                <w:szCs w:val="19"/>
                <w:color w:val="auto"/>
              </w:rPr>
              <w:t>Recovery rate</w:t>
            </w:r>
          </w:p>
        </w:tc>
        <w:tc>
          <w:tcPr>
            <w:tcW w:w="1060" w:type="dxa"/>
            <w:vAlign w:val="bottom"/>
          </w:tcPr>
          <w:p>
            <w:pPr>
              <w:spacing w:after="0"/>
              <w:rPr>
                <w:sz w:val="20"/>
                <w:szCs w:val="20"/>
                <w:color w:val="auto"/>
              </w:rPr>
            </w:pPr>
            <w:r>
              <w:rPr>
                <w:rFonts w:ascii="Arial" w:cs="Arial" w:eastAsia="Arial" w:hAnsi="Arial"/>
                <w:sz w:val="19"/>
                <w:szCs w:val="19"/>
                <w:color w:val="auto"/>
              </w:rPr>
              <w:t>60-60 (60)</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Put Options</w:t>
            </w:r>
          </w:p>
        </w:tc>
        <w:tc>
          <w:tcPr>
            <w:tcW w:w="286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Discounted cash flow</w:t>
            </w:r>
          </w:p>
        </w:tc>
        <w:tc>
          <w:tcPr>
            <w:tcW w:w="3200" w:type="dxa"/>
            <w:vAlign w:val="bottom"/>
            <w:gridSpan w:val="3"/>
            <w:shd w:val="clear" w:color="auto" w:fill="CCEEFF"/>
          </w:tcPr>
          <w:p>
            <w:pPr>
              <w:ind w:left="240"/>
              <w:spacing w:after="0" w:line="216" w:lineRule="exact"/>
              <w:rPr>
                <w:sz w:val="20"/>
                <w:szCs w:val="20"/>
                <w:color w:val="auto"/>
              </w:rPr>
            </w:pPr>
            <w:r>
              <w:rPr>
                <w:rFonts w:ascii="Arial" w:cs="Arial" w:eastAsia="Arial" w:hAnsi="Arial"/>
                <w:sz w:val="19"/>
                <w:szCs w:val="19"/>
                <w:color w:val="auto"/>
              </w:rPr>
              <w:t>Counterparty risk</w:t>
            </w:r>
          </w:p>
        </w:tc>
        <w:tc>
          <w:tcPr>
            <w:tcW w:w="106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w w:val="91"/>
              </w:rPr>
              <w:t>0.68%-1.29%</w:t>
            </w:r>
          </w:p>
        </w:tc>
        <w:tc>
          <w:tcPr>
            <w:tcW w:w="1660" w:type="dxa"/>
            <w:vAlign w:val="bottom"/>
            <w:shd w:val="clear" w:color="auto" w:fill="CCEEFF"/>
          </w:tcPr>
          <w:p>
            <w:pPr>
              <w:ind w:left="20"/>
              <w:spacing w:after="0" w:line="216" w:lineRule="exact"/>
              <w:rPr>
                <w:sz w:val="20"/>
                <w:szCs w:val="20"/>
                <w:color w:val="auto"/>
              </w:rPr>
            </w:pPr>
            <w:r>
              <w:rPr>
                <w:rFonts w:ascii="Arial" w:cs="Arial" w:eastAsia="Arial" w:hAnsi="Arial"/>
                <w:sz w:val="19"/>
                <w:szCs w:val="19"/>
                <w:color w:val="auto"/>
              </w:rPr>
              <w:t>(0.89%)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At March 31, 2013, the Company held auction rate securities with a face value of $19.5 million (amortized cost basis of $17.4 million). A Level 3 valuation was performed on the Company’s auction rate securities as of March 31, 2013 resulting in a fair value of $17.4 million for the Company’s trading auction rate securities (after a $2.1 million impairment), which are included in short-term and long-term investments.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In June 2011, the Company entered into an agreement (the “2011 ARS Agreement”), related to $24.5 million of par value auction rate securities (the “2011 ARS Securities”). Under the 2011 ARS Agreement, the Company has the right to sell the 2011 ARS Securities including all accrued but unpaid interest thereon (the “2011 Put Option”) as follows: (i) on or after July 1, 2013, up to $1.0 million aggregate par value; (ii) on or after October 1, 2013, up to an additional $1.0 million aggregate par value; and</w:t>
      </w:r>
    </w:p>
    <w:p>
      <w:pPr>
        <w:spacing w:after="0" w:line="4" w:lineRule="exact"/>
        <w:rPr>
          <w:sz w:val="20"/>
          <w:szCs w:val="20"/>
          <w:color w:val="auto"/>
        </w:rPr>
      </w:pPr>
    </w:p>
    <w:p>
      <w:pPr>
        <w:jc w:val="both"/>
        <w:ind w:firstLine="8"/>
        <w:spacing w:after="0" w:line="243" w:lineRule="auto"/>
        <w:tabs>
          <w:tab w:leader="none" w:pos="399" w:val="left"/>
        </w:tabs>
        <w:numPr>
          <w:ilvl w:val="0"/>
          <w:numId w:val="7"/>
        </w:numPr>
        <w:rPr>
          <w:rFonts w:ascii="Arial" w:cs="Arial" w:eastAsia="Arial" w:hAnsi="Arial"/>
          <w:sz w:val="21"/>
          <w:szCs w:val="21"/>
          <w:color w:val="auto"/>
        </w:rPr>
      </w:pPr>
      <w:r>
        <w:rPr>
          <w:rFonts w:ascii="Arial" w:cs="Arial" w:eastAsia="Arial" w:hAnsi="Arial"/>
          <w:sz w:val="21"/>
          <w:szCs w:val="21"/>
          <w:color w:val="auto"/>
        </w:rPr>
        <w:t>in quarterly installments thereafter based on a formula of the then outstanding 2011 ARS Securities, as adjusted for normal market redemptions, with full sale rights available on or after April 1, 2016. The 2011 ARS Securities will continue to accrue interest until redeemed through the 2011 Put Option, or as determined by the auction process, or should the auction process fail, the terms outlined in the prospectus of the respective 2011 ARS Securities. Under the 2011 ARS Agreement, the Company has the obligation, should it receive written notification from the put issuer, to sell the 2011 ARS Securities at par plus all accrued but unpaid interest. During the three-months ended March 31, 2013, no 2011 ARS Securities were redeemed through normal market channels ($1.3 million and $3.7 million of par value 2011 ARS Securities were redeemed at par through normal market channels during the years ended December 31, 2012 and 2011, respectively). The 2011 Put Option does not meet the definition of derivative instruments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under ASC 815. Therefore, the Company elected the fair value option under ASC 825-10 in accounting for the 2011 Put Option. As of March 31, 2013, the Company recorded $2.0 million as the fair market value of the 2011 Put Option, included in prepaid expenses and other assets, as well as in other assets, in the condensed consolidated balance sheet.</w:t>
      </w:r>
    </w:p>
    <w:p>
      <w:pPr>
        <w:spacing w:after="0" w:line="19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 March 2010, the Company entered into an agreement (the “2010 ARS Agreement”), related to $54.2 million of par value auction rate securities (the “2010 ARS Securities”). Under the 2010 ARS Agreement, the Company had the right, but not the obligation, to sell the 2010 ARS Securities including all accrued but unpaid interest thereon (the “2010 Put Option”), under various terms. During the three-months ended March 31, 2012, the remaining $15.7 million of par value 2010 ARS Securities were redeemed at par through the exercise of the 2010 Put Option, which exhausted the Company’s rights under the 2010 ARS Agreement.</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net effect of (i) the revaluation of the 2011 Put Option as of March 31, 2013; (ii) the revaluation of the Company’s trading auction rate securities as of March 31, 2013; and (iii) a recognized gain resulting from the redemption of previously other-than-temporary impaired securities; resulted in a gain of $2.6 million, which is included in other (expense) income for the three-months ended March 31, 2013. The net effect of (i) the revaluation of the 2011 Put Option and the 2010 Put Option as of March 31, 2012; (ii) the revaluation of the Company’s trading auction rate securities as of March 31, 2012; (iii) the redemption at par of</w:t>
      </w:r>
    </w:p>
    <w:p>
      <w:pPr>
        <w:sectPr>
          <w:pgSz w:w="11900" w:h="16917" w:orient="portrait"/>
          <w:cols w:equalWidth="0" w:num="1">
            <w:col w:w="11420"/>
          </w:cols>
          <w:pgMar w:left="240" w:top="111" w:right="239" w:bottom="0" w:gutter="0" w:footer="0" w:header="0"/>
        </w:sectPr>
      </w:pPr>
    </w:p>
    <w:bookmarkStart w:id="9" w:name="page10"/>
    <w:bookmarkEnd w:id="9"/>
    <w:p>
      <w:pPr>
        <w:spacing w:after="0" w:line="5" w:lineRule="exact"/>
        <w:rPr>
          <w:sz w:val="20"/>
          <w:szCs w:val="20"/>
          <w:color w:val="auto"/>
        </w:rPr>
      </w:pPr>
    </w:p>
    <w:p>
      <w:pPr>
        <w:jc w:val="both"/>
        <w:ind w:right="40"/>
        <w:spacing w:after="0" w:line="241" w:lineRule="auto"/>
        <w:rPr>
          <w:sz w:val="20"/>
          <w:szCs w:val="20"/>
          <w:color w:val="auto"/>
        </w:rPr>
      </w:pPr>
      <w:r>
        <w:rPr>
          <w:rFonts w:ascii="Arial" w:cs="Arial" w:eastAsia="Arial" w:hAnsi="Arial"/>
          <w:sz w:val="22"/>
          <w:szCs w:val="22"/>
          <w:color w:val="auto"/>
        </w:rPr>
        <w:t>certain 2010 ARS Securities, including those redeemed at par through the exercise of the 2010 Put Option; and (iv) a recognized gain resulting from the redemption at par of a previously other-than-temporary impaired security; resulted in a gain of $0.4 million, which is included in other (expense) income for the three-months ended March 31, 2012.</w:t>
      </w:r>
    </w:p>
    <w:p>
      <w:pPr>
        <w:spacing w:after="0" w:line="211"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22"/>
          <w:szCs w:val="22"/>
          <w:color w:val="auto"/>
        </w:rPr>
        <w:t>The following table provides a summary reconciliation of the Company’s financial assets that are recorded at fair value on a recurring basis using significant unobservable inputs (Level 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gridSpan w:val="3"/>
          </w:tcPr>
          <w:p>
            <w:pPr>
              <w:jc w:val="center"/>
              <w:ind w:left="158"/>
              <w:spacing w:after="0"/>
              <w:rPr>
                <w:sz w:val="20"/>
                <w:szCs w:val="20"/>
                <w:color w:val="auto"/>
              </w:rPr>
            </w:pPr>
            <w:r>
              <w:rPr>
                <w:rFonts w:ascii="Arial" w:cs="Arial" w:eastAsia="Arial" w:hAnsi="Arial"/>
                <w:sz w:val="21"/>
                <w:szCs w:val="21"/>
                <w:color w:val="auto"/>
                <w:w w:val="89"/>
              </w:rPr>
              <w:t>Three-Months Ended</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40" w:type="dxa"/>
            <w:vAlign w:val="bottom"/>
            <w:gridSpan w:val="3"/>
          </w:tcPr>
          <w:p>
            <w:pPr>
              <w:jc w:val="center"/>
              <w:ind w:left="156"/>
              <w:spacing w:after="0"/>
              <w:rPr>
                <w:sz w:val="20"/>
                <w:szCs w:val="20"/>
                <w:color w:val="auto"/>
              </w:rPr>
            </w:pPr>
            <w:r>
              <w:rPr>
                <w:rFonts w:ascii="Arial" w:cs="Arial" w:eastAsia="Arial" w:hAnsi="Arial"/>
                <w:sz w:val="21"/>
                <w:szCs w:val="21"/>
                <w:color w:val="auto"/>
                <w:w w:val="89"/>
              </w:rPr>
              <w:t>Three-Months Ended</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6"/>
        </w:trPr>
        <w:tc>
          <w:tcPr>
            <w:tcW w:w="49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3"/>
          </w:tcPr>
          <w:p>
            <w:pPr>
              <w:jc w:val="center"/>
              <w:ind w:left="158"/>
              <w:spacing w:after="0"/>
              <w:rPr>
                <w:sz w:val="20"/>
                <w:szCs w:val="20"/>
                <w:color w:val="auto"/>
              </w:rPr>
            </w:pPr>
            <w:r>
              <w:rPr>
                <w:rFonts w:ascii="Arial" w:cs="Arial" w:eastAsia="Arial" w:hAnsi="Arial"/>
                <w:sz w:val="21"/>
                <w:szCs w:val="21"/>
                <w:color w:val="auto"/>
                <w:w w:val="90"/>
              </w:rPr>
              <w:t>March 31, 2013</w:t>
            </w:r>
          </w:p>
        </w:tc>
        <w:tc>
          <w:tcPr>
            <w:tcW w:w="58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center"/>
              <w:ind w:left="156"/>
              <w:spacing w:after="0"/>
              <w:rPr>
                <w:sz w:val="20"/>
                <w:szCs w:val="20"/>
                <w:color w:val="auto"/>
              </w:rPr>
            </w:pPr>
            <w:r>
              <w:rPr>
                <w:rFonts w:ascii="Arial" w:cs="Arial" w:eastAsia="Arial" w:hAnsi="Arial"/>
                <w:sz w:val="21"/>
                <w:szCs w:val="21"/>
                <w:color w:val="auto"/>
                <w:w w:val="90"/>
              </w:rPr>
              <w:t>March 31, 2012</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3"/>
        </w:trPr>
        <w:tc>
          <w:tcPr>
            <w:tcW w:w="4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center"/>
              <w:ind w:right="620"/>
              <w:spacing w:after="0" w:line="223" w:lineRule="exact"/>
              <w:rPr>
                <w:sz w:val="20"/>
                <w:szCs w:val="20"/>
                <w:color w:val="auto"/>
              </w:rPr>
            </w:pPr>
            <w:r>
              <w:rPr>
                <w:rFonts w:ascii="Arial" w:cs="Arial" w:eastAsia="Arial" w:hAnsi="Arial"/>
                <w:sz w:val="21"/>
                <w:szCs w:val="21"/>
                <w:color w:val="auto"/>
                <w:w w:val="94"/>
              </w:rPr>
              <w:t>Auction</w:t>
            </w: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center"/>
              <w:ind w:right="620"/>
              <w:spacing w:after="0" w:line="223" w:lineRule="exact"/>
              <w:rPr>
                <w:sz w:val="20"/>
                <w:szCs w:val="20"/>
                <w:color w:val="auto"/>
              </w:rPr>
            </w:pPr>
            <w:r>
              <w:rPr>
                <w:rFonts w:ascii="Arial" w:cs="Arial" w:eastAsia="Arial" w:hAnsi="Arial"/>
                <w:sz w:val="21"/>
                <w:szCs w:val="21"/>
                <w:color w:val="auto"/>
                <w:w w:val="97"/>
              </w:rPr>
              <w:t>Auction</w:t>
            </w: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21"/>
                <w:szCs w:val="21"/>
                <w:color w:val="auto"/>
                <w:w w:val="85"/>
              </w:rPr>
              <w:t>Rate</w:t>
            </w: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21"/>
                <w:szCs w:val="21"/>
                <w:color w:val="auto"/>
                <w:w w:val="85"/>
              </w:rPr>
              <w:t>Rate</w:t>
            </w: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6"/>
        </w:trPr>
        <w:tc>
          <w:tcPr>
            <w:tcW w:w="4980" w:type="dxa"/>
            <w:vAlign w:val="bottom"/>
          </w:tcPr>
          <w:p>
            <w:pPr>
              <w:spacing w:after="0"/>
              <w:rPr>
                <w:sz w:val="22"/>
                <w:szCs w:val="22"/>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21"/>
                <w:szCs w:val="21"/>
                <w:color w:val="auto"/>
                <w:w w:val="88"/>
              </w:rPr>
              <w:t>Securities</w:t>
            </w:r>
          </w:p>
        </w:tc>
        <w:tc>
          <w:tcPr>
            <w:tcW w:w="1660" w:type="dxa"/>
            <w:vAlign w:val="bottom"/>
            <w:gridSpan w:val="3"/>
          </w:tcPr>
          <w:p>
            <w:pPr>
              <w:ind w:left="200"/>
              <w:spacing w:after="0"/>
              <w:rPr>
                <w:sz w:val="20"/>
                <w:szCs w:val="20"/>
                <w:color w:val="auto"/>
              </w:rPr>
            </w:pPr>
            <w:r>
              <w:rPr>
                <w:rFonts w:ascii="Arial" w:cs="Arial" w:eastAsia="Arial" w:hAnsi="Arial"/>
                <w:sz w:val="21"/>
                <w:szCs w:val="21"/>
                <w:color w:val="auto"/>
              </w:rPr>
              <w:t>Put Options</w:t>
            </w:r>
          </w:p>
        </w:tc>
        <w:tc>
          <w:tcPr>
            <w:tcW w:w="1660" w:type="dxa"/>
            <w:vAlign w:val="bottom"/>
            <w:gridSpan w:val="3"/>
          </w:tcPr>
          <w:p>
            <w:pPr>
              <w:jc w:val="center"/>
              <w:ind w:right="280"/>
              <w:spacing w:after="0"/>
              <w:rPr>
                <w:sz w:val="20"/>
                <w:szCs w:val="20"/>
                <w:color w:val="auto"/>
              </w:rPr>
            </w:pPr>
            <w:r>
              <w:rPr>
                <w:rFonts w:ascii="Arial" w:cs="Arial" w:eastAsia="Arial" w:hAnsi="Arial"/>
                <w:sz w:val="21"/>
                <w:szCs w:val="21"/>
                <w:color w:val="auto"/>
                <w:w w:val="88"/>
              </w:rPr>
              <w:t>Securities</w:t>
            </w:r>
          </w:p>
        </w:tc>
        <w:tc>
          <w:tcPr>
            <w:tcW w:w="1480" w:type="dxa"/>
            <w:vAlign w:val="bottom"/>
            <w:gridSpan w:val="3"/>
          </w:tcPr>
          <w:p>
            <w:pPr>
              <w:ind w:left="200"/>
              <w:spacing w:after="0"/>
              <w:rPr>
                <w:sz w:val="20"/>
                <w:szCs w:val="20"/>
                <w:color w:val="auto"/>
              </w:rPr>
            </w:pPr>
            <w:r>
              <w:rPr>
                <w:rFonts w:ascii="Arial" w:cs="Arial" w:eastAsia="Arial" w:hAnsi="Arial"/>
                <w:sz w:val="21"/>
                <w:szCs w:val="21"/>
                <w:color w:val="auto"/>
              </w:rPr>
              <w:t>Put Options</w:t>
            </w:r>
          </w:p>
        </w:tc>
        <w:tc>
          <w:tcPr>
            <w:tcW w:w="40" w:type="dxa"/>
            <w:vAlign w:val="bottom"/>
          </w:tcPr>
          <w:p>
            <w:pPr>
              <w:spacing w:after="0"/>
              <w:rPr>
                <w:sz w:val="22"/>
                <w:szCs w:val="22"/>
                <w:color w:val="auto"/>
              </w:rPr>
            </w:pPr>
          </w:p>
        </w:tc>
      </w:tr>
      <w:tr>
        <w:trPr>
          <w:trHeight w:val="237"/>
        </w:trPr>
        <w:tc>
          <w:tcPr>
            <w:tcW w:w="498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1"/>
                <w:szCs w:val="21"/>
                <w:color w:val="auto"/>
              </w:rPr>
              <w:t>Opening Balance</w:t>
            </w:r>
          </w:p>
        </w:tc>
        <w:tc>
          <w:tcPr>
            <w:tcW w:w="3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1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23,156</w:t>
            </w:r>
          </w:p>
        </w:tc>
        <w:tc>
          <w:tcPr>
            <w:tcW w:w="22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ind w:left="180"/>
              <w:spacing w:after="0" w:line="237" w:lineRule="exact"/>
              <w:rPr>
                <w:sz w:val="20"/>
                <w:szCs w:val="20"/>
                <w:color w:val="auto"/>
              </w:rPr>
            </w:pPr>
            <w:r>
              <w:rPr>
                <w:rFonts w:ascii="Arial" w:cs="Arial" w:eastAsia="Arial" w:hAnsi="Arial"/>
                <w:sz w:val="21"/>
                <w:szCs w:val="21"/>
                <w:color w:val="auto"/>
              </w:rPr>
              <w:t>$</w:t>
            </w:r>
          </w:p>
        </w:tc>
        <w:tc>
          <w:tcPr>
            <w:tcW w:w="5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w w:val="91"/>
              </w:rPr>
              <w:t>1,929</w:t>
            </w:r>
          </w:p>
        </w:tc>
        <w:tc>
          <w:tcPr>
            <w:tcW w:w="3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35,852</w:t>
            </w: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ind w:left="180"/>
              <w:spacing w:after="0" w:line="237" w:lineRule="exact"/>
              <w:rPr>
                <w:sz w:val="20"/>
                <w:szCs w:val="20"/>
                <w:color w:val="auto"/>
              </w:rPr>
            </w:pPr>
            <w:r>
              <w:rPr>
                <w:rFonts w:ascii="Arial" w:cs="Arial" w:eastAsia="Arial" w:hAnsi="Arial"/>
                <w:sz w:val="21"/>
                <w:szCs w:val="21"/>
                <w:color w:val="auto"/>
              </w:rPr>
              <w:t>$</w:t>
            </w:r>
          </w:p>
        </w:tc>
        <w:tc>
          <w:tcPr>
            <w:tcW w:w="5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3,041</w:t>
            </w: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21"/>
                <w:szCs w:val="21"/>
                <w:color w:val="auto"/>
              </w:rPr>
              <w:t>Transfers into Level 3</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1"/>
                <w:szCs w:val="21"/>
                <w:color w:val="auto"/>
              </w:rPr>
              <w:t>-</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1"/>
                <w:szCs w:val="21"/>
                <w:color w:val="auto"/>
              </w:rPr>
            </w:pPr>
          </w:p>
        </w:tc>
      </w:tr>
      <w:tr>
        <w:trPr>
          <w:trHeight w:val="243"/>
        </w:trPr>
        <w:tc>
          <w:tcPr>
            <w:tcW w:w="4980" w:type="dxa"/>
            <w:vAlign w:val="bottom"/>
            <w:shd w:val="clear" w:color="auto" w:fill="CCEEFF"/>
          </w:tcPr>
          <w:p>
            <w:pPr>
              <w:ind w:left="180"/>
              <w:spacing w:after="0"/>
              <w:rPr>
                <w:sz w:val="20"/>
                <w:szCs w:val="20"/>
                <w:color w:val="auto"/>
              </w:rPr>
            </w:pPr>
            <w:r>
              <w:rPr>
                <w:rFonts w:ascii="Arial" w:cs="Arial" w:eastAsia="Arial" w:hAnsi="Arial"/>
                <w:sz w:val="21"/>
                <w:szCs w:val="21"/>
                <w:color w:val="auto"/>
              </w:rPr>
              <w:t>Transfers out of Level 3</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1"/>
                <w:szCs w:val="2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21"/>
                <w:szCs w:val="21"/>
                <w:color w:val="auto"/>
              </w:rPr>
              <w:t>Total gains (losses) for the period:</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980" w:type="dxa"/>
            <w:vAlign w:val="bottom"/>
            <w:shd w:val="clear" w:color="auto" w:fill="CCEEFF"/>
          </w:tcPr>
          <w:p>
            <w:pPr>
              <w:ind w:left="360"/>
              <w:spacing w:after="0"/>
              <w:rPr>
                <w:sz w:val="20"/>
                <w:szCs w:val="20"/>
                <w:color w:val="auto"/>
              </w:rPr>
            </w:pPr>
            <w:r>
              <w:rPr>
                <w:rFonts w:ascii="Arial" w:cs="Arial" w:eastAsia="Arial" w:hAnsi="Arial"/>
                <w:sz w:val="21"/>
                <w:szCs w:val="21"/>
                <w:color w:val="auto"/>
              </w:rPr>
              <w:t>Included in earnings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2,489</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1"/>
                <w:szCs w:val="21"/>
                <w:color w:val="auto"/>
              </w:rPr>
              <w:t>82</w:t>
            </w: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1,787</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21"/>
                <w:szCs w:val="21"/>
                <w:color w:val="auto"/>
                <w:w w:val="96"/>
              </w:rPr>
              <w:t>(1,392)</w:t>
            </w:r>
          </w:p>
        </w:tc>
        <w:tc>
          <w:tcPr>
            <w:tcW w:w="40" w:type="dxa"/>
            <w:vAlign w:val="bottom"/>
          </w:tcPr>
          <w:p>
            <w:pPr>
              <w:spacing w:after="0"/>
              <w:rPr>
                <w:sz w:val="21"/>
                <w:szCs w:val="21"/>
                <w:color w:val="auto"/>
              </w:rPr>
            </w:pPr>
          </w:p>
        </w:tc>
      </w:tr>
      <w:tr>
        <w:trPr>
          <w:trHeight w:val="243"/>
        </w:trPr>
        <w:tc>
          <w:tcPr>
            <w:tcW w:w="4980" w:type="dxa"/>
            <w:vAlign w:val="bottom"/>
          </w:tcPr>
          <w:p>
            <w:pPr>
              <w:ind w:left="360"/>
              <w:spacing w:after="0"/>
              <w:rPr>
                <w:sz w:val="20"/>
                <w:szCs w:val="20"/>
                <w:color w:val="auto"/>
              </w:rPr>
            </w:pPr>
            <w:r>
              <w:rPr>
                <w:rFonts w:ascii="Arial" w:cs="Arial" w:eastAsia="Arial" w:hAnsi="Arial"/>
                <w:sz w:val="21"/>
                <w:szCs w:val="21"/>
                <w:color w:val="auto"/>
              </w:rPr>
              <w:t>Included in other comprehensive income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1"/>
                <w:szCs w:val="21"/>
                <w:color w:val="auto"/>
              </w:rPr>
              <w:t>(2,483)</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1"/>
                <w:szCs w:val="21"/>
                <w:color w:val="auto"/>
              </w:rPr>
            </w:pPr>
          </w:p>
        </w:tc>
      </w:tr>
      <w:tr>
        <w:trPr>
          <w:trHeight w:val="243"/>
        </w:trPr>
        <w:tc>
          <w:tcPr>
            <w:tcW w:w="4980" w:type="dxa"/>
            <w:vAlign w:val="bottom"/>
            <w:shd w:val="clear" w:color="auto" w:fill="CCEEFF"/>
          </w:tcPr>
          <w:p>
            <w:pPr>
              <w:ind w:left="180"/>
              <w:spacing w:after="0"/>
              <w:rPr>
                <w:sz w:val="20"/>
                <w:szCs w:val="20"/>
                <w:color w:val="auto"/>
              </w:rPr>
            </w:pPr>
            <w:r>
              <w:rPr>
                <w:rFonts w:ascii="Arial" w:cs="Arial" w:eastAsia="Arial" w:hAnsi="Arial"/>
                <w:sz w:val="21"/>
                <w:szCs w:val="21"/>
                <w:color w:val="auto"/>
              </w:rPr>
              <w:t>Settlements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(5,792)</w:t>
            </w:r>
          </w:p>
        </w:tc>
        <w:tc>
          <w:tcPr>
            <w:tcW w:w="22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3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(15,775)</w:t>
            </w:r>
          </w:p>
        </w:tc>
        <w:tc>
          <w:tcPr>
            <w:tcW w:w="2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1"/>
                <w:szCs w:val="21"/>
                <w:color w:val="auto"/>
              </w:rPr>
            </w:pPr>
          </w:p>
        </w:tc>
      </w:tr>
      <w:tr>
        <w:trPr>
          <w:trHeight w:val="237"/>
        </w:trPr>
        <w:tc>
          <w:tcPr>
            <w:tcW w:w="4980" w:type="dxa"/>
            <w:vAlign w:val="bottom"/>
          </w:tcPr>
          <w:p>
            <w:pPr>
              <w:spacing w:after="0" w:line="237" w:lineRule="exact"/>
              <w:rPr>
                <w:sz w:val="20"/>
                <w:szCs w:val="20"/>
                <w:color w:val="auto"/>
              </w:rPr>
            </w:pPr>
            <w:r>
              <w:rPr>
                <w:rFonts w:ascii="Arial" w:cs="Arial" w:eastAsia="Arial" w:hAnsi="Arial"/>
                <w:sz w:val="21"/>
                <w:szCs w:val="21"/>
                <w:color w:val="auto"/>
              </w:rPr>
              <w:t>Closing Balance</w:t>
            </w:r>
          </w:p>
        </w:tc>
        <w:tc>
          <w:tcPr>
            <w:tcW w:w="3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1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17,370</w:t>
            </w:r>
          </w:p>
        </w:tc>
        <w:tc>
          <w:tcPr>
            <w:tcW w:w="220" w:type="dxa"/>
            <w:vAlign w:val="bottom"/>
          </w:tcPr>
          <w:p>
            <w:pPr>
              <w:spacing w:after="0"/>
              <w:rPr>
                <w:sz w:val="20"/>
                <w:szCs w:val="20"/>
                <w:color w:val="auto"/>
              </w:rPr>
            </w:pPr>
          </w:p>
        </w:tc>
        <w:tc>
          <w:tcPr>
            <w:tcW w:w="780" w:type="dxa"/>
            <w:vAlign w:val="bottom"/>
            <w:tcBorders>
              <w:bottom w:val="single" w:sz="8" w:color="auto"/>
            </w:tcBorders>
          </w:tcPr>
          <w:p>
            <w:pPr>
              <w:ind w:left="180"/>
              <w:spacing w:after="0" w:line="237" w:lineRule="exact"/>
              <w:rPr>
                <w:sz w:val="20"/>
                <w:szCs w:val="20"/>
                <w:color w:val="auto"/>
              </w:rPr>
            </w:pPr>
            <w:r>
              <w:rPr>
                <w:rFonts w:ascii="Arial" w:cs="Arial" w:eastAsia="Arial" w:hAnsi="Arial"/>
                <w:sz w:val="21"/>
                <w:szCs w:val="21"/>
                <w:color w:val="auto"/>
              </w:rPr>
              <w:t>$</w:t>
            </w:r>
          </w:p>
        </w:tc>
        <w:tc>
          <w:tcPr>
            <w:tcW w:w="5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w w:val="91"/>
              </w:rPr>
              <w:t>2,011</w:t>
            </w:r>
          </w:p>
        </w:tc>
        <w:tc>
          <w:tcPr>
            <w:tcW w:w="300" w:type="dxa"/>
            <w:vAlign w:val="bottom"/>
          </w:tcPr>
          <w:p>
            <w:pPr>
              <w:spacing w:after="0"/>
              <w:rPr>
                <w:sz w:val="20"/>
                <w:szCs w:val="20"/>
                <w:color w:val="auto"/>
              </w:rPr>
            </w:pPr>
          </w:p>
        </w:tc>
        <w:tc>
          <w:tcPr>
            <w:tcW w:w="3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21,864</w:t>
            </w:r>
          </w:p>
        </w:tc>
        <w:tc>
          <w:tcPr>
            <w:tcW w:w="200" w:type="dxa"/>
            <w:vAlign w:val="bottom"/>
          </w:tcPr>
          <w:p>
            <w:pPr>
              <w:spacing w:after="0"/>
              <w:rPr>
                <w:sz w:val="20"/>
                <w:szCs w:val="20"/>
                <w:color w:val="auto"/>
              </w:rPr>
            </w:pPr>
          </w:p>
        </w:tc>
        <w:tc>
          <w:tcPr>
            <w:tcW w:w="800" w:type="dxa"/>
            <w:vAlign w:val="bottom"/>
            <w:tcBorders>
              <w:bottom w:val="single" w:sz="8" w:color="auto"/>
            </w:tcBorders>
          </w:tcPr>
          <w:p>
            <w:pPr>
              <w:ind w:left="180"/>
              <w:spacing w:after="0" w:line="237" w:lineRule="exact"/>
              <w:rPr>
                <w:sz w:val="20"/>
                <w:szCs w:val="20"/>
                <w:color w:val="auto"/>
              </w:rPr>
            </w:pPr>
            <w:r>
              <w:rPr>
                <w:rFonts w:ascii="Arial" w:cs="Arial" w:eastAsia="Arial" w:hAnsi="Arial"/>
                <w:sz w:val="21"/>
                <w:szCs w:val="21"/>
                <w:color w:val="auto"/>
              </w:rPr>
              <w:t>$</w:t>
            </w:r>
          </w:p>
        </w:tc>
        <w:tc>
          <w:tcPr>
            <w:tcW w:w="5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1,649</w:t>
            </w: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98"/>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9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INVENTORIES</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Inventories consist of the following at:</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6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2"/>
          </w:tcPr>
          <w:p>
            <w:pPr>
              <w:ind w:left="40"/>
              <w:spacing w:after="0"/>
              <w:rPr>
                <w:sz w:val="20"/>
                <w:szCs w:val="20"/>
                <w:color w:val="auto"/>
              </w:rPr>
            </w:pPr>
            <w:r>
              <w:rPr>
                <w:rFonts w:ascii="Arial" w:cs="Arial" w:eastAsia="Arial" w:hAnsi="Arial"/>
                <w:sz w:val="21"/>
                <w:szCs w:val="21"/>
                <w:color w:val="auto"/>
              </w:rPr>
              <w:t>March 31,</w:t>
            </w:r>
          </w:p>
        </w:tc>
        <w:tc>
          <w:tcPr>
            <w:tcW w:w="1680" w:type="dxa"/>
            <w:vAlign w:val="bottom"/>
            <w:gridSpan w:val="2"/>
          </w:tcPr>
          <w:p>
            <w:pPr>
              <w:ind w:left="220"/>
              <w:spacing w:after="0"/>
              <w:rPr>
                <w:sz w:val="20"/>
                <w:szCs w:val="20"/>
                <w:color w:val="auto"/>
              </w:rPr>
            </w:pPr>
            <w:r>
              <w:rPr>
                <w:rFonts w:ascii="Arial" w:cs="Arial" w:eastAsia="Arial" w:hAnsi="Arial"/>
                <w:sz w:val="21"/>
                <w:szCs w:val="21"/>
                <w:color w:val="auto"/>
              </w:rPr>
              <w:t>December 31,</w:t>
            </w:r>
          </w:p>
        </w:tc>
      </w:tr>
      <w:tr>
        <w:trPr>
          <w:trHeight w:val="256"/>
        </w:trPr>
        <w:tc>
          <w:tcPr>
            <w:tcW w:w="6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6"/>
              <w:spacing w:after="0"/>
              <w:rPr>
                <w:sz w:val="20"/>
                <w:szCs w:val="20"/>
                <w:color w:val="auto"/>
              </w:rPr>
            </w:pPr>
            <w:r>
              <w:rPr>
                <w:rFonts w:ascii="Arial" w:cs="Arial" w:eastAsia="Arial" w:hAnsi="Arial"/>
                <w:sz w:val="21"/>
                <w:szCs w:val="21"/>
                <w:color w:val="auto"/>
              </w:rPr>
              <w:t>2013</w:t>
            </w:r>
          </w:p>
        </w:tc>
        <w:tc>
          <w:tcPr>
            <w:tcW w:w="4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21"/>
                <w:szCs w:val="21"/>
                <w:color w:val="auto"/>
              </w:rPr>
              <w:t>2012</w:t>
            </w:r>
          </w:p>
        </w:tc>
      </w:tr>
      <w:tr>
        <w:trPr>
          <w:trHeight w:val="237"/>
        </w:trPr>
        <w:tc>
          <w:tcPr>
            <w:tcW w:w="616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Raw materials</w:t>
            </w:r>
          </w:p>
        </w:tc>
        <w:tc>
          <w:tcPr>
            <w:tcW w:w="3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26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65,204</w:t>
            </w:r>
          </w:p>
        </w:tc>
        <w:tc>
          <w:tcPr>
            <w:tcW w:w="440" w:type="dxa"/>
            <w:vAlign w:val="bottom"/>
            <w:shd w:val="clear" w:color="auto" w:fill="CCEEFF"/>
          </w:tcPr>
          <w:p>
            <w:pPr>
              <w:spacing w:after="0"/>
              <w:rPr>
                <w:sz w:val="20"/>
                <w:szCs w:val="20"/>
                <w:color w:val="auto"/>
              </w:rPr>
            </w:pPr>
          </w:p>
        </w:tc>
        <w:tc>
          <w:tcPr>
            <w:tcW w:w="440" w:type="dxa"/>
            <w:vAlign w:val="bottom"/>
            <w:shd w:val="clear" w:color="auto" w:fill="CCEEFF"/>
          </w:tcPr>
          <w:p>
            <w:pPr>
              <w:ind w:left="180"/>
              <w:spacing w:after="0" w:line="237" w:lineRule="exact"/>
              <w:rPr>
                <w:sz w:val="20"/>
                <w:szCs w:val="20"/>
                <w:color w:val="auto"/>
              </w:rPr>
            </w:pPr>
            <w:r>
              <w:rPr>
                <w:rFonts w:ascii="Arial" w:cs="Arial" w:eastAsia="Arial" w:hAnsi="Arial"/>
                <w:sz w:val="21"/>
                <w:szCs w:val="21"/>
                <w:color w:val="auto"/>
              </w:rPr>
              <w:t>$</w:t>
            </w:r>
          </w:p>
        </w:tc>
        <w:tc>
          <w:tcPr>
            <w:tcW w:w="12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65,010</w:t>
            </w:r>
          </w:p>
        </w:tc>
      </w:tr>
      <w:tr>
        <w:trPr>
          <w:trHeight w:val="243"/>
        </w:trPr>
        <w:tc>
          <w:tcPr>
            <w:tcW w:w="616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Finished goods</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150,133</w:t>
            </w:r>
          </w:p>
        </w:tc>
        <w:tc>
          <w:tcPr>
            <w:tcW w:w="4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138,096</w:t>
            </w:r>
          </w:p>
        </w:tc>
      </w:tr>
      <w:tr>
        <w:trPr>
          <w:trHeight w:val="237"/>
        </w:trPr>
        <w:tc>
          <w:tcPr>
            <w:tcW w:w="6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26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215,337</w:t>
            </w:r>
          </w:p>
        </w:tc>
        <w:tc>
          <w:tcPr>
            <w:tcW w:w="4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180"/>
              <w:spacing w:after="0" w:line="237" w:lineRule="exact"/>
              <w:rPr>
                <w:sz w:val="20"/>
                <w:szCs w:val="20"/>
                <w:color w:val="auto"/>
              </w:rPr>
            </w:pPr>
            <w:r>
              <w:rPr>
                <w:rFonts w:ascii="Arial" w:cs="Arial" w:eastAsia="Arial" w:hAnsi="Arial"/>
                <w:sz w:val="21"/>
                <w:szCs w:val="21"/>
                <w:color w:val="auto"/>
              </w:rPr>
              <w:t>$</w:t>
            </w:r>
          </w:p>
        </w:tc>
        <w:tc>
          <w:tcPr>
            <w:tcW w:w="12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203,106</w:t>
            </w:r>
          </w:p>
        </w:tc>
      </w:tr>
      <w:tr>
        <w:trPr>
          <w:trHeight w:val="20"/>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PROPERTY AND EQUIPMENT, Net</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Property and equipment consist of the following at:</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6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2"/>
          </w:tcPr>
          <w:p>
            <w:pPr>
              <w:ind w:left="40"/>
              <w:spacing w:after="0"/>
              <w:rPr>
                <w:sz w:val="20"/>
                <w:szCs w:val="20"/>
                <w:color w:val="auto"/>
              </w:rPr>
            </w:pPr>
            <w:r>
              <w:rPr>
                <w:rFonts w:ascii="Arial" w:cs="Arial" w:eastAsia="Arial" w:hAnsi="Arial"/>
                <w:sz w:val="21"/>
                <w:szCs w:val="21"/>
                <w:color w:val="auto"/>
              </w:rPr>
              <w:t>March 31,</w:t>
            </w:r>
          </w:p>
        </w:tc>
        <w:tc>
          <w:tcPr>
            <w:tcW w:w="1680" w:type="dxa"/>
            <w:vAlign w:val="bottom"/>
            <w:gridSpan w:val="3"/>
          </w:tcPr>
          <w:p>
            <w:pPr>
              <w:ind w:left="200"/>
              <w:spacing w:after="0"/>
              <w:rPr>
                <w:sz w:val="20"/>
                <w:szCs w:val="20"/>
                <w:color w:val="auto"/>
              </w:rPr>
            </w:pPr>
            <w:r>
              <w:rPr>
                <w:rFonts w:ascii="Arial" w:cs="Arial" w:eastAsia="Arial" w:hAnsi="Arial"/>
                <w:sz w:val="21"/>
                <w:szCs w:val="21"/>
                <w:color w:val="auto"/>
              </w:rPr>
              <w:t>December 31,</w:t>
            </w:r>
          </w:p>
        </w:tc>
      </w:tr>
      <w:tr>
        <w:trPr>
          <w:trHeight w:val="256"/>
        </w:trPr>
        <w:tc>
          <w:tcPr>
            <w:tcW w:w="6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21"/>
                <w:szCs w:val="21"/>
                <w:color w:val="auto"/>
              </w:rPr>
              <w:t>2013</w:t>
            </w:r>
          </w:p>
        </w:tc>
        <w:tc>
          <w:tcPr>
            <w:tcW w:w="4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21"/>
                <w:szCs w:val="21"/>
                <w:color w:val="auto"/>
              </w:rPr>
              <w:t>2012</w:t>
            </w:r>
          </w:p>
        </w:tc>
        <w:tc>
          <w:tcPr>
            <w:tcW w:w="100" w:type="dxa"/>
            <w:vAlign w:val="bottom"/>
            <w:tcBorders>
              <w:bottom w:val="single" w:sz="8" w:color="CCEEFF"/>
            </w:tcBorders>
          </w:tcPr>
          <w:p>
            <w:pPr>
              <w:spacing w:after="0"/>
              <w:rPr>
                <w:sz w:val="22"/>
                <w:szCs w:val="22"/>
                <w:color w:val="auto"/>
              </w:rPr>
            </w:pPr>
          </w:p>
        </w:tc>
      </w:tr>
      <w:tr>
        <w:trPr>
          <w:trHeight w:val="237"/>
        </w:trPr>
        <w:tc>
          <w:tcPr>
            <w:tcW w:w="616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Land</w:t>
            </w:r>
          </w:p>
        </w:tc>
        <w:tc>
          <w:tcPr>
            <w:tcW w:w="3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24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5,382</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ind w:left="180"/>
              <w:spacing w:after="0" w:line="237" w:lineRule="exact"/>
              <w:rPr>
                <w:sz w:val="20"/>
                <w:szCs w:val="20"/>
                <w:color w:val="auto"/>
              </w:rPr>
            </w:pPr>
            <w:r>
              <w:rPr>
                <w:rFonts w:ascii="Arial" w:cs="Arial" w:eastAsia="Arial" w:hAnsi="Arial"/>
                <w:sz w:val="21"/>
                <w:szCs w:val="21"/>
                <w:color w:val="auto"/>
              </w:rPr>
              <w:t>$</w:t>
            </w:r>
          </w:p>
        </w:tc>
        <w:tc>
          <w:tcPr>
            <w:tcW w:w="11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5,382</w:t>
            </w:r>
          </w:p>
        </w:tc>
        <w:tc>
          <w:tcPr>
            <w:tcW w:w="100" w:type="dxa"/>
            <w:vAlign w:val="bottom"/>
            <w:shd w:val="clear" w:color="auto" w:fill="CCEEFF"/>
          </w:tcPr>
          <w:p>
            <w:pPr>
              <w:spacing w:after="0"/>
              <w:rPr>
                <w:sz w:val="20"/>
                <w:szCs w:val="20"/>
                <w:color w:val="auto"/>
              </w:rPr>
            </w:pPr>
          </w:p>
        </w:tc>
      </w:tr>
      <w:tr>
        <w:trPr>
          <w:trHeight w:val="243"/>
        </w:trPr>
        <w:tc>
          <w:tcPr>
            <w:tcW w:w="6160" w:type="dxa"/>
            <w:vAlign w:val="bottom"/>
          </w:tcPr>
          <w:p>
            <w:pPr>
              <w:spacing w:after="0"/>
              <w:rPr>
                <w:sz w:val="20"/>
                <w:szCs w:val="20"/>
                <w:color w:val="auto"/>
              </w:rPr>
            </w:pPr>
            <w:r>
              <w:rPr>
                <w:rFonts w:ascii="Arial" w:cs="Arial" w:eastAsia="Arial" w:hAnsi="Arial"/>
                <w:sz w:val="21"/>
                <w:szCs w:val="21"/>
                <w:color w:val="auto"/>
              </w:rPr>
              <w:t>Leasehold improvements</w:t>
            </w:r>
          </w:p>
        </w:tc>
        <w:tc>
          <w:tcPr>
            <w:tcW w:w="3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21"/>
                <w:szCs w:val="21"/>
                <w:color w:val="auto"/>
              </w:rPr>
              <w:t>2,305</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1"/>
                <w:szCs w:val="21"/>
                <w:color w:val="auto"/>
              </w:rPr>
              <w:t>2,300</w:t>
            </w:r>
          </w:p>
        </w:tc>
      </w:tr>
      <w:tr>
        <w:trPr>
          <w:trHeight w:val="243"/>
        </w:trPr>
        <w:tc>
          <w:tcPr>
            <w:tcW w:w="6160" w:type="dxa"/>
            <w:vAlign w:val="bottom"/>
            <w:shd w:val="clear" w:color="auto" w:fill="CCEEFF"/>
          </w:tcPr>
          <w:p>
            <w:pPr>
              <w:spacing w:after="0"/>
              <w:rPr>
                <w:sz w:val="20"/>
                <w:szCs w:val="20"/>
                <w:color w:val="auto"/>
              </w:rPr>
            </w:pPr>
            <w:r>
              <w:rPr>
                <w:rFonts w:ascii="Arial" w:cs="Arial" w:eastAsia="Arial" w:hAnsi="Arial"/>
                <w:sz w:val="21"/>
                <w:szCs w:val="21"/>
                <w:color w:val="auto"/>
              </w:rPr>
              <w:t>Furniture and fixtures</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3,592</w:t>
            </w:r>
          </w:p>
        </w:tc>
        <w:tc>
          <w:tcPr>
            <w:tcW w:w="4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21"/>
                <w:szCs w:val="21"/>
                <w:color w:val="auto"/>
              </w:rPr>
              <w:t>2,087</w:t>
            </w:r>
          </w:p>
        </w:tc>
      </w:tr>
      <w:tr>
        <w:trPr>
          <w:trHeight w:val="243"/>
        </w:trPr>
        <w:tc>
          <w:tcPr>
            <w:tcW w:w="6160" w:type="dxa"/>
            <w:vAlign w:val="bottom"/>
          </w:tcPr>
          <w:p>
            <w:pPr>
              <w:spacing w:after="0"/>
              <w:rPr>
                <w:sz w:val="20"/>
                <w:szCs w:val="20"/>
                <w:color w:val="auto"/>
              </w:rPr>
            </w:pPr>
            <w:r>
              <w:rPr>
                <w:rFonts w:ascii="Arial" w:cs="Arial" w:eastAsia="Arial" w:hAnsi="Arial"/>
                <w:sz w:val="21"/>
                <w:szCs w:val="21"/>
                <w:color w:val="auto"/>
              </w:rPr>
              <w:t>Office and computer equipment</w:t>
            </w:r>
          </w:p>
        </w:tc>
        <w:tc>
          <w:tcPr>
            <w:tcW w:w="3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21"/>
                <w:szCs w:val="21"/>
                <w:color w:val="auto"/>
              </w:rPr>
              <w:t>9,973</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1"/>
                <w:szCs w:val="21"/>
                <w:color w:val="auto"/>
              </w:rPr>
              <w:t>8,981</w:t>
            </w:r>
          </w:p>
        </w:tc>
      </w:tr>
      <w:tr>
        <w:trPr>
          <w:trHeight w:val="243"/>
        </w:trPr>
        <w:tc>
          <w:tcPr>
            <w:tcW w:w="6160" w:type="dxa"/>
            <w:vAlign w:val="bottom"/>
            <w:shd w:val="clear" w:color="auto" w:fill="CCEEFF"/>
          </w:tcPr>
          <w:p>
            <w:pPr>
              <w:spacing w:after="0"/>
              <w:rPr>
                <w:sz w:val="20"/>
                <w:szCs w:val="20"/>
                <w:color w:val="auto"/>
              </w:rPr>
            </w:pPr>
            <w:r>
              <w:rPr>
                <w:rFonts w:ascii="Arial" w:cs="Arial" w:eastAsia="Arial" w:hAnsi="Arial"/>
                <w:sz w:val="21"/>
                <w:szCs w:val="21"/>
                <w:color w:val="auto"/>
              </w:rPr>
              <w:t>Computer software</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1,147</w:t>
            </w:r>
          </w:p>
        </w:tc>
        <w:tc>
          <w:tcPr>
            <w:tcW w:w="4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21"/>
                <w:szCs w:val="21"/>
                <w:color w:val="auto"/>
              </w:rPr>
              <w:t>1,135</w:t>
            </w:r>
          </w:p>
        </w:tc>
      </w:tr>
      <w:tr>
        <w:trPr>
          <w:trHeight w:val="243"/>
        </w:trPr>
        <w:tc>
          <w:tcPr>
            <w:tcW w:w="6160" w:type="dxa"/>
            <w:vAlign w:val="bottom"/>
          </w:tcPr>
          <w:p>
            <w:pPr>
              <w:spacing w:after="0"/>
              <w:rPr>
                <w:sz w:val="20"/>
                <w:szCs w:val="20"/>
                <w:color w:val="auto"/>
              </w:rPr>
            </w:pPr>
            <w:r>
              <w:rPr>
                <w:rFonts w:ascii="Arial" w:cs="Arial" w:eastAsia="Arial" w:hAnsi="Arial"/>
                <w:sz w:val="21"/>
                <w:szCs w:val="21"/>
                <w:color w:val="auto"/>
              </w:rPr>
              <w:t>Equipment</w:t>
            </w:r>
          </w:p>
        </w:tc>
        <w:tc>
          <w:tcPr>
            <w:tcW w:w="3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21"/>
                <w:szCs w:val="21"/>
                <w:color w:val="auto"/>
              </w:rPr>
              <w:t>52,190</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1"/>
                <w:szCs w:val="21"/>
                <w:color w:val="auto"/>
              </w:rPr>
              <w:t>48,427</w:t>
            </w:r>
          </w:p>
        </w:tc>
      </w:tr>
      <w:tr>
        <w:trPr>
          <w:trHeight w:val="243"/>
        </w:trPr>
        <w:tc>
          <w:tcPr>
            <w:tcW w:w="6160" w:type="dxa"/>
            <w:vAlign w:val="bottom"/>
            <w:shd w:val="clear" w:color="auto" w:fill="CCEEFF"/>
          </w:tcPr>
          <w:p>
            <w:pPr>
              <w:spacing w:after="0"/>
              <w:rPr>
                <w:sz w:val="20"/>
                <w:szCs w:val="20"/>
                <w:color w:val="auto"/>
              </w:rPr>
            </w:pPr>
            <w:r>
              <w:rPr>
                <w:rFonts w:ascii="Arial" w:cs="Arial" w:eastAsia="Arial" w:hAnsi="Arial"/>
                <w:sz w:val="21"/>
                <w:szCs w:val="21"/>
                <w:color w:val="auto"/>
              </w:rPr>
              <w:t>Buildings</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24,502</w:t>
            </w:r>
          </w:p>
        </w:tc>
        <w:tc>
          <w:tcPr>
            <w:tcW w:w="4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21"/>
                <w:szCs w:val="21"/>
                <w:color w:val="auto"/>
              </w:rPr>
              <w:t>21,998</w:t>
            </w:r>
          </w:p>
        </w:tc>
      </w:tr>
      <w:tr>
        <w:trPr>
          <w:trHeight w:val="243"/>
        </w:trPr>
        <w:tc>
          <w:tcPr>
            <w:tcW w:w="616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Vehicles</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27,087</w:t>
            </w:r>
          </w:p>
        </w:tc>
        <w:tc>
          <w:tcPr>
            <w:tcW w:w="4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1"/>
                <w:szCs w:val="21"/>
                <w:color w:val="auto"/>
              </w:rPr>
              <w:t>26,037</w:t>
            </w:r>
          </w:p>
        </w:tc>
      </w:tr>
      <w:tr>
        <w:trPr>
          <w:trHeight w:val="237"/>
        </w:trPr>
        <w:tc>
          <w:tcPr>
            <w:tcW w:w="6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126,178</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line="237" w:lineRule="exact"/>
              <w:rPr>
                <w:sz w:val="20"/>
                <w:szCs w:val="20"/>
                <w:color w:val="auto"/>
              </w:rPr>
            </w:pPr>
            <w:r>
              <w:rPr>
                <w:rFonts w:ascii="Arial" w:cs="Arial" w:eastAsia="Arial" w:hAnsi="Arial"/>
                <w:sz w:val="21"/>
                <w:szCs w:val="21"/>
                <w:color w:val="auto"/>
              </w:rPr>
              <w:t>116,347</w:t>
            </w:r>
          </w:p>
        </w:tc>
      </w:tr>
      <w:tr>
        <w:trPr>
          <w:trHeight w:val="243"/>
        </w:trPr>
        <w:tc>
          <w:tcPr>
            <w:tcW w:w="616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Less: accumulated depreciation and amortization</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(51,582)</w:t>
            </w:r>
          </w:p>
        </w:tc>
        <w:tc>
          <w:tcPr>
            <w:tcW w:w="4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1"/>
                <w:szCs w:val="21"/>
                <w:color w:val="auto"/>
              </w:rPr>
              <w:t>(47,210)</w:t>
            </w:r>
          </w:p>
        </w:tc>
      </w:tr>
      <w:tr>
        <w:trPr>
          <w:trHeight w:val="237"/>
        </w:trPr>
        <w:tc>
          <w:tcPr>
            <w:tcW w:w="6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24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74,596</w:t>
            </w:r>
          </w:p>
        </w:tc>
        <w:tc>
          <w:tcPr>
            <w:tcW w:w="4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180"/>
              <w:spacing w:after="0" w:line="237" w:lineRule="exact"/>
              <w:rPr>
                <w:sz w:val="20"/>
                <w:szCs w:val="20"/>
                <w:color w:val="auto"/>
              </w:rPr>
            </w:pPr>
            <w:r>
              <w:rPr>
                <w:rFonts w:ascii="Arial" w:cs="Arial" w:eastAsia="Arial" w:hAnsi="Arial"/>
                <w:sz w:val="21"/>
                <w:szCs w:val="21"/>
                <w:color w:val="auto"/>
              </w:rPr>
              <w:t>$</w:t>
            </w:r>
          </w:p>
        </w:tc>
        <w:tc>
          <w:tcPr>
            <w:tcW w:w="1240" w:type="dxa"/>
            <w:vAlign w:val="bottom"/>
            <w:tcBorders>
              <w:bottom w:val="single" w:sz="8" w:color="auto"/>
            </w:tcBorders>
            <w:gridSpan w:val="2"/>
            <w:shd w:val="clear" w:color="auto" w:fill="CCEEFF"/>
          </w:tcPr>
          <w:p>
            <w:pPr>
              <w:jc w:val="right"/>
              <w:ind w:right="100"/>
              <w:spacing w:after="0" w:line="237" w:lineRule="exact"/>
              <w:rPr>
                <w:sz w:val="20"/>
                <w:szCs w:val="20"/>
                <w:color w:val="auto"/>
              </w:rPr>
            </w:pPr>
            <w:r>
              <w:rPr>
                <w:rFonts w:ascii="Arial" w:cs="Arial" w:eastAsia="Arial" w:hAnsi="Arial"/>
                <w:sz w:val="21"/>
                <w:szCs w:val="21"/>
                <w:color w:val="auto"/>
              </w:rPr>
              <w:t>69,137</w:t>
            </w:r>
          </w:p>
        </w:tc>
      </w:tr>
      <w:tr>
        <w:trPr>
          <w:trHeight w:val="20"/>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INTANGIBLES, Net</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Intangibles consist of the following at:</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6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2"/>
          </w:tcPr>
          <w:p>
            <w:pPr>
              <w:jc w:val="center"/>
              <w:ind w:right="760"/>
              <w:spacing w:after="0"/>
              <w:rPr>
                <w:sz w:val="20"/>
                <w:szCs w:val="20"/>
                <w:color w:val="auto"/>
              </w:rPr>
            </w:pPr>
            <w:r>
              <w:rPr>
                <w:rFonts w:ascii="Arial" w:cs="Arial" w:eastAsia="Arial" w:hAnsi="Arial"/>
                <w:sz w:val="21"/>
                <w:szCs w:val="21"/>
                <w:color w:val="auto"/>
                <w:w w:val="92"/>
              </w:rPr>
              <w:t>March 31,</w:t>
            </w:r>
          </w:p>
        </w:tc>
        <w:tc>
          <w:tcPr>
            <w:tcW w:w="1680" w:type="dxa"/>
            <w:vAlign w:val="bottom"/>
            <w:gridSpan w:val="2"/>
          </w:tcPr>
          <w:p>
            <w:pPr>
              <w:ind w:left="220"/>
              <w:spacing w:after="0"/>
              <w:rPr>
                <w:sz w:val="20"/>
                <w:szCs w:val="20"/>
                <w:color w:val="auto"/>
              </w:rPr>
            </w:pPr>
            <w:r>
              <w:rPr>
                <w:rFonts w:ascii="Arial" w:cs="Arial" w:eastAsia="Arial" w:hAnsi="Arial"/>
                <w:sz w:val="21"/>
                <w:szCs w:val="21"/>
                <w:color w:val="auto"/>
              </w:rPr>
              <w:t>December 31,</w:t>
            </w:r>
          </w:p>
        </w:tc>
      </w:tr>
      <w:tr>
        <w:trPr>
          <w:trHeight w:val="256"/>
        </w:trPr>
        <w:tc>
          <w:tcPr>
            <w:tcW w:w="6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6"/>
              <w:spacing w:after="0"/>
              <w:rPr>
                <w:sz w:val="20"/>
                <w:szCs w:val="20"/>
                <w:color w:val="auto"/>
              </w:rPr>
            </w:pPr>
            <w:r>
              <w:rPr>
                <w:rFonts w:ascii="Arial" w:cs="Arial" w:eastAsia="Arial" w:hAnsi="Arial"/>
                <w:sz w:val="21"/>
                <w:szCs w:val="21"/>
                <w:color w:val="auto"/>
              </w:rPr>
              <w:t>2013</w:t>
            </w:r>
          </w:p>
        </w:tc>
        <w:tc>
          <w:tcPr>
            <w:tcW w:w="4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21"/>
                <w:szCs w:val="21"/>
                <w:color w:val="auto"/>
              </w:rPr>
              <w:t>2012</w:t>
            </w:r>
          </w:p>
        </w:tc>
      </w:tr>
      <w:tr>
        <w:trPr>
          <w:trHeight w:val="237"/>
        </w:trPr>
        <w:tc>
          <w:tcPr>
            <w:tcW w:w="616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Amortizing intangibles</w:t>
            </w:r>
          </w:p>
        </w:tc>
        <w:tc>
          <w:tcPr>
            <w:tcW w:w="3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26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1,061</w:t>
            </w:r>
          </w:p>
        </w:tc>
        <w:tc>
          <w:tcPr>
            <w:tcW w:w="440" w:type="dxa"/>
            <w:vAlign w:val="bottom"/>
            <w:shd w:val="clear" w:color="auto" w:fill="CCEEFF"/>
          </w:tcPr>
          <w:p>
            <w:pPr>
              <w:spacing w:after="0"/>
              <w:rPr>
                <w:sz w:val="20"/>
                <w:szCs w:val="20"/>
                <w:color w:val="auto"/>
              </w:rPr>
            </w:pPr>
          </w:p>
        </w:tc>
        <w:tc>
          <w:tcPr>
            <w:tcW w:w="440" w:type="dxa"/>
            <w:vAlign w:val="bottom"/>
            <w:shd w:val="clear" w:color="auto" w:fill="CCEEFF"/>
          </w:tcPr>
          <w:p>
            <w:pPr>
              <w:ind w:left="180"/>
              <w:spacing w:after="0" w:line="237" w:lineRule="exact"/>
              <w:rPr>
                <w:sz w:val="20"/>
                <w:szCs w:val="20"/>
                <w:color w:val="auto"/>
              </w:rPr>
            </w:pPr>
            <w:r>
              <w:rPr>
                <w:rFonts w:ascii="Arial" w:cs="Arial" w:eastAsia="Arial" w:hAnsi="Arial"/>
                <w:sz w:val="21"/>
                <w:szCs w:val="21"/>
                <w:color w:val="auto"/>
              </w:rPr>
              <w:t>$</w:t>
            </w:r>
          </w:p>
        </w:tc>
        <w:tc>
          <w:tcPr>
            <w:tcW w:w="12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1,061</w:t>
            </w:r>
          </w:p>
        </w:tc>
      </w:tr>
    </w:tbl>
    <w:p>
      <w:pPr>
        <w:sectPr>
          <w:pgSz w:w="11900" w:h="16843" w:orient="portrait"/>
          <w:cols w:equalWidth="0" w:num="1">
            <w:col w:w="11460"/>
          </w:cols>
          <w:pgMar w:left="240" w:top="118" w:right="199" w:bottom="0" w:gutter="0" w:footer="0" w:header="0"/>
        </w:sectPr>
      </w:pPr>
    </w:p>
    <w:bookmarkStart w:id="10" w:name="page11"/>
    <w:bookmarkEnd w:id="10"/>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6760" w:type="dxa"/>
            <w:vAlign w:val="bottom"/>
            <w:gridSpan w:val="2"/>
          </w:tcPr>
          <w:p>
            <w:pPr>
              <w:spacing w:after="0"/>
              <w:rPr>
                <w:sz w:val="20"/>
                <w:szCs w:val="20"/>
                <w:color w:val="auto"/>
              </w:rPr>
            </w:pPr>
            <w:r>
              <w:rPr>
                <w:rFonts w:ascii="Arial" w:cs="Arial" w:eastAsia="Arial" w:hAnsi="Arial"/>
                <w:sz w:val="21"/>
                <w:szCs w:val="21"/>
                <w:color w:val="auto"/>
              </w:rPr>
              <w:t>Accumulated amortization</w:t>
            </w:r>
          </w:p>
        </w:tc>
        <w:tc>
          <w:tcPr>
            <w:tcW w:w="1000" w:type="dxa"/>
            <w:vAlign w:val="bottom"/>
          </w:tcPr>
          <w:p>
            <w:pPr>
              <w:jc w:val="right"/>
              <w:spacing w:after="0"/>
              <w:rPr>
                <w:sz w:val="20"/>
                <w:szCs w:val="20"/>
                <w:color w:val="auto"/>
              </w:rPr>
            </w:pPr>
            <w:r>
              <w:rPr>
                <w:rFonts w:ascii="Arial" w:cs="Arial" w:eastAsia="Arial" w:hAnsi="Arial"/>
                <w:sz w:val="21"/>
                <w:szCs w:val="21"/>
                <w:color w:val="auto"/>
              </w:rPr>
              <w:t>(565)</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(553)</w:t>
            </w:r>
          </w:p>
        </w:tc>
      </w:tr>
      <w:tr>
        <w:trPr>
          <w:trHeight w:val="237"/>
        </w:trPr>
        <w:tc>
          <w:tcPr>
            <w:tcW w:w="616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496</w:t>
            </w:r>
          </w:p>
        </w:tc>
        <w:tc>
          <w:tcPr>
            <w:tcW w:w="44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508</w:t>
            </w:r>
          </w:p>
        </w:tc>
      </w:tr>
      <w:tr>
        <w:trPr>
          <w:trHeight w:val="243"/>
        </w:trPr>
        <w:tc>
          <w:tcPr>
            <w:tcW w:w="6760" w:type="dxa"/>
            <w:vAlign w:val="bottom"/>
            <w:gridSpan w:val="2"/>
          </w:tcPr>
          <w:p>
            <w:pPr>
              <w:spacing w:after="0"/>
              <w:rPr>
                <w:sz w:val="20"/>
                <w:szCs w:val="20"/>
                <w:color w:val="auto"/>
              </w:rPr>
            </w:pPr>
            <w:r>
              <w:rPr>
                <w:rFonts w:ascii="Arial" w:cs="Arial" w:eastAsia="Arial" w:hAnsi="Arial"/>
                <w:sz w:val="21"/>
                <w:szCs w:val="21"/>
                <w:color w:val="auto"/>
              </w:rPr>
              <w:t>Non-amortizing intangibles</w:t>
            </w:r>
          </w:p>
        </w:tc>
        <w:tc>
          <w:tcPr>
            <w:tcW w:w="1000" w:type="dxa"/>
            <w:vAlign w:val="bottom"/>
          </w:tcPr>
          <w:p>
            <w:pPr>
              <w:jc w:val="right"/>
              <w:ind w:right="16"/>
              <w:spacing w:after="0"/>
              <w:rPr>
                <w:sz w:val="20"/>
                <w:szCs w:val="20"/>
                <w:color w:val="auto"/>
              </w:rPr>
            </w:pPr>
            <w:r>
              <w:rPr>
                <w:rFonts w:ascii="Arial" w:cs="Arial" w:eastAsia="Arial" w:hAnsi="Arial"/>
                <w:sz w:val="21"/>
                <w:szCs w:val="21"/>
                <w:color w:val="auto"/>
              </w:rPr>
              <w:t>57,503</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54,140</w:t>
            </w:r>
          </w:p>
        </w:tc>
      </w:tr>
      <w:tr>
        <w:trPr>
          <w:trHeight w:val="237"/>
        </w:trPr>
        <w:tc>
          <w:tcPr>
            <w:tcW w:w="616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196"/>
              <w:spacing w:after="0" w:line="237" w:lineRule="exact"/>
              <w:rPr>
                <w:sz w:val="20"/>
                <w:szCs w:val="20"/>
                <w:color w:val="auto"/>
              </w:rPr>
            </w:pPr>
            <w:r>
              <w:rPr>
                <w:rFonts w:ascii="Arial" w:cs="Arial" w:eastAsia="Arial" w:hAnsi="Arial"/>
                <w:sz w:val="21"/>
                <w:szCs w:val="21"/>
                <w:color w:val="auto"/>
              </w:rPr>
              <w:t>$</w:t>
            </w:r>
          </w:p>
        </w:tc>
        <w:tc>
          <w:tcPr>
            <w:tcW w:w="1000" w:type="dxa"/>
            <w:vAlign w:val="bottom"/>
            <w:tcBorders>
              <w:top w:val="single" w:sz="8" w:color="auto"/>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57,999</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236"/>
              <w:spacing w:after="0" w:line="237" w:lineRule="exact"/>
              <w:rPr>
                <w:sz w:val="20"/>
                <w:szCs w:val="20"/>
                <w:color w:val="auto"/>
              </w:rPr>
            </w:pPr>
            <w:r>
              <w:rPr>
                <w:rFonts w:ascii="Arial" w:cs="Arial" w:eastAsia="Arial" w:hAnsi="Arial"/>
                <w:sz w:val="21"/>
                <w:szCs w:val="21"/>
                <w:color w:val="auto"/>
              </w:rPr>
              <w:t>$</w:t>
            </w:r>
          </w:p>
        </w:tc>
        <w:tc>
          <w:tcPr>
            <w:tcW w:w="104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54,648</w:t>
            </w:r>
          </w:p>
        </w:tc>
      </w:tr>
      <w:tr>
        <w:trPr>
          <w:trHeight w:val="20"/>
        </w:trPr>
        <w:tc>
          <w:tcPr>
            <w:tcW w:w="6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All amortizing intangibles have been assigned an estimated useful life and such intangibles are amortized on a straight-line basis over the number of years that approximate their respective useful lives ranging from one to 25 years (weighted-average life of 20 years). Amortization expense was $0.01 million for both the three-months ended March 31, 2013 and March 31, 2012.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DISTRIBUTION AGREEMENTS</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Pursuant to new and/or amended distribution agreements entered into with certain distributors, amounts of $8.2 million from such distributors, relating to the costs associated with terminating agreements with the Company’s prior distributors, were recorded for the three-months ended March 31, 2013. Such amounts have been accounted for as deferred revenue in the accompanying condensed consolidated balance sheets and are recognized as revenue ratably over the anticipated life of the respective distribution agreement, generally 20 years. Revenue recognized was $2.4 million and $2.5 million for the three-months ended March 31, 2013 and 2012, respectively.</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Company incurred termination costs to certain of its prior distributors amounting to $8.3 million and $0.1 million in aggregate for the three-months ended March 31, 2013 and 2012, respectively. Such termination costs have been expensed in full and are included in operating expenses for the three-months ended March 31, 2013 and 2012. Accrued distributor terminations included in accrued liabilities in the accompanying consolidated balance sheets as of March 31, 2013 and December 31, 2012 were $8.2 million and $0.9 million, respectively.</w:t>
      </w:r>
    </w:p>
    <w:p>
      <w:pPr>
        <w:spacing w:after="0" w:line="21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COMMITMENTS AND CONTINGENCIES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had purchase commitments aggregating approximately $66.8 million at March 31, 2013, which represented commitments made by the Company and its subsidiaries to various suppliers of raw materials for the production of its products. These obligations vary in terms, but are generally satisfied within one year.</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Company had contractual obligations aggregating approximately $95.5 million at March 31, 2013, which related primarily to sponsorships and other marketing activities.</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Company had operating lease commitments aggregating approximately $18.4 million at March 31, 2013, which related primarily to warehouse and office space.</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In March 2012, the Company acquired an approximately 75,425 square foot, free-standing, three-story office building located in Corona, CA, including the real property thereunder and improvements thereon (the “March 2012 Property”), which the Company has not occupied, as well as additional parking spaces, for a total purchase price of $9.7 million. In October 2012, the Company acquired an approximately 141,000 square foot, free-standing, six-story office building, including the real property thereunder and improvements thereon, located in Corona, CA (the “October 2012 Property”) adjacent to the March 2012 Property, for a purchase price of $18.8 million. The Company intends to complete the necessary improvements to the October 2012 Property and occupy the building as the Company’s new corporate headquarters in the third quarter of 2013. The October 2012 Property should more effectively address the future growth needs of the Company, compared to the March 2012 Property. In December 2012, the Company commenced marketing efforts to sell the March 2012 Property and met the criteria established by ASC No. 360 for classifying the March 2012 Property as an asset held for sale. As a result, the March 2012 Property is included in prepaid expenses and other current assets in the accompanying consolidated balance sheet as of March 31, 2013 and December 31, 2012.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0" w:gutter="0" w:footer="0" w:header="0"/>
        </w:sectPr>
      </w:pPr>
    </w:p>
    <w:bookmarkStart w:id="11" w:name="page12"/>
    <w:bookmarkEnd w:id="11"/>
    <w:p>
      <w:pPr>
        <w:spacing w:after="0" w:line="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i w:val="1"/>
          <w:iCs w:val="1"/>
          <w:color w:val="auto"/>
        </w:rPr>
        <w:t xml:space="preserve">Litigation </w:t>
      </w:r>
      <w:r>
        <w:rPr>
          <w:rFonts w:ascii="Arial" w:cs="Arial" w:eastAsia="Arial" w:hAnsi="Arial"/>
          <w:sz w:val="19"/>
          <w:szCs w:val="19"/>
          <w:color w:val="auto"/>
        </w:rPr>
        <w:t>– In May 2009, Avraham Wellman, purporting to act on behalf of himself and a class of consumers in Canada,</w:t>
      </w:r>
      <w:r>
        <w:rPr>
          <w:rFonts w:ascii="Arial" w:cs="Arial" w:eastAsia="Arial" w:hAnsi="Arial"/>
          <w:sz w:val="19"/>
          <w:szCs w:val="19"/>
          <w:i w:val="1"/>
          <w:iCs w:val="1"/>
          <w:color w:val="auto"/>
        </w:rPr>
        <w:t xml:space="preserve"> </w:t>
      </w:r>
      <w:r>
        <w:rPr>
          <w:rFonts w:ascii="Arial" w:cs="Arial" w:eastAsia="Arial" w:hAnsi="Arial"/>
          <w:sz w:val="19"/>
          <w:szCs w:val="19"/>
          <w:color w:val="auto"/>
        </w:rPr>
        <w:t>filed a putative class action in the Ontario Superior Court of Justice, in the City of Toronto, Ontario, Canada, against the Company and its former Canadian distributor, Pepsi-Cola Canada Ltd., as defendants (the “Wellman Action”).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The Company believes that any such 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On October 17, 2012, Wendy Crossland and Richard Fournier filed a lawsuit in the Superior Court of the State of California, County of Riverside, styled </w:t>
      </w:r>
      <w:r>
        <w:rPr>
          <w:rFonts w:ascii="Arial" w:cs="Arial" w:eastAsia="Arial" w:hAnsi="Arial"/>
          <w:sz w:val="21"/>
          <w:szCs w:val="21"/>
          <w:i w:val="1"/>
          <w:iCs w:val="1"/>
          <w:color w:val="auto"/>
        </w:rPr>
        <w:t>Wendy Crossland and Richard Fournier v. Monster Beverage Corporation</w:t>
      </w:r>
      <w:r>
        <w:rPr>
          <w:rFonts w:ascii="Arial" w:cs="Arial" w:eastAsia="Arial" w:hAnsi="Arial"/>
          <w:sz w:val="21"/>
          <w:szCs w:val="21"/>
          <w:color w:val="auto"/>
        </w:rPr>
        <w:t>,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2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Securities Litigation </w:t>
      </w:r>
      <w:r>
        <w:rPr>
          <w:rFonts w:ascii="Arial" w:cs="Arial" w:eastAsia="Arial" w:hAnsi="Arial"/>
          <w:sz w:val="22"/>
          <w:szCs w:val="22"/>
          <w:color w:val="auto"/>
        </w:rPr>
        <w:t>– On September 11, 2008, a federal securities class action complaint styled</w:t>
      </w:r>
      <w:r>
        <w:rPr>
          <w:rFonts w:ascii="Arial" w:cs="Arial" w:eastAsia="Arial" w:hAnsi="Arial"/>
          <w:sz w:val="22"/>
          <w:szCs w:val="22"/>
          <w:i w:val="1"/>
          <w:iCs w:val="1"/>
          <w:color w:val="auto"/>
        </w:rPr>
        <w:t xml:space="preserve"> Cunha v. Hansen Natural Corp., et al. </w:t>
      </w:r>
      <w:r>
        <w:rPr>
          <w:rFonts w:ascii="Arial" w:cs="Arial" w:eastAsia="Arial" w:hAnsi="Arial"/>
          <w:sz w:val="22"/>
          <w:szCs w:val="22"/>
          <w:color w:val="auto"/>
        </w:rPr>
        <w:t>was filed in the United States District Court for the Central District of California (the “District Court”). 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September 17, 2008, a second federal securities class action complaint styled </w:t>
      </w:r>
      <w:r>
        <w:rPr>
          <w:rFonts w:ascii="Arial" w:cs="Arial" w:eastAsia="Arial" w:hAnsi="Arial"/>
          <w:sz w:val="22"/>
          <w:szCs w:val="22"/>
          <w:i w:val="1"/>
          <w:iCs w:val="1"/>
          <w:color w:val="auto"/>
        </w:rPr>
        <w:t>Brown v. Hansen Natural Corp., et al.</w:t>
      </w:r>
      <w:r>
        <w:rPr>
          <w:rFonts w:ascii="Arial" w:cs="Arial" w:eastAsia="Arial" w:hAnsi="Arial"/>
          <w:sz w:val="22"/>
          <w:szCs w:val="22"/>
          <w:color w:val="auto"/>
        </w:rPr>
        <w:t xml:space="preserve"> was also filed in the District Court.</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July 14, 2009, the District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17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November 16, 2009, the defendants filed their motion to dismiss the Consolidated Class Action Complaint pursuant to Federal Rules of Civil Procedure 12(b)(6) and 9(b), as well as the Private Securities Litigation Reform Act. On July 12, 2010, following a hearing, the District Court granted the defendants’ motion to dismiss the Consolidated Class Action Complaint, with leave to amend, on the grounds, among others, that it failed to specify which statements plaintiff claimed were false or misleading, failed adequately to allege that certain statements were actionable or false or misleading, and failed adequately to demonstrate that defendants acted with scienter.</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August 27, 2010, plaintiff filed a Consolidated Amended Class Action Complaint for Violations of Federal Securities Laws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 The Amended Class Action Complaint continues to allege violations of Sections 10(b) and 20(a) of the Exchange Act and Rule 10b-5 promulgated thereunder, and seeks an unspecified amount of damages.</w:t>
      </w:r>
    </w:p>
    <w:p>
      <w:pPr>
        <w:spacing w:after="0" w:line="18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Defendants filed a motion to dismiss the Amended Class Action Complaint on November 8, 2010. At a hearing on defendants’ motion to dismiss the Amended Class Action Complaint held on May 12, 2011, the District Court issued a tentative</w:t>
      </w:r>
    </w:p>
    <w:p>
      <w:pPr>
        <w:sectPr>
          <w:pgSz w:w="11900" w:h="16879" w:orient="portrait"/>
          <w:cols w:equalWidth="0" w:num="1">
            <w:col w:w="11420"/>
          </w:cols>
          <w:pgMar w:left="240" w:top="361" w:right="239" w:bottom="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9"/>
          <w:szCs w:val="19"/>
          <w:color w:val="auto"/>
        </w:rPr>
        <w:t>ruling granting the motion to dismiss as to certain of plaintiff’s claims, including plaintiff’s allegations relating to promotional expenses, but denying the motion to dismiss with regard to the majority of plaintiff’s claims, including plaintiff’s channel stuffing allegations. On September 4, 2012, the District Court issued a Notice of Ruling (the “Order”) adopting the May 12, 2011 tentative ruling as its final ruling on defendants’ motion to dismiss. On October 22, 2012, the District Court denied defendants’ motion for reconsideration of the Order or certification of an interlocutory appeal from the Order. The District Court has set a schedule for briefing and discovery in connection with plaintiff’s motion for class certification, and has scheduled a hearing on that motion for June 20, 2013. Fact discovery in the action has been stayed pending resolution of the class certification motion.</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Amended Class Action Complaint seeks an unspecified amount of damages. As a result, the amount or range of reasonably possible litigation losses to which the Company is exposed cannot be estimated. Although the ultimate outcome of this action cannot be determined with certainty, the Company believes that the allegations in the Amended Class Action Complaint are without merit. The Company intends to vigorously defend against this lawsuit.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 xml:space="preserve">State Attorney General Inquiry </w:t>
      </w:r>
      <w:r>
        <w:rPr>
          <w:rFonts w:ascii="Arial" w:cs="Arial" w:eastAsia="Arial" w:hAnsi="Arial"/>
          <w:sz w:val="19"/>
          <w:szCs w:val="19"/>
          <w:color w:val="auto"/>
        </w:rPr>
        <w:t>– In July 2012, the Company received a subpoena from a state attorney general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an investigation concerning the Company’s advertising, marketing, promotion, ingredients, usage and sale of its Monster Energy® brand of energy drinks. As the investigation is in an early stage,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i w:val="1"/>
          <w:iCs w:val="1"/>
          <w:color w:val="auto"/>
        </w:rPr>
        <w:t xml:space="preserve">Derivative Litigation </w:t>
      </w:r>
      <w:r>
        <w:rPr>
          <w:rFonts w:ascii="Arial" w:cs="Arial" w:eastAsia="Arial" w:hAnsi="Arial"/>
          <w:sz w:val="22"/>
          <w:szCs w:val="22"/>
          <w:color w:val="auto"/>
        </w:rPr>
        <w:t>– On September 13, 2012, two derivative complaints were filed in California Superior Courts,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purportedly on behalf of the Company, by shareholders of the Company who made no prior demand on the Company’s Board of Directors. One action, in the Superior Court for the County of Riverside, was styled </w:t>
      </w:r>
      <w:r>
        <w:rPr>
          <w:rFonts w:ascii="Arial" w:cs="Arial" w:eastAsia="Arial" w:hAnsi="Arial"/>
          <w:sz w:val="22"/>
          <w:szCs w:val="22"/>
          <w:i w:val="1"/>
          <w:iCs w:val="1"/>
          <w:color w:val="auto"/>
        </w:rPr>
        <w:t>Iron Workers District Council of Tennessee</w:t>
      </w:r>
      <w:r>
        <w:rPr>
          <w:rFonts w:ascii="Arial" w:cs="Arial" w:eastAsia="Arial" w:hAnsi="Arial"/>
          <w:sz w:val="22"/>
          <w:szCs w:val="22"/>
          <w:color w:val="auto"/>
        </w:rPr>
        <w:t xml:space="preserve"> </w:t>
      </w:r>
      <w:r>
        <w:rPr>
          <w:rFonts w:ascii="Arial" w:cs="Arial" w:eastAsia="Arial" w:hAnsi="Arial"/>
          <w:sz w:val="22"/>
          <w:szCs w:val="22"/>
          <w:i w:val="1"/>
          <w:iCs w:val="1"/>
          <w:color w:val="auto"/>
        </w:rPr>
        <w:t>Valley &amp; Vicinity Pension Plan v. Sacks, et al</w:t>
      </w:r>
      <w:r>
        <w:rPr>
          <w:rFonts w:ascii="Arial" w:cs="Arial" w:eastAsia="Arial" w:hAnsi="Arial"/>
          <w:sz w:val="22"/>
          <w:szCs w:val="22"/>
          <w:color w:val="auto"/>
        </w:rPr>
        <w:t>. The other action, originally filed in the Superior Court for the County of Los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Angeles, was styled </w:t>
      </w:r>
      <w:r>
        <w:rPr>
          <w:rFonts w:ascii="Arial" w:cs="Arial" w:eastAsia="Arial" w:hAnsi="Arial"/>
          <w:sz w:val="22"/>
          <w:szCs w:val="22"/>
          <w:i w:val="1"/>
          <w:iCs w:val="1"/>
          <w:color w:val="auto"/>
        </w:rPr>
        <w:t>Rumbaugh v. Sacks, et al</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i w:val="1"/>
          <w:iCs w:val="1"/>
          <w:color w:val="auto"/>
        </w:rPr>
        <w:t>Iron Workers</w:t>
      </w:r>
      <w:r>
        <w:rPr>
          <w:rFonts w:ascii="Arial" w:cs="Arial" w:eastAsia="Arial" w:hAnsi="Arial"/>
          <w:sz w:val="22"/>
          <w:szCs w:val="22"/>
          <w:color w:val="auto"/>
        </w:rPr>
        <w:t xml:space="preserve"> complaint named as defendants certain officers, directors and employees of the Company, including Rodney Sacks, Hilton Schlosberg, Harold C. Taber, Jr., Benjamin M. Polk, Norman C. Epstein, Mark S. Vidergauz, Sydney Selati, and Thomas J. Kelly. The </w:t>
      </w:r>
      <w:r>
        <w:rPr>
          <w:rFonts w:ascii="Arial" w:cs="Arial" w:eastAsia="Arial" w:hAnsi="Arial"/>
          <w:sz w:val="22"/>
          <w:szCs w:val="22"/>
          <w:i w:val="1"/>
          <w:iCs w:val="1"/>
          <w:color w:val="auto"/>
        </w:rPr>
        <w:t>Rumbaugh</w:t>
      </w:r>
      <w:r>
        <w:rPr>
          <w:rFonts w:ascii="Arial" w:cs="Arial" w:eastAsia="Arial" w:hAnsi="Arial"/>
          <w:sz w:val="22"/>
          <w:szCs w:val="22"/>
          <w:color w:val="auto"/>
        </w:rPr>
        <w:t xml:space="preserve"> complaint named each of the same individuals as defendants, with the exception of Thomas J. Kelly. The Company was named as a nominal defendant in each action.</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The factual allegations of the two complaints were substantially similar. Each alleged, among other things, that the Individual Defendants breached their fiduciary duties to the Company by causing the Company to market, advertise and promote its Monster Energy brand of energy drinks in a way that has exposed, and will continue to expose, the Company to costly investigations into its compliance with federal and state laws and regulations pertaining to food and beverage advertising. The complaints further alleged that, beginning in February 2012, the Individual Defendants further breached their fiduciary duties by making statements in press releases and public filings about the Company’s earnings and financial condition and by failing to disclose that the Company was improperly advertising, marketing and promoting its Monster Energy brand of energy drinks. The </w:t>
      </w:r>
      <w:r>
        <w:rPr>
          <w:rFonts w:ascii="Arial" w:cs="Arial" w:eastAsia="Arial" w:hAnsi="Arial"/>
          <w:sz w:val="19"/>
          <w:szCs w:val="19"/>
          <w:i w:val="1"/>
          <w:iCs w:val="1"/>
          <w:color w:val="auto"/>
        </w:rPr>
        <w:t xml:space="preserve">Iron Workers </w:t>
      </w:r>
      <w:r>
        <w:rPr>
          <w:rFonts w:ascii="Arial" w:cs="Arial" w:eastAsia="Arial" w:hAnsi="Arial"/>
          <w:sz w:val="19"/>
          <w:szCs w:val="19"/>
          <w:color w:val="auto"/>
        </w:rPr>
        <w:t>complaint further alleged that while the Company’s shares were purportedly artificially inflated because of those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improper statements, certain defendants sold Company stock while in possession of material non-public information regarding the Company’s “true” business health. The </w:t>
      </w:r>
      <w:r>
        <w:rPr>
          <w:rFonts w:ascii="Arial" w:cs="Arial" w:eastAsia="Arial" w:hAnsi="Arial"/>
          <w:sz w:val="19"/>
          <w:szCs w:val="19"/>
          <w:i w:val="1"/>
          <w:iCs w:val="1"/>
          <w:color w:val="auto"/>
        </w:rPr>
        <w:t>Iron Workers</w:t>
      </w:r>
      <w:r>
        <w:rPr>
          <w:rFonts w:ascii="Arial" w:cs="Arial" w:eastAsia="Arial" w:hAnsi="Arial"/>
          <w:sz w:val="19"/>
          <w:szCs w:val="19"/>
          <w:color w:val="auto"/>
        </w:rPr>
        <w:t xml:space="preserve"> complaint asserted causes of action for breach of fiduciary duty and unjust enrichment. In addition to those causes of action, the </w:t>
      </w:r>
      <w:r>
        <w:rPr>
          <w:rFonts w:ascii="Arial" w:cs="Arial" w:eastAsia="Arial" w:hAnsi="Arial"/>
          <w:sz w:val="19"/>
          <w:szCs w:val="19"/>
          <w:i w:val="1"/>
          <w:iCs w:val="1"/>
          <w:color w:val="auto"/>
        </w:rPr>
        <w:t>Rumbaugh</w:t>
      </w:r>
      <w:r>
        <w:rPr>
          <w:rFonts w:ascii="Arial" w:cs="Arial" w:eastAsia="Arial" w:hAnsi="Arial"/>
          <w:sz w:val="19"/>
          <w:szCs w:val="19"/>
          <w:color w:val="auto"/>
        </w:rPr>
        <w:t xml:space="preserve"> complaint also asserted causes of action for abuse of control, gross mismanagement and waste of corporate assets. Plaintiffs sought an unspecified amount of damages to be paid to the Company, adoption of corporate governance reforms, and equitable and injunctive relief.</w:t>
      </w:r>
    </w:p>
    <w:p>
      <w:pPr>
        <w:spacing w:after="0" w:line="18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By stipulation of the parties, the </w:t>
      </w:r>
      <w:r>
        <w:rPr>
          <w:rFonts w:ascii="Arial" w:cs="Arial" w:eastAsia="Arial" w:hAnsi="Arial"/>
          <w:sz w:val="22"/>
          <w:szCs w:val="22"/>
          <w:i w:val="1"/>
          <w:iCs w:val="1"/>
          <w:color w:val="auto"/>
        </w:rPr>
        <w:t>Rumbaugh</w:t>
      </w:r>
      <w:r>
        <w:rPr>
          <w:rFonts w:ascii="Arial" w:cs="Arial" w:eastAsia="Arial" w:hAnsi="Arial"/>
          <w:sz w:val="22"/>
          <w:szCs w:val="22"/>
          <w:color w:val="auto"/>
        </w:rPr>
        <w:t xml:space="preserve"> complaint was transferred to Riverside Superior Court. On March 4, 2013, and March 6, 2013, respectively, on the parties’ stipulation, the </w:t>
      </w:r>
      <w:r>
        <w:rPr>
          <w:rFonts w:ascii="Arial" w:cs="Arial" w:eastAsia="Arial" w:hAnsi="Arial"/>
          <w:sz w:val="22"/>
          <w:szCs w:val="22"/>
          <w:i w:val="1"/>
          <w:iCs w:val="1"/>
          <w:color w:val="auto"/>
        </w:rPr>
        <w:t>Iron Workers</w:t>
      </w:r>
      <w:r>
        <w:rPr>
          <w:rFonts w:ascii="Arial" w:cs="Arial" w:eastAsia="Arial" w:hAnsi="Arial"/>
          <w:sz w:val="22"/>
          <w:szCs w:val="22"/>
          <w:color w:val="auto"/>
        </w:rPr>
        <w:t xml:space="preserve"> and </w:t>
      </w:r>
      <w:r>
        <w:rPr>
          <w:rFonts w:ascii="Arial" w:cs="Arial" w:eastAsia="Arial" w:hAnsi="Arial"/>
          <w:sz w:val="22"/>
          <w:szCs w:val="22"/>
          <w:i w:val="1"/>
          <w:iCs w:val="1"/>
          <w:color w:val="auto"/>
        </w:rPr>
        <w:t>Rumbaugh</w:t>
      </w:r>
      <w:r>
        <w:rPr>
          <w:rFonts w:ascii="Arial" w:cs="Arial" w:eastAsia="Arial" w:hAnsi="Arial"/>
          <w:sz w:val="22"/>
          <w:szCs w:val="22"/>
          <w:color w:val="auto"/>
        </w:rPr>
        <w:t xml:space="preserve"> matters were dismissed with prejudice as to the named plaintiffs and without prejudice as to any other Company shareholder. No consideration was offered or exchanged to induce or reward either Plaintiff’s voluntary dismissal.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13" w:name="page14"/>
    <w:bookmarkEnd w:id="13"/>
    <w:p>
      <w:pPr>
        <w:jc w:val="both"/>
        <w:ind w:firstLine="648"/>
        <w:spacing w:after="0" w:line="234" w:lineRule="auto"/>
        <w:rPr>
          <w:sz w:val="20"/>
          <w:szCs w:val="20"/>
          <w:color w:val="auto"/>
        </w:rPr>
      </w:pPr>
      <w:r>
        <w:rPr>
          <w:rFonts w:ascii="Arial" w:cs="Arial" w:eastAsia="Arial" w:hAnsi="Arial"/>
          <w:sz w:val="22"/>
          <w:szCs w:val="22"/>
          <w:color w:val="auto"/>
        </w:rPr>
        <w:t xml:space="preserve">On May 3, 2013, a derivative complaint was filed in United States District Court for the Central District of California, purportedly on behalf of the Company, by a shareholder of the Company who made no prior demand on the Company’s Board of Directors. The action is styled </w:t>
      </w:r>
      <w:r>
        <w:rPr>
          <w:rFonts w:ascii="Arial" w:cs="Arial" w:eastAsia="Arial" w:hAnsi="Arial"/>
          <w:sz w:val="22"/>
          <w:szCs w:val="22"/>
          <w:i w:val="1"/>
          <w:iCs w:val="1"/>
          <w:color w:val="auto"/>
        </w:rPr>
        <w:t>Eric Spitzer v. Sacks</w:t>
      </w:r>
      <w:r>
        <w:rPr>
          <w:rFonts w:ascii="Arial" w:cs="Arial" w:eastAsia="Arial" w:hAnsi="Arial"/>
          <w:sz w:val="22"/>
          <w:szCs w:val="22"/>
          <w:color w:val="auto"/>
        </w:rPr>
        <w:t>, et al, United States District Court for the Central District of California. Through his counsel, Spitzer had previously served a request that the Company produce certain books and records pursuant to section 220 of the Delaware General Corporation Law. Counsel for the Company and Spitzer exchanged correspondence relating to the demand. After Spitzer refused to narrow his demand, the Company ultimately denied the demand in a letter dated February 14, 2013.</w:t>
      </w:r>
    </w:p>
    <w:p>
      <w:pPr>
        <w:spacing w:after="0" w:line="21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Spitzer complaint named as defendants certain officers, directors, and employees of the Company, including Rodney Sacks, Hilton Schlosberg, Harold C. Taber, Jr., Benjamin M. Polk, Norman C. Epstein, Mark S. Vidergauz, Sydney Selati, and Thomas J. Kelly. The Company is named as a nominal defendant.</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Spitzer alleges, among other things, that the Individual Defendants breached their fiduciary duties to the Company by causing the Company to (a) engage in illicit activity regarding the promotion, marketing, advertising, ingredients, usage and sale of its Monster Energy brand of energy drinks; (b) lack adequate internal and financial controls; and (c) issue financial statements that were materially false and misleading, all in a way that has exposed, and will continue to expose, the Company to costly investigations. The complaint further alleges that, beginning in February 2012, the Individual Defendants further breached their fiduciary duties by making statements in press releases and public filings about the Company’s earnings and financial condition and by failing to disclose that the Company was improperly advertising, marketing, and promoting its Monster Energy brand of energy drinks. The complaint further alleges that while the Company’s shares were purportedly artificially inflated because of those improper statements, certain defendants sold Company stock while in possession of material non-public information. The complaint asserts causes of action for breach of fiduciary duty abuse of control, gross mismanagement, and unjust enrichment. Spitzer seeks an unspecified amount of damages to be paid to the Company, adoption of corporate governance reforms, and equitable and injunctive relief.</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Although the ultimate outcome of this matter cannot be determined with certainty, the Company believes that the complaint is without merit. The Company intends to vigorously defend against this lawsuit. At this time, no evaluation of the likelihood of an unfavorable outcome or range of potential loss can be expressed.</w:t>
      </w:r>
    </w:p>
    <w:p>
      <w:pPr>
        <w:spacing w:after="0" w:line="21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i w:val="1"/>
          <w:iCs w:val="1"/>
          <w:color w:val="auto"/>
        </w:rPr>
        <w:t>San Francisco City Attorney Litigation</w:t>
      </w:r>
      <w:r>
        <w:rPr>
          <w:rFonts w:ascii="Arial" w:cs="Arial" w:eastAsia="Arial" w:hAnsi="Arial"/>
          <w:sz w:val="21"/>
          <w:szCs w:val="21"/>
          <w:color w:val="auto"/>
        </w:rPr>
        <w:t>. On October 31, 2012, the Company received a written request for information from</w:t>
      </w:r>
      <w:r>
        <w:rPr>
          <w:rFonts w:ascii="Arial" w:cs="Arial" w:eastAsia="Arial" w:hAnsi="Arial"/>
          <w:sz w:val="21"/>
          <w:szCs w:val="21"/>
          <w:i w:val="1"/>
          <w:iCs w:val="1"/>
          <w:color w:val="auto"/>
        </w:rPr>
        <w:t xml:space="preserve"> </w:t>
      </w:r>
      <w:r>
        <w:rPr>
          <w:rFonts w:ascii="Arial" w:cs="Arial" w:eastAsia="Arial" w:hAnsi="Arial"/>
          <w:sz w:val="21"/>
          <w:szCs w:val="21"/>
          <w:color w:val="auto"/>
        </w:rPr>
        <w:t>the City Attorney for the City and County of San Francisco concerning the Company’s advertising and marketing of its Monster Energy® brand of energy drinks and specifically concerning the safety of its products for consumption by adolescents. In a letter dated March 29, 2013, the San Francisco City Attorney threatened to bring suit against the Company if it did not agree to take the following five steps immediately: (i) “Reformulate its product to lower the caffeine content to safe levels”; (ii) “Provide adequate warning labels”; (iii) “Cease promoting over-consumption in marketing”; (iv) “Cease use of alcohol and drug references in marketing”; and (v) “Cease targeting minors.”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On April 29, 2013, the Company and its wholly owned subsidiary, Monster Energy Company, filed a complaint for declaratory and injunctive relief against the San Francisco City Attorney in United States District Court for the Central District of California, styled </w:t>
      </w:r>
      <w:r>
        <w:rPr>
          <w:rFonts w:ascii="Arial" w:cs="Arial" w:eastAsia="Arial" w:hAnsi="Arial"/>
          <w:sz w:val="19"/>
          <w:szCs w:val="19"/>
          <w:i w:val="1"/>
          <w:iCs w:val="1"/>
          <w:color w:val="auto"/>
        </w:rPr>
        <w:t>Monster Beverage Corp., et al. v. Dennis Herrera.</w:t>
      </w:r>
      <w:r>
        <w:rPr>
          <w:rFonts w:ascii="Arial" w:cs="Arial" w:eastAsia="Arial" w:hAnsi="Arial"/>
          <w:sz w:val="19"/>
          <w:szCs w:val="19"/>
          <w:color w:val="auto"/>
        </w:rPr>
        <w:t xml:space="preserve"> The Company seeks a declaration from the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The San Francisco City Attorney’s response to the complaint is currently due on June 11, 2013.</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On May 6, 2013, the San Francisco City Attorney filed a complaint for declaratory and injunctive relief, civil penalties and restitution for alleged violation of California’s Unfair Competition Law, Business &amp; Professions Code sections 17200, et seq., styled </w:t>
      </w:r>
      <w:r>
        <w:rPr>
          <w:rFonts w:ascii="Arial" w:cs="Arial" w:eastAsia="Arial" w:hAnsi="Arial"/>
          <w:sz w:val="19"/>
          <w:szCs w:val="19"/>
          <w:i w:val="1"/>
          <w:iCs w:val="1"/>
          <w:color w:val="auto"/>
        </w:rPr>
        <w:t>People Of The State Of California ex rel. Dennis Herrera, San Francisco City Attorney v. Monster Beverage Corporation</w:t>
      </w:r>
      <w:r>
        <w:rPr>
          <w:rFonts w:ascii="Arial" w:cs="Arial" w:eastAsia="Arial" w:hAnsi="Arial"/>
          <w:sz w:val="19"/>
          <w:szCs w:val="19"/>
          <w:color w:val="auto"/>
        </w:rPr>
        <w:t>, San Francisco Superior Court. The City Attorney alleges that the Company (1) mislabeled its products as a dietary supplement, in violation of California’s Sherman Food, Drug and Cosmetic Law, California Health &amp; Safety Code sections 109875 et. seq.; (2) is selling an “adulterated” product because caffeine is not generally recognized as safe (“GRAS”)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w:t>
      </w:r>
    </w:p>
    <w:p>
      <w:pPr>
        <w:spacing w:after="0" w:line="4" w:lineRule="exact"/>
        <w:rPr>
          <w:sz w:val="20"/>
          <w:szCs w:val="20"/>
          <w:color w:val="auto"/>
        </w:rPr>
      </w:pPr>
    </w:p>
    <w:p>
      <w:pPr>
        <w:jc w:val="both"/>
        <w:ind w:firstLine="8"/>
        <w:spacing w:after="0" w:line="233" w:lineRule="auto"/>
        <w:tabs>
          <w:tab w:leader="none" w:pos="314" w:val="left"/>
        </w:tabs>
        <w:numPr>
          <w:ilvl w:val="0"/>
          <w:numId w:val="13"/>
        </w:numPr>
        <w:rPr>
          <w:rFonts w:ascii="Arial" w:cs="Arial" w:eastAsia="Arial" w:hAnsi="Arial"/>
          <w:sz w:val="22"/>
          <w:szCs w:val="22"/>
          <w:color w:val="auto"/>
        </w:rPr>
      </w:pPr>
      <w:r>
        <w:rPr>
          <w:rFonts w:ascii="Arial" w:cs="Arial" w:eastAsia="Arial" w:hAnsi="Arial"/>
          <w:sz w:val="22"/>
          <w:szCs w:val="22"/>
          <w:color w:val="auto"/>
        </w:rPr>
        <w:t>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seeks a declaration that the Company has engaged in unfair and unlawful business acts and practices in violation of the Unfair Competition Law; an injunction from performing or proposing to perform any acts in violation of the Unfair Competition Law; restitution; and civil penalties.</w:t>
      </w:r>
    </w:p>
    <w:p>
      <w:pPr>
        <w:sectPr>
          <w:pgSz w:w="11900" w:h="16838" w:orient="portrait"/>
          <w:cols w:equalWidth="0" w:num="1">
            <w:col w:w="11420"/>
          </w:cols>
          <w:pgMar w:left="240" w:top="118" w:right="239" w:bottom="0" w:gutter="0" w:footer="0" w:header="0"/>
        </w:sectPr>
      </w:pPr>
    </w:p>
    <w:bookmarkStart w:id="14" w:name="page15"/>
    <w:bookmarkEnd w:id="14"/>
    <w:p>
      <w:pPr>
        <w:jc w:val="both"/>
        <w:ind w:firstLine="648"/>
        <w:spacing w:after="0" w:line="238" w:lineRule="auto"/>
        <w:rPr>
          <w:sz w:val="20"/>
          <w:szCs w:val="20"/>
          <w:color w:val="auto"/>
        </w:rPr>
      </w:pPr>
      <w:r>
        <w:rPr>
          <w:rFonts w:ascii="Arial" w:cs="Arial" w:eastAsia="Arial" w:hAnsi="Arial"/>
          <w:sz w:val="22"/>
          <w:szCs w:val="22"/>
          <w:color w:val="auto"/>
        </w:rPr>
        <w:t>The Company denies that it has violated the Unfair Competition Law or any other law and believes that the City Attorney’s claims and demands are preempted and unconstitutional, as alleged in the action it filed in United States District Court. The Company intends to vigorously defend against this lawsuit. At this time, no evaluation of the likelihood of an unfavorable outcome or range of potential loss can be expressed.</w:t>
      </w:r>
    </w:p>
    <w:p>
      <w:pPr>
        <w:spacing w:after="0" w:line="21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In addition to the above matters, the Company has been named as a defendant in various false advertising putative class actions and in a private attorney general action, each of which contains allegations similar to those presented in the Wellman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Furthermore, the Company is subject to litigation from time to time in the normal course of business, including intellectual property litigation and claims from terminated distributors. Although it is not possible to predict the outcome of such litigation, based on the facts known to the Company, management believes that such litigation in the aggregate will likely not have a material adverse effect on the Company’s financial position or results of operations.</w:t>
      </w:r>
    </w:p>
    <w:p>
      <w:pPr>
        <w:spacing w:after="0" w:line="21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ACCUMULATED OTHER COMPREHENSIVE (LOSS) INCOME</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Changes in accumulated other comprehensive (loss) income by component, after tax, for the three-months ended March 31, 2013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center"/>
              <w:ind w:right="41"/>
              <w:spacing w:after="0"/>
              <w:rPr>
                <w:sz w:val="20"/>
                <w:szCs w:val="20"/>
                <w:color w:val="auto"/>
              </w:rPr>
            </w:pPr>
            <w:r>
              <w:rPr>
                <w:rFonts w:ascii="Arial" w:cs="Arial" w:eastAsia="Arial" w:hAnsi="Arial"/>
                <w:sz w:val="20"/>
                <w:szCs w:val="20"/>
                <w:color w:val="auto"/>
                <w:w w:val="92"/>
              </w:rPr>
              <w:t>Unrealized</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20"/>
                <w:szCs w:val="20"/>
                <w:color w:val="auto"/>
                <w:w w:val="91"/>
              </w:rPr>
              <w:t>Currency</w:t>
            </w:r>
          </w:p>
        </w:tc>
        <w:tc>
          <w:tcPr>
            <w:tcW w:w="260" w:type="dxa"/>
            <w:vAlign w:val="bottom"/>
          </w:tcPr>
          <w:p>
            <w:pPr>
              <w:spacing w:after="0"/>
              <w:rPr>
                <w:sz w:val="19"/>
                <w:szCs w:val="19"/>
                <w:color w:val="auto"/>
              </w:rPr>
            </w:pPr>
          </w:p>
        </w:tc>
        <w:tc>
          <w:tcPr>
            <w:tcW w:w="1580" w:type="dxa"/>
            <w:vAlign w:val="bottom"/>
          </w:tcPr>
          <w:p>
            <w:pPr>
              <w:jc w:val="center"/>
              <w:ind w:right="61"/>
              <w:spacing w:after="0"/>
              <w:rPr>
                <w:sz w:val="20"/>
                <w:szCs w:val="20"/>
                <w:color w:val="auto"/>
              </w:rPr>
            </w:pPr>
            <w:r>
              <w:rPr>
                <w:rFonts w:ascii="Arial" w:cs="Arial" w:eastAsia="Arial" w:hAnsi="Arial"/>
                <w:sz w:val="20"/>
                <w:szCs w:val="20"/>
                <w:color w:val="auto"/>
                <w:w w:val="87"/>
              </w:rPr>
              <w:t>Gains (Losses)</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20"/>
                <w:szCs w:val="20"/>
                <w:color w:val="auto"/>
                <w:w w:val="90"/>
              </w:rPr>
              <w:t>Translation</w:t>
            </w:r>
          </w:p>
        </w:tc>
        <w:tc>
          <w:tcPr>
            <w:tcW w:w="260" w:type="dxa"/>
            <w:vAlign w:val="bottom"/>
          </w:tcPr>
          <w:p>
            <w:pPr>
              <w:spacing w:after="0"/>
              <w:rPr>
                <w:sz w:val="19"/>
                <w:szCs w:val="19"/>
                <w:color w:val="auto"/>
              </w:rPr>
            </w:pPr>
          </w:p>
        </w:tc>
        <w:tc>
          <w:tcPr>
            <w:tcW w:w="1580" w:type="dxa"/>
            <w:vAlign w:val="bottom"/>
          </w:tcPr>
          <w:p>
            <w:pPr>
              <w:jc w:val="center"/>
              <w:ind w:right="41"/>
              <w:spacing w:after="0"/>
              <w:rPr>
                <w:sz w:val="20"/>
                <w:szCs w:val="20"/>
                <w:color w:val="auto"/>
              </w:rPr>
            </w:pPr>
            <w:r>
              <w:rPr>
                <w:rFonts w:ascii="Arial" w:cs="Arial" w:eastAsia="Arial" w:hAnsi="Arial"/>
                <w:sz w:val="20"/>
                <w:szCs w:val="20"/>
                <w:color w:val="auto"/>
                <w:w w:val="93"/>
              </w:rPr>
              <w:t>on Available-for-</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5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20"/>
                <w:szCs w:val="20"/>
                <w:color w:val="auto"/>
                <w:w w:val="87"/>
              </w:rPr>
              <w:t>Gains (Losses)</w:t>
            </w:r>
          </w:p>
        </w:tc>
        <w:tc>
          <w:tcPr>
            <w:tcW w:w="260" w:type="dxa"/>
            <w:vAlign w:val="bottom"/>
          </w:tcPr>
          <w:p>
            <w:pPr>
              <w:spacing w:after="0"/>
              <w:rPr>
                <w:sz w:val="21"/>
                <w:szCs w:val="21"/>
                <w:color w:val="auto"/>
              </w:rPr>
            </w:pPr>
          </w:p>
        </w:tc>
        <w:tc>
          <w:tcPr>
            <w:tcW w:w="1580" w:type="dxa"/>
            <w:vAlign w:val="bottom"/>
          </w:tcPr>
          <w:p>
            <w:pPr>
              <w:jc w:val="center"/>
              <w:ind w:right="41"/>
              <w:spacing w:after="0"/>
              <w:rPr>
                <w:sz w:val="20"/>
                <w:szCs w:val="20"/>
                <w:color w:val="auto"/>
              </w:rPr>
            </w:pPr>
            <w:r>
              <w:rPr>
                <w:rFonts w:ascii="Arial" w:cs="Arial" w:eastAsia="Arial" w:hAnsi="Arial"/>
                <w:sz w:val="20"/>
                <w:szCs w:val="20"/>
                <w:color w:val="auto"/>
                <w:w w:val="86"/>
              </w:rPr>
              <w:t>Sale Securities</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Total</w:t>
            </w:r>
          </w:p>
        </w:tc>
      </w:tr>
      <w:tr>
        <w:trPr>
          <w:trHeight w:val="223"/>
        </w:trPr>
        <w:tc>
          <w:tcPr>
            <w:tcW w:w="582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Balance at December 31, 2012</w:t>
            </w:r>
          </w:p>
        </w:tc>
        <w:tc>
          <w:tcPr>
            <w:tcW w:w="2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549</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5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1,525</w:t>
            </w:r>
          </w:p>
        </w:tc>
        <w:tc>
          <w:tcPr>
            <w:tcW w:w="2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2,074</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20"/>
                <w:szCs w:val="20"/>
                <w:color w:val="auto"/>
              </w:rPr>
              <w:t>Other comprehensive loss before reclassifications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(1,092)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(1,092)</w:t>
            </w:r>
          </w:p>
        </w:tc>
        <w:tc>
          <w:tcPr>
            <w:tcW w:w="100" w:type="dxa"/>
            <w:vAlign w:val="bottom"/>
          </w:tcPr>
          <w:p>
            <w:pPr>
              <w:spacing w:after="0"/>
              <w:rPr>
                <w:sz w:val="19"/>
                <w:szCs w:val="19"/>
                <w:color w:val="auto"/>
              </w:rPr>
            </w:pPr>
          </w:p>
        </w:tc>
      </w:tr>
      <w:tr>
        <w:trPr>
          <w:trHeight w:val="213"/>
        </w:trPr>
        <w:tc>
          <w:tcPr>
            <w:tcW w:w="5820" w:type="dxa"/>
            <w:vAlign w:val="bottom"/>
            <w:shd w:val="clear" w:color="auto" w:fill="CCEEFF"/>
          </w:tcPr>
          <w:p>
            <w:pPr>
              <w:ind w:left="180"/>
              <w:spacing w:after="0" w:line="213" w:lineRule="exact"/>
              <w:rPr>
                <w:sz w:val="20"/>
                <w:szCs w:val="20"/>
                <w:color w:val="auto"/>
              </w:rPr>
            </w:pPr>
            <w:r>
              <w:rPr>
                <w:rFonts w:ascii="Arial" w:cs="Arial" w:eastAsia="Arial" w:hAnsi="Arial"/>
                <w:sz w:val="20"/>
                <w:szCs w:val="20"/>
                <w:color w:val="auto"/>
                <w:w w:val="94"/>
              </w:rPr>
              <w:t>Amounts reclassified from accumulated other comprehensive (loss)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6"/>
        </w:trPr>
        <w:tc>
          <w:tcPr>
            <w:tcW w:w="58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income</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(1,525)</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1</w:t>
            </w:r>
          </w:p>
        </w:tc>
        <w:tc>
          <w:tcPr>
            <w:tcW w:w="4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(1,525)</w:t>
            </w:r>
          </w:p>
        </w:tc>
        <w:tc>
          <w:tcPr>
            <w:tcW w:w="100" w:type="dxa"/>
            <w:vAlign w:val="bottom"/>
            <w:shd w:val="clear" w:color="auto" w:fill="CCEEFF"/>
          </w:tcPr>
          <w:p>
            <w:pPr>
              <w:spacing w:after="0"/>
              <w:rPr>
                <w:sz w:val="21"/>
                <w:szCs w:val="21"/>
                <w:color w:val="auto"/>
              </w:rPr>
            </w:pPr>
          </w:p>
        </w:tc>
      </w:tr>
      <w:tr>
        <w:trPr>
          <w:trHeight w:val="223"/>
        </w:trPr>
        <w:tc>
          <w:tcPr>
            <w:tcW w:w="5820" w:type="dxa"/>
            <w:vAlign w:val="bottom"/>
            <w:tcBorders>
              <w:bottom w:val="single" w:sz="8" w:color="CCEEFF"/>
            </w:tcBorders>
          </w:tcPr>
          <w:p>
            <w:pPr>
              <w:ind w:left="180"/>
              <w:spacing w:after="0" w:line="223" w:lineRule="exact"/>
              <w:rPr>
                <w:sz w:val="20"/>
                <w:szCs w:val="20"/>
                <w:color w:val="auto"/>
              </w:rPr>
            </w:pPr>
            <w:r>
              <w:rPr>
                <w:rFonts w:ascii="Arial" w:cs="Arial" w:eastAsia="Arial" w:hAnsi="Arial"/>
                <w:sz w:val="20"/>
                <w:szCs w:val="20"/>
                <w:color w:val="auto"/>
              </w:rPr>
              <w:t>Net current-period other comprehensive loss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(1,092)</w:t>
            </w: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(1,525)</w:t>
            </w:r>
          </w:p>
        </w:tc>
        <w:tc>
          <w:tcPr>
            <w:tcW w:w="2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(2,617)</w:t>
            </w:r>
          </w:p>
        </w:tc>
        <w:tc>
          <w:tcPr>
            <w:tcW w:w="100" w:type="dxa"/>
            <w:vAlign w:val="bottom"/>
            <w:tcBorders>
              <w:bottom w:val="single" w:sz="8" w:color="CCEEFF"/>
            </w:tcBorders>
          </w:tcPr>
          <w:p>
            <w:pPr>
              <w:spacing w:after="0"/>
              <w:rPr>
                <w:sz w:val="19"/>
                <w:szCs w:val="19"/>
                <w:color w:val="auto"/>
              </w:rPr>
            </w:pPr>
          </w:p>
        </w:tc>
      </w:tr>
      <w:tr>
        <w:trPr>
          <w:trHeight w:val="223"/>
        </w:trPr>
        <w:tc>
          <w:tcPr>
            <w:tcW w:w="582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Balance at March 31, 2013</w:t>
            </w:r>
          </w:p>
        </w:tc>
        <w:tc>
          <w:tcPr>
            <w:tcW w:w="2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(543)</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ind w:left="100" w:hanging="92"/>
        <w:spacing w:after="0"/>
        <w:tabs>
          <w:tab w:leader="none" w:pos="100" w:val="left"/>
        </w:tabs>
        <w:numPr>
          <w:ilvl w:val="0"/>
          <w:numId w:val="15"/>
        </w:numPr>
        <w:rPr>
          <w:rFonts w:ascii="Arial" w:cs="Arial" w:eastAsia="Arial" w:hAnsi="Arial"/>
          <w:sz w:val="11"/>
          <w:szCs w:val="11"/>
          <w:color w:val="auto"/>
        </w:rPr>
      </w:pPr>
      <w:r>
        <w:rPr>
          <w:rFonts w:ascii="Arial" w:cs="Arial" w:eastAsia="Arial" w:hAnsi="Arial"/>
          <w:sz w:val="16"/>
          <w:szCs w:val="16"/>
          <w:color w:val="auto"/>
        </w:rPr>
        <w:t>Included in other (expense) income.</w:t>
      </w:r>
    </w:p>
    <w:p>
      <w:pPr>
        <w:spacing w:after="0" w:line="250"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TREASURY STOCK PURCHASE</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On November 13, 2012, the Company’s Board of Directors authorized a new share repurchase program for the repurchase of up to $250.0 million of the Company’s outstanding common stock (the “November 2012 Repurchase Plan”). During the three-months ended March 31, 2013, the Company purchased 0.257 million shares of common stock at an average purchase price of $51.99 per share for a total amount of $13.4 million (excluding broker commissions), which exhausted the availability under the November 2012 Repurchase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15" w:name="page16"/>
    <w:bookmarkEnd w:id="15"/>
    <w:p>
      <w:pPr>
        <w:spacing w:after="0" w:line="62" w:lineRule="exact"/>
        <w:rPr>
          <w:sz w:val="20"/>
          <w:szCs w:val="20"/>
          <w:color w:val="auto"/>
        </w:rPr>
      </w:pPr>
    </w:p>
    <w:p>
      <w:pPr>
        <w:jc w:val="both"/>
        <w:ind w:right="40" w:firstLine="648"/>
        <w:spacing w:after="0" w:line="241" w:lineRule="auto"/>
        <w:rPr>
          <w:sz w:val="20"/>
          <w:szCs w:val="20"/>
          <w:color w:val="auto"/>
        </w:rPr>
      </w:pPr>
      <w:r>
        <w:rPr>
          <w:rFonts w:ascii="Arial" w:cs="Arial" w:eastAsia="Arial" w:hAnsi="Arial"/>
          <w:sz w:val="22"/>
          <w:szCs w:val="22"/>
          <w:color w:val="auto"/>
        </w:rPr>
        <w:t>On April 7, 2013, the Company’s Board of Directors authorized a new share repurchase program for the repurchase of up to $200.0 million of the Company’s outstanding common stock (the “April 2013 Repurchase Plan”). As of May 10, 2013, no shares have been purchased under the April 2013 Repurchase Plan.</w:t>
      </w:r>
    </w:p>
    <w:p>
      <w:pPr>
        <w:spacing w:after="0" w:line="21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STOCK-BASED COMPENSATION</w:t>
      </w:r>
    </w:p>
    <w:p>
      <w:pPr>
        <w:spacing w:after="0" w:line="233" w:lineRule="exact"/>
        <w:rPr>
          <w:sz w:val="20"/>
          <w:szCs w:val="20"/>
          <w:color w:val="auto"/>
        </w:rPr>
      </w:pPr>
    </w:p>
    <w:p>
      <w:pPr>
        <w:jc w:val="both"/>
        <w:ind w:right="40" w:firstLine="648"/>
        <w:spacing w:after="0" w:line="258" w:lineRule="auto"/>
        <w:rPr>
          <w:sz w:val="20"/>
          <w:szCs w:val="20"/>
          <w:color w:val="auto"/>
        </w:rPr>
      </w:pPr>
      <w:r>
        <w:rPr>
          <w:rFonts w:ascii="Arial" w:cs="Arial" w:eastAsia="Arial" w:hAnsi="Arial"/>
          <w:sz w:val="21"/>
          <w:szCs w:val="21"/>
          <w:color w:val="auto"/>
        </w:rPr>
        <w:t>The Company has two stock-based compensation plans under which shares were available for grant at March 31, 2013: the Monster Beverage Corporation 2011 Omnibus Incentive Plan (the “2011 Omnibus Incentive Plan”) and the 2009 Monster Beverage Corporation Stock Incentive Plan for Non-Employee Directors (the “2009 Directors Plan”).</w:t>
      </w:r>
    </w:p>
    <w:p>
      <w:pPr>
        <w:spacing w:after="0" w:line="194"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The Company recorded $7.0 million and $6.6 million of compensation expense relating to outstanding options, restricted stock awards, stock appreciation rights and restricted stock units during the three-months ended March 31, 2013 and 2012, respectively.</w:t>
      </w:r>
    </w:p>
    <w:p>
      <w:pPr>
        <w:spacing w:after="0" w:line="213"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The excess tax benefit realized for tax deductions from non-qualified stock option exercises, disqualifying dispositions of incentive stock options, vesting of restricted stock units and restricted stock awards for the three-months ended March 31, 2013 and 2012 was $0.2 million and $0.5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Stock Options</w:t>
      </w:r>
    </w:p>
    <w:p>
      <w:pPr>
        <w:spacing w:after="0" w:line="233" w:lineRule="exact"/>
        <w:rPr>
          <w:sz w:val="20"/>
          <w:szCs w:val="20"/>
          <w:color w:val="auto"/>
        </w:rPr>
      </w:pPr>
    </w:p>
    <w:p>
      <w:pPr>
        <w:jc w:val="both"/>
        <w:ind w:right="40" w:firstLine="648"/>
        <w:spacing w:after="0" w:line="275" w:lineRule="auto"/>
        <w:rPr>
          <w:sz w:val="20"/>
          <w:szCs w:val="20"/>
          <w:color w:val="auto"/>
        </w:rPr>
      </w:pPr>
      <w:r>
        <w:rPr>
          <w:rFonts w:ascii="Arial" w:cs="Arial" w:eastAsia="Arial" w:hAnsi="Arial"/>
          <w:sz w:val="19"/>
          <w:szCs w:val="19"/>
          <w:color w:val="auto"/>
        </w:rPr>
        <w:t>Under the Company’s stock-based compensation plans, all stock options granted as of March 31, 2013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weighted-average assumptions were used to estimate the fair value of options granted during: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120" w:type="dxa"/>
            <w:vAlign w:val="bottom"/>
            <w:gridSpan w:val="4"/>
          </w:tcPr>
          <w:p>
            <w:pPr>
              <w:ind w:left="240"/>
              <w:spacing w:after="0"/>
              <w:rPr>
                <w:sz w:val="20"/>
                <w:szCs w:val="20"/>
                <w:color w:val="auto"/>
              </w:rPr>
            </w:pPr>
            <w:r>
              <w:rPr>
                <w:rFonts w:ascii="Arial" w:cs="Arial" w:eastAsia="Arial" w:hAnsi="Arial"/>
                <w:sz w:val="20"/>
                <w:szCs w:val="20"/>
                <w:color w:val="auto"/>
              </w:rPr>
              <w:t>Three-Months Ended March 31,</w:t>
            </w:r>
          </w:p>
        </w:tc>
        <w:tc>
          <w:tcPr>
            <w:tcW w:w="2500" w:type="dxa"/>
            <w:vAlign w:val="bottom"/>
          </w:tcPr>
          <w:p>
            <w:pPr>
              <w:spacing w:after="0"/>
              <w:rPr>
                <w:sz w:val="21"/>
                <w:szCs w:val="21"/>
                <w:color w:val="auto"/>
              </w:rPr>
            </w:pPr>
          </w:p>
        </w:tc>
      </w:tr>
      <w:tr>
        <w:trPr>
          <w:trHeight w:val="223"/>
        </w:trPr>
        <w:tc>
          <w:tcPr>
            <w:tcW w:w="980" w:type="dxa"/>
            <w:vAlign w:val="bottom"/>
          </w:tcPr>
          <w:p>
            <w:pPr>
              <w:spacing w:after="0"/>
              <w:rPr>
                <w:sz w:val="19"/>
                <w:szCs w:val="19"/>
                <w:color w:val="auto"/>
              </w:rPr>
            </w:pPr>
          </w:p>
        </w:tc>
        <w:tc>
          <w:tcPr>
            <w:tcW w:w="31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2013</w:t>
            </w:r>
          </w:p>
        </w:tc>
        <w:tc>
          <w:tcPr>
            <w:tcW w:w="28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2012</w:t>
            </w:r>
          </w:p>
        </w:tc>
        <w:tc>
          <w:tcPr>
            <w:tcW w:w="100" w:type="dxa"/>
            <w:vAlign w:val="bottom"/>
            <w:tcBorders>
              <w:bottom w:val="single" w:sz="8" w:color="CCEEFF"/>
            </w:tcBorders>
          </w:tcPr>
          <w:p>
            <w:pPr>
              <w:spacing w:after="0"/>
              <w:rPr>
                <w:sz w:val="19"/>
                <w:szCs w:val="19"/>
                <w:color w:val="auto"/>
              </w:rPr>
            </w:pPr>
          </w:p>
        </w:tc>
        <w:tc>
          <w:tcPr>
            <w:tcW w:w="250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318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Dividend yield</w:t>
            </w:r>
          </w:p>
        </w:tc>
        <w:tc>
          <w:tcPr>
            <w:tcW w:w="16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0.0 %</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0.0 %</w:t>
            </w:r>
          </w:p>
        </w:tc>
        <w:tc>
          <w:tcPr>
            <w:tcW w:w="100" w:type="dxa"/>
            <w:vAlign w:val="bottom"/>
            <w:shd w:val="clear" w:color="auto" w:fill="CCEEFF"/>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20"/>
                <w:szCs w:val="20"/>
                <w:color w:val="auto"/>
              </w:rPr>
              <w:t>Expected volatility</w:t>
            </w:r>
          </w:p>
        </w:tc>
        <w:tc>
          <w:tcPr>
            <w:tcW w:w="3040" w:type="dxa"/>
            <w:vAlign w:val="bottom"/>
            <w:gridSpan w:val="2"/>
          </w:tcPr>
          <w:p>
            <w:pPr>
              <w:jc w:val="right"/>
              <w:spacing w:after="0"/>
              <w:rPr>
                <w:sz w:val="20"/>
                <w:szCs w:val="20"/>
                <w:color w:val="auto"/>
              </w:rPr>
            </w:pPr>
            <w:r>
              <w:rPr>
                <w:rFonts w:ascii="Arial" w:cs="Arial" w:eastAsia="Arial" w:hAnsi="Arial"/>
                <w:sz w:val="20"/>
                <w:szCs w:val="20"/>
                <w:color w:val="auto"/>
              </w:rPr>
              <w:t>47.8 %</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48.3 %</w:t>
            </w: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98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20"/>
                <w:szCs w:val="20"/>
                <w:color w:val="auto"/>
              </w:rPr>
              <w:t>Risk-free interest rate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0.9 %</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0.9 %</w:t>
            </w:r>
          </w:p>
        </w:tc>
        <w:tc>
          <w:tcPr>
            <w:tcW w:w="100" w:type="dxa"/>
            <w:vAlign w:val="bottom"/>
            <w:shd w:val="clear" w:color="auto" w:fill="CCEEFF"/>
          </w:tcPr>
          <w:p>
            <w:pPr>
              <w:spacing w:after="0"/>
              <w:rPr>
                <w:sz w:val="19"/>
                <w:szCs w:val="19"/>
                <w:color w:val="auto"/>
              </w:rPr>
            </w:pPr>
          </w:p>
        </w:tc>
        <w:tc>
          <w:tcPr>
            <w:tcW w:w="2500" w:type="dxa"/>
            <w:vAlign w:val="bottom"/>
          </w:tcPr>
          <w:p>
            <w:pPr>
              <w:spacing w:after="0"/>
              <w:rPr>
                <w:sz w:val="19"/>
                <w:szCs w:val="19"/>
                <w:color w:val="auto"/>
              </w:rPr>
            </w:pPr>
          </w:p>
        </w:tc>
      </w:tr>
      <w:tr>
        <w:trPr>
          <w:trHeight w:val="250"/>
        </w:trPr>
        <w:tc>
          <w:tcPr>
            <w:tcW w:w="980" w:type="dxa"/>
            <w:vAlign w:val="bottom"/>
          </w:tcPr>
          <w:p>
            <w:pPr>
              <w:spacing w:after="0"/>
              <w:rPr>
                <w:sz w:val="21"/>
                <w:szCs w:val="21"/>
                <w:color w:val="auto"/>
              </w:rPr>
            </w:pPr>
          </w:p>
        </w:tc>
        <w:tc>
          <w:tcPr>
            <w:tcW w:w="3180" w:type="dxa"/>
            <w:vAlign w:val="bottom"/>
          </w:tcPr>
          <w:p>
            <w:pPr>
              <w:spacing w:after="0"/>
              <w:rPr>
                <w:sz w:val="20"/>
                <w:szCs w:val="20"/>
                <w:color w:val="auto"/>
              </w:rPr>
            </w:pPr>
            <w:r>
              <w:rPr>
                <w:rFonts w:ascii="Arial" w:cs="Arial" w:eastAsia="Arial" w:hAnsi="Arial"/>
                <w:sz w:val="20"/>
                <w:szCs w:val="20"/>
                <w:color w:val="auto"/>
              </w:rPr>
              <w:t>Expected term</w:t>
            </w:r>
          </w:p>
        </w:tc>
        <w:tc>
          <w:tcPr>
            <w:tcW w:w="1680" w:type="dxa"/>
            <w:vAlign w:val="bottom"/>
          </w:tcPr>
          <w:p>
            <w:pPr>
              <w:spacing w:after="0"/>
              <w:rPr>
                <w:sz w:val="21"/>
                <w:szCs w:val="21"/>
                <w:color w:val="auto"/>
              </w:rPr>
            </w:pPr>
          </w:p>
        </w:tc>
        <w:tc>
          <w:tcPr>
            <w:tcW w:w="1640" w:type="dxa"/>
            <w:vAlign w:val="bottom"/>
            <w:gridSpan w:val="2"/>
          </w:tcPr>
          <w:p>
            <w:pPr>
              <w:ind w:left="580"/>
              <w:spacing w:after="0"/>
              <w:rPr>
                <w:sz w:val="20"/>
                <w:szCs w:val="20"/>
                <w:color w:val="auto"/>
              </w:rPr>
            </w:pPr>
            <w:r>
              <w:rPr>
                <w:rFonts w:ascii="Arial" w:cs="Arial" w:eastAsia="Arial" w:hAnsi="Arial"/>
                <w:sz w:val="20"/>
                <w:szCs w:val="20"/>
                <w:color w:val="auto"/>
              </w:rPr>
              <w:t>5.4 Years</w:t>
            </w:r>
          </w:p>
        </w:tc>
        <w:tc>
          <w:tcPr>
            <w:tcW w:w="1480" w:type="dxa"/>
            <w:vAlign w:val="bottom"/>
            <w:gridSpan w:val="2"/>
          </w:tcPr>
          <w:p>
            <w:pPr>
              <w:ind w:left="600"/>
              <w:spacing w:after="0"/>
              <w:rPr>
                <w:sz w:val="20"/>
                <w:szCs w:val="20"/>
                <w:color w:val="auto"/>
              </w:rPr>
            </w:pPr>
            <w:r>
              <w:rPr>
                <w:rFonts w:ascii="Arial" w:cs="Arial" w:eastAsia="Arial" w:hAnsi="Arial"/>
                <w:sz w:val="20"/>
                <w:szCs w:val="20"/>
                <w:color w:val="auto"/>
              </w:rPr>
              <w:t>5.5 Years</w:t>
            </w:r>
          </w:p>
        </w:tc>
        <w:tc>
          <w:tcPr>
            <w:tcW w:w="2500" w:type="dxa"/>
            <w:vAlign w:val="bottom"/>
          </w:tcPr>
          <w:p>
            <w:pPr>
              <w:spacing w:after="0"/>
              <w:rPr>
                <w:sz w:val="21"/>
                <w:szCs w:val="21"/>
                <w:color w:val="auto"/>
              </w:rPr>
            </w:pPr>
          </w:p>
        </w:tc>
      </w:tr>
      <w:tr>
        <w:trPr>
          <w:trHeight w:val="411"/>
        </w:trPr>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i w:val="1"/>
          <w:iCs w:val="1"/>
          <w:color w:val="auto"/>
        </w:rPr>
        <w:t>Expected Volatility</w:t>
      </w:r>
      <w:r>
        <w:rPr>
          <w:rFonts w:ascii="Arial" w:cs="Arial" w:eastAsia="Arial" w:hAnsi="Arial"/>
          <w:sz w:val="22"/>
          <w:szCs w:val="22"/>
          <w:color w:val="auto"/>
        </w:rPr>
        <w:t>: The Company uses historical volatility as it provides a reasonable estimate of the expected volatility.</w:t>
      </w:r>
      <w:r>
        <w:rPr>
          <w:rFonts w:ascii="Arial" w:cs="Arial" w:eastAsia="Arial" w:hAnsi="Arial"/>
          <w:sz w:val="22"/>
          <w:szCs w:val="22"/>
          <w:i w:val="1"/>
          <w:iCs w:val="1"/>
          <w:color w:val="auto"/>
        </w:rPr>
        <w:t xml:space="preserve"> </w:t>
      </w:r>
      <w:r>
        <w:rPr>
          <w:rFonts w:ascii="Arial" w:cs="Arial" w:eastAsia="Arial" w:hAnsi="Arial"/>
          <w:sz w:val="22"/>
          <w:szCs w:val="22"/>
          <w:color w:val="auto"/>
        </w:rPr>
        <w:t>Historical volatility is based on the most recent volatility of the stock price over a period of time equivalent to the expected term of the option.</w:t>
      </w:r>
    </w:p>
    <w:p>
      <w:pPr>
        <w:spacing w:after="0" w:line="213"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22"/>
          <w:szCs w:val="22"/>
          <w:i w:val="1"/>
          <w:iCs w:val="1"/>
          <w:color w:val="auto"/>
        </w:rPr>
        <w:t>Risk-Free Interest Rate</w:t>
      </w:r>
      <w:r>
        <w:rPr>
          <w:rFonts w:ascii="Arial" w:cs="Arial" w:eastAsia="Arial" w:hAnsi="Arial"/>
          <w:sz w:val="22"/>
          <w:szCs w:val="22"/>
          <w:color w:val="auto"/>
        </w:rPr>
        <w:t>: The risk-free interest rate is based on the U.S. Treasury zero coupon yield curve in effect at the time</w:t>
      </w:r>
      <w:r>
        <w:rPr>
          <w:rFonts w:ascii="Arial" w:cs="Arial" w:eastAsia="Arial" w:hAnsi="Arial"/>
          <w:sz w:val="22"/>
          <w:szCs w:val="22"/>
          <w:i w:val="1"/>
          <w:iCs w:val="1"/>
          <w:color w:val="auto"/>
        </w:rPr>
        <w:t xml:space="preserve"> </w:t>
      </w:r>
      <w:r>
        <w:rPr>
          <w:rFonts w:ascii="Arial" w:cs="Arial" w:eastAsia="Arial" w:hAnsi="Arial"/>
          <w:sz w:val="22"/>
          <w:szCs w:val="22"/>
          <w:color w:val="auto"/>
        </w:rPr>
        <w:t>of grant for the expected term of the option.</w:t>
      </w:r>
    </w:p>
    <w:p>
      <w:pPr>
        <w:spacing w:after="0" w:line="200"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22"/>
          <w:szCs w:val="22"/>
          <w:i w:val="1"/>
          <w:iCs w:val="1"/>
          <w:color w:val="auto"/>
        </w:rPr>
        <w:t>Expected Term</w:t>
      </w:r>
      <w:r>
        <w:rPr>
          <w:rFonts w:ascii="Arial" w:cs="Arial" w:eastAsia="Arial" w:hAnsi="Arial"/>
          <w:sz w:val="22"/>
          <w:szCs w:val="22"/>
          <w:color w:val="auto"/>
        </w:rPr>
        <w:t>: The Company’s expected term represents the weighted-average period that the Company’s stock options are</w:t>
      </w:r>
      <w:r>
        <w:rPr>
          <w:rFonts w:ascii="Arial" w:cs="Arial" w:eastAsia="Arial" w:hAnsi="Arial"/>
          <w:sz w:val="22"/>
          <w:szCs w:val="22"/>
          <w:i w:val="1"/>
          <w:iCs w:val="1"/>
          <w:color w:val="auto"/>
        </w:rPr>
        <w:t xml:space="preserve"> </w:t>
      </w:r>
      <w:r>
        <w:rPr>
          <w:rFonts w:ascii="Arial" w:cs="Arial" w:eastAsia="Arial" w:hAnsi="Arial"/>
          <w:sz w:val="22"/>
          <w:szCs w:val="22"/>
          <w:color w:val="auto"/>
        </w:rPr>
        <w:t>expected 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the Company’s activities with respect to its stock option plans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Weighted-</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center"/>
              <w:ind w:right="301"/>
              <w:spacing w:after="0"/>
              <w:rPr>
                <w:sz w:val="20"/>
                <w:szCs w:val="20"/>
                <w:color w:val="auto"/>
              </w:rPr>
            </w:pPr>
            <w:r>
              <w:rPr>
                <w:rFonts w:ascii="Arial" w:cs="Arial" w:eastAsia="Arial" w:hAnsi="Arial"/>
                <w:sz w:val="20"/>
                <w:szCs w:val="20"/>
                <w:color w:val="auto"/>
                <w:w w:val="89"/>
              </w:rPr>
              <w:t>Weighted-</w:t>
            </w:r>
          </w:p>
        </w:tc>
        <w:tc>
          <w:tcPr>
            <w:tcW w:w="1360" w:type="dxa"/>
            <w:vAlign w:val="bottom"/>
          </w:tcPr>
          <w:p>
            <w:pPr>
              <w:jc w:val="center"/>
              <w:spacing w:after="0"/>
              <w:rPr>
                <w:sz w:val="20"/>
                <w:szCs w:val="20"/>
                <w:color w:val="auto"/>
              </w:rPr>
            </w:pPr>
            <w:r>
              <w:rPr>
                <w:rFonts w:ascii="Arial" w:cs="Arial" w:eastAsia="Arial" w:hAnsi="Arial"/>
                <w:sz w:val="20"/>
                <w:szCs w:val="20"/>
                <w:color w:val="auto"/>
                <w:w w:val="88"/>
              </w:rPr>
              <w:t>Average</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center"/>
              <w:ind w:right="301"/>
              <w:spacing w:after="0"/>
              <w:rPr>
                <w:sz w:val="20"/>
                <w:szCs w:val="20"/>
                <w:color w:val="auto"/>
              </w:rPr>
            </w:pPr>
            <w:r>
              <w:rPr>
                <w:rFonts w:ascii="Arial" w:cs="Arial" w:eastAsia="Arial" w:hAnsi="Arial"/>
                <w:sz w:val="20"/>
                <w:szCs w:val="20"/>
                <w:color w:val="auto"/>
                <w:w w:val="88"/>
              </w:rPr>
              <w:t>Average</w:t>
            </w: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Remaining</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120" w:type="dxa"/>
            <w:vAlign w:val="bottom"/>
          </w:tcPr>
          <w:p>
            <w:pPr>
              <w:spacing w:after="0"/>
              <w:rPr>
                <w:sz w:val="19"/>
                <w:szCs w:val="19"/>
                <w:color w:val="auto"/>
              </w:rPr>
            </w:pPr>
          </w:p>
        </w:tc>
        <w:tc>
          <w:tcPr>
            <w:tcW w:w="2580" w:type="dxa"/>
            <w:vAlign w:val="bottom"/>
          </w:tcPr>
          <w:p>
            <w:pPr>
              <w:jc w:val="center"/>
              <w:ind w:left="901"/>
              <w:spacing w:after="0"/>
              <w:rPr>
                <w:sz w:val="20"/>
                <w:szCs w:val="20"/>
                <w:color w:val="auto"/>
              </w:rPr>
            </w:pPr>
            <w:r>
              <w:rPr>
                <w:rFonts w:ascii="Arial" w:cs="Arial" w:eastAsia="Arial" w:hAnsi="Arial"/>
                <w:sz w:val="20"/>
                <w:szCs w:val="20"/>
                <w:color w:val="auto"/>
                <w:w w:val="92"/>
              </w:rPr>
              <w:t>Number of</w:t>
            </w:r>
          </w:p>
        </w:tc>
        <w:tc>
          <w:tcPr>
            <w:tcW w:w="380" w:type="dxa"/>
            <w:vAlign w:val="bottom"/>
          </w:tcPr>
          <w:p>
            <w:pPr>
              <w:spacing w:after="0"/>
              <w:rPr>
                <w:sz w:val="19"/>
                <w:szCs w:val="19"/>
                <w:color w:val="auto"/>
              </w:rPr>
            </w:pPr>
          </w:p>
        </w:tc>
        <w:tc>
          <w:tcPr>
            <w:tcW w:w="1380" w:type="dxa"/>
            <w:vAlign w:val="bottom"/>
          </w:tcPr>
          <w:p>
            <w:pPr>
              <w:jc w:val="center"/>
              <w:ind w:right="281"/>
              <w:spacing w:after="0"/>
              <w:rPr>
                <w:sz w:val="20"/>
                <w:szCs w:val="20"/>
                <w:color w:val="auto"/>
              </w:rPr>
            </w:pPr>
            <w:r>
              <w:rPr>
                <w:rFonts w:ascii="Arial" w:cs="Arial" w:eastAsia="Arial" w:hAnsi="Arial"/>
                <w:sz w:val="20"/>
                <w:szCs w:val="20"/>
                <w:color w:val="auto"/>
                <w:w w:val="88"/>
              </w:rPr>
              <w:t>Exercise</w:t>
            </w:r>
          </w:p>
        </w:tc>
        <w:tc>
          <w:tcPr>
            <w:tcW w:w="1360" w:type="dxa"/>
            <w:vAlign w:val="bottom"/>
          </w:tcPr>
          <w:p>
            <w:pPr>
              <w:jc w:val="center"/>
              <w:spacing w:after="0"/>
              <w:rPr>
                <w:sz w:val="20"/>
                <w:szCs w:val="20"/>
                <w:color w:val="auto"/>
              </w:rPr>
            </w:pPr>
            <w:r>
              <w:rPr>
                <w:rFonts w:ascii="Arial" w:cs="Arial" w:eastAsia="Arial" w:hAnsi="Arial"/>
                <w:sz w:val="20"/>
                <w:szCs w:val="20"/>
                <w:color w:val="auto"/>
                <w:w w:val="91"/>
              </w:rPr>
              <w:t>Contractual</w:t>
            </w:r>
          </w:p>
        </w:tc>
        <w:tc>
          <w:tcPr>
            <w:tcW w:w="320" w:type="dxa"/>
            <w:vAlign w:val="bottom"/>
          </w:tcPr>
          <w:p>
            <w:pPr>
              <w:spacing w:after="0"/>
              <w:rPr>
                <w:sz w:val="19"/>
                <w:szCs w:val="19"/>
                <w:color w:val="auto"/>
              </w:rPr>
            </w:pPr>
          </w:p>
        </w:tc>
        <w:tc>
          <w:tcPr>
            <w:tcW w:w="1280" w:type="dxa"/>
            <w:vAlign w:val="bottom"/>
          </w:tcPr>
          <w:p>
            <w:pPr>
              <w:jc w:val="center"/>
              <w:ind w:right="201"/>
              <w:spacing w:after="0"/>
              <w:rPr>
                <w:sz w:val="20"/>
                <w:szCs w:val="20"/>
                <w:color w:val="auto"/>
              </w:rPr>
            </w:pPr>
            <w:r>
              <w:rPr>
                <w:rFonts w:ascii="Arial" w:cs="Arial" w:eastAsia="Arial" w:hAnsi="Arial"/>
                <w:sz w:val="20"/>
                <w:szCs w:val="20"/>
                <w:color w:val="auto"/>
                <w:w w:val="88"/>
              </w:rPr>
              <w:t>Aggregate</w:t>
            </w:r>
          </w:p>
        </w:tc>
      </w:tr>
      <w:tr>
        <w:trPr>
          <w:trHeight w:val="230"/>
        </w:trPr>
        <w:tc>
          <w:tcPr>
            <w:tcW w:w="4120" w:type="dxa"/>
            <w:vAlign w:val="bottom"/>
          </w:tcPr>
          <w:p>
            <w:pPr>
              <w:spacing w:after="0"/>
              <w:rPr>
                <w:sz w:val="19"/>
                <w:szCs w:val="19"/>
                <w:color w:val="auto"/>
              </w:rPr>
            </w:pPr>
          </w:p>
        </w:tc>
        <w:tc>
          <w:tcPr>
            <w:tcW w:w="2580" w:type="dxa"/>
            <w:vAlign w:val="bottom"/>
          </w:tcPr>
          <w:p>
            <w:pPr>
              <w:jc w:val="center"/>
              <w:ind w:left="901"/>
              <w:spacing w:after="0"/>
              <w:rPr>
                <w:sz w:val="20"/>
                <w:szCs w:val="20"/>
                <w:color w:val="auto"/>
              </w:rPr>
            </w:pPr>
            <w:r>
              <w:rPr>
                <w:rFonts w:ascii="Arial" w:cs="Arial" w:eastAsia="Arial" w:hAnsi="Arial"/>
                <w:sz w:val="20"/>
                <w:szCs w:val="20"/>
                <w:color w:val="auto"/>
                <w:w w:val="88"/>
              </w:rPr>
              <w:t>Shares (In</w:t>
            </w:r>
          </w:p>
        </w:tc>
        <w:tc>
          <w:tcPr>
            <w:tcW w:w="380" w:type="dxa"/>
            <w:vAlign w:val="bottom"/>
          </w:tcPr>
          <w:p>
            <w:pPr>
              <w:spacing w:after="0"/>
              <w:rPr>
                <w:sz w:val="19"/>
                <w:szCs w:val="19"/>
                <w:color w:val="auto"/>
              </w:rPr>
            </w:pPr>
          </w:p>
        </w:tc>
        <w:tc>
          <w:tcPr>
            <w:tcW w:w="1380" w:type="dxa"/>
            <w:vAlign w:val="bottom"/>
          </w:tcPr>
          <w:p>
            <w:pPr>
              <w:jc w:val="center"/>
              <w:ind w:right="281"/>
              <w:spacing w:after="0"/>
              <w:rPr>
                <w:sz w:val="20"/>
                <w:szCs w:val="20"/>
                <w:color w:val="auto"/>
              </w:rPr>
            </w:pPr>
            <w:r>
              <w:rPr>
                <w:rFonts w:ascii="Arial" w:cs="Arial" w:eastAsia="Arial" w:hAnsi="Arial"/>
                <w:sz w:val="20"/>
                <w:szCs w:val="20"/>
                <w:color w:val="auto"/>
                <w:w w:val="87"/>
              </w:rPr>
              <w:t>Price Per</w:t>
            </w:r>
          </w:p>
        </w:tc>
        <w:tc>
          <w:tcPr>
            <w:tcW w:w="1360" w:type="dxa"/>
            <w:vAlign w:val="bottom"/>
          </w:tcPr>
          <w:p>
            <w:pPr>
              <w:jc w:val="center"/>
              <w:spacing w:after="0"/>
              <w:rPr>
                <w:sz w:val="20"/>
                <w:szCs w:val="20"/>
                <w:color w:val="auto"/>
              </w:rPr>
            </w:pPr>
            <w:r>
              <w:rPr>
                <w:rFonts w:ascii="Arial" w:cs="Arial" w:eastAsia="Arial" w:hAnsi="Arial"/>
                <w:sz w:val="20"/>
                <w:szCs w:val="20"/>
                <w:color w:val="auto"/>
                <w:w w:val="92"/>
              </w:rPr>
              <w:t>Term (In</w:t>
            </w:r>
          </w:p>
        </w:tc>
        <w:tc>
          <w:tcPr>
            <w:tcW w:w="320" w:type="dxa"/>
            <w:vAlign w:val="bottom"/>
          </w:tcPr>
          <w:p>
            <w:pPr>
              <w:spacing w:after="0"/>
              <w:rPr>
                <w:sz w:val="19"/>
                <w:szCs w:val="19"/>
                <w:color w:val="auto"/>
              </w:rPr>
            </w:pPr>
          </w:p>
        </w:tc>
        <w:tc>
          <w:tcPr>
            <w:tcW w:w="1280" w:type="dxa"/>
            <w:vAlign w:val="bottom"/>
          </w:tcPr>
          <w:p>
            <w:pPr>
              <w:jc w:val="center"/>
              <w:ind w:right="201"/>
              <w:spacing w:after="0"/>
              <w:rPr>
                <w:sz w:val="20"/>
                <w:szCs w:val="20"/>
                <w:color w:val="auto"/>
              </w:rPr>
            </w:pPr>
            <w:r>
              <w:rPr>
                <w:rFonts w:ascii="Arial" w:cs="Arial" w:eastAsia="Arial" w:hAnsi="Arial"/>
                <w:sz w:val="20"/>
                <w:szCs w:val="20"/>
                <w:color w:val="auto"/>
                <w:w w:val="95"/>
              </w:rPr>
              <w:t>Intrinsic</w:t>
            </w:r>
          </w:p>
        </w:tc>
      </w:tr>
      <w:tr>
        <w:trPr>
          <w:trHeight w:val="246"/>
        </w:trPr>
        <w:tc>
          <w:tcPr>
            <w:tcW w:w="4120" w:type="dxa"/>
            <w:vAlign w:val="bottom"/>
            <w:tcBorders>
              <w:bottom w:val="single" w:sz="8" w:color="auto"/>
            </w:tcBorders>
          </w:tcPr>
          <w:p>
            <w:pPr>
              <w:ind w:left="2160"/>
              <w:spacing w:after="0"/>
              <w:rPr>
                <w:sz w:val="20"/>
                <w:szCs w:val="20"/>
                <w:color w:val="auto"/>
              </w:rPr>
            </w:pPr>
            <w:r>
              <w:rPr>
                <w:rFonts w:ascii="Arial" w:cs="Arial" w:eastAsia="Arial" w:hAnsi="Arial"/>
                <w:sz w:val="20"/>
                <w:szCs w:val="20"/>
                <w:color w:val="auto"/>
              </w:rPr>
              <w:t>Options</w:t>
            </w:r>
          </w:p>
        </w:tc>
        <w:tc>
          <w:tcPr>
            <w:tcW w:w="2580" w:type="dxa"/>
            <w:vAlign w:val="bottom"/>
            <w:tcBorders>
              <w:bottom w:val="single" w:sz="8" w:color="auto"/>
            </w:tcBorders>
          </w:tcPr>
          <w:p>
            <w:pPr>
              <w:jc w:val="center"/>
              <w:ind w:left="901"/>
              <w:spacing w:after="0"/>
              <w:rPr>
                <w:sz w:val="20"/>
                <w:szCs w:val="20"/>
                <w:color w:val="auto"/>
              </w:rPr>
            </w:pPr>
            <w:r>
              <w:rPr>
                <w:rFonts w:ascii="Arial" w:cs="Arial" w:eastAsia="Arial" w:hAnsi="Arial"/>
                <w:sz w:val="20"/>
                <w:szCs w:val="20"/>
                <w:color w:val="auto"/>
                <w:w w:val="88"/>
              </w:rPr>
              <w:t>Thousands)</w:t>
            </w: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281"/>
              <w:spacing w:after="0"/>
              <w:rPr>
                <w:sz w:val="20"/>
                <w:szCs w:val="20"/>
                <w:color w:val="auto"/>
              </w:rPr>
            </w:pPr>
            <w:r>
              <w:rPr>
                <w:rFonts w:ascii="Arial" w:cs="Arial" w:eastAsia="Arial" w:hAnsi="Arial"/>
                <w:sz w:val="20"/>
                <w:szCs w:val="20"/>
                <w:color w:val="auto"/>
                <w:w w:val="82"/>
              </w:rPr>
              <w:t>Share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4"/>
              </w:rPr>
              <w:t>Years)</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81"/>
              <w:spacing w:after="0"/>
              <w:rPr>
                <w:sz w:val="20"/>
                <w:szCs w:val="20"/>
                <w:color w:val="auto"/>
              </w:rPr>
            </w:pPr>
            <w:r>
              <w:rPr>
                <w:rFonts w:ascii="Arial" w:cs="Arial" w:eastAsia="Arial" w:hAnsi="Arial"/>
                <w:sz w:val="20"/>
                <w:szCs w:val="20"/>
                <w:color w:val="auto"/>
                <w:w w:val="85"/>
              </w:rPr>
              <w:t>Value</w:t>
            </w:r>
          </w:p>
        </w:tc>
      </w:tr>
      <w:tr>
        <w:trPr>
          <w:trHeight w:val="223"/>
        </w:trPr>
        <w:tc>
          <w:tcPr>
            <w:tcW w:w="412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Outstanding at January 1, 2013</w:t>
            </w:r>
          </w:p>
        </w:tc>
        <w:tc>
          <w:tcPr>
            <w:tcW w:w="2580" w:type="dxa"/>
            <w:vAlign w:val="bottom"/>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14,000</w:t>
            </w:r>
          </w:p>
        </w:tc>
        <w:tc>
          <w:tcPr>
            <w:tcW w:w="3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12.12</w:t>
            </w:r>
          </w:p>
        </w:tc>
        <w:tc>
          <w:tcPr>
            <w:tcW w:w="136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4.1</w:t>
            </w:r>
          </w:p>
        </w:tc>
        <w:tc>
          <w:tcPr>
            <w:tcW w:w="3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572,530</w:t>
            </w:r>
          </w:p>
        </w:tc>
      </w:tr>
      <w:tr>
        <w:trPr>
          <w:trHeight w:val="230"/>
        </w:trPr>
        <w:tc>
          <w:tcPr>
            <w:tcW w:w="412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Granted</w:t>
            </w:r>
          </w:p>
        </w:tc>
        <w:tc>
          <w:tcPr>
            <w:tcW w:w="2580" w:type="dxa"/>
            <w:vAlign w:val="bottom"/>
            <w:tcBorders>
              <w:bottom w:val="single" w:sz="8" w:color="CCEEFF"/>
            </w:tcBorders>
          </w:tcPr>
          <w:p>
            <w:pPr>
              <w:jc w:val="right"/>
              <w:ind w:right="81"/>
              <w:spacing w:after="0"/>
              <w:rPr>
                <w:sz w:val="20"/>
                <w:szCs w:val="20"/>
                <w:color w:val="auto"/>
              </w:rPr>
            </w:pPr>
            <w:r>
              <w:rPr>
                <w:rFonts w:ascii="Arial" w:cs="Arial" w:eastAsia="Arial" w:hAnsi="Arial"/>
                <w:sz w:val="20"/>
                <w:szCs w:val="20"/>
                <w:color w:val="auto"/>
              </w:rPr>
              <w:t>636</w:t>
            </w: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CCEEFF"/>
            </w:tcBorders>
          </w:tcPr>
          <w:p>
            <w:pPr>
              <w:jc w:val="right"/>
              <w:ind w:right="101"/>
              <w:spacing w:after="0"/>
              <w:rPr>
                <w:sz w:val="20"/>
                <w:szCs w:val="20"/>
                <w:color w:val="auto"/>
              </w:rPr>
            </w:pPr>
            <w:r>
              <w:rPr>
                <w:rFonts w:ascii="Arial" w:cs="Arial" w:eastAsia="Arial" w:hAnsi="Arial"/>
                <w:sz w:val="20"/>
                <w:szCs w:val="20"/>
                <w:color w:val="auto"/>
              </w:rPr>
              <w:t>47.36</w:t>
            </w:r>
          </w:p>
        </w:tc>
        <w:tc>
          <w:tcPr>
            <w:tcW w:w="13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bl>
    <w:p>
      <w:pPr>
        <w:sectPr>
          <w:pgSz w:w="11900" w:h="16900" w:orient="portrait"/>
          <w:cols w:equalWidth="0" w:num="1">
            <w:col w:w="11460"/>
          </w:cols>
          <w:pgMar w:left="240" w:top="118" w:right="19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(117)</w:t>
            </w:r>
          </w:p>
        </w:tc>
        <w:tc>
          <w:tcPr>
            <w:tcW w:w="80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ind w:right="481"/>
              <w:spacing w:after="0"/>
              <w:rPr>
                <w:sz w:val="20"/>
                <w:szCs w:val="20"/>
                <w:color w:val="auto"/>
              </w:rPr>
            </w:pPr>
            <w:r>
              <w:rPr>
                <w:rFonts w:ascii="Arial" w:cs="Arial" w:eastAsia="Arial" w:hAnsi="Arial"/>
                <w:sz w:val="20"/>
                <w:szCs w:val="20"/>
                <w:color w:val="auto"/>
              </w:rPr>
              <w:t>20.27</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Cancelled or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w:t>
            </w:r>
          </w:p>
        </w:tc>
        <w:tc>
          <w:tcPr>
            <w:tcW w:w="800" w:type="dxa"/>
            <w:vAlign w:val="bottom"/>
            <w:tcBorders>
              <w:bottom w:val="single" w:sz="8" w:color="CCEEFF"/>
            </w:tcBorders>
          </w:tcPr>
          <w:p>
            <w:pPr>
              <w:jc w:val="right"/>
              <w:ind w:right="301"/>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CCEEFF"/>
            </w:tcBorders>
          </w:tcPr>
          <w:p>
            <w:pPr>
              <w:jc w:val="right"/>
              <w:ind w:right="481"/>
              <w:spacing w:after="0"/>
              <w:rPr>
                <w:sz w:val="20"/>
                <w:szCs w:val="20"/>
                <w:color w:val="auto"/>
              </w:rPr>
            </w:pPr>
            <w:r>
              <w:rPr>
                <w:rFonts w:ascii="Arial" w:cs="Arial" w:eastAsia="Arial" w:hAnsi="Arial"/>
                <w:sz w:val="20"/>
                <w:szCs w:val="20"/>
                <w:color w:val="auto"/>
              </w:rPr>
              <w:t>25.55</w:t>
            </w:r>
          </w:p>
        </w:tc>
        <w:tc>
          <w:tcPr>
            <w:tcW w:w="9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23"/>
        </w:trPr>
        <w:tc>
          <w:tcPr>
            <w:tcW w:w="522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Outstanding at March 31, 2013</w:t>
            </w:r>
          </w:p>
        </w:tc>
        <w:tc>
          <w:tcPr>
            <w:tcW w:w="13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14,406</w:t>
            </w:r>
          </w:p>
        </w:tc>
        <w:tc>
          <w:tcPr>
            <w:tcW w:w="800" w:type="dxa"/>
            <w:vAlign w:val="bottom"/>
            <w:shd w:val="clear" w:color="auto" w:fill="CCEEFF"/>
          </w:tcPr>
          <w:p>
            <w:pPr>
              <w:jc w:val="right"/>
              <w:ind w:right="301"/>
              <w:spacing w:after="0" w:line="223" w:lineRule="exact"/>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ind w:right="481"/>
              <w:spacing w:after="0" w:line="223" w:lineRule="exact"/>
              <w:rPr>
                <w:sz w:val="20"/>
                <w:szCs w:val="20"/>
                <w:color w:val="auto"/>
              </w:rPr>
            </w:pPr>
            <w:r>
              <w:rPr>
                <w:rFonts w:ascii="Arial" w:cs="Arial" w:eastAsia="Arial" w:hAnsi="Arial"/>
                <w:sz w:val="20"/>
                <w:szCs w:val="20"/>
                <w:color w:val="auto"/>
              </w:rPr>
              <w:t>13.51</w:t>
            </w:r>
          </w:p>
        </w:tc>
        <w:tc>
          <w:tcPr>
            <w:tcW w:w="98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4.1</w:t>
            </w:r>
          </w:p>
        </w:tc>
        <w:tc>
          <w:tcPr>
            <w:tcW w:w="540" w:type="dxa"/>
            <w:vAlign w:val="bottom"/>
            <w:shd w:val="clear" w:color="auto" w:fill="CCEEFF"/>
          </w:tcPr>
          <w:p>
            <w:pPr>
              <w:jc w:val="right"/>
              <w:ind w:right="201"/>
              <w:spacing w:after="0" w:line="223" w:lineRule="exact"/>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497,761</w:t>
            </w:r>
          </w:p>
        </w:tc>
      </w:tr>
      <w:tr>
        <w:trPr>
          <w:trHeight w:val="230"/>
        </w:trPr>
        <w:tc>
          <w:tcPr>
            <w:tcW w:w="5220" w:type="dxa"/>
            <w:vAlign w:val="bottom"/>
          </w:tcPr>
          <w:p>
            <w:pPr>
              <w:spacing w:after="0"/>
              <w:rPr>
                <w:sz w:val="20"/>
                <w:szCs w:val="20"/>
                <w:color w:val="auto"/>
              </w:rPr>
            </w:pPr>
            <w:r>
              <w:rPr>
                <w:rFonts w:ascii="Arial" w:cs="Arial" w:eastAsia="Arial" w:hAnsi="Arial"/>
                <w:sz w:val="20"/>
                <w:szCs w:val="20"/>
                <w:color w:val="auto"/>
                <w:w w:val="98"/>
              </w:rPr>
              <w:t>Vested and expected to vest in the future at March 31, 2013</w:t>
            </w:r>
          </w:p>
        </w:tc>
        <w:tc>
          <w:tcPr>
            <w:tcW w:w="1380" w:type="dxa"/>
            <w:vAlign w:val="bottom"/>
          </w:tcPr>
          <w:p>
            <w:pPr>
              <w:jc w:val="right"/>
              <w:spacing w:after="0"/>
              <w:rPr>
                <w:sz w:val="20"/>
                <w:szCs w:val="20"/>
                <w:color w:val="auto"/>
              </w:rPr>
            </w:pPr>
            <w:r>
              <w:rPr>
                <w:rFonts w:ascii="Arial" w:cs="Arial" w:eastAsia="Arial" w:hAnsi="Arial"/>
                <w:sz w:val="20"/>
                <w:szCs w:val="20"/>
                <w:color w:val="auto"/>
              </w:rPr>
              <w:t>13,999</w:t>
            </w:r>
          </w:p>
        </w:tc>
        <w:tc>
          <w:tcPr>
            <w:tcW w:w="80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481"/>
              <w:spacing w:after="0"/>
              <w:rPr>
                <w:sz w:val="20"/>
                <w:szCs w:val="20"/>
                <w:color w:val="auto"/>
              </w:rPr>
            </w:pPr>
            <w:r>
              <w:rPr>
                <w:rFonts w:ascii="Arial" w:cs="Arial" w:eastAsia="Arial" w:hAnsi="Arial"/>
                <w:sz w:val="20"/>
                <w:szCs w:val="20"/>
                <w:color w:val="auto"/>
              </w:rPr>
              <w:t>12.75</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4.0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493,506</w:t>
            </w:r>
          </w:p>
        </w:tc>
      </w:tr>
      <w:tr>
        <w:trPr>
          <w:trHeight w:val="230"/>
        </w:trPr>
        <w:tc>
          <w:tcPr>
            <w:tcW w:w="5220" w:type="dxa"/>
            <w:vAlign w:val="bottom"/>
            <w:shd w:val="clear" w:color="auto" w:fill="CCEEFF"/>
          </w:tcPr>
          <w:p>
            <w:pPr>
              <w:spacing w:after="0"/>
              <w:rPr>
                <w:sz w:val="20"/>
                <w:szCs w:val="20"/>
                <w:color w:val="auto"/>
              </w:rPr>
            </w:pPr>
            <w:r>
              <w:rPr>
                <w:rFonts w:ascii="Arial" w:cs="Arial" w:eastAsia="Arial" w:hAnsi="Arial"/>
                <w:sz w:val="20"/>
                <w:szCs w:val="20"/>
                <w:color w:val="auto"/>
              </w:rPr>
              <w:t>Exercisable at March 31, 2013</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11,037</w:t>
            </w:r>
          </w:p>
        </w:tc>
        <w:tc>
          <w:tcPr>
            <w:tcW w:w="80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ind w:right="481"/>
              <w:spacing w:after="0"/>
              <w:rPr>
                <w:sz w:val="20"/>
                <w:szCs w:val="20"/>
                <w:color w:val="auto"/>
              </w:rPr>
            </w:pPr>
            <w:r>
              <w:rPr>
                <w:rFonts w:ascii="Arial" w:cs="Arial" w:eastAsia="Arial" w:hAnsi="Arial"/>
                <w:sz w:val="20"/>
                <w:szCs w:val="20"/>
                <w:color w:val="auto"/>
              </w:rPr>
              <w:t>8.36</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3.1</w:t>
            </w:r>
          </w:p>
        </w:tc>
        <w:tc>
          <w:tcPr>
            <w:tcW w:w="54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434,897</w:t>
            </w:r>
          </w:p>
        </w:tc>
      </w:tr>
    </w:tbl>
    <w:p>
      <w:pPr>
        <w:spacing w:after="0" w:line="22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weighted-average grant-date fair value of options granted during the three-months ended March 31, 2013 and 2012 was $20.52 per share and $25.48 per share, respectively. The total intrinsic value of options exercised during the three-months ended March 31, 2013 and 2012 was $3.3 million and $107.4 million, respectively.</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Cash received from option exercises under all plans for the three-months ended March 31, 2013 and 2012 was approximately $2.4 million and $2.7 million, respectively.</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At March 31, 2013, there was $40.7 million of total unrecognized compensation expense related to non-vested options granted to employees under the Company’s share-based payment plans. That cost is expected to be recognized over a weighted-average period of 2.5 years.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Restricted Stock Awards and Restricted Stock Units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16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following table summarizes the Company’s activities with respect to non-vested restricted stock awards and non-vested restricted stock units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center"/>
              <w:ind w:right="132"/>
              <w:spacing w:after="0"/>
              <w:rPr>
                <w:sz w:val="20"/>
                <w:szCs w:val="20"/>
                <w:color w:val="auto"/>
              </w:rPr>
            </w:pPr>
            <w:r>
              <w:rPr>
                <w:rFonts w:ascii="Arial" w:cs="Arial" w:eastAsia="Arial" w:hAnsi="Arial"/>
                <w:sz w:val="22"/>
                <w:szCs w:val="22"/>
                <w:color w:val="auto"/>
                <w:w w:val="88"/>
              </w:rPr>
              <w:t>Weighted</w:t>
            </w:r>
          </w:p>
        </w:tc>
      </w:tr>
      <w:tr>
        <w:trPr>
          <w:trHeight w:val="243"/>
        </w:trPr>
        <w:tc>
          <w:tcPr>
            <w:tcW w:w="5520" w:type="dxa"/>
            <w:vAlign w:val="bottom"/>
          </w:tcPr>
          <w:p>
            <w:pPr>
              <w:spacing w:after="0"/>
              <w:rPr>
                <w:sz w:val="21"/>
                <w:szCs w:val="21"/>
                <w:color w:val="auto"/>
              </w:rPr>
            </w:pPr>
          </w:p>
        </w:tc>
        <w:tc>
          <w:tcPr>
            <w:tcW w:w="1380" w:type="dxa"/>
            <w:vAlign w:val="bottom"/>
          </w:tcPr>
          <w:p>
            <w:pPr>
              <w:jc w:val="center"/>
              <w:spacing w:after="0" w:line="243" w:lineRule="exact"/>
              <w:rPr>
                <w:sz w:val="20"/>
                <w:szCs w:val="20"/>
                <w:color w:val="auto"/>
              </w:rPr>
            </w:pPr>
            <w:r>
              <w:rPr>
                <w:rFonts w:ascii="Arial" w:cs="Arial" w:eastAsia="Arial" w:hAnsi="Arial"/>
                <w:sz w:val="22"/>
                <w:szCs w:val="22"/>
                <w:color w:val="auto"/>
                <w:w w:val="91"/>
              </w:rPr>
              <w:t>Number of</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center"/>
              <w:ind w:right="152"/>
              <w:spacing w:after="0" w:line="243" w:lineRule="exact"/>
              <w:rPr>
                <w:sz w:val="20"/>
                <w:szCs w:val="20"/>
                <w:color w:val="auto"/>
              </w:rPr>
            </w:pPr>
            <w:r>
              <w:rPr>
                <w:rFonts w:ascii="Arial" w:cs="Arial" w:eastAsia="Arial" w:hAnsi="Arial"/>
                <w:sz w:val="22"/>
                <w:szCs w:val="22"/>
                <w:color w:val="auto"/>
                <w:w w:val="87"/>
              </w:rPr>
              <w:t>Average</w:t>
            </w:r>
          </w:p>
        </w:tc>
      </w:tr>
      <w:tr>
        <w:trPr>
          <w:trHeight w:val="243"/>
        </w:trPr>
        <w:tc>
          <w:tcPr>
            <w:tcW w:w="5520" w:type="dxa"/>
            <w:vAlign w:val="bottom"/>
          </w:tcPr>
          <w:p>
            <w:pPr>
              <w:spacing w:after="0"/>
              <w:rPr>
                <w:sz w:val="21"/>
                <w:szCs w:val="21"/>
                <w:color w:val="auto"/>
              </w:rPr>
            </w:pPr>
          </w:p>
        </w:tc>
        <w:tc>
          <w:tcPr>
            <w:tcW w:w="1380" w:type="dxa"/>
            <w:vAlign w:val="bottom"/>
          </w:tcPr>
          <w:p>
            <w:pPr>
              <w:jc w:val="center"/>
              <w:spacing w:after="0" w:line="243" w:lineRule="exact"/>
              <w:rPr>
                <w:sz w:val="20"/>
                <w:szCs w:val="20"/>
                <w:color w:val="auto"/>
              </w:rPr>
            </w:pPr>
            <w:r>
              <w:rPr>
                <w:rFonts w:ascii="Arial" w:cs="Arial" w:eastAsia="Arial" w:hAnsi="Arial"/>
                <w:sz w:val="22"/>
                <w:szCs w:val="22"/>
                <w:color w:val="auto"/>
                <w:w w:val="85"/>
              </w:rPr>
              <w:t>Shares (in</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center"/>
              <w:ind w:right="152"/>
              <w:spacing w:after="0" w:line="243" w:lineRule="exact"/>
              <w:rPr>
                <w:sz w:val="20"/>
                <w:szCs w:val="20"/>
                <w:color w:val="auto"/>
              </w:rPr>
            </w:pPr>
            <w:r>
              <w:rPr>
                <w:rFonts w:ascii="Arial" w:cs="Arial" w:eastAsia="Arial" w:hAnsi="Arial"/>
                <w:sz w:val="22"/>
                <w:szCs w:val="22"/>
                <w:color w:val="auto"/>
                <w:w w:val="88"/>
              </w:rPr>
              <w:t>Grant-Date</w:t>
            </w:r>
          </w:p>
        </w:tc>
      </w:tr>
      <w:tr>
        <w:trPr>
          <w:trHeight w:val="265"/>
        </w:trPr>
        <w:tc>
          <w:tcPr>
            <w:tcW w:w="55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6"/>
              </w:rPr>
              <w:t>thousands)</w:t>
            </w:r>
          </w:p>
        </w:tc>
        <w:tc>
          <w:tcPr>
            <w:tcW w:w="2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ind w:right="152"/>
              <w:spacing w:after="0"/>
              <w:rPr>
                <w:sz w:val="20"/>
                <w:szCs w:val="20"/>
                <w:color w:val="auto"/>
              </w:rPr>
            </w:pPr>
            <w:r>
              <w:rPr>
                <w:rFonts w:ascii="Arial" w:cs="Arial" w:eastAsia="Arial" w:hAnsi="Arial"/>
                <w:sz w:val="22"/>
                <w:szCs w:val="22"/>
                <w:color w:val="auto"/>
                <w:w w:val="87"/>
              </w:rPr>
              <w:t>Fair Value</w:t>
            </w:r>
          </w:p>
        </w:tc>
      </w:tr>
      <w:tr>
        <w:trPr>
          <w:trHeight w:val="237"/>
        </w:trPr>
        <w:tc>
          <w:tcPr>
            <w:tcW w:w="552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Non-vested at January 1, 2013</w:t>
            </w:r>
          </w:p>
        </w:tc>
        <w:tc>
          <w:tcPr>
            <w:tcW w:w="1380" w:type="dxa"/>
            <w:vAlign w:val="bottom"/>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637</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3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46.97</w:t>
            </w:r>
          </w:p>
        </w:tc>
      </w:tr>
      <w:tr>
        <w:trPr>
          <w:trHeight w:val="243"/>
        </w:trPr>
        <w:tc>
          <w:tcPr>
            <w:tcW w:w="5520" w:type="dxa"/>
            <w:vAlign w:val="bottom"/>
          </w:tcPr>
          <w:p>
            <w:pPr>
              <w:ind w:left="360"/>
              <w:spacing w:after="0" w:line="243" w:lineRule="exact"/>
              <w:rPr>
                <w:sz w:val="20"/>
                <w:szCs w:val="20"/>
                <w:color w:val="auto"/>
              </w:rPr>
            </w:pPr>
            <w:r>
              <w:rPr>
                <w:rFonts w:ascii="Arial" w:cs="Arial" w:eastAsia="Arial" w:hAnsi="Arial"/>
                <w:sz w:val="22"/>
                <w:szCs w:val="22"/>
                <w:color w:val="auto"/>
              </w:rPr>
              <w:t>Granted</w:t>
            </w:r>
          </w:p>
        </w:tc>
        <w:tc>
          <w:tcPr>
            <w:tcW w:w="1380" w:type="dxa"/>
            <w:vAlign w:val="bottom"/>
          </w:tcPr>
          <w:p>
            <w:pPr>
              <w:jc w:val="right"/>
              <w:ind w:right="12"/>
              <w:spacing w:after="0" w:line="243" w:lineRule="exact"/>
              <w:rPr>
                <w:sz w:val="20"/>
                <w:szCs w:val="20"/>
                <w:color w:val="auto"/>
              </w:rPr>
            </w:pPr>
            <w:r>
              <w:rPr>
                <w:rFonts w:ascii="Arial" w:cs="Arial" w:eastAsia="Arial" w:hAnsi="Arial"/>
                <w:sz w:val="22"/>
                <w:szCs w:val="22"/>
                <w:color w:val="auto"/>
              </w:rPr>
              <w:t>8</w:t>
            </w:r>
          </w:p>
        </w:tc>
        <w:tc>
          <w:tcPr>
            <w:tcW w:w="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50.89</w:t>
            </w:r>
          </w:p>
        </w:tc>
      </w:tr>
      <w:tr>
        <w:trPr>
          <w:trHeight w:val="243"/>
        </w:trPr>
        <w:tc>
          <w:tcPr>
            <w:tcW w:w="5520" w:type="dxa"/>
            <w:vAlign w:val="bottom"/>
            <w:shd w:val="clear" w:color="auto" w:fill="CCEEFF"/>
          </w:tcPr>
          <w:p>
            <w:pPr>
              <w:ind w:left="360"/>
              <w:spacing w:after="0" w:line="243" w:lineRule="exact"/>
              <w:rPr>
                <w:sz w:val="20"/>
                <w:szCs w:val="20"/>
                <w:color w:val="auto"/>
              </w:rPr>
            </w:pPr>
            <w:r>
              <w:rPr>
                <w:rFonts w:ascii="Arial" w:cs="Arial" w:eastAsia="Arial" w:hAnsi="Arial"/>
                <w:sz w:val="22"/>
                <w:szCs w:val="22"/>
                <w:color w:val="auto"/>
              </w:rPr>
              <w:t>Vested</w:t>
            </w:r>
          </w:p>
        </w:tc>
        <w:tc>
          <w:tcPr>
            <w:tcW w:w="1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(18)</w:t>
            </w:r>
          </w:p>
        </w:tc>
        <w:tc>
          <w:tcPr>
            <w:tcW w:w="54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3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57.45</w:t>
            </w:r>
          </w:p>
        </w:tc>
      </w:tr>
      <w:tr>
        <w:trPr>
          <w:trHeight w:val="243"/>
        </w:trPr>
        <w:tc>
          <w:tcPr>
            <w:tcW w:w="5520" w:type="dxa"/>
            <w:vAlign w:val="bottom"/>
            <w:tcBorders>
              <w:bottom w:val="single" w:sz="8" w:color="CCEEFF"/>
            </w:tcBorders>
          </w:tcPr>
          <w:p>
            <w:pPr>
              <w:ind w:left="360"/>
              <w:spacing w:after="0" w:line="243" w:lineRule="exact"/>
              <w:rPr>
                <w:sz w:val="20"/>
                <w:szCs w:val="20"/>
                <w:color w:val="auto"/>
              </w:rPr>
            </w:pPr>
            <w:r>
              <w:rPr>
                <w:rFonts w:ascii="Arial" w:cs="Arial" w:eastAsia="Arial" w:hAnsi="Arial"/>
                <w:sz w:val="22"/>
                <w:szCs w:val="22"/>
                <w:color w:val="auto"/>
              </w:rPr>
              <w:t>Forfeited/cancelled</w:t>
            </w:r>
          </w:p>
        </w:tc>
        <w:tc>
          <w:tcPr>
            <w:tcW w:w="13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(6)</w:t>
            </w:r>
          </w:p>
        </w:tc>
        <w:tc>
          <w:tcPr>
            <w:tcW w:w="540" w:type="dxa"/>
            <w:vAlign w:val="bottom"/>
            <w:tcBorders>
              <w:bottom w:val="single" w:sz="8" w:color="CCEEFF"/>
            </w:tcBorders>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300" w:type="dxa"/>
            <w:vAlign w:val="bottom"/>
            <w:tcBorders>
              <w:bottom w:val="single" w:sz="8" w:color="CCEEFF"/>
            </w:tcBorders>
          </w:tcPr>
          <w:p>
            <w:pPr>
              <w:jc w:val="right"/>
              <w:spacing w:after="0" w:line="243" w:lineRule="exact"/>
              <w:rPr>
                <w:sz w:val="20"/>
                <w:szCs w:val="20"/>
                <w:color w:val="auto"/>
              </w:rPr>
            </w:pPr>
            <w:r>
              <w:rPr>
                <w:rFonts w:ascii="Arial" w:cs="Arial" w:eastAsia="Arial" w:hAnsi="Arial"/>
                <w:sz w:val="22"/>
                <w:szCs w:val="22"/>
                <w:color w:val="auto"/>
              </w:rPr>
              <w:t>60.11</w:t>
            </w:r>
          </w:p>
        </w:tc>
      </w:tr>
      <w:tr>
        <w:trPr>
          <w:trHeight w:val="237"/>
        </w:trPr>
        <w:tc>
          <w:tcPr>
            <w:tcW w:w="5520" w:type="dxa"/>
            <w:vAlign w:val="bottom"/>
            <w:tcBorders>
              <w:bottom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Non-vested at March 31, 2013</w:t>
            </w:r>
          </w:p>
        </w:tc>
        <w:tc>
          <w:tcPr>
            <w:tcW w:w="1380" w:type="dxa"/>
            <w:vAlign w:val="bottom"/>
            <w:tcBorders>
              <w:bottom w:val="single" w:sz="8" w:color="auto"/>
            </w:tcBorders>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621</w:t>
            </w:r>
          </w:p>
        </w:tc>
        <w:tc>
          <w:tcPr>
            <w:tcW w:w="540" w:type="dxa"/>
            <w:vAlign w:val="bottom"/>
            <w:tcBorders>
              <w:bottom w:val="single" w:sz="8" w:color="CCEEFF"/>
            </w:tcBorders>
            <w:gridSpan w:val="2"/>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300" w:type="dxa"/>
            <w:vAlign w:val="bottom"/>
            <w:tcBorders>
              <w:bottom w:val="single" w:sz="8" w:color="CCEEFF"/>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46.58</w:t>
            </w:r>
          </w:p>
        </w:tc>
      </w:tr>
      <w:tr>
        <w:trPr>
          <w:trHeight w:val="20"/>
        </w:trPr>
        <w:tc>
          <w:tcPr>
            <w:tcW w:w="55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weighted-average grant-date fair value of restricted stock units and restricted stock awards granted during the three-months ended March 31, 2013 and 2012 was $50.89 and $57.45 per share, respectively. As of March 31, 2013, 0.5 million of restricted stock units and restricted stock awards are expected to vest.</w:t>
      </w:r>
    </w:p>
    <w:p>
      <w:pPr>
        <w:spacing w:after="0" w:line="213"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At March 31, 2013, total unrecognized compensation expense relating to non-vested restricted stock awards and non-vested restricted stock units was $21.9 million, which is expected to be recognized over a weighted-average period of 2.2 years.</w:t>
      </w:r>
    </w:p>
    <w:p>
      <w:pPr>
        <w:spacing w:after="0" w:line="13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INCOME TAXES</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following is a roll-forward of the Company’s total gross unrecognized tax benefits, not including interest and penalties, for the three-months ended March 31, 2013:</w:t>
      </w:r>
    </w:p>
    <w:p>
      <w:pPr>
        <w:spacing w:after="0" w:line="203"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ind w:right="224"/>
              <w:spacing w:after="0"/>
              <w:rPr>
                <w:sz w:val="20"/>
                <w:szCs w:val="20"/>
                <w:color w:val="auto"/>
              </w:rPr>
            </w:pPr>
            <w:r>
              <w:rPr>
                <w:rFonts w:ascii="Arial" w:cs="Arial" w:eastAsia="Arial" w:hAnsi="Arial"/>
                <w:sz w:val="18"/>
                <w:szCs w:val="18"/>
                <w:b w:val="1"/>
                <w:bCs w:val="1"/>
                <w:color w:val="auto"/>
                <w:w w:val="91"/>
              </w:rPr>
              <w:t>Gross Unrealized Tax</w:t>
            </w:r>
          </w:p>
        </w:tc>
      </w:tr>
      <w:tr>
        <w:trPr>
          <w:trHeight w:val="234"/>
        </w:trPr>
        <w:tc>
          <w:tcPr>
            <w:tcW w:w="67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744"/>
              <w:spacing w:after="0"/>
              <w:rPr>
                <w:sz w:val="20"/>
                <w:szCs w:val="20"/>
                <w:color w:val="auto"/>
              </w:rPr>
            </w:pPr>
            <w:r>
              <w:rPr>
                <w:rFonts w:ascii="Arial" w:cs="Arial" w:eastAsia="Arial" w:hAnsi="Arial"/>
                <w:sz w:val="18"/>
                <w:szCs w:val="18"/>
                <w:b w:val="1"/>
                <w:bCs w:val="1"/>
                <w:color w:val="auto"/>
              </w:rPr>
              <w:t>Benefits</w:t>
            </w:r>
          </w:p>
        </w:tc>
      </w:tr>
      <w:tr>
        <w:trPr>
          <w:trHeight w:val="223"/>
        </w:trPr>
        <w:tc>
          <w:tcPr>
            <w:tcW w:w="674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b w:val="1"/>
                <w:bCs w:val="1"/>
                <w:color w:val="auto"/>
              </w:rPr>
              <w:t>Balance at December 31, 2012</w:t>
            </w:r>
          </w:p>
        </w:tc>
        <w:tc>
          <w:tcPr>
            <w:tcW w:w="3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2020" w:type="dxa"/>
            <w:vAlign w:val="bottom"/>
            <w:shd w:val="clear" w:color="auto" w:fill="CCEEFF"/>
          </w:tcPr>
          <w:p>
            <w:pPr>
              <w:jc w:val="right"/>
              <w:ind w:right="44"/>
              <w:spacing w:after="0" w:line="223" w:lineRule="exact"/>
              <w:rPr>
                <w:sz w:val="20"/>
                <w:szCs w:val="20"/>
                <w:color w:val="auto"/>
              </w:rPr>
            </w:pPr>
            <w:r>
              <w:rPr>
                <w:rFonts w:ascii="Arial" w:cs="Arial" w:eastAsia="Arial" w:hAnsi="Arial"/>
                <w:sz w:val="20"/>
                <w:szCs w:val="20"/>
                <w:color w:val="auto"/>
              </w:rPr>
              <w:t>926</w:t>
            </w:r>
          </w:p>
        </w:tc>
      </w:tr>
      <w:tr>
        <w:trPr>
          <w:trHeight w:val="230"/>
        </w:trPr>
        <w:tc>
          <w:tcPr>
            <w:tcW w:w="6740" w:type="dxa"/>
            <w:vAlign w:val="bottom"/>
          </w:tcPr>
          <w:p>
            <w:pPr>
              <w:ind w:left="20"/>
              <w:spacing w:after="0"/>
              <w:rPr>
                <w:sz w:val="20"/>
                <w:szCs w:val="20"/>
                <w:color w:val="auto"/>
              </w:rPr>
            </w:pPr>
            <w:r>
              <w:rPr>
                <w:rFonts w:ascii="Arial" w:cs="Arial" w:eastAsia="Arial" w:hAnsi="Arial"/>
                <w:sz w:val="20"/>
                <w:szCs w:val="20"/>
                <w:color w:val="auto"/>
              </w:rPr>
              <w:t>Additions for tax positions related to the current year</w:t>
            </w:r>
          </w:p>
        </w:tc>
        <w:tc>
          <w:tcPr>
            <w:tcW w:w="300" w:type="dxa"/>
            <w:vAlign w:val="bottom"/>
          </w:tcPr>
          <w:p>
            <w:pPr>
              <w:spacing w:after="0"/>
              <w:rPr>
                <w:sz w:val="19"/>
                <w:szCs w:val="19"/>
                <w:color w:val="auto"/>
              </w:rPr>
            </w:pPr>
          </w:p>
        </w:tc>
        <w:tc>
          <w:tcPr>
            <w:tcW w:w="2020" w:type="dxa"/>
            <w:vAlign w:val="bottom"/>
          </w:tcPr>
          <w:p>
            <w:pPr>
              <w:jc w:val="right"/>
              <w:ind w:right="44"/>
              <w:spacing w:after="0"/>
              <w:rPr>
                <w:sz w:val="20"/>
                <w:szCs w:val="20"/>
                <w:color w:val="auto"/>
              </w:rPr>
            </w:pPr>
            <w:r>
              <w:rPr>
                <w:rFonts w:ascii="Arial" w:cs="Arial" w:eastAsia="Arial" w:hAnsi="Arial"/>
                <w:sz w:val="20"/>
                <w:szCs w:val="20"/>
                <w:color w:val="auto"/>
              </w:rPr>
              <w:t>-</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Additions for tax positions related to the prior year</w:t>
            </w:r>
          </w:p>
        </w:tc>
        <w:tc>
          <w:tcPr>
            <w:tcW w:w="3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4"/>
              <w:spacing w:after="0"/>
              <w:rPr>
                <w:sz w:val="20"/>
                <w:szCs w:val="20"/>
                <w:color w:val="auto"/>
              </w:rPr>
            </w:pPr>
            <w:r>
              <w:rPr>
                <w:rFonts w:ascii="Arial" w:cs="Arial" w:eastAsia="Arial" w:hAnsi="Arial"/>
                <w:sz w:val="20"/>
                <w:szCs w:val="20"/>
                <w:color w:val="auto"/>
              </w:rPr>
              <w:t>397</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Decreases related to settlement with taxing authority</w:t>
            </w:r>
          </w:p>
        </w:tc>
        <w:tc>
          <w:tcPr>
            <w:tcW w:w="3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4"/>
              <w:spacing w:after="0"/>
              <w:rPr>
                <w:sz w:val="20"/>
                <w:szCs w:val="20"/>
                <w:color w:val="auto"/>
              </w:rPr>
            </w:pPr>
            <w:r>
              <w:rPr>
                <w:rFonts w:ascii="Arial" w:cs="Arial" w:eastAsia="Arial" w:hAnsi="Arial"/>
                <w:sz w:val="20"/>
                <w:szCs w:val="20"/>
                <w:color w:val="auto"/>
              </w:rPr>
              <w:t>-</w:t>
            </w:r>
          </w:p>
        </w:tc>
      </w:tr>
      <w:tr>
        <w:trPr>
          <w:trHeight w:val="223"/>
        </w:trPr>
        <w:tc>
          <w:tcPr>
            <w:tcW w:w="67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20"/>
                <w:szCs w:val="20"/>
                <w:b w:val="1"/>
                <w:bCs w:val="1"/>
                <w:color w:val="auto"/>
              </w:rPr>
              <w:t>Balance at March 31, 2013</w:t>
            </w:r>
          </w:p>
        </w:tc>
        <w:tc>
          <w:tcPr>
            <w:tcW w:w="3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2020" w:type="dxa"/>
            <w:vAlign w:val="bottom"/>
            <w:tcBorders>
              <w:bottom w:val="single" w:sz="8" w:color="auto"/>
            </w:tcBorders>
            <w:shd w:val="clear" w:color="auto" w:fill="CCEEFF"/>
          </w:tcPr>
          <w:p>
            <w:pPr>
              <w:jc w:val="right"/>
              <w:ind w:right="44"/>
              <w:spacing w:after="0" w:line="223" w:lineRule="exact"/>
              <w:rPr>
                <w:sz w:val="20"/>
                <w:szCs w:val="20"/>
                <w:color w:val="auto"/>
              </w:rPr>
            </w:pPr>
            <w:r>
              <w:rPr>
                <w:rFonts w:ascii="Arial" w:cs="Arial" w:eastAsia="Arial" w:hAnsi="Arial"/>
                <w:sz w:val="20"/>
                <w:szCs w:val="20"/>
                <w:color w:val="auto"/>
              </w:rPr>
              <w:t>1,323</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9" w:right="239" w:bottom="244"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9" w:right="239" w:bottom="244"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Company recognizes accrued interest and penalties related to unrecognized tax benefits in the provision for income taxes in the Company’s condensed consolidated financial statements. As of March 31, 2013, the Company had accrued approximately $0.4 million in interest and penalties related to unrecognized tax benefits. If the Company were to prevail on all uncertain tax positions, the resultant impact on the Company’s effective tax rate would not be significant. It is expected that the amount of unrecognized tax benefits will not change within the next 12 months.</w:t>
      </w:r>
    </w:p>
    <w:p>
      <w:pPr>
        <w:spacing w:after="0" w:line="20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On March 8, 2013, the Internal Revenue Service (“IRS”) began its examination of the Company’s U.S. federal income tax returns for the years ended December 31, 2010 and 2011. The Company is also in various stages of examination with certain states.</w:t>
      </w:r>
    </w:p>
    <w:p>
      <w:pPr>
        <w:spacing w:after="0" w:line="13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is subject to U.S. federal income tax as well as to income tax in multiple state and foreign jurisdictions. Federal income tax returns are subject to IRS examination for the 2010, 2011 and 2012 tax years. State income tax returns are subject to examination for the 2008 through 2012 tax years.</w:t>
      </w:r>
    </w:p>
    <w:p>
      <w:pPr>
        <w:spacing w:after="0" w:line="213"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EARNINGS PER SHARE</w:t>
      </w:r>
    </w:p>
    <w:p>
      <w:pPr>
        <w:spacing w:after="0" w:line="233"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A reconciliation of the weighted-average shares used in the basic and diluted earnings per common share computations is presented below:</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5100" w:type="dxa"/>
            <w:vAlign w:val="bottom"/>
          </w:tcPr>
          <w:p>
            <w:pPr>
              <w:spacing w:after="0"/>
              <w:rPr>
                <w:sz w:val="21"/>
                <w:szCs w:val="21"/>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21"/>
                <w:szCs w:val="21"/>
                <w:color w:val="auto"/>
                <w:w w:val="90"/>
              </w:rPr>
              <w:t>Three-Months Ended</w:t>
            </w:r>
          </w:p>
        </w:tc>
      </w:tr>
      <w:tr>
        <w:trPr>
          <w:trHeight w:val="256"/>
        </w:trPr>
        <w:tc>
          <w:tcPr>
            <w:tcW w:w="5100" w:type="dxa"/>
            <w:vAlign w:val="bottom"/>
          </w:tcPr>
          <w:p>
            <w:pPr>
              <w:spacing w:after="0"/>
              <w:rPr>
                <w:sz w:val="22"/>
                <w:szCs w:val="22"/>
                <w:color w:val="auto"/>
              </w:rPr>
            </w:pPr>
          </w:p>
        </w:tc>
        <w:tc>
          <w:tcPr>
            <w:tcW w:w="2020" w:type="dxa"/>
            <w:vAlign w:val="bottom"/>
            <w:tcBorders>
              <w:bottom w:val="single" w:sz="8" w:color="auto"/>
            </w:tcBorders>
            <w:gridSpan w:val="3"/>
          </w:tcPr>
          <w:p>
            <w:pPr>
              <w:jc w:val="center"/>
              <w:ind w:left="896"/>
              <w:spacing w:after="0"/>
              <w:rPr>
                <w:sz w:val="20"/>
                <w:szCs w:val="20"/>
                <w:color w:val="auto"/>
              </w:rPr>
            </w:pPr>
            <w:r>
              <w:rPr>
                <w:rFonts w:ascii="Arial" w:cs="Arial" w:eastAsia="Arial" w:hAnsi="Arial"/>
                <w:sz w:val="21"/>
                <w:szCs w:val="21"/>
                <w:color w:val="auto"/>
                <w:w w:val="92"/>
              </w:rPr>
              <w:t>March 31,</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5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376"/>
              <w:spacing w:after="0" w:line="237" w:lineRule="exact"/>
              <w:rPr>
                <w:sz w:val="20"/>
                <w:szCs w:val="20"/>
                <w:color w:val="auto"/>
              </w:rPr>
            </w:pPr>
            <w:r>
              <w:rPr>
                <w:rFonts w:ascii="Arial" w:cs="Arial" w:eastAsia="Arial" w:hAnsi="Arial"/>
                <w:sz w:val="21"/>
                <w:szCs w:val="21"/>
                <w:color w:val="auto"/>
              </w:rPr>
              <w:t>2013</w:t>
            </w:r>
          </w:p>
        </w:tc>
        <w:tc>
          <w:tcPr>
            <w:tcW w:w="2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6"/>
              <w:spacing w:after="0" w:line="237" w:lineRule="exact"/>
              <w:rPr>
                <w:sz w:val="20"/>
                <w:szCs w:val="20"/>
                <w:color w:val="auto"/>
              </w:rPr>
            </w:pPr>
            <w:r>
              <w:rPr>
                <w:rFonts w:ascii="Arial" w:cs="Arial" w:eastAsia="Arial" w:hAnsi="Arial"/>
                <w:sz w:val="21"/>
                <w:szCs w:val="21"/>
                <w:color w:val="auto"/>
              </w:rPr>
              <w:t>2012</w:t>
            </w:r>
          </w:p>
        </w:tc>
        <w:tc>
          <w:tcPr>
            <w:tcW w:w="100" w:type="dxa"/>
            <w:vAlign w:val="bottom"/>
            <w:tcBorders>
              <w:bottom w:val="single" w:sz="8" w:color="CCEEFF"/>
            </w:tcBorders>
          </w:tcPr>
          <w:p>
            <w:pPr>
              <w:spacing w:after="0"/>
              <w:rPr>
                <w:sz w:val="20"/>
                <w:szCs w:val="20"/>
                <w:color w:val="auto"/>
              </w:rPr>
            </w:pPr>
          </w:p>
        </w:tc>
      </w:tr>
      <w:tr>
        <w:trPr>
          <w:trHeight w:val="223"/>
        </w:trPr>
        <w:tc>
          <w:tcPr>
            <w:tcW w:w="5100" w:type="dxa"/>
            <w:vAlign w:val="bottom"/>
            <w:shd w:val="clear" w:color="auto" w:fill="CCEEFF"/>
          </w:tcPr>
          <w:p>
            <w:pPr>
              <w:ind w:left="20"/>
              <w:spacing w:after="0" w:line="223" w:lineRule="exact"/>
              <w:rPr>
                <w:sz w:val="20"/>
                <w:szCs w:val="20"/>
                <w:color w:val="auto"/>
              </w:rPr>
            </w:pPr>
            <w:r>
              <w:rPr>
                <w:rFonts w:ascii="Arial" w:cs="Arial" w:eastAsia="Arial" w:hAnsi="Arial"/>
                <w:sz w:val="21"/>
                <w:szCs w:val="21"/>
                <w:color w:val="auto"/>
              </w:rPr>
              <w:t>Weighted-average shares outstanding:</w:t>
            </w: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5100" w:type="dxa"/>
            <w:vAlign w:val="bottom"/>
          </w:tcPr>
          <w:p>
            <w:pPr>
              <w:ind w:left="200"/>
              <w:spacing w:after="0"/>
              <w:rPr>
                <w:sz w:val="20"/>
                <w:szCs w:val="20"/>
                <w:color w:val="auto"/>
              </w:rPr>
            </w:pPr>
            <w:r>
              <w:rPr>
                <w:rFonts w:ascii="Arial" w:cs="Arial" w:eastAsia="Arial" w:hAnsi="Arial"/>
                <w:sz w:val="21"/>
                <w:szCs w:val="21"/>
                <w:color w:val="auto"/>
              </w:rPr>
              <w:t>Basic</w:t>
            </w:r>
          </w:p>
        </w:tc>
        <w:tc>
          <w:tcPr>
            <w:tcW w:w="1380" w:type="dxa"/>
            <w:vAlign w:val="bottom"/>
          </w:tcPr>
          <w:p>
            <w:pPr>
              <w:jc w:val="right"/>
              <w:ind w:right="16"/>
              <w:spacing w:after="0"/>
              <w:rPr>
                <w:sz w:val="20"/>
                <w:szCs w:val="20"/>
                <w:color w:val="auto"/>
              </w:rPr>
            </w:pPr>
            <w:r>
              <w:rPr>
                <w:rFonts w:ascii="Arial" w:cs="Arial" w:eastAsia="Arial" w:hAnsi="Arial"/>
                <w:sz w:val="21"/>
                <w:szCs w:val="21"/>
                <w:color w:val="auto"/>
              </w:rPr>
              <w:t>165,525</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21"/>
                <w:szCs w:val="21"/>
                <w:color w:val="auto"/>
              </w:rPr>
              <w:t>174,832</w:t>
            </w:r>
          </w:p>
        </w:tc>
        <w:tc>
          <w:tcPr>
            <w:tcW w:w="100" w:type="dxa"/>
            <w:vAlign w:val="bottom"/>
          </w:tcPr>
          <w:p>
            <w:pPr>
              <w:spacing w:after="0"/>
              <w:rPr>
                <w:sz w:val="21"/>
                <w:szCs w:val="21"/>
                <w:color w:val="auto"/>
              </w:rPr>
            </w:pPr>
          </w:p>
        </w:tc>
      </w:tr>
      <w:tr>
        <w:trPr>
          <w:trHeight w:val="243"/>
        </w:trPr>
        <w:tc>
          <w:tcPr>
            <w:tcW w:w="5100" w:type="dxa"/>
            <w:vAlign w:val="bottom"/>
            <w:shd w:val="clear" w:color="auto" w:fill="CCEEFF"/>
          </w:tcPr>
          <w:p>
            <w:pPr>
              <w:ind w:left="200"/>
              <w:spacing w:after="0"/>
              <w:rPr>
                <w:sz w:val="20"/>
                <w:szCs w:val="20"/>
                <w:color w:val="auto"/>
              </w:rPr>
            </w:pPr>
            <w:r>
              <w:rPr>
                <w:rFonts w:ascii="Arial" w:cs="Arial" w:eastAsia="Arial" w:hAnsi="Arial"/>
                <w:sz w:val="21"/>
                <w:szCs w:val="21"/>
                <w:color w:val="auto"/>
              </w:rPr>
              <w:t>Dilutive securities</w:t>
            </w: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21"/>
                <w:szCs w:val="21"/>
                <w:color w:val="auto"/>
              </w:rPr>
              <w:t>7,034</w:t>
            </w:r>
          </w:p>
        </w:tc>
        <w:tc>
          <w:tcPr>
            <w:tcW w:w="2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21"/>
                <w:szCs w:val="21"/>
                <w:color w:val="auto"/>
              </w:rPr>
              <w:t>10,430</w:t>
            </w:r>
          </w:p>
        </w:tc>
        <w:tc>
          <w:tcPr>
            <w:tcW w:w="100" w:type="dxa"/>
            <w:vAlign w:val="bottom"/>
            <w:shd w:val="clear" w:color="auto" w:fill="CCEEFF"/>
          </w:tcPr>
          <w:p>
            <w:pPr>
              <w:spacing w:after="0"/>
              <w:rPr>
                <w:sz w:val="21"/>
                <w:szCs w:val="21"/>
                <w:color w:val="auto"/>
              </w:rPr>
            </w:pPr>
          </w:p>
        </w:tc>
      </w:tr>
      <w:tr>
        <w:trPr>
          <w:trHeight w:val="237"/>
        </w:trPr>
        <w:tc>
          <w:tcPr>
            <w:tcW w:w="5100" w:type="dxa"/>
            <w:vAlign w:val="bottom"/>
          </w:tcPr>
          <w:p>
            <w:pPr>
              <w:ind w:left="200"/>
              <w:spacing w:after="0" w:line="237" w:lineRule="exact"/>
              <w:rPr>
                <w:sz w:val="20"/>
                <w:szCs w:val="20"/>
                <w:color w:val="auto"/>
              </w:rPr>
            </w:pPr>
            <w:r>
              <w:rPr>
                <w:rFonts w:ascii="Arial" w:cs="Arial" w:eastAsia="Arial" w:hAnsi="Arial"/>
                <w:sz w:val="21"/>
                <w:szCs w:val="21"/>
                <w:color w:val="auto"/>
              </w:rPr>
              <w:t>Diluted</w:t>
            </w:r>
          </w:p>
        </w:tc>
        <w:tc>
          <w:tcPr>
            <w:tcW w:w="138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172,559</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185,262</w:t>
            </w:r>
          </w:p>
        </w:tc>
        <w:tc>
          <w:tcPr>
            <w:tcW w:w="10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For the three-months ended March 31, 2013 and 2012, options outstanding totaling 0.8 million and 0.2 million shares, respectively, were excluded from the calculations as their effect would have been antidilutive.</w:t>
      </w:r>
    </w:p>
    <w:p>
      <w:pPr>
        <w:spacing w:after="0" w:line="20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SEGMENT INFORMATION</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Company has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have been allocated to “Corporate &amp; Unallocated.”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net revenues derived from the DSD and Warehouse segments and other financial information related thereto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6"/>
          </w:tcPr>
          <w:p>
            <w:pPr>
              <w:ind w:left="200"/>
              <w:spacing w:after="0"/>
              <w:rPr>
                <w:sz w:val="20"/>
                <w:szCs w:val="20"/>
                <w:color w:val="auto"/>
              </w:rPr>
            </w:pPr>
            <w:r>
              <w:rPr>
                <w:rFonts w:ascii="Arial" w:cs="Arial" w:eastAsia="Arial" w:hAnsi="Arial"/>
                <w:sz w:val="20"/>
                <w:szCs w:val="20"/>
                <w:color w:val="auto"/>
              </w:rPr>
              <w:t>Three-Months Ended March 31, 2013</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06"/>
        </w:trPr>
        <w:tc>
          <w:tcPr>
            <w:tcW w:w="4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440"/>
              <w:spacing w:after="0" w:line="207" w:lineRule="exact"/>
              <w:rPr>
                <w:sz w:val="20"/>
                <w:szCs w:val="20"/>
                <w:color w:val="auto"/>
              </w:rPr>
            </w:pPr>
            <w:r>
              <w:rPr>
                <w:rFonts w:ascii="Arial" w:cs="Arial" w:eastAsia="Arial" w:hAnsi="Arial"/>
                <w:sz w:val="20"/>
                <w:szCs w:val="20"/>
                <w:color w:val="auto"/>
                <w:w w:val="87"/>
              </w:rPr>
              <w:t>Corporate and</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6"/>
        </w:trPr>
        <w:tc>
          <w:tcPr>
            <w:tcW w:w="4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20"/>
                <w:szCs w:val="20"/>
                <w:color w:val="auto"/>
              </w:rPr>
              <w:t>DSD</w:t>
            </w:r>
          </w:p>
        </w:tc>
        <w:tc>
          <w:tcPr>
            <w:tcW w:w="300" w:type="dxa"/>
            <w:vAlign w:val="bottom"/>
          </w:tcPr>
          <w:p>
            <w:pPr>
              <w:spacing w:after="0"/>
              <w:rPr>
                <w:sz w:val="21"/>
                <w:szCs w:val="21"/>
                <w:color w:val="auto"/>
              </w:rPr>
            </w:pPr>
          </w:p>
        </w:tc>
        <w:tc>
          <w:tcPr>
            <w:tcW w:w="1500" w:type="dxa"/>
            <w:vAlign w:val="bottom"/>
            <w:gridSpan w:val="2"/>
          </w:tcPr>
          <w:p>
            <w:pPr>
              <w:ind w:left="40"/>
              <w:spacing w:after="0"/>
              <w:rPr>
                <w:sz w:val="20"/>
                <w:szCs w:val="20"/>
                <w:color w:val="auto"/>
              </w:rPr>
            </w:pPr>
            <w:r>
              <w:rPr>
                <w:rFonts w:ascii="Arial" w:cs="Arial" w:eastAsia="Arial" w:hAnsi="Arial"/>
                <w:sz w:val="20"/>
                <w:szCs w:val="20"/>
                <w:color w:val="auto"/>
              </w:rPr>
              <w:t>Warehouse</w:t>
            </w:r>
          </w:p>
        </w:tc>
        <w:tc>
          <w:tcPr>
            <w:tcW w:w="240" w:type="dxa"/>
            <w:vAlign w:val="bottom"/>
          </w:tcPr>
          <w:p>
            <w:pPr>
              <w:spacing w:after="0"/>
              <w:rPr>
                <w:sz w:val="21"/>
                <w:szCs w:val="21"/>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20"/>
                <w:szCs w:val="20"/>
                <w:color w:val="auto"/>
                <w:w w:val="90"/>
              </w:rPr>
              <w:t>Unallocated</w:t>
            </w:r>
          </w:p>
        </w:tc>
        <w:tc>
          <w:tcPr>
            <w:tcW w:w="400" w:type="dxa"/>
            <w:vAlign w:val="bottom"/>
          </w:tcPr>
          <w:p>
            <w:pPr>
              <w:spacing w:after="0"/>
              <w:rPr>
                <w:sz w:val="21"/>
                <w:szCs w:val="21"/>
                <w:color w:val="auto"/>
              </w:rPr>
            </w:pPr>
          </w:p>
        </w:tc>
        <w:tc>
          <w:tcPr>
            <w:tcW w:w="1100" w:type="dxa"/>
            <w:vAlign w:val="bottom"/>
          </w:tcPr>
          <w:p>
            <w:pPr>
              <w:jc w:val="right"/>
              <w:ind w:right="441"/>
              <w:spacing w:after="0"/>
              <w:rPr>
                <w:sz w:val="20"/>
                <w:szCs w:val="20"/>
                <w:color w:val="auto"/>
              </w:rPr>
            </w:pPr>
            <w:r>
              <w:rPr>
                <w:rFonts w:ascii="Arial" w:cs="Arial" w:eastAsia="Arial" w:hAnsi="Arial"/>
                <w:sz w:val="20"/>
                <w:szCs w:val="20"/>
                <w:color w:val="auto"/>
              </w:rPr>
              <w:t>Total</w:t>
            </w:r>
          </w:p>
        </w:tc>
      </w:tr>
      <w:tr>
        <w:trPr>
          <w:trHeight w:val="223"/>
        </w:trPr>
        <w:tc>
          <w:tcPr>
            <w:tcW w:w="45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42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460,175</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24,048</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484,223</w:t>
            </w:r>
          </w:p>
        </w:tc>
      </w:tr>
      <w:tr>
        <w:trPr>
          <w:trHeight w:val="230"/>
        </w:trPr>
        <w:tc>
          <w:tcPr>
            <w:tcW w:w="4500" w:type="dxa"/>
            <w:vAlign w:val="bottom"/>
          </w:tcPr>
          <w:p>
            <w:pPr>
              <w:spacing w:after="0"/>
              <w:rPr>
                <w:sz w:val="20"/>
                <w:szCs w:val="20"/>
                <w:color w:val="auto"/>
              </w:rPr>
            </w:pPr>
            <w:r>
              <w:rPr>
                <w:rFonts w:ascii="Arial" w:cs="Arial" w:eastAsia="Arial" w:hAnsi="Arial"/>
                <w:sz w:val="20"/>
                <w:szCs w:val="20"/>
                <w:color w:val="auto"/>
              </w:rPr>
              <w:t>Contribution margin</w:t>
            </w: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138,974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382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139,356</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(32,050)</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(32,050)</w:t>
            </w:r>
          </w:p>
        </w:tc>
      </w:tr>
      <w:tr>
        <w:trPr>
          <w:trHeight w:val="230"/>
        </w:trPr>
        <w:tc>
          <w:tcPr>
            <w:tcW w:w="4500" w:type="dxa"/>
            <w:vAlign w:val="bottom"/>
          </w:tcPr>
          <w:p>
            <w:pPr>
              <w:spacing w:after="0"/>
              <w:rPr>
                <w:sz w:val="20"/>
                <w:szCs w:val="20"/>
                <w:color w:val="auto"/>
              </w:rPr>
            </w:pPr>
            <w:r>
              <w:rPr>
                <w:rFonts w:ascii="Arial" w:cs="Arial" w:eastAsia="Arial" w:hAnsi="Arial"/>
                <w:sz w:val="20"/>
                <w:szCs w:val="20"/>
                <w:color w:val="auto"/>
              </w:rPr>
              <w:t>Operating income</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107,306</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20"/>
                <w:szCs w:val="20"/>
                <w:color w:val="auto"/>
              </w:rPr>
              <w:t>Other income (expense)</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188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(2,090)</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(1,902)</w:t>
            </w:r>
          </w:p>
        </w:tc>
      </w:tr>
      <w:tr>
        <w:trPr>
          <w:trHeight w:val="230"/>
        </w:trPr>
        <w:tc>
          <w:tcPr>
            <w:tcW w:w="45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105,404</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(4,421)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(580)</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(5,048)</w:t>
            </w: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42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w:t>
            </w:r>
          </w:p>
        </w:tc>
      </w:tr>
    </w:tbl>
    <w:p>
      <w:pPr>
        <w:sectPr>
          <w:pgSz w:w="11900" w:h="16838" w:orient="portrait"/>
          <w:cols w:equalWidth="0" w:num="1">
            <w:col w:w="11420"/>
          </w:cols>
          <w:pgMar w:left="240" w:top="125" w:right="239" w:bottom="204"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5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6"/>
          </w:tcPr>
          <w:p>
            <w:pPr>
              <w:ind w:left="200"/>
              <w:spacing w:after="0"/>
              <w:rPr>
                <w:sz w:val="20"/>
                <w:szCs w:val="20"/>
                <w:color w:val="auto"/>
              </w:rPr>
            </w:pPr>
            <w:r>
              <w:rPr>
                <w:rFonts w:ascii="Arial" w:cs="Arial" w:eastAsia="Arial" w:hAnsi="Arial"/>
                <w:sz w:val="20"/>
                <w:szCs w:val="20"/>
                <w:color w:val="auto"/>
              </w:rPr>
              <w:t>Three-Months Ended March 31, 2012</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06"/>
        </w:trPr>
        <w:tc>
          <w:tcPr>
            <w:tcW w:w="4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440"/>
              <w:spacing w:after="0" w:line="207" w:lineRule="exact"/>
              <w:rPr>
                <w:sz w:val="20"/>
                <w:szCs w:val="20"/>
                <w:color w:val="auto"/>
              </w:rPr>
            </w:pPr>
            <w:r>
              <w:rPr>
                <w:rFonts w:ascii="Arial" w:cs="Arial" w:eastAsia="Arial" w:hAnsi="Arial"/>
                <w:sz w:val="20"/>
                <w:szCs w:val="20"/>
                <w:color w:val="auto"/>
                <w:w w:val="87"/>
              </w:rPr>
              <w:t>Corporate and</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6"/>
        </w:trPr>
        <w:tc>
          <w:tcPr>
            <w:tcW w:w="4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20"/>
                <w:szCs w:val="20"/>
                <w:color w:val="auto"/>
              </w:rPr>
              <w:t>DSD</w:t>
            </w:r>
          </w:p>
        </w:tc>
        <w:tc>
          <w:tcPr>
            <w:tcW w:w="300" w:type="dxa"/>
            <w:vAlign w:val="bottom"/>
          </w:tcPr>
          <w:p>
            <w:pPr>
              <w:spacing w:after="0"/>
              <w:rPr>
                <w:sz w:val="21"/>
                <w:szCs w:val="21"/>
                <w:color w:val="auto"/>
              </w:rPr>
            </w:pPr>
          </w:p>
        </w:tc>
        <w:tc>
          <w:tcPr>
            <w:tcW w:w="1500" w:type="dxa"/>
            <w:vAlign w:val="bottom"/>
            <w:gridSpan w:val="2"/>
          </w:tcPr>
          <w:p>
            <w:pPr>
              <w:ind w:left="40"/>
              <w:spacing w:after="0"/>
              <w:rPr>
                <w:sz w:val="20"/>
                <w:szCs w:val="20"/>
                <w:color w:val="auto"/>
              </w:rPr>
            </w:pPr>
            <w:r>
              <w:rPr>
                <w:rFonts w:ascii="Arial" w:cs="Arial" w:eastAsia="Arial" w:hAnsi="Arial"/>
                <w:sz w:val="20"/>
                <w:szCs w:val="20"/>
                <w:color w:val="auto"/>
              </w:rPr>
              <w:t>Warehouse</w:t>
            </w:r>
          </w:p>
        </w:tc>
        <w:tc>
          <w:tcPr>
            <w:tcW w:w="240" w:type="dxa"/>
            <w:vAlign w:val="bottom"/>
          </w:tcPr>
          <w:p>
            <w:pPr>
              <w:spacing w:after="0"/>
              <w:rPr>
                <w:sz w:val="21"/>
                <w:szCs w:val="21"/>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20"/>
                <w:szCs w:val="20"/>
                <w:color w:val="auto"/>
                <w:w w:val="90"/>
              </w:rPr>
              <w:t>Unallocated</w:t>
            </w:r>
          </w:p>
        </w:tc>
        <w:tc>
          <w:tcPr>
            <w:tcW w:w="400" w:type="dxa"/>
            <w:vAlign w:val="bottom"/>
          </w:tcPr>
          <w:p>
            <w:pPr>
              <w:spacing w:after="0"/>
              <w:rPr>
                <w:sz w:val="21"/>
                <w:szCs w:val="21"/>
                <w:color w:val="auto"/>
              </w:rPr>
            </w:pPr>
          </w:p>
        </w:tc>
        <w:tc>
          <w:tcPr>
            <w:tcW w:w="1100" w:type="dxa"/>
            <w:vAlign w:val="bottom"/>
          </w:tcPr>
          <w:p>
            <w:pPr>
              <w:jc w:val="right"/>
              <w:ind w:right="441"/>
              <w:spacing w:after="0"/>
              <w:rPr>
                <w:sz w:val="20"/>
                <w:szCs w:val="20"/>
                <w:color w:val="auto"/>
              </w:rPr>
            </w:pPr>
            <w:r>
              <w:rPr>
                <w:rFonts w:ascii="Arial" w:cs="Arial" w:eastAsia="Arial" w:hAnsi="Arial"/>
                <w:sz w:val="20"/>
                <w:szCs w:val="20"/>
                <w:color w:val="auto"/>
              </w:rPr>
              <w:t>Total</w:t>
            </w:r>
          </w:p>
        </w:tc>
      </w:tr>
      <w:tr>
        <w:trPr>
          <w:trHeight w:val="223"/>
        </w:trPr>
        <w:tc>
          <w:tcPr>
            <w:tcW w:w="45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42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431,182</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23,423</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454,605</w:t>
            </w:r>
          </w:p>
        </w:tc>
      </w:tr>
      <w:tr>
        <w:trPr>
          <w:trHeight w:val="230"/>
        </w:trPr>
        <w:tc>
          <w:tcPr>
            <w:tcW w:w="4500" w:type="dxa"/>
            <w:vAlign w:val="bottom"/>
          </w:tcPr>
          <w:p>
            <w:pPr>
              <w:spacing w:after="0"/>
              <w:rPr>
                <w:sz w:val="20"/>
                <w:szCs w:val="20"/>
                <w:color w:val="auto"/>
              </w:rPr>
            </w:pPr>
            <w:r>
              <w:rPr>
                <w:rFonts w:ascii="Arial" w:cs="Arial" w:eastAsia="Arial" w:hAnsi="Arial"/>
                <w:sz w:val="20"/>
                <w:szCs w:val="20"/>
                <w:color w:val="auto"/>
              </w:rPr>
              <w:t>Contribution margin</w:t>
            </w: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149,092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2,157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151,249</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(24,964)</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(24,964)</w:t>
            </w:r>
          </w:p>
        </w:tc>
      </w:tr>
      <w:tr>
        <w:trPr>
          <w:trHeight w:val="230"/>
        </w:trPr>
        <w:tc>
          <w:tcPr>
            <w:tcW w:w="4500" w:type="dxa"/>
            <w:vAlign w:val="bottom"/>
          </w:tcPr>
          <w:p>
            <w:pPr>
              <w:spacing w:after="0"/>
              <w:rPr>
                <w:sz w:val="20"/>
                <w:szCs w:val="20"/>
                <w:color w:val="auto"/>
              </w:rPr>
            </w:pPr>
            <w:r>
              <w:rPr>
                <w:rFonts w:ascii="Arial" w:cs="Arial" w:eastAsia="Arial" w:hAnsi="Arial"/>
                <w:sz w:val="20"/>
                <w:szCs w:val="20"/>
                <w:color w:val="auto"/>
              </w:rPr>
              <w:t>Operating income</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126,285</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20"/>
                <w:szCs w:val="20"/>
                <w:color w:val="auto"/>
              </w:rPr>
              <w:t>Other income (expense)</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100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246</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346</w:t>
            </w:r>
          </w:p>
        </w:tc>
      </w:tr>
      <w:tr>
        <w:trPr>
          <w:trHeight w:val="230"/>
        </w:trPr>
        <w:tc>
          <w:tcPr>
            <w:tcW w:w="45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126,631</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(3,783)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(1,144)</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(4,956)</w:t>
            </w: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42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w:t>
            </w:r>
          </w:p>
        </w:tc>
      </w:tr>
    </w:tbl>
    <w:p>
      <w:pPr>
        <w:spacing w:after="0" w:line="20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Revenue is derived from sales to external customers. Operating expenses that pertain to each segment are allocated to the appropriate segment.</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Corporate and unallocated expenses were $32.0 million for the three-months ended March 31, 2013 and included $19.4 million of payroll costs, of which $7.0 million was attributable to stock-based compensation expense (see Note 12, “Stock-Based Compensation”), $7.6 million attributable to professional service expenses, including accounting and legal costs and $5.0 million of other operating expenses. Corporate and unallocated expenses were $25.0 million for the three-months ended March 31, 2012 and included $17.7 million of payroll costs, of which $6.6 million was attributable to stock-based compensation expense (see Note 12, “Stock-Based Compensation”), $4.7 million attributable to professional service expenses, including accounting and legal costs, and $2.6 million of other operating expenses.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Coca-Cola Refreshments USA Inc. (“CCR”), a customer of the DSD segment, accounted for approximately 30% of the Company’s net sales for both the three-months ended March 31, 2013 and 2012.</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Net sales to customers outside the United States amounted to $106.3 million and $79.2 million for the three-months ended March 31, 2013 and 2012, respectively.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net sales by product line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60" w:type="dxa"/>
            <w:vAlign w:val="bottom"/>
            <w:gridSpan w:val="4"/>
          </w:tcPr>
          <w:p>
            <w:pPr>
              <w:jc w:val="right"/>
              <w:ind w:right="636"/>
              <w:spacing w:after="0"/>
              <w:rPr>
                <w:sz w:val="20"/>
                <w:szCs w:val="20"/>
                <w:color w:val="auto"/>
              </w:rPr>
            </w:pPr>
            <w:r>
              <w:rPr>
                <w:rFonts w:ascii="Arial" w:cs="Arial" w:eastAsia="Arial" w:hAnsi="Arial"/>
                <w:sz w:val="21"/>
                <w:szCs w:val="21"/>
                <w:color w:val="auto"/>
              </w:rPr>
              <w:t>Three-Months Ended</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80" w:type="dxa"/>
            <w:vAlign w:val="bottom"/>
            <w:gridSpan w:val="2"/>
            <w:vMerge w:val="restart"/>
          </w:tcPr>
          <w:p>
            <w:pPr>
              <w:ind w:left="40"/>
              <w:spacing w:after="0"/>
              <w:rPr>
                <w:sz w:val="20"/>
                <w:szCs w:val="20"/>
                <w:color w:val="auto"/>
              </w:rPr>
            </w:pPr>
            <w:r>
              <w:rPr>
                <w:rFonts w:ascii="Arial" w:cs="Arial" w:eastAsia="Arial" w:hAnsi="Arial"/>
                <w:sz w:val="21"/>
                <w:szCs w:val="21"/>
                <w:color w:val="auto"/>
              </w:rPr>
              <w:t>Product Line</w:t>
            </w:r>
          </w:p>
        </w:tc>
        <w:tc>
          <w:tcPr>
            <w:tcW w:w="3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21"/>
                <w:szCs w:val="21"/>
                <w:color w:val="auto"/>
              </w:rPr>
              <w:t>March 31,</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436"/>
              <w:spacing w:after="0" w:line="237" w:lineRule="exact"/>
              <w:rPr>
                <w:sz w:val="20"/>
                <w:szCs w:val="20"/>
                <w:color w:val="auto"/>
              </w:rPr>
            </w:pPr>
            <w:r>
              <w:rPr>
                <w:rFonts w:ascii="Arial" w:cs="Arial" w:eastAsia="Arial" w:hAnsi="Arial"/>
                <w:sz w:val="21"/>
                <w:szCs w:val="21"/>
                <w:color w:val="auto"/>
              </w:rPr>
              <w:t>2013</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456"/>
              <w:spacing w:after="0" w:line="237" w:lineRule="exact"/>
              <w:rPr>
                <w:sz w:val="20"/>
                <w:szCs w:val="20"/>
                <w:color w:val="auto"/>
              </w:rPr>
            </w:pPr>
            <w:r>
              <w:rPr>
                <w:rFonts w:ascii="Arial" w:cs="Arial" w:eastAsia="Arial" w:hAnsi="Arial"/>
                <w:sz w:val="21"/>
                <w:szCs w:val="21"/>
                <w:color w:val="auto"/>
              </w:rPr>
              <w:t>2012</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60" w:type="dxa"/>
            <w:vAlign w:val="bottom"/>
            <w:tcBorders>
              <w:top w:val="single" w:sz="8" w:color="auto"/>
            </w:tcBorders>
            <w:shd w:val="clear" w:color="auto" w:fill="CCEEFF"/>
          </w:tcPr>
          <w:p>
            <w:pPr>
              <w:ind w:left="40"/>
              <w:spacing w:after="0" w:line="237" w:lineRule="exact"/>
              <w:rPr>
                <w:sz w:val="20"/>
                <w:szCs w:val="20"/>
                <w:color w:val="auto"/>
              </w:rPr>
            </w:pPr>
            <w:r>
              <w:rPr>
                <w:rFonts w:ascii="Arial" w:cs="Arial" w:eastAsia="Arial" w:hAnsi="Arial"/>
                <w:sz w:val="21"/>
                <w:szCs w:val="21"/>
                <w:color w:val="auto"/>
              </w:rPr>
              <w:t>Energy drinks</w:t>
            </w:r>
          </w:p>
        </w:tc>
        <w:tc>
          <w:tcPr>
            <w:tcW w:w="2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12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446,026</w:t>
            </w:r>
          </w:p>
        </w:tc>
        <w:tc>
          <w:tcPr>
            <w:tcW w:w="2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96"/>
              <w:spacing w:after="0" w:line="237" w:lineRule="exact"/>
              <w:rPr>
                <w:sz w:val="20"/>
                <w:szCs w:val="20"/>
                <w:color w:val="auto"/>
              </w:rPr>
            </w:pPr>
            <w:r>
              <w:rPr>
                <w:rFonts w:ascii="Arial" w:cs="Arial" w:eastAsia="Arial" w:hAnsi="Arial"/>
                <w:sz w:val="21"/>
                <w:szCs w:val="21"/>
                <w:color w:val="auto"/>
              </w:rPr>
              <w:t>$</w:t>
            </w:r>
          </w:p>
        </w:tc>
        <w:tc>
          <w:tcPr>
            <w:tcW w:w="108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418,912</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80" w:type="dxa"/>
            <w:vAlign w:val="bottom"/>
            <w:gridSpan w:val="2"/>
          </w:tcPr>
          <w:p>
            <w:pPr>
              <w:ind w:left="40"/>
              <w:spacing w:after="0" w:line="230" w:lineRule="exact"/>
              <w:rPr>
                <w:sz w:val="20"/>
                <w:szCs w:val="20"/>
                <w:color w:val="auto"/>
              </w:rPr>
            </w:pPr>
            <w:r>
              <w:rPr>
                <w:rFonts w:ascii="Arial" w:cs="Arial" w:eastAsia="Arial" w:hAnsi="Arial"/>
                <w:sz w:val="21"/>
                <w:szCs w:val="21"/>
                <w:color w:val="auto"/>
                <w:w w:val="93"/>
              </w:rPr>
              <w:t>Non-carbonated (primarily juice based beverages and Peace Tea®</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80" w:type="dxa"/>
            <w:vAlign w:val="bottom"/>
            <w:gridSpan w:val="2"/>
          </w:tcPr>
          <w:p>
            <w:pPr>
              <w:ind w:left="220"/>
              <w:spacing w:after="0"/>
              <w:rPr>
                <w:sz w:val="20"/>
                <w:szCs w:val="20"/>
                <w:color w:val="auto"/>
              </w:rPr>
            </w:pPr>
            <w:r>
              <w:rPr>
                <w:rFonts w:ascii="Arial" w:cs="Arial" w:eastAsia="Arial" w:hAnsi="Arial"/>
                <w:sz w:val="21"/>
                <w:szCs w:val="21"/>
                <w:color w:val="auto"/>
              </w:rPr>
              <w:t>iced teas)</w:t>
            </w:r>
          </w:p>
        </w:tc>
        <w:tc>
          <w:tcPr>
            <w:tcW w:w="380" w:type="dxa"/>
            <w:vAlign w:val="bottom"/>
          </w:tcPr>
          <w:p>
            <w:pPr>
              <w:spacing w:after="0"/>
              <w:rPr>
                <w:sz w:val="22"/>
                <w:szCs w:val="22"/>
                <w:color w:val="auto"/>
              </w:rPr>
            </w:pPr>
          </w:p>
        </w:tc>
        <w:tc>
          <w:tcPr>
            <w:tcW w:w="1120" w:type="dxa"/>
            <w:vAlign w:val="bottom"/>
          </w:tcPr>
          <w:p>
            <w:pPr>
              <w:jc w:val="right"/>
              <w:ind w:right="36"/>
              <w:spacing w:after="0"/>
              <w:rPr>
                <w:sz w:val="20"/>
                <w:szCs w:val="20"/>
                <w:color w:val="auto"/>
              </w:rPr>
            </w:pPr>
            <w:r>
              <w:rPr>
                <w:rFonts w:ascii="Arial" w:cs="Arial" w:eastAsia="Arial" w:hAnsi="Arial"/>
                <w:sz w:val="21"/>
                <w:szCs w:val="21"/>
                <w:color w:val="auto"/>
              </w:rPr>
              <w:t>27,972</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16"/>
              <w:spacing w:after="0"/>
              <w:rPr>
                <w:sz w:val="20"/>
                <w:szCs w:val="20"/>
                <w:color w:val="auto"/>
              </w:rPr>
            </w:pPr>
            <w:r>
              <w:rPr>
                <w:rFonts w:ascii="Arial" w:cs="Arial" w:eastAsia="Arial" w:hAnsi="Arial"/>
                <w:sz w:val="21"/>
                <w:szCs w:val="21"/>
                <w:color w:val="auto"/>
              </w:rPr>
              <w:t>24,252</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80" w:type="dxa"/>
            <w:vAlign w:val="bottom"/>
            <w:gridSpan w:val="2"/>
            <w:shd w:val="clear" w:color="auto" w:fill="CCEEFF"/>
          </w:tcPr>
          <w:p>
            <w:pPr>
              <w:ind w:left="40"/>
              <w:spacing w:after="0"/>
              <w:rPr>
                <w:sz w:val="20"/>
                <w:szCs w:val="20"/>
                <w:color w:val="auto"/>
              </w:rPr>
            </w:pPr>
            <w:r>
              <w:rPr>
                <w:rFonts w:ascii="Arial" w:cs="Arial" w:eastAsia="Arial" w:hAnsi="Arial"/>
                <w:sz w:val="21"/>
                <w:szCs w:val="21"/>
                <w:color w:val="auto"/>
              </w:rPr>
              <w:t>Carbonated (primarily soda beverages)</w:t>
            </w: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6,401</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7,661</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80" w:type="dxa"/>
            <w:vAlign w:val="bottom"/>
            <w:tcBorders>
              <w:bottom w:val="single" w:sz="8" w:color="CCEEFF"/>
            </w:tcBorders>
            <w:gridSpan w:val="2"/>
          </w:tcPr>
          <w:p>
            <w:pPr>
              <w:ind w:left="40"/>
              <w:spacing w:after="0"/>
              <w:rPr>
                <w:sz w:val="20"/>
                <w:szCs w:val="20"/>
                <w:color w:val="auto"/>
              </w:rPr>
            </w:pPr>
            <w:r>
              <w:rPr>
                <w:rFonts w:ascii="Arial" w:cs="Arial" w:eastAsia="Arial" w:hAnsi="Arial"/>
                <w:sz w:val="21"/>
                <w:szCs w:val="21"/>
                <w:color w:val="auto"/>
              </w:rPr>
              <w:t>Other</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3,824</w:t>
            </w: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3,780</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120" w:type="dxa"/>
            <w:vAlign w:val="bottom"/>
            <w:tcBorders>
              <w:bottom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484,223</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96"/>
              <w:spacing w:after="0" w:line="237" w:lineRule="exact"/>
              <w:rPr>
                <w:sz w:val="20"/>
                <w:szCs w:val="20"/>
                <w:color w:val="auto"/>
              </w:rPr>
            </w:pPr>
            <w:r>
              <w:rPr>
                <w:rFonts w:ascii="Arial" w:cs="Arial" w:eastAsia="Arial" w:hAnsi="Arial"/>
                <w:sz w:val="21"/>
                <w:szCs w:val="21"/>
                <w:color w:val="auto"/>
              </w:rPr>
              <w:t>$</w:t>
            </w:r>
          </w:p>
        </w:tc>
        <w:tc>
          <w:tcPr>
            <w:tcW w:w="108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454,605</w:t>
            </w: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ind w:right="72"/>
              <w:spacing w:after="0"/>
              <w:rPr>
                <w:sz w:val="20"/>
                <w:szCs w:val="20"/>
                <w:color w:val="auto"/>
              </w:rPr>
            </w:pPr>
            <w:r>
              <w:rPr>
                <w:rFonts w:ascii="Arial" w:cs="Arial" w:eastAsia="Arial" w:hAnsi="Arial"/>
                <w:sz w:val="22"/>
                <w:szCs w:val="22"/>
                <w:color w:val="auto"/>
                <w:w w:val="84"/>
              </w:rPr>
              <w:t>16.</w:t>
            </w:r>
          </w:p>
        </w:tc>
        <w:tc>
          <w:tcPr>
            <w:tcW w:w="6080" w:type="dxa"/>
            <w:vAlign w:val="bottom"/>
            <w:gridSpan w:val="3"/>
            <w:vMerge w:val="restart"/>
          </w:tcPr>
          <w:p>
            <w:pPr>
              <w:ind w:left="200"/>
              <w:spacing w:after="0"/>
              <w:rPr>
                <w:sz w:val="20"/>
                <w:szCs w:val="20"/>
                <w:color w:val="auto"/>
              </w:rPr>
            </w:pPr>
            <w:r>
              <w:rPr>
                <w:rFonts w:ascii="Arial" w:cs="Arial" w:eastAsia="Arial" w:hAnsi="Arial"/>
                <w:sz w:val="22"/>
                <w:szCs w:val="22"/>
                <w:color w:val="auto"/>
              </w:rPr>
              <w:t>RELATED PARTY TRANSACTIONS</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460" w:type="dxa"/>
            <w:vAlign w:val="bottom"/>
            <w:vMerge w:val="continue"/>
          </w:tcPr>
          <w:p>
            <w:pPr>
              <w:spacing w:after="0"/>
              <w:rPr>
                <w:sz w:val="24"/>
                <w:szCs w:val="24"/>
                <w:color w:val="auto"/>
              </w:rPr>
            </w:pPr>
          </w:p>
        </w:tc>
        <w:tc>
          <w:tcPr>
            <w:tcW w:w="608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March 31, 2013 and 2012 were $0.2 million and $0.1 million,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Overview</w:t>
      </w:r>
    </w:p>
    <w:p>
      <w:pPr>
        <w:sectPr>
          <w:pgSz w:w="11900" w:h="16838" w:orient="portrait"/>
          <w:cols w:equalWidth="0" w:num="1">
            <w:col w:w="11420"/>
          </w:cols>
          <w:pgMar w:left="240" w:top="122" w:right="239" w:bottom="47" w:gutter="0" w:footer="0" w:header="0"/>
        </w:sectPr>
      </w:pPr>
    </w:p>
    <w:bookmarkStart w:id="19" w:name="page20"/>
    <w:bookmarkEnd w:id="19"/>
    <w:p>
      <w:pPr>
        <w:jc w:val="both"/>
        <w:ind w:right="40" w:firstLine="648"/>
        <w:spacing w:after="0" w:line="249" w:lineRule="auto"/>
        <w:rPr>
          <w:sz w:val="20"/>
          <w:szCs w:val="20"/>
          <w:color w:val="auto"/>
        </w:rPr>
      </w:pPr>
      <w:r>
        <w:rPr>
          <w:rFonts w:ascii="Arial" w:cs="Arial" w:eastAsia="Arial" w:hAnsi="Arial"/>
          <w:sz w:val="21"/>
          <w:szCs w:val="21"/>
          <w:color w:val="auto"/>
        </w:rPr>
        <w:t>Monster Beverage Corporation was incorporated in Delaware on April 25, 1990. Our principal place of business is located at 550 Monica Circle, Suite 201, Corona, California 92880 and our telephone number is (951) 739-6200. When this report uses the words “the Company”, “Hansen Natural Corporation” (the Company’s former name), “we”, “us”, and “our”, these words refer to Monster Beverage Corporation and its subsidiaries, unless the context otherwise requires. We are a holding company and conduct no operating business except through our consolidated subsidiaries.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names: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420"/>
              <w:spacing w:after="0"/>
              <w:rPr>
                <w:sz w:val="20"/>
                <w:szCs w:val="20"/>
                <w:color w:val="auto"/>
              </w:rPr>
            </w:pPr>
            <w:r>
              <w:rPr>
                <w:rFonts w:ascii="Arial" w:cs="Arial" w:eastAsia="Arial" w:hAnsi="Arial"/>
                <w:sz w:val="19"/>
                <w:szCs w:val="19"/>
                <w:color w:val="auto"/>
              </w:rPr>
              <w:t>Monster Energy®</w:t>
            </w:r>
          </w:p>
        </w:tc>
        <w:tc>
          <w:tcPr>
            <w:tcW w:w="122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2560" w:type="dxa"/>
            <w:vAlign w:val="bottom"/>
          </w:tcPr>
          <w:p>
            <w:pPr>
              <w:ind w:left="240"/>
              <w:spacing w:after="0"/>
              <w:rPr>
                <w:sz w:val="20"/>
                <w:szCs w:val="20"/>
                <w:color w:val="auto"/>
              </w:rPr>
            </w:pPr>
            <w:r>
              <w:rPr>
                <w:rFonts w:ascii="Arial" w:cs="Arial" w:eastAsia="Arial" w:hAnsi="Arial"/>
                <w:sz w:val="19"/>
                <w:szCs w:val="19"/>
                <w:color w:val="auto"/>
              </w:rPr>
              <w:t>Hansen’s®</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420"/>
              <w:spacing w:after="0" w:line="216" w:lineRule="exact"/>
              <w:rPr>
                <w:sz w:val="20"/>
                <w:szCs w:val="20"/>
                <w:color w:val="auto"/>
              </w:rPr>
            </w:pPr>
            <w:r>
              <w:rPr>
                <w:rFonts w:ascii="Arial" w:cs="Arial" w:eastAsia="Arial" w:hAnsi="Arial"/>
                <w:sz w:val="19"/>
                <w:szCs w:val="19"/>
                <w:color w:val="auto"/>
              </w:rPr>
              <w:t>Monster Rehab®</w:t>
            </w:r>
          </w:p>
        </w:tc>
        <w:tc>
          <w:tcPr>
            <w:tcW w:w="1220" w:type="dxa"/>
            <w:vAlign w:val="bottom"/>
          </w:tcPr>
          <w:p>
            <w:pPr>
              <w:jc w:val="right"/>
              <w:ind w:right="145"/>
              <w:spacing w:after="0" w:line="216" w:lineRule="exact"/>
              <w:rPr>
                <w:sz w:val="20"/>
                <w:szCs w:val="20"/>
                <w:color w:val="auto"/>
              </w:rPr>
            </w:pPr>
            <w:r>
              <w:rPr>
                <w:rFonts w:ascii="Arial" w:cs="Arial" w:eastAsia="Arial" w:hAnsi="Arial"/>
                <w:sz w:val="19"/>
                <w:szCs w:val="19"/>
                <w:color w:val="auto"/>
              </w:rPr>
              <w:t>·</w:t>
            </w:r>
          </w:p>
        </w:tc>
        <w:tc>
          <w:tcPr>
            <w:tcW w:w="2560" w:type="dxa"/>
            <w:vAlign w:val="bottom"/>
          </w:tcPr>
          <w:p>
            <w:pPr>
              <w:ind w:left="240"/>
              <w:spacing w:after="0" w:line="216" w:lineRule="exact"/>
              <w:rPr>
                <w:sz w:val="20"/>
                <w:szCs w:val="20"/>
                <w:color w:val="auto"/>
              </w:rPr>
            </w:pPr>
            <w:r>
              <w:rPr>
                <w:rFonts w:ascii="Arial" w:cs="Arial" w:eastAsia="Arial" w:hAnsi="Arial"/>
                <w:sz w:val="19"/>
                <w:szCs w:val="19"/>
                <w:color w:val="auto"/>
                <w:w w:val="88"/>
              </w:rPr>
              <w:t>Hansen’s Natural Cane Soda®</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Extra Strength Nitrous Technology®</w:t>
            </w:r>
          </w:p>
        </w:tc>
        <w:tc>
          <w:tcPr>
            <w:tcW w:w="1220" w:type="dxa"/>
            <w:vAlign w:val="bottom"/>
          </w:tcPr>
          <w:p>
            <w:pPr>
              <w:jc w:val="right"/>
              <w:ind w:right="145"/>
              <w:spacing w:after="0" w:line="216" w:lineRule="exact"/>
              <w:rPr>
                <w:sz w:val="20"/>
                <w:szCs w:val="20"/>
                <w:color w:val="auto"/>
              </w:rPr>
            </w:pPr>
            <w:r>
              <w:rPr>
                <w:rFonts w:ascii="Arial" w:cs="Arial" w:eastAsia="Arial" w:hAnsi="Arial"/>
                <w:sz w:val="19"/>
                <w:szCs w:val="19"/>
                <w:color w:val="auto"/>
              </w:rPr>
              <w:t>·</w:t>
            </w:r>
          </w:p>
        </w:tc>
        <w:tc>
          <w:tcPr>
            <w:tcW w:w="2560" w:type="dxa"/>
            <w:vAlign w:val="bottom"/>
          </w:tcPr>
          <w:p>
            <w:pPr>
              <w:ind w:left="240"/>
              <w:spacing w:after="0" w:line="216" w:lineRule="exact"/>
              <w:rPr>
                <w:sz w:val="20"/>
                <w:szCs w:val="20"/>
                <w:color w:val="auto"/>
              </w:rPr>
            </w:pPr>
            <w:r>
              <w:rPr>
                <w:rFonts w:ascii="Arial" w:cs="Arial" w:eastAsia="Arial" w:hAnsi="Arial"/>
                <w:sz w:val="19"/>
                <w:szCs w:val="19"/>
                <w:color w:val="auto"/>
              </w:rPr>
              <w:t>Junior Juice®</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420"/>
              <w:spacing w:after="0" w:line="216" w:lineRule="exact"/>
              <w:rPr>
                <w:sz w:val="20"/>
                <w:szCs w:val="20"/>
                <w:color w:val="auto"/>
              </w:rPr>
            </w:pPr>
            <w:r>
              <w:rPr>
                <w:rFonts w:ascii="Arial" w:cs="Arial" w:eastAsia="Arial" w:hAnsi="Arial"/>
                <w:sz w:val="19"/>
                <w:szCs w:val="19"/>
                <w:color w:val="auto"/>
              </w:rPr>
              <w:t>Java Monster®</w:t>
            </w:r>
          </w:p>
        </w:tc>
        <w:tc>
          <w:tcPr>
            <w:tcW w:w="1220" w:type="dxa"/>
            <w:vAlign w:val="bottom"/>
          </w:tcPr>
          <w:p>
            <w:pPr>
              <w:jc w:val="right"/>
              <w:ind w:right="145"/>
              <w:spacing w:after="0" w:line="216" w:lineRule="exact"/>
              <w:rPr>
                <w:sz w:val="20"/>
                <w:szCs w:val="20"/>
                <w:color w:val="auto"/>
              </w:rPr>
            </w:pPr>
            <w:r>
              <w:rPr>
                <w:rFonts w:ascii="Arial" w:cs="Arial" w:eastAsia="Arial" w:hAnsi="Arial"/>
                <w:sz w:val="19"/>
                <w:szCs w:val="19"/>
                <w:color w:val="auto"/>
              </w:rPr>
              <w:t>·</w:t>
            </w:r>
          </w:p>
        </w:tc>
        <w:tc>
          <w:tcPr>
            <w:tcW w:w="2560" w:type="dxa"/>
            <w:vAlign w:val="bottom"/>
          </w:tcPr>
          <w:p>
            <w:pPr>
              <w:ind w:left="240"/>
              <w:spacing w:after="0" w:line="216" w:lineRule="exact"/>
              <w:rPr>
                <w:sz w:val="20"/>
                <w:szCs w:val="20"/>
                <w:color w:val="auto"/>
              </w:rPr>
            </w:pPr>
            <w:r>
              <w:rPr>
                <w:rFonts w:ascii="Arial" w:cs="Arial" w:eastAsia="Arial" w:hAnsi="Arial"/>
                <w:sz w:val="19"/>
                <w:szCs w:val="19"/>
                <w:color w:val="auto"/>
              </w:rPr>
              <w:t>Blue Sky®</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420"/>
              <w:spacing w:after="0" w:line="216" w:lineRule="exact"/>
              <w:rPr>
                <w:sz w:val="20"/>
                <w:szCs w:val="20"/>
                <w:color w:val="auto"/>
              </w:rPr>
            </w:pPr>
            <w:r>
              <w:rPr>
                <w:rFonts w:ascii="Arial" w:cs="Arial" w:eastAsia="Arial" w:hAnsi="Arial"/>
                <w:sz w:val="19"/>
                <w:szCs w:val="19"/>
                <w:color w:val="auto"/>
              </w:rPr>
              <w:t>X-Presso Monster®</w:t>
            </w:r>
          </w:p>
        </w:tc>
        <w:tc>
          <w:tcPr>
            <w:tcW w:w="1220" w:type="dxa"/>
            <w:vAlign w:val="bottom"/>
          </w:tcPr>
          <w:p>
            <w:pPr>
              <w:jc w:val="right"/>
              <w:ind w:right="145"/>
              <w:spacing w:after="0" w:line="216" w:lineRule="exact"/>
              <w:rPr>
                <w:sz w:val="20"/>
                <w:szCs w:val="20"/>
                <w:color w:val="auto"/>
              </w:rPr>
            </w:pPr>
            <w:r>
              <w:rPr>
                <w:rFonts w:ascii="Arial" w:cs="Arial" w:eastAsia="Arial" w:hAnsi="Arial"/>
                <w:sz w:val="19"/>
                <w:szCs w:val="19"/>
                <w:color w:val="auto"/>
              </w:rPr>
              <w:t>·</w:t>
            </w:r>
          </w:p>
        </w:tc>
        <w:tc>
          <w:tcPr>
            <w:tcW w:w="2560" w:type="dxa"/>
            <w:vAlign w:val="bottom"/>
          </w:tcPr>
          <w:p>
            <w:pPr>
              <w:ind w:left="240"/>
              <w:spacing w:after="0" w:line="216" w:lineRule="exact"/>
              <w:rPr>
                <w:sz w:val="20"/>
                <w:szCs w:val="20"/>
                <w:color w:val="auto"/>
              </w:rPr>
            </w:pPr>
            <w:r>
              <w:rPr>
                <w:rFonts w:ascii="Arial" w:cs="Arial" w:eastAsia="Arial" w:hAnsi="Arial"/>
                <w:sz w:val="19"/>
                <w:szCs w:val="19"/>
                <w:color w:val="auto"/>
              </w:rPr>
              <w:t>Hubert’s®</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420"/>
              <w:spacing w:after="0" w:line="216" w:lineRule="exact"/>
              <w:rPr>
                <w:sz w:val="20"/>
                <w:szCs w:val="20"/>
                <w:color w:val="auto"/>
              </w:rPr>
            </w:pPr>
            <w:r>
              <w:rPr>
                <w:rFonts w:ascii="Arial" w:cs="Arial" w:eastAsia="Arial" w:hAnsi="Arial"/>
                <w:sz w:val="19"/>
                <w:szCs w:val="19"/>
                <w:color w:val="auto"/>
              </w:rPr>
              <w:t>Worx Energy®</w:t>
            </w:r>
          </w:p>
        </w:tc>
        <w:tc>
          <w:tcPr>
            <w:tcW w:w="1220" w:type="dxa"/>
            <w:vAlign w:val="bottom"/>
          </w:tcPr>
          <w:p>
            <w:pPr>
              <w:jc w:val="right"/>
              <w:ind w:right="145"/>
              <w:spacing w:after="0" w:line="216" w:lineRule="exact"/>
              <w:rPr>
                <w:sz w:val="20"/>
                <w:szCs w:val="20"/>
                <w:color w:val="auto"/>
              </w:rPr>
            </w:pPr>
            <w:r>
              <w:rPr>
                <w:rFonts w:ascii="Arial" w:cs="Arial" w:eastAsia="Arial" w:hAnsi="Arial"/>
                <w:sz w:val="19"/>
                <w:szCs w:val="19"/>
                <w:color w:val="auto"/>
              </w:rPr>
              <w:t>·</w:t>
            </w:r>
          </w:p>
        </w:tc>
        <w:tc>
          <w:tcPr>
            <w:tcW w:w="2560" w:type="dxa"/>
            <w:vAlign w:val="bottom"/>
          </w:tcPr>
          <w:p>
            <w:pPr>
              <w:ind w:left="240"/>
              <w:spacing w:after="0" w:line="216" w:lineRule="exact"/>
              <w:rPr>
                <w:sz w:val="20"/>
                <w:szCs w:val="20"/>
                <w:color w:val="auto"/>
              </w:rPr>
            </w:pPr>
            <w:r>
              <w:rPr>
                <w:rFonts w:ascii="Arial" w:cs="Arial" w:eastAsia="Arial" w:hAnsi="Arial"/>
                <w:sz w:val="19"/>
                <w:szCs w:val="19"/>
                <w:color w:val="auto"/>
              </w:rPr>
              <w:t>Vidration®</w:t>
            </w:r>
          </w:p>
        </w:tc>
      </w:tr>
      <w:tr>
        <w:trPr>
          <w:trHeight w:val="240"/>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420"/>
              <w:spacing w:after="0"/>
              <w:rPr>
                <w:sz w:val="20"/>
                <w:szCs w:val="20"/>
                <w:color w:val="auto"/>
              </w:rPr>
            </w:pPr>
            <w:r>
              <w:rPr>
                <w:rFonts w:ascii="Arial" w:cs="Arial" w:eastAsia="Arial" w:hAnsi="Arial"/>
                <w:sz w:val="19"/>
                <w:szCs w:val="19"/>
                <w:color w:val="auto"/>
              </w:rPr>
              <w:t>Peace Tea®</w:t>
            </w:r>
          </w:p>
        </w:tc>
        <w:tc>
          <w:tcPr>
            <w:tcW w:w="122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2560" w:type="dxa"/>
            <w:vAlign w:val="bottom"/>
          </w:tcPr>
          <w:p>
            <w:pPr>
              <w:ind w:left="240"/>
              <w:spacing w:after="0"/>
              <w:rPr>
                <w:sz w:val="20"/>
                <w:szCs w:val="20"/>
                <w:color w:val="auto"/>
              </w:rPr>
            </w:pPr>
            <w:r>
              <w:rPr>
                <w:rFonts w:ascii="Arial" w:cs="Arial" w:eastAsia="Arial" w:hAnsi="Arial"/>
                <w:sz w:val="19"/>
                <w:szCs w:val="19"/>
                <w:color w:val="auto"/>
              </w:rPr>
              <w:t>Muscle Monster™</w:t>
            </w:r>
          </w:p>
        </w:tc>
      </w:tr>
    </w:tbl>
    <w:p>
      <w:pPr>
        <w:spacing w:after="0" w:line="220"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Our Monster Energy® drinks, which represented 91.9% and 91.6% of our net sales for the three-months ended March 31, 2013 and 2012, respectively, include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rPr>
                <w:sz w:val="20"/>
                <w:szCs w:val="20"/>
                <w:color w:val="auto"/>
              </w:rPr>
            </w:pPr>
            <w:r>
              <w:rPr>
                <w:rFonts w:ascii="Arial" w:cs="Arial" w:eastAsia="Arial" w:hAnsi="Arial"/>
                <w:sz w:val="19"/>
                <w:szCs w:val="19"/>
                <w:color w:val="auto"/>
              </w:rPr>
              <w:t>Monster Energy®</w:t>
            </w:r>
          </w:p>
        </w:tc>
        <w:tc>
          <w:tcPr>
            <w:tcW w:w="1600" w:type="dxa"/>
            <w:vAlign w:val="bottom"/>
          </w:tcPr>
          <w:p>
            <w:pPr>
              <w:jc w:val="right"/>
              <w:ind w:right="326"/>
              <w:spacing w:after="0"/>
              <w:rPr>
                <w:sz w:val="20"/>
                <w:szCs w:val="20"/>
                <w:color w:val="auto"/>
              </w:rPr>
            </w:pPr>
            <w:r>
              <w:rPr>
                <w:rFonts w:ascii="Arial" w:cs="Arial" w:eastAsia="Arial" w:hAnsi="Arial"/>
                <w:sz w:val="19"/>
                <w:szCs w:val="19"/>
                <w:color w:val="auto"/>
              </w:rPr>
              <w:t>·</w:t>
            </w:r>
          </w:p>
        </w:tc>
        <w:tc>
          <w:tcPr>
            <w:tcW w:w="4520" w:type="dxa"/>
            <w:vAlign w:val="bottom"/>
          </w:tcPr>
          <w:p>
            <w:pPr>
              <w:ind w:left="420"/>
              <w:spacing w:after="0"/>
              <w:rPr>
                <w:sz w:val="20"/>
                <w:szCs w:val="20"/>
                <w:color w:val="auto"/>
              </w:rPr>
            </w:pPr>
            <w:r>
              <w:rPr>
                <w:rFonts w:ascii="Arial" w:cs="Arial" w:eastAsia="Arial" w:hAnsi="Arial"/>
                <w:sz w:val="19"/>
                <w:szCs w:val="19"/>
                <w:color w:val="auto"/>
              </w:rPr>
              <w:t>Java Monster® Kona Blend</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Lo-Carb Monster Energy®</w:t>
            </w:r>
          </w:p>
        </w:tc>
        <w:tc>
          <w:tcPr>
            <w:tcW w:w="1600" w:type="dxa"/>
            <w:vAlign w:val="bottom"/>
          </w:tcPr>
          <w:p>
            <w:pPr>
              <w:jc w:val="right"/>
              <w:ind w:right="326"/>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Java Monster® Loca Moca®</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Assault®</w:t>
            </w:r>
          </w:p>
        </w:tc>
        <w:tc>
          <w:tcPr>
            <w:tcW w:w="1600" w:type="dxa"/>
            <w:vAlign w:val="bottom"/>
          </w:tcPr>
          <w:p>
            <w:pPr>
              <w:jc w:val="right"/>
              <w:ind w:right="326"/>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Java Monster® Mean Bean®</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Monster Khaos®</w:t>
            </w:r>
          </w:p>
        </w:tc>
        <w:tc>
          <w:tcPr>
            <w:tcW w:w="1600" w:type="dxa"/>
            <w:vAlign w:val="bottom"/>
          </w:tcPr>
          <w:p>
            <w:pPr>
              <w:jc w:val="right"/>
              <w:ind w:right="326"/>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Java Monster® Vanilla Light</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w w:val="98"/>
              </w:rPr>
              <w:t>Monster M-80® (named Ripper® in certain countries)</w:t>
            </w:r>
          </w:p>
        </w:tc>
        <w:tc>
          <w:tcPr>
            <w:tcW w:w="1600" w:type="dxa"/>
            <w:vAlign w:val="bottom"/>
          </w:tcPr>
          <w:p>
            <w:pPr>
              <w:jc w:val="right"/>
              <w:ind w:right="326"/>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Java Monster® Irish Blend®</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Monster MIXXD®</w:t>
            </w:r>
          </w:p>
        </w:tc>
        <w:tc>
          <w:tcPr>
            <w:tcW w:w="1600" w:type="dxa"/>
            <w:vAlign w:val="bottom"/>
          </w:tcPr>
          <w:p>
            <w:pPr>
              <w:jc w:val="right"/>
              <w:ind w:right="326"/>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Java Monster® Toffee</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Absolutely Zero</w:t>
            </w:r>
          </w:p>
        </w:tc>
        <w:tc>
          <w:tcPr>
            <w:tcW w:w="1600" w:type="dxa"/>
            <w:vAlign w:val="bottom"/>
          </w:tcPr>
          <w:p>
            <w:pPr>
              <w:jc w:val="right"/>
              <w:ind w:right="326"/>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Java Monster® Kona Cappuccino</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Import</w:t>
            </w:r>
          </w:p>
        </w:tc>
        <w:tc>
          <w:tcPr>
            <w:tcW w:w="1600" w:type="dxa"/>
            <w:vAlign w:val="bottom"/>
          </w:tcPr>
          <w:p>
            <w:pPr>
              <w:jc w:val="right"/>
              <w:ind w:right="326"/>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Extra Strength Nitrous</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Import Light</w:t>
            </w:r>
          </w:p>
        </w:tc>
        <w:tc>
          <w:tcPr>
            <w:tcW w:w="1600" w:type="dxa"/>
            <w:vAlign w:val="bottom"/>
          </w:tcPr>
          <w:p>
            <w:pPr>
              <w:spacing w:after="0"/>
              <w:rPr>
                <w:sz w:val="18"/>
                <w:szCs w:val="18"/>
                <w:color w:val="auto"/>
              </w:rPr>
            </w:pP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Technology® Super Dry™</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Dub Edition Baller’s Blend</w:t>
            </w:r>
          </w:p>
        </w:tc>
        <w:tc>
          <w:tcPr>
            <w:tcW w:w="1600" w:type="dxa"/>
            <w:vAlign w:val="bottom"/>
          </w:tcPr>
          <w:p>
            <w:pPr>
              <w:jc w:val="right"/>
              <w:ind w:right="326"/>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Extra Strength Nitrous</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Dub Edition Mad Dog</w:t>
            </w:r>
          </w:p>
        </w:tc>
        <w:tc>
          <w:tcPr>
            <w:tcW w:w="1600" w:type="dxa"/>
            <w:vAlign w:val="bottom"/>
          </w:tcPr>
          <w:p>
            <w:pPr>
              <w:spacing w:after="0"/>
              <w:rPr>
                <w:sz w:val="18"/>
                <w:szCs w:val="18"/>
                <w:color w:val="auto"/>
              </w:rPr>
            </w:pP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Technology® Anti-Gravity®</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Monster Rehab® Tea + Lemonade + Energy</w:t>
            </w:r>
          </w:p>
        </w:tc>
        <w:tc>
          <w:tcPr>
            <w:tcW w:w="1600" w:type="dxa"/>
            <w:vAlign w:val="bottom"/>
          </w:tcPr>
          <w:p>
            <w:pPr>
              <w:jc w:val="right"/>
              <w:ind w:right="326"/>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Extra Strength Nitrous</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Monster Rehab® Rojo Tea + Energy</w:t>
            </w:r>
          </w:p>
        </w:tc>
        <w:tc>
          <w:tcPr>
            <w:tcW w:w="1600" w:type="dxa"/>
            <w:vAlign w:val="bottom"/>
          </w:tcPr>
          <w:p>
            <w:pPr>
              <w:spacing w:after="0"/>
              <w:rPr>
                <w:sz w:val="18"/>
                <w:szCs w:val="18"/>
                <w:color w:val="auto"/>
              </w:rPr>
            </w:pP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Technology® Black Ice™</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Monster Rehab® Green Tea + Energy</w:t>
            </w:r>
          </w:p>
        </w:tc>
        <w:tc>
          <w:tcPr>
            <w:tcW w:w="1600" w:type="dxa"/>
            <w:vAlign w:val="bottom"/>
          </w:tcPr>
          <w:p>
            <w:pPr>
              <w:jc w:val="right"/>
              <w:ind w:right="326"/>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X-Presso Monster® Hammer</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Monster Rehab® Protean + Energy</w:t>
            </w:r>
          </w:p>
        </w:tc>
        <w:tc>
          <w:tcPr>
            <w:tcW w:w="1600" w:type="dxa"/>
            <w:vAlign w:val="bottom"/>
          </w:tcPr>
          <w:p>
            <w:pPr>
              <w:jc w:val="right"/>
              <w:ind w:right="326"/>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X-Presso Monster® Midnite</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Monster Rehab® Tea + Orangeade + Energy</w:t>
            </w:r>
          </w:p>
        </w:tc>
        <w:tc>
          <w:tcPr>
            <w:tcW w:w="1600" w:type="dxa"/>
            <w:vAlign w:val="bottom"/>
          </w:tcPr>
          <w:p>
            <w:pPr>
              <w:jc w:val="right"/>
              <w:ind w:right="326"/>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Monster Cuba-Lima®</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Monster Rehab® Tea + Pink Lemonade + Energy</w:t>
            </w:r>
          </w:p>
        </w:tc>
        <w:tc>
          <w:tcPr>
            <w:tcW w:w="1600" w:type="dxa"/>
            <w:vAlign w:val="bottom"/>
          </w:tcPr>
          <w:p>
            <w:pPr>
              <w:jc w:val="right"/>
              <w:ind w:right="326"/>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Zero Ultra</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Muscle Monster™ Vanilla</w:t>
            </w:r>
          </w:p>
        </w:tc>
        <w:tc>
          <w:tcPr>
            <w:tcW w:w="1600" w:type="dxa"/>
            <w:vAlign w:val="bottom"/>
          </w:tcPr>
          <w:p>
            <w:pPr>
              <w:jc w:val="right"/>
              <w:ind w:right="326"/>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Monster Energy® Ultra Blue</w:t>
            </w:r>
          </w:p>
        </w:tc>
      </w:tr>
      <w:tr>
        <w:trPr>
          <w:trHeight w:val="216"/>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line="216" w:lineRule="exact"/>
              <w:rPr>
                <w:sz w:val="20"/>
                <w:szCs w:val="20"/>
                <w:color w:val="auto"/>
              </w:rPr>
            </w:pPr>
            <w:r>
              <w:rPr>
                <w:rFonts w:ascii="Arial" w:cs="Arial" w:eastAsia="Arial" w:hAnsi="Arial"/>
                <w:sz w:val="19"/>
                <w:szCs w:val="19"/>
                <w:color w:val="auto"/>
              </w:rPr>
              <w:t>Muscle Monster™ Chocolate</w:t>
            </w:r>
          </w:p>
        </w:tc>
        <w:tc>
          <w:tcPr>
            <w:tcW w:w="1600" w:type="dxa"/>
            <w:vAlign w:val="bottom"/>
          </w:tcPr>
          <w:p>
            <w:pPr>
              <w:jc w:val="right"/>
              <w:ind w:right="326"/>
              <w:spacing w:after="0" w:line="216" w:lineRule="exact"/>
              <w:rPr>
                <w:sz w:val="20"/>
                <w:szCs w:val="20"/>
                <w:color w:val="auto"/>
              </w:rPr>
            </w:pPr>
            <w:r>
              <w:rPr>
                <w:rFonts w:ascii="Arial" w:cs="Arial" w:eastAsia="Arial" w:hAnsi="Arial"/>
                <w:sz w:val="19"/>
                <w:szCs w:val="19"/>
                <w:color w:val="auto"/>
              </w:rPr>
              <w:t>·</w:t>
            </w:r>
          </w:p>
        </w:tc>
        <w:tc>
          <w:tcPr>
            <w:tcW w:w="4520" w:type="dxa"/>
            <w:vAlign w:val="bottom"/>
          </w:tcPr>
          <w:p>
            <w:pPr>
              <w:ind w:left="420"/>
              <w:spacing w:after="0" w:line="216" w:lineRule="exact"/>
              <w:rPr>
                <w:sz w:val="20"/>
                <w:szCs w:val="20"/>
                <w:color w:val="auto"/>
              </w:rPr>
            </w:pPr>
            <w:r>
              <w:rPr>
                <w:rFonts w:ascii="Arial" w:cs="Arial" w:eastAsia="Arial" w:hAnsi="Arial"/>
                <w:sz w:val="19"/>
                <w:szCs w:val="19"/>
                <w:color w:val="auto"/>
              </w:rPr>
              <w:t>Übermonster® Energy Brew</w:t>
            </w:r>
          </w:p>
        </w:tc>
      </w:tr>
      <w:tr>
        <w:trPr>
          <w:trHeight w:val="240"/>
        </w:trPr>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4840" w:type="dxa"/>
            <w:vAlign w:val="bottom"/>
          </w:tcPr>
          <w:p>
            <w:pPr>
              <w:ind w:left="420"/>
              <w:spacing w:after="0"/>
              <w:rPr>
                <w:sz w:val="20"/>
                <w:szCs w:val="20"/>
                <w:color w:val="auto"/>
              </w:rPr>
            </w:pPr>
            <w:r>
              <w:rPr>
                <w:rFonts w:ascii="Arial" w:cs="Arial" w:eastAsia="Arial" w:hAnsi="Arial"/>
                <w:sz w:val="19"/>
                <w:szCs w:val="19"/>
                <w:color w:val="auto"/>
              </w:rPr>
              <w:t>Muscle Monster™ Coffee</w:t>
            </w:r>
          </w:p>
        </w:tc>
        <w:tc>
          <w:tcPr>
            <w:tcW w:w="1600" w:type="dxa"/>
            <w:vAlign w:val="bottom"/>
          </w:tcPr>
          <w:p>
            <w:pPr>
              <w:jc w:val="right"/>
              <w:ind w:right="326"/>
              <w:spacing w:after="0"/>
              <w:rPr>
                <w:sz w:val="20"/>
                <w:szCs w:val="20"/>
                <w:color w:val="auto"/>
              </w:rPr>
            </w:pPr>
            <w:r>
              <w:rPr>
                <w:rFonts w:ascii="Arial" w:cs="Arial" w:eastAsia="Arial" w:hAnsi="Arial"/>
                <w:sz w:val="19"/>
                <w:szCs w:val="19"/>
                <w:color w:val="auto"/>
              </w:rPr>
              <w:t>·</w:t>
            </w:r>
          </w:p>
        </w:tc>
        <w:tc>
          <w:tcPr>
            <w:tcW w:w="4520" w:type="dxa"/>
            <w:vAlign w:val="bottom"/>
          </w:tcPr>
          <w:p>
            <w:pPr>
              <w:ind w:left="420"/>
              <w:spacing w:after="0"/>
              <w:rPr>
                <w:sz w:val="20"/>
                <w:szCs w:val="20"/>
                <w:color w:val="auto"/>
              </w:rPr>
            </w:pPr>
            <w:r>
              <w:rPr>
                <w:rFonts w:ascii="Arial" w:cs="Arial" w:eastAsia="Arial" w:hAnsi="Arial"/>
                <w:sz w:val="19"/>
                <w:szCs w:val="19"/>
                <w:color w:val="auto"/>
              </w:rPr>
              <w:t>M3® Monster Energy® Super Concentrate</w:t>
            </w:r>
          </w:p>
        </w:tc>
      </w:tr>
      <w:tr>
        <w:trPr>
          <w:trHeight w:val="430"/>
        </w:trPr>
        <w:tc>
          <w:tcPr>
            <w:tcW w:w="5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00" w:type="dxa"/>
            <w:vAlign w:val="bottom"/>
          </w:tcPr>
          <w:p>
            <w:pPr>
              <w:jc w:val="right"/>
              <w:ind w:right="1046"/>
              <w:spacing w:after="0"/>
              <w:rPr>
                <w:sz w:val="20"/>
                <w:szCs w:val="20"/>
                <w:color w:val="auto"/>
              </w:rPr>
            </w:pPr>
            <w:r>
              <w:rPr>
                <w:rFonts w:ascii="Arial" w:cs="Arial" w:eastAsia="Arial" w:hAnsi="Arial"/>
                <w:sz w:val="18"/>
                <w:szCs w:val="18"/>
                <w:color w:val="auto"/>
              </w:rPr>
              <w:t>29</w:t>
            </w:r>
          </w:p>
        </w:tc>
        <w:tc>
          <w:tcPr>
            <w:tcW w:w="4520" w:type="dxa"/>
            <w:vAlign w:val="bottom"/>
          </w:tcPr>
          <w:p>
            <w:pPr>
              <w:spacing w:after="0"/>
              <w:rPr>
                <w:sz w:val="24"/>
                <w:szCs w:val="24"/>
                <w:color w:val="auto"/>
              </w:rPr>
            </w:pPr>
          </w:p>
        </w:tc>
      </w:tr>
      <w:tr>
        <w:trPr>
          <w:trHeight w:val="132"/>
        </w:trPr>
        <w:tc>
          <w:tcPr>
            <w:tcW w:w="500" w:type="dxa"/>
            <w:vAlign w:val="bottom"/>
            <w:tcBorders>
              <w:bottom w:val="single" w:sz="8" w:color="010101"/>
            </w:tcBorders>
          </w:tcPr>
          <w:p>
            <w:pPr>
              <w:spacing w:after="0"/>
              <w:rPr>
                <w:sz w:val="11"/>
                <w:szCs w:val="11"/>
                <w:color w:val="auto"/>
              </w:rPr>
            </w:pPr>
          </w:p>
        </w:tc>
        <w:tc>
          <w:tcPr>
            <w:tcW w:w="484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45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22"/>
          <w:szCs w:val="22"/>
          <w:color w:val="auto"/>
        </w:rPr>
        <w:t>We have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w:t>
      </w:r>
    </w:p>
    <w:p>
      <w:pPr>
        <w:spacing w:after="0" w:line="212"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22"/>
          <w:szCs w:val="22"/>
          <w:color w:val="auto"/>
        </w:rPr>
        <w:t>During the three-months ended March 31, 2013, we continued to expand our existing product lines and flavors and further developed our markets. In particular, we continued to focus on developing and marketing beverages that fall within the category generally described as the “alternative” beverage category. During the three-months ended March 31, 2013, we introduced the following products:</w:t>
      </w:r>
    </w:p>
    <w:p>
      <w:pPr>
        <w:spacing w:after="0" w:line="212" w:lineRule="exact"/>
        <w:rPr>
          <w:sz w:val="20"/>
          <w:szCs w:val="20"/>
          <w:color w:val="auto"/>
        </w:rPr>
      </w:pPr>
    </w:p>
    <w:p>
      <w:pPr>
        <w:ind w:left="780" w:hanging="448"/>
        <w:spacing w:after="0"/>
        <w:tabs>
          <w:tab w:leader="none" w:pos="7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Monster Mini’s, 12-packs in 8-ounce size cans (January 2013).</w:t>
      </w:r>
    </w:p>
    <w:p>
      <w:pPr>
        <w:spacing w:after="0" w:line="8" w:lineRule="exact"/>
        <w:rPr>
          <w:rFonts w:ascii="Arial" w:cs="Arial" w:eastAsia="Arial" w:hAnsi="Arial"/>
          <w:sz w:val="22"/>
          <w:szCs w:val="22"/>
          <w:color w:val="auto"/>
        </w:rPr>
      </w:pPr>
    </w:p>
    <w:p>
      <w:pPr>
        <w:ind w:left="780" w:hanging="448"/>
        <w:spacing w:after="0" w:line="230" w:lineRule="auto"/>
        <w:tabs>
          <w:tab w:leader="none" w:pos="7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Peace Tea® iced teas, 12-packs in 8.4-ounce size cans (February 2013).</w:t>
      </w:r>
    </w:p>
    <w:p>
      <w:pPr>
        <w:ind w:left="780" w:hanging="448"/>
        <w:spacing w:after="0" w:line="230" w:lineRule="auto"/>
        <w:tabs>
          <w:tab w:leader="none" w:pos="7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Muscle Monster™ Energy Shakes, non-carbonated energy shakes with 25-grams of protein (March 2013).</w:t>
      </w:r>
    </w:p>
    <w:p>
      <w:pPr>
        <w:ind w:left="780" w:hanging="448"/>
        <w:spacing w:after="0" w:line="230" w:lineRule="auto"/>
        <w:tabs>
          <w:tab w:leader="none" w:pos="7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Monster Rehab® Tea + Pink Lemonade + Energy (March 2013).</w:t>
      </w:r>
    </w:p>
    <w:p>
      <w:pPr>
        <w:ind w:left="780" w:hanging="448"/>
        <w:spacing w:after="0"/>
        <w:tabs>
          <w:tab w:leader="none" w:pos="7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Monster Energy® Ultra Blue, a carbonated energy drink which contains zero calories and zero sugar (March 2013).</w:t>
      </w:r>
    </w:p>
    <w:p>
      <w:pPr>
        <w:spacing w:after="0" w:line="24" w:lineRule="exact"/>
        <w:rPr>
          <w:rFonts w:ascii="Arial" w:cs="Arial" w:eastAsia="Arial" w:hAnsi="Arial"/>
          <w:sz w:val="19"/>
          <w:szCs w:val="19"/>
          <w:color w:val="auto"/>
        </w:rPr>
      </w:pPr>
    </w:p>
    <w:p>
      <w:pPr>
        <w:ind w:left="780" w:hanging="448"/>
        <w:spacing w:after="0" w:line="230" w:lineRule="auto"/>
        <w:tabs>
          <w:tab w:leader="none" w:pos="7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Java Monster® Kona Cappuccino (March 2013).</w:t>
      </w:r>
    </w:p>
    <w:p>
      <w:pPr>
        <w:ind w:left="780" w:hanging="448"/>
        <w:spacing w:after="0"/>
        <w:tabs>
          <w:tab w:leader="none" w:pos="7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Hansen’s® Sparkling beverages, a line of 10-calorie beverages with all natural sweeteners (March 2013).</w:t>
      </w:r>
    </w:p>
    <w:p>
      <w:pPr>
        <w:spacing w:after="0" w:line="215"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In the normal course of business we discontinue certain products and/or product lines. Those products or product lines discontinued during the three-months ended March 31, 2013, either individually or in aggregate, did not have a material adverse impact on our financial position, results of operations or liquidity.</w:t>
      </w:r>
    </w:p>
    <w:p>
      <w:pPr>
        <w:spacing w:after="0" w:line="213"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During the three-months ended March 31, 2013 and 2012, we incurred termination costs to certain of our prior distributors amounting to $8.3 million and $0.1 million, respectively. Such termination costs have been expensed in full and are included in operating expenses for the three-months ended March 31, 2013 and 2012.</w:t>
      </w:r>
    </w:p>
    <w:p>
      <w:pPr>
        <w:sectPr>
          <w:pgSz w:w="11900" w:h="16838" w:orient="portrait"/>
          <w:cols w:equalWidth="0" w:num="1">
            <w:col w:w="11460"/>
          </w:cols>
          <w:pgMar w:left="240" w:top="118" w:right="199" w:bottom="0" w:gutter="0" w:footer="0" w:header="0"/>
        </w:sectPr>
      </w:pPr>
    </w:p>
    <w:bookmarkStart w:id="20" w:name="page21"/>
    <w:bookmarkEnd w:id="20"/>
    <w:p>
      <w:pPr>
        <w:jc w:val="both"/>
        <w:ind w:firstLine="648"/>
        <w:spacing w:after="0" w:line="236" w:lineRule="auto"/>
        <w:rPr>
          <w:sz w:val="20"/>
          <w:szCs w:val="20"/>
          <w:color w:val="auto"/>
        </w:rPr>
      </w:pPr>
      <w:r>
        <w:rPr>
          <w:rFonts w:ascii="Arial" w:cs="Arial" w:eastAsia="Arial" w:hAnsi="Arial"/>
          <w:sz w:val="22"/>
          <w:szCs w:val="22"/>
          <w:color w:val="auto"/>
        </w:rPr>
        <w:t>In addition, pursuant to new and/or amended distribution agreements entered into with certain distributors, net amounts of $8.2 million from such distributors were recorded during the three-months ended March 31, 2013, relating to the costs associated with terminating agreements with certain of our prior distributors. Such amounts have been accounted for as deferred revenue in the accompanying condensed consolidated balance sheets and are recognized as revenue ratably over the anticipated life of the respective distribution agreement, generally 20 years.</w:t>
      </w:r>
    </w:p>
    <w:p>
      <w:pPr>
        <w:spacing w:after="0" w:line="21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During the three-months ended March 31, 2013 and 2012, we incurred foreign currency transaction losses of $4.7 million and $0.5 million, respectively, which are included in other (expense) income. The increase in foreign currency losses during the three-months ended March 31, 2013 was primarily related to our operations in Japan and South Africa.</w:t>
      </w:r>
    </w:p>
    <w:p>
      <w:pPr>
        <w:spacing w:after="0" w:line="1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During the three-months ended March 31, 2013, we incurred increased professional service costs of $4.9 million, net of insurance reimbursements, of which $3.0 million related to regulatory matters and litigation concerning the advertising, marketing, promotion, ingredients, usage, safety and sale of our Monster Energy® brand energy drinks.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Our gross sales (as defined below) of $555.0 million for the three-months ended March 31, 2013 represented record sales for our first fiscal quarter. The vast majority of our gross sales are derived from our Monster Energy® brand energy drinks. Gross sales of our Monster Energy® brand energy drinks were $521.1 million for the three-months ended March 31, 2013, an increase of $40.3 million, or 107.1% of our overall increase in gross sales for the three-months ended March 31, 2013.</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percentage increase in gross sales was 7.3% and 26.9% for the three-months ended March 31, 2013 and 2012, respectively. We believe the decrease in the percentage growth rate for the three-months ended March 31, 2013 was primarily attributable to less robust growth of our Monster Energy® drink line in our North American energy drink market, as well as lower sales of Worx Energy® energy shots. The decrease in the percentage growth rate was partially offset by increased sales in aggregate in our international markets.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DSD segment represented 95.0% and 94.8% of our consolidated net sales for the three-months ended March 31, 2013 and 2012, respectively. Our Warehouse segment represented 5.0% and 5.2% of our consolidated net sales for the three-months ended March 31, 2013 and 2012, respectively.</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advertising, in-store promotions and in-store placement of point-of-sale materials, racks, coolers and barrel coolers) to enhance demand from consumers for our products. We also support our brands with prize promotions, price promotions, competitions, endorsements from selected public and extreme sports figures, personality endorsements (including from television and other well known sports personalities), coupons, sampling and sponsorship of selected causes, events, athletes and teams. In-store posters, outdoor posters, print, radio and television advertising (directly and through our sponsorships and endorsements) and coupons may also be used to promote our brands.</w:t>
      </w:r>
    </w:p>
    <w:p>
      <w:pPr>
        <w:spacing w:after="0" w:line="18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We have historically marketed our Monster Energy®, Hansen’s® and Blue Energy® energy drink products as dietary supplements in accordance with the statutory definition of “dietary supplement” set forth in the Federal Food, Drug, and Cosmetic Act (the “Act”). However, as permitted under that Act and FDA regulations, we recently decided to transition the labeling and marketing of these energy drink products from dietary supplements to conventional foods. In the first quarter of 2013, we began transitioning the labeling of such products. Products marketed under the Worx Energy® brand, which are sold in 2-ounce bottles, will continue to be labeled as dietary supplements. We do not expect the cost of the labeling changes to be significant.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21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All of our beverage products are manufactured by various third party bottlers and co-packers situated throughout the United States and abroad, under separate arrangements with each party.</w:t>
      </w:r>
    </w:p>
    <w:p>
      <w:pPr>
        <w:spacing w:after="0" w:line="20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Our growth strategy includes expanding our international business. Gross sales to customers outside the United States amounted to $130.7 million and $100.6 million for the three-months ended March 31, 2013 and 2012, respectively. Such sales were</w:t>
      </w:r>
    </w:p>
    <w:p>
      <w:pPr>
        <w:sectPr>
          <w:pgSz w:w="11900" w:h="16838" w:orient="portrait"/>
          <w:cols w:equalWidth="0" w:num="1">
            <w:col w:w="11420"/>
          </w:cols>
          <w:pgMar w:left="240" w:top="361" w:right="239" w:bottom="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approximately 23% and 19% of gross sales for the three-months ended March 31, 2013 and 2012, respectively.</w:t>
      </w:r>
    </w:p>
    <w:p>
      <w:pPr>
        <w:spacing w:after="0" w:line="23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three-months ended March 31, 2013 and 2012 are reflected below. Such information includes sales made by us directly to the customer types concerned, which include our full service beverage distributors in the United States. Such full service beverage distributors in turn sell certain of our products to the same customer types listed below. We limit our description of our customer types to include only our sales to such full service distributors without reference to such distributors’ sales to their own customers.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3120" w:type="dxa"/>
            <w:vAlign w:val="bottom"/>
            <w:gridSpan w:val="3"/>
          </w:tcPr>
          <w:p>
            <w:pPr>
              <w:jc w:val="center"/>
              <w:ind w:right="120"/>
              <w:spacing w:after="0"/>
              <w:rPr>
                <w:sz w:val="20"/>
                <w:szCs w:val="20"/>
                <w:color w:val="auto"/>
              </w:rPr>
            </w:pPr>
            <w:r>
              <w:rPr>
                <w:rFonts w:ascii="Arial" w:cs="Arial" w:eastAsia="Arial" w:hAnsi="Arial"/>
                <w:sz w:val="20"/>
                <w:szCs w:val="20"/>
                <w:color w:val="auto"/>
                <w:w w:val="89"/>
              </w:rPr>
              <w:t>Three-Months Ended</w:t>
            </w:r>
          </w:p>
        </w:tc>
      </w:tr>
      <w:tr>
        <w:trPr>
          <w:trHeight w:val="246"/>
        </w:trPr>
        <w:tc>
          <w:tcPr>
            <w:tcW w:w="6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140" w:type="dxa"/>
            <w:vAlign w:val="bottom"/>
            <w:gridSpan w:val="2"/>
          </w:tcPr>
          <w:p>
            <w:pPr>
              <w:jc w:val="center"/>
              <w:ind w:right="1100"/>
              <w:spacing w:after="0"/>
              <w:rPr>
                <w:sz w:val="20"/>
                <w:szCs w:val="20"/>
                <w:color w:val="auto"/>
              </w:rPr>
            </w:pPr>
            <w:r>
              <w:rPr>
                <w:rFonts w:ascii="Arial" w:cs="Arial" w:eastAsia="Arial" w:hAnsi="Arial"/>
                <w:sz w:val="20"/>
                <w:szCs w:val="20"/>
                <w:color w:val="auto"/>
                <w:w w:val="89"/>
              </w:rPr>
              <w:t>March 31,</w:t>
            </w:r>
          </w:p>
        </w:tc>
      </w:tr>
      <w:tr>
        <w:trPr>
          <w:trHeight w:val="223"/>
        </w:trPr>
        <w:tc>
          <w:tcPr>
            <w:tcW w:w="67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center"/>
              <w:ind w:left="281"/>
              <w:spacing w:after="0" w:line="223" w:lineRule="exact"/>
              <w:rPr>
                <w:sz w:val="20"/>
                <w:szCs w:val="20"/>
                <w:color w:val="auto"/>
              </w:rPr>
            </w:pPr>
            <w:r>
              <w:rPr>
                <w:rFonts w:ascii="Arial" w:cs="Arial" w:eastAsia="Arial" w:hAnsi="Arial"/>
                <w:sz w:val="20"/>
                <w:szCs w:val="20"/>
                <w:color w:val="auto"/>
                <w:w w:val="89"/>
              </w:rPr>
              <w:t>2013</w:t>
            </w:r>
          </w:p>
        </w:tc>
        <w:tc>
          <w:tcPr>
            <w:tcW w:w="2020" w:type="dxa"/>
            <w:vAlign w:val="bottom"/>
            <w:tcBorders>
              <w:top w:val="single" w:sz="8" w:color="auto"/>
              <w:bottom w:val="single" w:sz="8" w:color="auto"/>
            </w:tcBorders>
          </w:tcPr>
          <w:p>
            <w:pPr>
              <w:jc w:val="center"/>
              <w:ind w:left="561"/>
              <w:spacing w:after="0" w:line="223" w:lineRule="exact"/>
              <w:rPr>
                <w:sz w:val="20"/>
                <w:szCs w:val="20"/>
                <w:color w:val="auto"/>
              </w:rPr>
            </w:pPr>
            <w:r>
              <w:rPr>
                <w:rFonts w:ascii="Arial" w:cs="Arial" w:eastAsia="Arial" w:hAnsi="Arial"/>
                <w:sz w:val="20"/>
                <w:szCs w:val="20"/>
                <w:color w:val="auto"/>
                <w:w w:val="89"/>
              </w:rPr>
              <w:t>2012</w:t>
            </w:r>
          </w:p>
        </w:tc>
        <w:tc>
          <w:tcPr>
            <w:tcW w:w="120" w:type="dxa"/>
            <w:vAlign w:val="bottom"/>
            <w:tcBorders>
              <w:bottom w:val="single" w:sz="8" w:color="CCEEFF"/>
            </w:tcBorders>
          </w:tcPr>
          <w:p>
            <w:pPr>
              <w:spacing w:after="0"/>
              <w:rPr>
                <w:sz w:val="19"/>
                <w:szCs w:val="19"/>
                <w:color w:val="auto"/>
              </w:rPr>
            </w:pPr>
          </w:p>
        </w:tc>
      </w:tr>
      <w:tr>
        <w:trPr>
          <w:trHeight w:val="223"/>
        </w:trPr>
        <w:tc>
          <w:tcPr>
            <w:tcW w:w="678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Full service distributors</w:t>
            </w:r>
          </w:p>
        </w:tc>
        <w:tc>
          <w:tcPr>
            <w:tcW w:w="980" w:type="dxa"/>
            <w:vAlign w:val="bottom"/>
            <w:shd w:val="clear" w:color="auto" w:fill="CCEEFF"/>
          </w:tcPr>
          <w:p>
            <w:pPr>
              <w:jc w:val="center"/>
              <w:ind w:left="281"/>
              <w:spacing w:after="0" w:line="223" w:lineRule="exact"/>
              <w:rPr>
                <w:sz w:val="20"/>
                <w:szCs w:val="20"/>
                <w:color w:val="auto"/>
              </w:rPr>
            </w:pPr>
            <w:r>
              <w:rPr>
                <w:rFonts w:ascii="Arial" w:cs="Arial" w:eastAsia="Arial" w:hAnsi="Arial"/>
                <w:sz w:val="20"/>
                <w:szCs w:val="20"/>
                <w:color w:val="auto"/>
                <w:w w:val="89"/>
              </w:rPr>
              <w:t>62%</w:t>
            </w:r>
          </w:p>
        </w:tc>
        <w:tc>
          <w:tcPr>
            <w:tcW w:w="2020" w:type="dxa"/>
            <w:vAlign w:val="bottom"/>
            <w:shd w:val="clear" w:color="auto" w:fill="CCEEFF"/>
          </w:tcPr>
          <w:p>
            <w:pPr>
              <w:jc w:val="center"/>
              <w:ind w:left="561"/>
              <w:spacing w:after="0" w:line="223" w:lineRule="exact"/>
              <w:rPr>
                <w:sz w:val="20"/>
                <w:szCs w:val="20"/>
                <w:color w:val="auto"/>
              </w:rPr>
            </w:pPr>
            <w:r>
              <w:rPr>
                <w:rFonts w:ascii="Arial" w:cs="Arial" w:eastAsia="Arial" w:hAnsi="Arial"/>
                <w:sz w:val="20"/>
                <w:szCs w:val="20"/>
                <w:color w:val="auto"/>
                <w:w w:val="89"/>
              </w:rPr>
              <w:t>65%</w:t>
            </w:r>
          </w:p>
        </w:tc>
        <w:tc>
          <w:tcPr>
            <w:tcW w:w="120" w:type="dxa"/>
            <w:vAlign w:val="bottom"/>
            <w:shd w:val="clear" w:color="auto" w:fill="CCEEFF"/>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980" w:type="dxa"/>
            <w:vAlign w:val="bottom"/>
          </w:tcPr>
          <w:p>
            <w:pPr>
              <w:jc w:val="center"/>
              <w:ind w:left="281"/>
              <w:spacing w:after="0"/>
              <w:rPr>
                <w:sz w:val="20"/>
                <w:szCs w:val="20"/>
                <w:color w:val="auto"/>
              </w:rPr>
            </w:pPr>
            <w:r>
              <w:rPr>
                <w:rFonts w:ascii="Arial" w:cs="Arial" w:eastAsia="Arial" w:hAnsi="Arial"/>
                <w:sz w:val="20"/>
                <w:szCs w:val="20"/>
                <w:color w:val="auto"/>
                <w:w w:val="89"/>
              </w:rPr>
              <w:t>10%</w:t>
            </w:r>
          </w:p>
        </w:tc>
        <w:tc>
          <w:tcPr>
            <w:tcW w:w="2020" w:type="dxa"/>
            <w:vAlign w:val="bottom"/>
          </w:tcPr>
          <w:p>
            <w:pPr>
              <w:jc w:val="center"/>
              <w:ind w:left="561"/>
              <w:spacing w:after="0"/>
              <w:rPr>
                <w:sz w:val="20"/>
                <w:szCs w:val="20"/>
                <w:color w:val="auto"/>
              </w:rPr>
            </w:pPr>
            <w:r>
              <w:rPr>
                <w:rFonts w:ascii="Arial" w:cs="Arial" w:eastAsia="Arial" w:hAnsi="Arial"/>
                <w:sz w:val="20"/>
                <w:szCs w:val="20"/>
                <w:color w:val="auto"/>
                <w:w w:val="89"/>
              </w:rPr>
              <w:t>10%</w:t>
            </w:r>
          </w:p>
        </w:tc>
        <w:tc>
          <w:tcPr>
            <w:tcW w:w="120" w:type="dxa"/>
            <w:vAlign w:val="bottom"/>
          </w:tcPr>
          <w:p>
            <w:pPr>
              <w:spacing w:after="0"/>
              <w:rPr>
                <w:sz w:val="19"/>
                <w:szCs w:val="19"/>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20"/>
                <w:szCs w:val="20"/>
                <w:color w:val="auto"/>
              </w:rPr>
              <w:t>Outside the U.S.</w:t>
            </w:r>
          </w:p>
        </w:tc>
        <w:tc>
          <w:tcPr>
            <w:tcW w:w="980" w:type="dxa"/>
            <w:vAlign w:val="bottom"/>
            <w:shd w:val="clear" w:color="auto" w:fill="CCEEFF"/>
          </w:tcPr>
          <w:p>
            <w:pPr>
              <w:jc w:val="center"/>
              <w:ind w:left="281"/>
              <w:spacing w:after="0"/>
              <w:rPr>
                <w:sz w:val="20"/>
                <w:szCs w:val="20"/>
                <w:color w:val="auto"/>
              </w:rPr>
            </w:pPr>
            <w:r>
              <w:rPr>
                <w:rFonts w:ascii="Arial" w:cs="Arial" w:eastAsia="Arial" w:hAnsi="Arial"/>
                <w:sz w:val="20"/>
                <w:szCs w:val="20"/>
                <w:color w:val="auto"/>
                <w:w w:val="89"/>
              </w:rPr>
              <w:t>23%</w:t>
            </w:r>
          </w:p>
        </w:tc>
        <w:tc>
          <w:tcPr>
            <w:tcW w:w="2020" w:type="dxa"/>
            <w:vAlign w:val="bottom"/>
            <w:shd w:val="clear" w:color="auto" w:fill="CCEEFF"/>
          </w:tcPr>
          <w:p>
            <w:pPr>
              <w:jc w:val="center"/>
              <w:ind w:left="561"/>
              <w:spacing w:after="0"/>
              <w:rPr>
                <w:sz w:val="20"/>
                <w:szCs w:val="20"/>
                <w:color w:val="auto"/>
              </w:rPr>
            </w:pPr>
            <w:r>
              <w:rPr>
                <w:rFonts w:ascii="Arial" w:cs="Arial" w:eastAsia="Arial" w:hAnsi="Arial"/>
                <w:sz w:val="20"/>
                <w:szCs w:val="20"/>
                <w:color w:val="auto"/>
                <w:w w:val="89"/>
              </w:rPr>
              <w:t>19%</w:t>
            </w:r>
          </w:p>
        </w:tc>
        <w:tc>
          <w:tcPr>
            <w:tcW w:w="120" w:type="dxa"/>
            <w:vAlign w:val="bottom"/>
            <w:shd w:val="clear" w:color="auto" w:fill="CCEEFF"/>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980" w:type="dxa"/>
            <w:vAlign w:val="bottom"/>
          </w:tcPr>
          <w:p>
            <w:pPr>
              <w:jc w:val="center"/>
              <w:ind w:left="261"/>
              <w:spacing w:after="0"/>
              <w:rPr>
                <w:sz w:val="20"/>
                <w:szCs w:val="20"/>
                <w:color w:val="auto"/>
              </w:rPr>
            </w:pPr>
            <w:r>
              <w:rPr>
                <w:rFonts w:ascii="Arial" w:cs="Arial" w:eastAsia="Arial" w:hAnsi="Arial"/>
                <w:sz w:val="20"/>
                <w:szCs w:val="20"/>
                <w:color w:val="auto"/>
                <w:w w:val="89"/>
              </w:rPr>
              <w:t>3%</w:t>
            </w:r>
          </w:p>
        </w:tc>
        <w:tc>
          <w:tcPr>
            <w:tcW w:w="2020" w:type="dxa"/>
            <w:vAlign w:val="bottom"/>
          </w:tcPr>
          <w:p>
            <w:pPr>
              <w:jc w:val="center"/>
              <w:ind w:left="581"/>
              <w:spacing w:after="0"/>
              <w:rPr>
                <w:sz w:val="20"/>
                <w:szCs w:val="20"/>
                <w:color w:val="auto"/>
              </w:rPr>
            </w:pPr>
            <w:r>
              <w:rPr>
                <w:rFonts w:ascii="Arial" w:cs="Arial" w:eastAsia="Arial" w:hAnsi="Arial"/>
                <w:sz w:val="20"/>
                <w:szCs w:val="20"/>
                <w:color w:val="auto"/>
                <w:w w:val="89"/>
              </w:rPr>
              <w:t>4%</w:t>
            </w:r>
          </w:p>
        </w:tc>
        <w:tc>
          <w:tcPr>
            <w:tcW w:w="120" w:type="dxa"/>
            <w:vAlign w:val="bottom"/>
          </w:tcPr>
          <w:p>
            <w:pPr>
              <w:spacing w:after="0"/>
              <w:rPr>
                <w:sz w:val="19"/>
                <w:szCs w:val="19"/>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980" w:type="dxa"/>
            <w:vAlign w:val="bottom"/>
            <w:shd w:val="clear" w:color="auto" w:fill="CCEEFF"/>
          </w:tcPr>
          <w:p>
            <w:pPr>
              <w:jc w:val="center"/>
              <w:ind w:left="261"/>
              <w:spacing w:after="0"/>
              <w:rPr>
                <w:sz w:val="20"/>
                <w:szCs w:val="20"/>
                <w:color w:val="auto"/>
              </w:rPr>
            </w:pPr>
            <w:r>
              <w:rPr>
                <w:rFonts w:ascii="Arial" w:cs="Arial" w:eastAsia="Arial" w:hAnsi="Arial"/>
                <w:sz w:val="20"/>
                <w:szCs w:val="20"/>
                <w:color w:val="auto"/>
                <w:w w:val="89"/>
              </w:rPr>
              <w:t>2%</w:t>
            </w:r>
          </w:p>
        </w:tc>
        <w:tc>
          <w:tcPr>
            <w:tcW w:w="2020" w:type="dxa"/>
            <w:vAlign w:val="bottom"/>
            <w:shd w:val="clear" w:color="auto" w:fill="CCEEFF"/>
          </w:tcPr>
          <w:p>
            <w:pPr>
              <w:jc w:val="center"/>
              <w:ind w:left="581"/>
              <w:spacing w:after="0"/>
              <w:rPr>
                <w:sz w:val="20"/>
                <w:szCs w:val="20"/>
                <w:color w:val="auto"/>
              </w:rPr>
            </w:pPr>
            <w:r>
              <w:rPr>
                <w:rFonts w:ascii="Arial" w:cs="Arial" w:eastAsia="Arial" w:hAnsi="Arial"/>
                <w:sz w:val="20"/>
                <w:szCs w:val="20"/>
                <w:color w:val="auto"/>
                <w:w w:val="89"/>
              </w:rPr>
              <w:t>2%</w:t>
            </w:r>
          </w:p>
        </w:tc>
        <w:tc>
          <w:tcPr>
            <w:tcW w:w="120" w:type="dxa"/>
            <w:vAlign w:val="bottom"/>
            <w:shd w:val="clear" w:color="auto" w:fill="CCEEFF"/>
          </w:tcPr>
          <w:p>
            <w:pPr>
              <w:spacing w:after="0"/>
              <w:rPr>
                <w:sz w:val="19"/>
                <w:szCs w:val="19"/>
                <w:color w:val="auto"/>
              </w:rPr>
            </w:pPr>
          </w:p>
        </w:tc>
      </w:tr>
    </w:tbl>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Our customers include Coca-Cola Refreshments USA Inc. (“CCR”), Coca-Cola Enterprises, Coca-Cola Refreshments Canada, Ltd. (formerly known as Coca-Cola Bottling Company), CCBCC Operations, LLC, United Bottling Contracts Company, LLC and other Coca-Cola Company independent bottlers, Wal-Mart, Inc. (including Sam’s Club), select Anheuser-Busch, Inc. distributors, certain bottlers of the Coca-Cola Hellenic group, Kalil Bottling Group, Trader Joe’s, Swire Coca-Cola, Costco, The Kroger Co. and Safeway, Inc. A decision by any large customer to decrease amounts purchased from us or to cease carrying our products could have a material negative effect on our financial condition and consolidated results of operations. CCR accounted for approximately 30% of our net sales for both the three-months ended March 31, 2013 and 2012.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sets forth key statistics for the three-months ended March 31, 2013 and 2012, respectively.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Three-Months Ended</w:t>
            </w:r>
          </w:p>
        </w:tc>
        <w:tc>
          <w:tcPr>
            <w:tcW w:w="2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Arial" w:cs="Arial" w:eastAsia="Arial" w:hAnsi="Arial"/>
                <w:sz w:val="18"/>
                <w:szCs w:val="18"/>
                <w:color w:val="auto"/>
              </w:rPr>
              <w:t>(In thousands, except per share amounts)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13 vs. 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sales, net of discounts &amp; returns *</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554,951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517,313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Promotional and other allowances**</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70,728</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62,708</w:t>
            </w:r>
          </w:p>
        </w:tc>
        <w:tc>
          <w:tcPr>
            <w:tcW w:w="138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484,223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454,605</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232,184</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213,436</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252,039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241,169</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 as a percentage of net sales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144,733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114,884</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expenses as a percentage of net sales</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29.9%</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25.3%</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107,306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126,285</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a percentage of net sales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(8,846.0%)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Gain on investments and put options, net</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2,571</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396</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 income</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346</w:t>
            </w:r>
          </w:p>
        </w:tc>
        <w:tc>
          <w:tcPr>
            <w:tcW w:w="138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649.7%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105,404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126,631</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41,908</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50,532</w:t>
            </w:r>
          </w:p>
        </w:tc>
        <w:tc>
          <w:tcPr>
            <w:tcW w:w="138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63,496</w:t>
            </w:r>
          </w:p>
        </w:tc>
        <w:tc>
          <w:tcPr>
            <w:tcW w:w="220" w:type="dxa"/>
            <w:vAlign w:val="bottom"/>
          </w:tcPr>
          <w:p>
            <w:pPr>
              <w:spacing w:after="0"/>
              <w:rPr>
                <w:sz w:val="22"/>
                <w:szCs w:val="22"/>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76,099</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as a percentage of net sales</w:t>
            </w: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13.1%</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16.7%</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18"/>
                <w:szCs w:val="18"/>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0.44</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0.41</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Case sales (in thousands)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192-ounce case equivalents)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47,749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44,396</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22" w:name="page23"/>
    <w:bookmarkEnd w:id="22"/>
    <w:p>
      <w:pPr>
        <w:ind w:right="300"/>
        <w:spacing w:after="0" w:line="227"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$8.3 million and $0.1 million for the three-months ended March 31, 2013 and 2012, respectively, related to expenditures attributable to the costs associated with terminating existing distributors.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8"/>
        <w:spacing w:after="0" w:line="268" w:lineRule="auto"/>
        <w:tabs>
          <w:tab w:leader="none" w:pos="225" w:val="left"/>
        </w:tabs>
        <w:numPr>
          <w:ilvl w:val="0"/>
          <w:numId w:val="22"/>
        </w:numPr>
        <w:rPr>
          <w:rFonts w:ascii="Arial" w:cs="Arial" w:eastAsia="Arial" w:hAnsi="Arial"/>
          <w:sz w:val="17"/>
          <w:szCs w:val="17"/>
          <w:b w:val="1"/>
          <w:bCs w:val="1"/>
          <w:color w:val="auto"/>
        </w:rPr>
      </w:pPr>
      <w:r>
        <w:rPr>
          <w:rFonts w:ascii="Arial" w:cs="Arial" w:eastAsia="Arial" w:hAnsi="Arial"/>
          <w:sz w:val="17"/>
          <w:szCs w:val="17"/>
          <w:i w:val="1"/>
          <w:iCs w:val="1"/>
          <w:color w:val="auto"/>
        </w:rPr>
        <w:t>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discounts granted off list prices to support price promotions to end-consumers by retailers; (ii) reimbursements given to the Company’s distributors for agreed portions of their promotional spend with retailers, including slotting, shelf space allowances and other fees for both new and existing products; (iii) the Company’s agreed share of fees given to distributors and/or directly to retailers for advertising, in-store marketing and promotional activities; (iv) the Company’s agreed share of slotting, shelf space allowances and other fees given directly to retailers; (v) incentives given to the Company’s distributors and/or retailers for achieving or exceeding certain predetermined sales goals; (vi) discounted or free products; (vii) contractual fees given to the Company’s distributors related to sales made by the Company direct to certain customers that fall within the 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Results of Operations for the Three-Months Ended March 31, 2013 Compared to the Three-Months Ended March 31, 2012.</w:t>
      </w:r>
    </w:p>
    <w:p>
      <w:pPr>
        <w:spacing w:after="0" w:line="2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$555.0 million for the three-months ended March 31, 2013,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$37.6 million, or 7.3% higher than gross sales of $517.3 million for the three-months ended March 31, 2012. The increase in the gross sales of our Monster Energy® brand energy drinks represented approximately $40.3 million, or 107.1%, of the overall increase in gross sales. Gross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gross sales. No other individual product line contributed either a material increase or decrease to gross sales for the three-months ended March 31, 2013. Promotional and other allowances, as described in the footnote above, were $70.7 million for the three-months ended March 31, 2013, an increase of $8.0 million, or 12.8% higher than promotional and other allowances of $62.7 million for the three-months ended March 31, 2012. Promotional and other allowances as a percentage of gross sales increased to 12.7% from 12.1% for the three-months ended March 31, 2013 and 2012, respectively. As a result, the percentage increase in gross sales for the three-months ended March 31, 2013 was higher than the percentage increase in net sales.</w:t>
      </w:r>
    </w:p>
    <w:p>
      <w:pPr>
        <w:spacing w:after="0" w:line="200" w:lineRule="exact"/>
        <w:rPr>
          <w:sz w:val="20"/>
          <w:szCs w:val="20"/>
          <w:color w:val="auto"/>
        </w:rPr>
      </w:pPr>
    </w:p>
    <w:p>
      <w:pPr>
        <w:spacing w:after="0" w:line="236" w:lineRule="exact"/>
        <w:rPr>
          <w:sz w:val="20"/>
          <w:szCs w:val="20"/>
          <w:color w:val="auto"/>
        </w:rPr>
      </w:pPr>
    </w:p>
    <w:p>
      <w:pPr>
        <w:jc w:val="both"/>
        <w:ind w:firstLine="687"/>
        <w:spacing w:after="0" w:line="247" w:lineRule="auto"/>
        <w:rPr>
          <w:sz w:val="20"/>
          <w:szCs w:val="20"/>
          <w:color w:val="auto"/>
        </w:rPr>
      </w:pPr>
      <w:r>
        <w:rPr>
          <w:rFonts w:ascii="Arial" w:cs="Arial" w:eastAsia="Arial" w:hAnsi="Arial"/>
          <w:sz w:val="21"/>
          <w:szCs w:val="21"/>
          <w:i w:val="1"/>
          <w:iCs w:val="1"/>
          <w:color w:val="auto"/>
        </w:rPr>
        <w:t xml:space="preserve">Net Sales. </w:t>
      </w:r>
      <w:r>
        <w:rPr>
          <w:rFonts w:ascii="Arial" w:cs="Arial" w:eastAsia="Arial" w:hAnsi="Arial"/>
          <w:sz w:val="21"/>
          <w:szCs w:val="21"/>
          <w:color w:val="auto"/>
        </w:rPr>
        <w:t>Net sales were $484.2 million for the three-months ended March 31, 2013, an increase of approximately $29.6</w:t>
      </w:r>
      <w:r>
        <w:rPr>
          <w:rFonts w:ascii="Arial" w:cs="Arial" w:eastAsia="Arial" w:hAnsi="Arial"/>
          <w:sz w:val="21"/>
          <w:szCs w:val="21"/>
          <w:i w:val="1"/>
          <w:iCs w:val="1"/>
          <w:color w:val="auto"/>
        </w:rPr>
        <w:t xml:space="preserve"> </w:t>
      </w:r>
      <w:r>
        <w:rPr>
          <w:rFonts w:ascii="Arial" w:cs="Arial" w:eastAsia="Arial" w:hAnsi="Arial"/>
          <w:sz w:val="21"/>
          <w:szCs w:val="21"/>
          <w:color w:val="auto"/>
        </w:rPr>
        <w:t>million, or 6.5% higher than net sales of $454.6 million for the three-months ended March 31, 2012. The increase in net sales of our Monster Energy® brand energy drinks represented approximately $28.6 million, or 96.7%, of the overall increase in net sales. Net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No other individual product line contributed either a material increase or decrease to net sales for the three-months ended March 31, 2013.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Case sales, in 192-ounce case equivalents, were 47.7 million cases for the three-months ended March 31, 2013, an increase of approximately 3.4 million cases or 7.6% higher than case sales of 44.4 million cases for the three-months ended March 31, 2012. The overall average net sales per case decreased to $10.14 for the three-months ended March 31, 2013, which was 1.0% lower than the average net sales per case of $10.24 for the three-months ended March 31, 2012.</w:t>
      </w:r>
    </w:p>
    <w:p>
      <w:pPr>
        <w:sectPr>
          <w:pgSz w:w="11900" w:h="16838" w:orient="portrait"/>
          <w:cols w:equalWidth="0" w:num="1">
            <w:col w:w="11420"/>
          </w:cols>
          <w:pgMar w:left="240" w:top="368" w:right="239" w:bottom="258" w:gutter="0" w:footer="0" w:header="0"/>
        </w:sectPr>
      </w:pPr>
    </w:p>
    <w:bookmarkStart w:id="23" w:name="page24"/>
    <w:bookmarkEnd w:id="23"/>
    <w:p>
      <w:pPr>
        <w:jc w:val="both"/>
        <w:ind w:firstLine="687"/>
        <w:spacing w:after="0" w:line="246" w:lineRule="auto"/>
        <w:rPr>
          <w:sz w:val="20"/>
          <w:szCs w:val="20"/>
          <w:color w:val="auto"/>
        </w:rPr>
      </w:pPr>
      <w:r>
        <w:rPr>
          <w:rFonts w:ascii="Arial" w:cs="Arial" w:eastAsia="Arial" w:hAnsi="Arial"/>
          <w:sz w:val="21"/>
          <w:szCs w:val="21"/>
          <w:color w:val="auto"/>
        </w:rPr>
        <w:t>Net sales for the DSD segment were $460.2 million for the three-months ended March 31, 2013, an increase of approximately $29.0 million, or 6.7% higher than net sales of $431.2 million for the three-months ended March 31, 2012. The increase in net sales of our Monster Energy® brand energy drinks represented approximately $28.6 million, or 98.8%, of the overall increase in net sales for the DSD segment. Net sales for the DSD segment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for the DSD segment. No other individual product line contributed either a material increase or decrease to net sales for the DSD segment for the three-months ended March 31, 2013.</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Net sales for the Warehouse segment were $24.0 million for the three-months ended March 31, 2013, an increase of approximately $0.6 million, or 2.7% higher than net sales of $23.4 million for the three-months ended March 31, 2012. The increase in net sales for the Warehouse segment was primarily attributable to increased sales by volume of Hubert’s® lemonades. The increase in net sales for the Warehouse segment was partially offset by decreased sales by volume of Hansen’s® soda.</w:t>
      </w:r>
    </w:p>
    <w:p>
      <w:pPr>
        <w:spacing w:after="0" w:line="17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i w:val="1"/>
          <w:iCs w:val="1"/>
          <w:color w:val="auto"/>
        </w:rPr>
        <w:t xml:space="preserve">Gross Profit. </w:t>
      </w:r>
      <w:r>
        <w:rPr>
          <w:rFonts w:ascii="Arial" w:cs="Arial" w:eastAsia="Arial" w:hAnsi="Arial"/>
          <w:sz w:val="22"/>
          <w:szCs w:val="22"/>
          <w:color w:val="auto"/>
        </w:rPr>
        <w:t>Gross profit was $252.0 million for the three-months ended March 31, 2013, an increase of approximately</w:t>
      </w:r>
      <w:r>
        <w:rPr>
          <w:rFonts w:ascii="Arial" w:cs="Arial" w:eastAsia="Arial" w:hAnsi="Arial"/>
          <w:sz w:val="22"/>
          <w:szCs w:val="22"/>
          <w:i w:val="1"/>
          <w:iCs w:val="1"/>
          <w:color w:val="auto"/>
        </w:rPr>
        <w:t xml:space="preserve"> </w:t>
      </w:r>
      <w:r>
        <w:rPr>
          <w:rFonts w:ascii="Arial" w:cs="Arial" w:eastAsia="Arial" w:hAnsi="Arial"/>
          <w:sz w:val="22"/>
          <w:szCs w:val="22"/>
          <w:color w:val="auto"/>
        </w:rPr>
        <w:t>$10.9 million, or 4.5% higher than the gross profit of $241.2 million for the three-months ended March 31, 2012. Gross profit as a percentage of net sales decreased to 52.1% for the three-months ended March 31, 2013 from 53.1% for the three-months ended March 31, 2012. The increase in gross profit dollars was primarily the result of the $40.3 million increase in gross sales of our Monster Energy® brand energy drinks. The decrease in gross profit as a percentage of net sales was largely attributable to changes in geographic mix.</w:t>
      </w:r>
    </w:p>
    <w:p>
      <w:pPr>
        <w:spacing w:after="0" w:line="21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i w:val="1"/>
          <w:iCs w:val="1"/>
          <w:color w:val="auto"/>
        </w:rPr>
        <w:t>Operating Expenses</w:t>
      </w:r>
      <w:r>
        <w:rPr>
          <w:rFonts w:ascii="Arial" w:cs="Arial" w:eastAsia="Arial" w:hAnsi="Arial"/>
          <w:sz w:val="21"/>
          <w:szCs w:val="21"/>
          <w:color w:val="auto"/>
        </w:rPr>
        <w:t>. Total operating expenses were $144.7 million for the three-months ended March 31, 2013, an increase</w:t>
      </w:r>
      <w:r>
        <w:rPr>
          <w:rFonts w:ascii="Arial" w:cs="Arial" w:eastAsia="Arial" w:hAnsi="Arial"/>
          <w:sz w:val="21"/>
          <w:szCs w:val="21"/>
          <w:i w:val="1"/>
          <w:iCs w:val="1"/>
          <w:color w:val="auto"/>
        </w:rPr>
        <w:t xml:space="preserve"> </w:t>
      </w:r>
      <w:r>
        <w:rPr>
          <w:rFonts w:ascii="Arial" w:cs="Arial" w:eastAsia="Arial" w:hAnsi="Arial"/>
          <w:sz w:val="21"/>
          <w:szCs w:val="21"/>
          <w:color w:val="auto"/>
        </w:rPr>
        <w:t>of approximately $29.8 million, or 26.0% higher than total operating expenses of $114.9 million for the three-months ended March 31, 2012. The increase in operating expenses was partially attributable to increased expenditures of $8.3 million relating to the costs associated with terminating existing distributors, increased expenditures of $4.9 million for professional service costs, including legal and accounting fees (of which $3.0 million related to regulatory matters and litigation concerning our Monster Energy® brand energy drinks), increased payroll expenses of $2.9 million (of which $0.4 million was related to an increase in stock-based compensation), increased out-bound freight and warehouse costs of $2.6 million, increased expenditures of $2.4 million for other marketing expenses, increased expenditures of $2.0 million for premiums, increased expenditures of $1.9 million for sponsorships and endorsements and increased expenditures of $1.7 million for allocated trade development. Total operating expenses as a percentage of net sales was 29.9% for the three-months ended March 31, 2013, compared to 25.3% for the three-months ended March 31,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i w:val="1"/>
          <w:iCs w:val="1"/>
          <w:color w:val="auto"/>
        </w:rPr>
        <w:t xml:space="preserve">Contribution Margin. </w:t>
      </w:r>
      <w:r>
        <w:rPr>
          <w:rFonts w:ascii="Arial" w:cs="Arial" w:eastAsia="Arial" w:hAnsi="Arial"/>
          <w:sz w:val="22"/>
          <w:szCs w:val="22"/>
          <w:color w:val="auto"/>
        </w:rPr>
        <w:t>Contribution margin for the DSD segment was $139.0 million for the three-months ended March 31,</w:t>
      </w:r>
      <w:r>
        <w:rPr>
          <w:rFonts w:ascii="Arial" w:cs="Arial" w:eastAsia="Arial" w:hAnsi="Arial"/>
          <w:sz w:val="22"/>
          <w:szCs w:val="22"/>
          <w:i w:val="1"/>
          <w:iCs w:val="1"/>
          <w:color w:val="auto"/>
        </w:rPr>
        <w:t xml:space="preserve"> </w:t>
      </w:r>
      <w:r>
        <w:rPr>
          <w:rFonts w:ascii="Arial" w:cs="Arial" w:eastAsia="Arial" w:hAnsi="Arial"/>
          <w:sz w:val="22"/>
          <w:szCs w:val="22"/>
          <w:color w:val="auto"/>
        </w:rPr>
        <w:t>2013, a decrease of approximately $10.2 million, or 6.8% lower than contribution margin of $149.1 million for the three-months ended March 31, 2012. The decrease in the contribution margin for the DSD segment was primarily the result of a $21.8 million increase in operating expenses. Contribution margin for the Warehouse segment was $0.4 million for the three-months ended March 31, 2013, approximately $1.8 million lower than contribution margin of $2.2 million for the three-months ended March 31, 2012. The decrease in the contribution margin for the Warehouse segment was partly attributable to increased costs of apple juice concentrate.</w:t>
      </w: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i w:val="1"/>
          <w:iCs w:val="1"/>
          <w:color w:val="auto"/>
        </w:rPr>
        <w:t xml:space="preserve">Operating Income. </w:t>
      </w:r>
      <w:r>
        <w:rPr>
          <w:rFonts w:ascii="Arial" w:cs="Arial" w:eastAsia="Arial" w:hAnsi="Arial"/>
          <w:sz w:val="19"/>
          <w:szCs w:val="19"/>
          <w:color w:val="auto"/>
        </w:rPr>
        <w:t>Operating income was $107.3 million for the three-months ended March 31, 2013, a decrease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$19.0 million, or 15.0% lower than operating income of $126.3 million for the three-months ended March 31, 2012. Operating income as a percentage of net sales decreased to 22.2% for the three-months ended March 31, 2013 from 27.8% for the three-months ended March 31, 2012, primarily due to the increase in operating expenses as a percentage of net sales and the decrease in gross profit as a percentage of net sales. The decrease in operating income dollars was primarily due to an increase in operating expenses of $29.8 million, partially offset by a $10.9 million increase in gross profit. Operating income was negatively affected by combined operating losses of $2.1 million and $4.3 million for the three-months ended March 31, 2013 and 2012, respectively, in relation to our operations in Africa, Asia, Australia, Europe, the Middle East and South America.</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Other (Expense) Income</w:t>
      </w:r>
      <w:r>
        <w:rPr>
          <w:rFonts w:ascii="Arial" w:cs="Arial" w:eastAsia="Arial" w:hAnsi="Arial"/>
          <w:sz w:val="19"/>
          <w:szCs w:val="19"/>
          <w:color w:val="auto"/>
        </w:rPr>
        <w:t>. Other (expense) was ($1.9) million for the three-months ended March 31, 2013, as compared to</w:t>
      </w:r>
      <w:r>
        <w:rPr>
          <w:rFonts w:ascii="Arial" w:cs="Arial" w:eastAsia="Arial" w:hAnsi="Arial"/>
          <w:sz w:val="19"/>
          <w:szCs w:val="19"/>
          <w:i w:val="1"/>
          <w:iCs w:val="1"/>
          <w:color w:val="auto"/>
        </w:rPr>
        <w:t xml:space="preserve"> </w:t>
      </w:r>
      <w:r>
        <w:rPr>
          <w:rFonts w:ascii="Arial" w:cs="Arial" w:eastAsia="Arial" w:hAnsi="Arial"/>
          <w:sz w:val="19"/>
          <w:szCs w:val="19"/>
          <w:color w:val="auto"/>
        </w:rPr>
        <w:t>other income of $0.3 million for the three-months ended March 31, 2012. Foreign currency transaction losses were $4.7 million and $0.5 million for the three-months ended March 31, 2013 and 2012, respectively. The increase in foreign currency losses during the three-months ended March 31, 2013 was primarily related to our operations in Japan and South Africa. Interest income was $0.1 million and $0.4 million for the three-months ended March 31, 2013 and 2012, respectively.</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$41.9 million for the three-months ended March 31, 2013, a</w:t>
      </w:r>
      <w:r>
        <w:rPr>
          <w:rFonts w:ascii="Arial" w:cs="Arial" w:eastAsia="Arial" w:hAnsi="Arial"/>
          <w:sz w:val="19"/>
          <w:szCs w:val="19"/>
          <w:i w:val="1"/>
          <w:iCs w:val="1"/>
          <w:color w:val="auto"/>
        </w:rPr>
        <w:t xml:space="preserve"> </w:t>
      </w:r>
      <w:r>
        <w:rPr>
          <w:rFonts w:ascii="Arial" w:cs="Arial" w:eastAsia="Arial" w:hAnsi="Arial"/>
          <w:sz w:val="19"/>
          <w:szCs w:val="19"/>
          <w:color w:val="auto"/>
        </w:rPr>
        <w:t>decrease of $8.6 million or 17.1% lower than the provision for income taxes of $50.5 million for the three-months ended March 31, 2012. The effective combined federal, state and foreign tax rate decreased to 39.8% from 39.9% for the three-months ended March 31, 2013 and 2012, respectively. The decrease in the effective tax rate was primarily the result of the establishment of a full valuation allowance against the deferred tax assets of a foreign subsidiary during the first quarter of 2012. The decrease in the effective tax rate was partially offset by the establishment of a full valuation allowance against a tax capital loss recognized on the</w:t>
      </w:r>
    </w:p>
    <w:p>
      <w:pPr>
        <w:sectPr>
          <w:pgSz w:w="11900" w:h="16838" w:orient="portrait"/>
          <w:cols w:equalWidth="0" w:num="1">
            <w:col w:w="11420"/>
          </w:cols>
          <w:pgMar w:left="240" w:top="118" w:right="239" w:bottom="0" w:gutter="0" w:footer="0" w:header="0"/>
        </w:sectPr>
      </w:pPr>
    </w:p>
    <w:bookmarkStart w:id="24" w:name="page25"/>
    <w:bookmarkEnd w:id="24"/>
    <w:p>
      <w:pPr>
        <w:jc w:val="both"/>
        <w:spacing w:after="0" w:line="251" w:lineRule="auto"/>
        <w:rPr>
          <w:sz w:val="20"/>
          <w:szCs w:val="20"/>
          <w:color w:val="auto"/>
        </w:rPr>
      </w:pPr>
      <w:r>
        <w:rPr>
          <w:rFonts w:ascii="Arial" w:cs="Arial" w:eastAsia="Arial" w:hAnsi="Arial"/>
          <w:sz w:val="22"/>
          <w:szCs w:val="22"/>
          <w:color w:val="auto"/>
        </w:rPr>
        <w:t>sale of certain available-for-sale auction rate securities as well as a higher effective tax rate in certain foreign jurisdictions in the first quarter of 2013.</w:t>
      </w:r>
    </w:p>
    <w:p>
      <w:pPr>
        <w:spacing w:after="0" w:line="2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i w:val="1"/>
          <w:iCs w:val="1"/>
          <w:color w:val="auto"/>
        </w:rPr>
        <w:t>Net Income</w:t>
      </w:r>
      <w:r>
        <w:rPr>
          <w:rFonts w:ascii="Arial" w:cs="Arial" w:eastAsia="Arial" w:hAnsi="Arial"/>
          <w:sz w:val="21"/>
          <w:szCs w:val="21"/>
          <w:color w:val="auto"/>
        </w:rPr>
        <w:t>. Net income was $63.5 million for the three-months ended March 31, 2013, a decrease of $12.6 million or</w:t>
      </w:r>
      <w:r>
        <w:rPr>
          <w:rFonts w:ascii="Arial" w:cs="Arial" w:eastAsia="Arial" w:hAnsi="Arial"/>
          <w:sz w:val="21"/>
          <w:szCs w:val="21"/>
          <w:i w:val="1"/>
          <w:iCs w:val="1"/>
          <w:color w:val="auto"/>
        </w:rPr>
        <w:t xml:space="preserve"> </w:t>
      </w:r>
      <w:r>
        <w:rPr>
          <w:rFonts w:ascii="Arial" w:cs="Arial" w:eastAsia="Arial" w:hAnsi="Arial"/>
          <w:sz w:val="21"/>
          <w:szCs w:val="21"/>
          <w:color w:val="auto"/>
        </w:rPr>
        <w:t>16.6% lower than net income of $76.1 million for the three-months ended March 31, 2012. The decrease in net income was primarily attributable to an increase in operating expenses of $29.8 million. The decrease in net income was partially offset by an increase in gross profit of $10.9 million and a decrease in the provision for income taxes of $8.6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i w:val="1"/>
          <w:iCs w:val="1"/>
          <w:color w:val="auto"/>
        </w:rPr>
        <w:t xml:space="preserve">Cash flows provided by operating activities. </w:t>
      </w:r>
      <w:r>
        <w:rPr>
          <w:rFonts w:ascii="Arial" w:cs="Arial" w:eastAsia="Arial" w:hAnsi="Arial"/>
          <w:sz w:val="19"/>
          <w:szCs w:val="19"/>
          <w:color w:val="auto"/>
        </w:rPr>
        <w:t>Net cash provided by operating activities was $45.9 million for the three-months ended March 31, 2013, as compared with net cash provided by operating activities of $36.8 million for the three-months ended March 31, 2012. For the three-months ended March 31, 2013, cash provided by operating activities was primarily attributable to net income earned of $63.5 million and adjustments for certain non-cash expenses consisting of $7.0 million of stock-based compensation and $5.0 million of depreciation and other amortization. For the three-months ended March 31, 2013, cash provided by operating activities also increased due to a $27.4 million decrease in prepaid income taxes, $13.9 million increase in accrued promotional allowances, a $9.3 million increase in income taxes payable, a $9.9 million increase in accrued liabilities, a $7.4 million increase in accrued distributor terminations, a $7.5 million increase in accounts payable, and a $6.2 million increase in deferred revenue. For the three-months ended March 31, 2013, cash provided by operating activities was reduced due to a $69.7 million increase in accounts receivable, a $14.1 million increase in inventory, a $10.6 million increase in prepaid expenses and other current assets, an $8.3 million increase in distributor receivables, a $5.4 million decrease in accrued compensation and a $2.5 million gain on investments. For the three-months ended March 31, 2012, cash provided by operating activities was primarily attributable to net income earned of $76.1 million and adjustments for certain non-cash expenses consisting of $6.6 million of stock-based compensation, $5.0 million of depreciation and other amortization, a $2.6 million decrease in deferred income taxes and a $1.4 million loss on put options. For the three-months ended March 31, 2012, cash provided by operating activities also increased due to a $25.8 million increase in income taxes payable, a $16.2 million increase in accounts payable and a $14.1 million increase in accrued liabilities. For the three-months ended March 31, 2012, cash provided by operating activities was reduced due to a $34.1 million increase in inventory, a $34.0 million decrease in accrued promotional allowances, a $33.9 million increase in accounts receivable, a $3.8 million decrease in accrued compensation, a $1.8 million gain on investments, a $1.6 million decrease in deferred revenue, and a $1.2 million decrease in prepaid income taxes.</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i w:val="1"/>
          <w:iCs w:val="1"/>
          <w:color w:val="auto"/>
        </w:rPr>
        <w:t xml:space="preserve">Cash flows used in investing activities. </w:t>
      </w:r>
      <w:r>
        <w:rPr>
          <w:rFonts w:ascii="Arial" w:cs="Arial" w:eastAsia="Arial" w:hAnsi="Arial"/>
          <w:sz w:val="19"/>
          <w:szCs w:val="19"/>
          <w:color w:val="auto"/>
        </w:rPr>
        <w:t>Net cash used in investing activities was $15.4 million for the three-months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March 31, 2013, as compared to net cash used in investing activities of $20.0 million for the three-months ended March 31, 2012. For the three-months ended March 31, 2013, cash used in investing activities was primarily attributable to purchases of held-to-maturity investments, purchases of property and equipment, and additions to intangibles. For the three-months ended March 31, 2012, cash used in investing activities was primarily attributable to purchases of held-to-maturity investments, purchases of available-for-sale investments, purchases of property and equipment, including the purchase of real property, and additions to intangibles. For the three-months ended March 31, 2013, cash provided by investing activities was primarily attributable to maturities of held-to-maturity investments. For the three-months ended March 31, 2012, cash provided by investing activities was primarily attributable to maturities of held-to-maturity investments and sales of available-for-sale investments. For both the three-months ended March 31, 2013 and 2012,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 portion of our cash in excess of our requirements for operations for purchasing short-term and long-term investments, and for other corporate purposes, including leasehold improvements, the acquisition of capital equipment,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i w:val="1"/>
          <w:iCs w:val="1"/>
          <w:color w:val="auto"/>
        </w:rPr>
        <w:t xml:space="preserve">Cash flows (used in) provided by financing activities. </w:t>
      </w:r>
      <w:r>
        <w:rPr>
          <w:rFonts w:ascii="Arial" w:cs="Arial" w:eastAsia="Arial" w:hAnsi="Arial"/>
          <w:sz w:val="19"/>
          <w:szCs w:val="19"/>
          <w:color w:val="auto"/>
        </w:rPr>
        <w:t>Net cash used in financing activities was $11.1 million for the three-months ended March 31, 2013, as compared to net cash provided by financing activities of $2.6 million for the three-months ended March 31, 2012. For the three-months ended March 31, 2013, cash used in financing activities was primarily attributable to $13.4 million of purchases of common stock. For the three-months ended March 31, 2013, cash provided by financing activities was primarily attributable to $2.4 million received from the issuance of common stock in connection with the exercise of certain stock options and a $0.2 million tax benefit from the exercise of stock options. For the three-months ended March 31, 2012 cash</w:t>
      </w:r>
    </w:p>
    <w:p>
      <w:pPr>
        <w:sectPr>
          <w:pgSz w:w="11900" w:h="16838" w:orient="portrait"/>
          <w:cols w:equalWidth="0" w:num="1">
            <w:col w:w="11420"/>
          </w:cols>
          <w:pgMar w:left="240" w:top="118" w:right="239" w:bottom="0" w:gutter="0" w:footer="0" w:header="0"/>
        </w:sectPr>
      </w:pPr>
    </w:p>
    <w:bookmarkStart w:id="25" w:name="page26"/>
    <w:bookmarkEnd w:id="25"/>
    <w:p>
      <w:pPr>
        <w:jc w:val="both"/>
        <w:spacing w:after="0" w:line="251" w:lineRule="auto"/>
        <w:rPr>
          <w:sz w:val="20"/>
          <w:szCs w:val="20"/>
          <w:color w:val="auto"/>
        </w:rPr>
      </w:pPr>
      <w:r>
        <w:rPr>
          <w:rFonts w:ascii="Arial" w:cs="Arial" w:eastAsia="Arial" w:hAnsi="Arial"/>
          <w:sz w:val="22"/>
          <w:szCs w:val="22"/>
          <w:color w:val="auto"/>
        </w:rPr>
        <w:t>provided by financing activities was primarily attributable to $2.7 million received from the issuance of common stock in connection with the exercise of certain stock options.</w:t>
      </w:r>
    </w:p>
    <w:p>
      <w:pPr>
        <w:spacing w:after="0" w:line="20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Purchases of inventories, increases in accounts receivable and other assets, acquisition of property and equipment, leasehold improvements, acquisition and maintenance of trademarks, payments of accounts payable, income taxes payable and purchases of our common stock are expected to remain our principal recurring use of cash.</w:t>
      </w:r>
    </w:p>
    <w:p>
      <w:pPr>
        <w:spacing w:after="0" w:line="19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i w:val="1"/>
          <w:iCs w:val="1"/>
          <w:color w:val="auto"/>
        </w:rPr>
        <w:t xml:space="preserve">Cash and cash equivalents, short-term and long-term investments. </w:t>
      </w:r>
      <w:r>
        <w:rPr>
          <w:rFonts w:ascii="Arial" w:cs="Arial" w:eastAsia="Arial" w:hAnsi="Arial"/>
          <w:sz w:val="21"/>
          <w:szCs w:val="21"/>
          <w:color w:val="auto"/>
        </w:rPr>
        <w:t>At March 31, 2013, we had $242.5 million in cash and</w:t>
      </w:r>
      <w:r>
        <w:rPr>
          <w:rFonts w:ascii="Arial" w:cs="Arial" w:eastAsia="Arial" w:hAnsi="Arial"/>
          <w:sz w:val="21"/>
          <w:szCs w:val="21"/>
          <w:i w:val="1"/>
          <w:iCs w:val="1"/>
          <w:color w:val="auto"/>
        </w:rPr>
        <w:t xml:space="preserve"> </w:t>
      </w:r>
      <w:r>
        <w:rPr>
          <w:rFonts w:ascii="Arial" w:cs="Arial" w:eastAsia="Arial" w:hAnsi="Arial"/>
          <w:sz w:val="21"/>
          <w:szCs w:val="21"/>
          <w:color w:val="auto"/>
        </w:rPr>
        <w:t>cash equivalents and $115.8 million in short-term and long-term investments. We have historically invested these amounts in U.S. Treasury bills, U.S. government agency securities and municipal securities (which may have an auction reset feature), corporate notes and bonds, commercial paper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20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We believe that cash available from operations, including our cash resources and the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equipment and properties, through at least the next 12 months. Based on our current plans, at this time we estimate that capital expenditures are likely to be less than $50.0 million through March 31, 2014. However, future business opportunities may cause a change in this estimate.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represents a summary of the Company’s contractual commitments and related scheduled maturities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March 31, 2013: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960" w:type="dxa"/>
            <w:vAlign w:val="bottom"/>
            <w:tcBorders>
              <w:bottom w:val="single" w:sz="8" w:color="auto"/>
            </w:tcBorders>
            <w:gridSpan w:val="6"/>
          </w:tcPr>
          <w:p>
            <w:pPr>
              <w:jc w:val="center"/>
              <w:ind w:left="52"/>
              <w:spacing w:after="0"/>
              <w:rPr>
                <w:sz w:val="20"/>
                <w:szCs w:val="20"/>
                <w:color w:val="auto"/>
              </w:rPr>
            </w:pPr>
            <w:r>
              <w:rPr>
                <w:rFonts w:ascii="Arial" w:cs="Arial" w:eastAsia="Arial" w:hAnsi="Arial"/>
                <w:sz w:val="22"/>
                <w:szCs w:val="22"/>
                <w:color w:val="auto"/>
                <w:w w:val="87"/>
              </w:rPr>
              <w:t>Payments due by period (in thousands)</w:t>
            </w:r>
          </w:p>
        </w:tc>
        <w:tc>
          <w:tcPr>
            <w:tcW w:w="4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center"/>
              <w:ind w:right="540"/>
              <w:spacing w:after="0" w:line="222" w:lineRule="exact"/>
              <w:rPr>
                <w:sz w:val="20"/>
                <w:szCs w:val="20"/>
                <w:color w:val="auto"/>
              </w:rPr>
            </w:pPr>
            <w:r>
              <w:rPr>
                <w:rFonts w:ascii="Arial" w:cs="Arial" w:eastAsia="Arial" w:hAnsi="Arial"/>
                <w:sz w:val="22"/>
                <w:szCs w:val="22"/>
                <w:color w:val="auto"/>
                <w:w w:val="85"/>
              </w:rPr>
              <w:t>Less than</w:t>
            </w:r>
          </w:p>
        </w:tc>
        <w:tc>
          <w:tcPr>
            <w:tcW w:w="340" w:type="dxa"/>
            <w:vAlign w:val="bottom"/>
          </w:tcPr>
          <w:p>
            <w:pPr>
              <w:spacing w:after="0"/>
              <w:rPr>
                <w:sz w:val="19"/>
                <w:szCs w:val="19"/>
                <w:color w:val="auto"/>
              </w:rPr>
            </w:pPr>
          </w:p>
        </w:tc>
        <w:tc>
          <w:tcPr>
            <w:tcW w:w="1020" w:type="dxa"/>
            <w:vAlign w:val="bottom"/>
          </w:tcPr>
          <w:p>
            <w:pPr>
              <w:jc w:val="center"/>
              <w:ind w:right="232"/>
              <w:spacing w:after="0" w:line="222" w:lineRule="exact"/>
              <w:rPr>
                <w:sz w:val="20"/>
                <w:szCs w:val="20"/>
                <w:color w:val="auto"/>
              </w:rPr>
            </w:pPr>
            <w:r>
              <w:rPr>
                <w:rFonts w:ascii="Arial" w:cs="Arial" w:eastAsia="Arial" w:hAnsi="Arial"/>
                <w:sz w:val="22"/>
                <w:szCs w:val="22"/>
                <w:color w:val="auto"/>
                <w:w w:val="87"/>
              </w:rPr>
              <w:t>1-3</w:t>
            </w:r>
          </w:p>
        </w:tc>
        <w:tc>
          <w:tcPr>
            <w:tcW w:w="280" w:type="dxa"/>
            <w:vAlign w:val="bottom"/>
          </w:tcPr>
          <w:p>
            <w:pPr>
              <w:spacing w:after="0"/>
              <w:rPr>
                <w:sz w:val="19"/>
                <w:szCs w:val="19"/>
                <w:color w:val="auto"/>
              </w:rPr>
            </w:pPr>
          </w:p>
        </w:tc>
        <w:tc>
          <w:tcPr>
            <w:tcW w:w="920" w:type="dxa"/>
            <w:vAlign w:val="bottom"/>
          </w:tcPr>
          <w:p>
            <w:pPr>
              <w:jc w:val="right"/>
              <w:spacing w:after="0" w:line="222" w:lineRule="exact"/>
              <w:rPr>
                <w:sz w:val="20"/>
                <w:szCs w:val="20"/>
                <w:color w:val="auto"/>
              </w:rPr>
            </w:pPr>
            <w:r>
              <w:rPr>
                <w:rFonts w:ascii="Arial" w:cs="Arial" w:eastAsia="Arial" w:hAnsi="Arial"/>
                <w:sz w:val="22"/>
                <w:szCs w:val="22"/>
                <w:color w:val="auto"/>
              </w:rPr>
              <w:t>3-5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center"/>
              <w:ind w:right="132"/>
              <w:spacing w:after="0" w:line="222" w:lineRule="exact"/>
              <w:rPr>
                <w:sz w:val="20"/>
                <w:szCs w:val="20"/>
                <w:color w:val="auto"/>
              </w:rPr>
            </w:pPr>
            <w:r>
              <w:rPr>
                <w:rFonts w:ascii="Arial" w:cs="Arial" w:eastAsia="Arial" w:hAnsi="Arial"/>
                <w:sz w:val="22"/>
                <w:szCs w:val="22"/>
                <w:color w:val="auto"/>
                <w:w w:val="90"/>
              </w:rPr>
              <w:t>More than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320" w:type="dxa"/>
            <w:vAlign w:val="bottom"/>
            <w:gridSpan w:val="2"/>
          </w:tcPr>
          <w:p>
            <w:pPr>
              <w:ind w:left="1000"/>
              <w:spacing w:after="0"/>
              <w:rPr>
                <w:sz w:val="20"/>
                <w:szCs w:val="20"/>
                <w:color w:val="auto"/>
              </w:rPr>
            </w:pPr>
            <w:r>
              <w:rPr>
                <w:rFonts w:ascii="Arial" w:cs="Arial" w:eastAsia="Arial" w:hAnsi="Arial"/>
                <w:sz w:val="22"/>
                <w:szCs w:val="22"/>
                <w:color w:val="auto"/>
              </w:rPr>
              <w:t>Obligations</w:t>
            </w:r>
          </w:p>
        </w:tc>
        <w:tc>
          <w:tcPr>
            <w:tcW w:w="340" w:type="dxa"/>
            <w:vAlign w:val="bottom"/>
          </w:tcPr>
          <w:p>
            <w:pPr>
              <w:spacing w:after="0"/>
              <w:rPr>
                <w:sz w:val="23"/>
                <w:szCs w:val="23"/>
                <w:color w:val="auto"/>
              </w:rPr>
            </w:pPr>
          </w:p>
        </w:tc>
        <w:tc>
          <w:tcPr>
            <w:tcW w:w="1320" w:type="dxa"/>
            <w:vAlign w:val="bottom"/>
            <w:gridSpan w:val="2"/>
          </w:tcPr>
          <w:p>
            <w:pPr>
              <w:ind w:left="120"/>
              <w:spacing w:after="0"/>
              <w:rPr>
                <w:sz w:val="20"/>
                <w:szCs w:val="20"/>
                <w:color w:val="auto"/>
              </w:rPr>
            </w:pPr>
            <w:r>
              <w:rPr>
                <w:rFonts w:ascii="Arial" w:cs="Arial" w:eastAsia="Arial" w:hAnsi="Arial"/>
                <w:sz w:val="22"/>
                <w:szCs w:val="22"/>
                <w:color w:val="auto"/>
              </w:rPr>
              <w:t>Total</w:t>
            </w:r>
          </w:p>
        </w:tc>
        <w:tc>
          <w:tcPr>
            <w:tcW w:w="260" w:type="dxa"/>
            <w:vAlign w:val="bottom"/>
          </w:tcPr>
          <w:p>
            <w:pPr>
              <w:spacing w:after="0"/>
              <w:rPr>
                <w:sz w:val="23"/>
                <w:szCs w:val="23"/>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22"/>
                <w:szCs w:val="22"/>
                <w:color w:val="auto"/>
                <w:w w:val="88"/>
              </w:rPr>
              <w:t>1 year</w:t>
            </w:r>
          </w:p>
        </w:tc>
        <w:tc>
          <w:tcPr>
            <w:tcW w:w="340" w:type="dxa"/>
            <w:vAlign w:val="bottom"/>
          </w:tcPr>
          <w:p>
            <w:pPr>
              <w:spacing w:after="0"/>
              <w:rPr>
                <w:sz w:val="23"/>
                <w:szCs w:val="23"/>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22"/>
                <w:szCs w:val="22"/>
                <w:color w:val="auto"/>
                <w:w w:val="81"/>
              </w:rPr>
              <w:t>years</w:t>
            </w:r>
          </w:p>
        </w:tc>
        <w:tc>
          <w:tcPr>
            <w:tcW w:w="920" w:type="dxa"/>
            <w:vAlign w:val="bottom"/>
          </w:tcPr>
          <w:p>
            <w:pPr>
              <w:jc w:val="right"/>
              <w:spacing w:after="0"/>
              <w:rPr>
                <w:sz w:val="20"/>
                <w:szCs w:val="20"/>
                <w:color w:val="auto"/>
              </w:rPr>
            </w:pPr>
            <w:r>
              <w:rPr>
                <w:rFonts w:ascii="Arial" w:cs="Arial" w:eastAsia="Arial" w:hAnsi="Arial"/>
                <w:sz w:val="22"/>
                <w:szCs w:val="22"/>
                <w:color w:val="auto"/>
              </w:rPr>
              <w:t>years</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22"/>
                <w:szCs w:val="22"/>
                <w:color w:val="auto"/>
                <w:w w:val="85"/>
              </w:rPr>
              <w:t>5 years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2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Contractual Obligations¹</w:t>
            </w:r>
          </w:p>
        </w:tc>
        <w:tc>
          <w:tcPr>
            <w:tcW w:w="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0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95,514</w:t>
            </w: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52,434</w:t>
            </w: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10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43,080</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92"/>
              <w:spacing w:after="0" w:line="243" w:lineRule="exact"/>
              <w:rPr>
                <w:sz w:val="20"/>
                <w:szCs w:val="20"/>
                <w:color w:val="auto"/>
              </w:rPr>
            </w:pPr>
            <w:r>
              <w:rPr>
                <w:rFonts w:ascii="Arial" w:cs="Arial" w:eastAsia="Arial" w:hAnsi="Arial"/>
                <w:sz w:val="22"/>
                <w:szCs w:val="22"/>
                <w:color w:val="auto"/>
              </w:rPr>
              <w:t>$</w:t>
            </w:r>
          </w:p>
        </w:tc>
        <w:tc>
          <w:tcPr>
            <w:tcW w:w="4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592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592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Operating Leases</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18,378</w:t>
            </w: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4,699</w:t>
            </w: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12,798</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92"/>
              </w:rPr>
              <w:t>674</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207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Borders>
              <w:bottom w:val="single" w:sz="8" w:color="CCEEFF"/>
            </w:tcBorders>
            <w:gridSpan w:val="2"/>
          </w:tcPr>
          <w:p>
            <w:pPr>
              <w:spacing w:after="0" w:line="243" w:lineRule="exact"/>
              <w:rPr>
                <w:sz w:val="20"/>
                <w:szCs w:val="20"/>
                <w:color w:val="auto"/>
              </w:rPr>
            </w:pPr>
            <w:r>
              <w:rPr>
                <w:rFonts w:ascii="Arial" w:cs="Arial" w:eastAsia="Arial" w:hAnsi="Arial"/>
                <w:sz w:val="22"/>
                <w:szCs w:val="22"/>
                <w:color w:val="auto"/>
              </w:rPr>
              <w:t>Purchase Commitments²</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66,770</w:t>
            </w:r>
          </w:p>
        </w:tc>
        <w:tc>
          <w:tcPr>
            <w:tcW w:w="3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66,770</w:t>
            </w:r>
          </w:p>
        </w:tc>
        <w:tc>
          <w:tcPr>
            <w:tcW w:w="2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181,254</w:t>
            </w: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124,495</w:t>
            </w:r>
          </w:p>
        </w:tc>
        <w:tc>
          <w:tcPr>
            <w:tcW w:w="2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55,878</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92"/>
              <w:spacing w:after="0" w:line="237" w:lineRule="exact"/>
              <w:rPr>
                <w:sz w:val="20"/>
                <w:szCs w:val="20"/>
                <w:color w:val="auto"/>
              </w:rPr>
            </w:pPr>
            <w:r>
              <w:rPr>
                <w:rFonts w:ascii="Arial" w:cs="Arial" w:eastAsia="Arial" w:hAnsi="Arial"/>
                <w:sz w:val="22"/>
                <w:szCs w:val="22"/>
                <w:color w:val="auto"/>
              </w:rPr>
              <w:t>$</w:t>
            </w:r>
          </w:p>
        </w:tc>
        <w:tc>
          <w:tcPr>
            <w:tcW w:w="4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92"/>
              </w:rPr>
              <w:t>674</w:t>
            </w: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¹Contractual obligations include our obligations related to sponsorships and other commitments.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In addition, approximately $1.3 million of unrecognized tax benefits have been recorded as liabilities as of March 31, 2013. It is expected that the amount of unrecognized tax benefits will not significantly change within the next 12 months. We have also recorded a liability for potential penalties and interest of $0.4 million as of March 31, 2013.</w:t>
      </w:r>
    </w:p>
    <w:p>
      <w:pPr>
        <w:spacing w:after="0" w:line="19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In March 2012, the Company acquired an approximately 75,425 square foot, free-standing, three-story office building, located in Corona, CA, including the real property thereunder and improvements thereon (the “March 2012 Property”), which the Company has not occupied, as well as additional parking spaces, for a total purchase price of $9.7 million. In October 2012, the Company acquired an approximately 141,000 square foot, free-standing, six-story office building, including the real property thereunder and improvements thereon, located in Corona, CA (the “October 2012 Property”) adjacent to the March 2012 Property, for a purchase price of $18.8 million. The Company intends to complete the necessary improvements to the October 2012 Property and occupy the building as the Company’s new corporate headquarters in the third quarter of 2013. The October 2012 Property should more effectively address the future growth needs of the Company, compared to the March 2012 Property. In December 2012, the Company commenced marketing efforts to sell the March 2012 Property.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3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table below discloses selected quarterly data regarding sales for the three-months ended March 31, 2013 and 2012, respectively. Data from any one or more quarters or periods is not necessarily indicative of annual results or continuing trends.</w:t>
      </w:r>
    </w:p>
    <w:p>
      <w:pPr>
        <w:sectPr>
          <w:pgSz w:w="11900" w:h="16838" w:orient="portrait"/>
          <w:cols w:equalWidth="0" w:num="1">
            <w:col w:w="11420"/>
          </w:cols>
          <w:pgMar w:left="240" w:top="118" w:right="239" w:bottom="81" w:gutter="0" w:footer="0" w:header="0"/>
        </w:sectPr>
      </w:pPr>
    </w:p>
    <w:bookmarkStart w:id="26" w:name="page27"/>
    <w:bookmarkEnd w:id="26"/>
    <w:p>
      <w:pPr>
        <w:spacing w:after="0" w:line="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Sales of beverages are expressed in unit case volume. A “unit case” means a unit of measurement equal to 192 U.S. fluid ounces of finished beverage (24 eight-ounce servings). Unit case volume means the number of unit cases (or unit case equivalents) of beverages sold by us.</w:t>
      </w:r>
    </w:p>
    <w:p>
      <w:pPr>
        <w:spacing w:after="0" w:line="21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Because the primary historical market for our products is California, which has a year-long temperate climate, the effect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of seasonal fluctuations on quarterly results may have been somewhat mitigated; however, such fluctuations may become more pronounced with the expansion of the distribution of our products outside of California. In addition, our experience with our energy drink products suggests they may be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213" w:lineRule="exact"/>
        <w:rPr>
          <w:sz w:val="20"/>
          <w:szCs w:val="20"/>
          <w:color w:val="auto"/>
        </w:rPr>
      </w:pPr>
    </w:p>
    <w:tbl>
      <w:tblPr>
        <w:tblLayout w:type="fixed"/>
        <w:tblInd w:w="1620" w:type="dxa"/>
        <w:tblCellMar>
          <w:top w:w="0" w:type="dxa"/>
          <w:left w:w="0" w:type="dxa"/>
          <w:bottom w:w="0" w:type="dxa"/>
          <w:right w:w="0" w:type="dxa"/>
        </w:tblCellMar>
      </w:tblPr>
      <w:tr>
        <w:trPr>
          <w:trHeight w:val="243"/>
        </w:trPr>
        <w:tc>
          <w:tcPr>
            <w:tcW w:w="3800" w:type="dxa"/>
            <w:vAlign w:val="bottom"/>
            <w:gridSpan w:val="2"/>
          </w:tcPr>
          <w:p>
            <w:pPr>
              <w:spacing w:after="0"/>
              <w:rPr>
                <w:sz w:val="20"/>
                <w:szCs w:val="20"/>
                <w:color w:val="auto"/>
              </w:rPr>
            </w:pPr>
            <w:r>
              <w:rPr>
                <w:rFonts w:ascii="Arial" w:cs="Arial" w:eastAsia="Arial" w:hAnsi="Arial"/>
                <w:sz w:val="21"/>
                <w:szCs w:val="21"/>
                <w:color w:val="auto"/>
              </w:rPr>
              <w:t>(In thousands, except average</w:t>
            </w:r>
          </w:p>
        </w:tc>
        <w:tc>
          <w:tcPr>
            <w:tcW w:w="460" w:type="dxa"/>
            <w:vAlign w:val="bottom"/>
          </w:tcPr>
          <w:p>
            <w:pPr>
              <w:spacing w:after="0"/>
              <w:rPr>
                <w:sz w:val="21"/>
                <w:szCs w:val="21"/>
                <w:color w:val="auto"/>
              </w:rPr>
            </w:pPr>
          </w:p>
        </w:tc>
        <w:tc>
          <w:tcPr>
            <w:tcW w:w="3360" w:type="dxa"/>
            <w:vAlign w:val="bottom"/>
            <w:gridSpan w:val="4"/>
          </w:tcPr>
          <w:p>
            <w:pPr>
              <w:jc w:val="right"/>
              <w:ind w:right="916"/>
              <w:spacing w:after="0"/>
              <w:rPr>
                <w:sz w:val="20"/>
                <w:szCs w:val="20"/>
                <w:color w:val="auto"/>
              </w:rPr>
            </w:pPr>
            <w:r>
              <w:rPr>
                <w:rFonts w:ascii="Arial" w:cs="Arial" w:eastAsia="Arial" w:hAnsi="Arial"/>
                <w:sz w:val="21"/>
                <w:szCs w:val="21"/>
                <w:color w:val="auto"/>
              </w:rPr>
              <w:t>Three-Months Ended</w:t>
            </w:r>
          </w:p>
        </w:tc>
      </w:tr>
      <w:tr>
        <w:trPr>
          <w:trHeight w:val="256"/>
        </w:trPr>
        <w:tc>
          <w:tcPr>
            <w:tcW w:w="3800" w:type="dxa"/>
            <w:vAlign w:val="bottom"/>
            <w:gridSpan w:val="2"/>
          </w:tcPr>
          <w:p>
            <w:pPr>
              <w:ind w:left="180"/>
              <w:spacing w:after="0"/>
              <w:rPr>
                <w:sz w:val="20"/>
                <w:szCs w:val="20"/>
                <w:color w:val="auto"/>
              </w:rPr>
            </w:pPr>
            <w:r>
              <w:rPr>
                <w:rFonts w:ascii="Arial" w:cs="Arial" w:eastAsia="Arial" w:hAnsi="Arial"/>
                <w:sz w:val="21"/>
                <w:szCs w:val="21"/>
                <w:color w:val="auto"/>
              </w:rPr>
              <w:t>net sales per case)</w:t>
            </w:r>
          </w:p>
        </w:tc>
        <w:tc>
          <w:tcPr>
            <w:tcW w:w="460" w:type="dxa"/>
            <w:vAlign w:val="bottom"/>
          </w:tcPr>
          <w:p>
            <w:pPr>
              <w:spacing w:after="0"/>
              <w:rPr>
                <w:sz w:val="22"/>
                <w:szCs w:val="22"/>
                <w:color w:val="auto"/>
              </w:rPr>
            </w:pPr>
          </w:p>
        </w:tc>
        <w:tc>
          <w:tcPr>
            <w:tcW w:w="2060" w:type="dxa"/>
            <w:vAlign w:val="bottom"/>
            <w:gridSpan w:val="3"/>
          </w:tcPr>
          <w:p>
            <w:pPr>
              <w:jc w:val="right"/>
              <w:ind w:right="76"/>
              <w:spacing w:after="0"/>
              <w:rPr>
                <w:sz w:val="20"/>
                <w:szCs w:val="20"/>
                <w:color w:val="auto"/>
              </w:rPr>
            </w:pPr>
            <w:r>
              <w:rPr>
                <w:rFonts w:ascii="Arial" w:cs="Arial" w:eastAsia="Arial" w:hAnsi="Arial"/>
                <w:sz w:val="21"/>
                <w:szCs w:val="21"/>
                <w:color w:val="auto"/>
              </w:rPr>
              <w:t>March 31,</w:t>
            </w:r>
          </w:p>
        </w:tc>
        <w:tc>
          <w:tcPr>
            <w:tcW w:w="1300" w:type="dxa"/>
            <w:vAlign w:val="bottom"/>
          </w:tcPr>
          <w:p>
            <w:pPr>
              <w:spacing w:after="0"/>
              <w:rPr>
                <w:sz w:val="22"/>
                <w:szCs w:val="22"/>
                <w:color w:val="auto"/>
              </w:rPr>
            </w:pPr>
          </w:p>
        </w:tc>
      </w:tr>
      <w:tr>
        <w:trPr>
          <w:trHeight w:val="237"/>
        </w:trPr>
        <w:tc>
          <w:tcPr>
            <w:tcW w:w="3500" w:type="dxa"/>
            <w:vAlign w:val="bottom"/>
            <w:tcBorders>
              <w:top w:val="single" w:sz="8" w:color="auto"/>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6"/>
              <w:spacing w:after="0" w:line="237" w:lineRule="exact"/>
              <w:rPr>
                <w:sz w:val="20"/>
                <w:szCs w:val="20"/>
                <w:color w:val="auto"/>
              </w:rPr>
            </w:pPr>
            <w:r>
              <w:rPr>
                <w:rFonts w:ascii="Arial" w:cs="Arial" w:eastAsia="Arial" w:hAnsi="Arial"/>
                <w:sz w:val="21"/>
                <w:szCs w:val="21"/>
                <w:color w:val="auto"/>
              </w:rPr>
              <w:t>2013</w:t>
            </w:r>
          </w:p>
        </w:tc>
        <w:tc>
          <w:tcPr>
            <w:tcW w:w="280" w:type="dxa"/>
            <w:vAlign w:val="bottom"/>
            <w:tcBorders>
              <w:top w:val="single" w:sz="8" w:color="auto"/>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96"/>
              <w:spacing w:after="0" w:line="237" w:lineRule="exact"/>
              <w:rPr>
                <w:sz w:val="20"/>
                <w:szCs w:val="20"/>
                <w:color w:val="auto"/>
              </w:rPr>
            </w:pPr>
            <w:r>
              <w:rPr>
                <w:rFonts w:ascii="Arial" w:cs="Arial" w:eastAsia="Arial" w:hAnsi="Arial"/>
                <w:sz w:val="21"/>
                <w:szCs w:val="21"/>
                <w:color w:val="auto"/>
              </w:rPr>
              <w:t>2012</w:t>
            </w:r>
          </w:p>
        </w:tc>
      </w:tr>
      <w:tr>
        <w:trPr>
          <w:trHeight w:val="237"/>
        </w:trPr>
        <w:tc>
          <w:tcPr>
            <w:tcW w:w="3800" w:type="dxa"/>
            <w:vAlign w:val="bottom"/>
            <w:gridSpan w:val="2"/>
            <w:shd w:val="clear" w:color="auto" w:fill="CCEEFF"/>
          </w:tcPr>
          <w:p>
            <w:pPr>
              <w:spacing w:after="0" w:line="237" w:lineRule="exact"/>
              <w:rPr>
                <w:sz w:val="20"/>
                <w:szCs w:val="20"/>
                <w:color w:val="auto"/>
              </w:rPr>
            </w:pPr>
            <w:r>
              <w:rPr>
                <w:rFonts w:ascii="Arial" w:cs="Arial" w:eastAsia="Arial" w:hAnsi="Arial"/>
                <w:sz w:val="21"/>
                <w:szCs w:val="21"/>
                <w:color w:val="auto"/>
              </w:rPr>
              <w:t>Net sales</w:t>
            </w:r>
          </w:p>
        </w:tc>
        <w:tc>
          <w:tcPr>
            <w:tcW w:w="460" w:type="dxa"/>
            <w:vAlign w:val="bottom"/>
            <w:shd w:val="clear" w:color="auto" w:fill="CCEEFF"/>
          </w:tcPr>
          <w:p>
            <w:pPr>
              <w:jc w:val="right"/>
              <w:ind w:right="116"/>
              <w:spacing w:after="0" w:line="237" w:lineRule="exact"/>
              <w:rPr>
                <w:sz w:val="20"/>
                <w:szCs w:val="20"/>
                <w:color w:val="auto"/>
              </w:rPr>
            </w:pPr>
            <w:r>
              <w:rPr>
                <w:rFonts w:ascii="Arial" w:cs="Arial" w:eastAsia="Arial" w:hAnsi="Arial"/>
                <w:sz w:val="21"/>
                <w:szCs w:val="21"/>
                <w:color w:val="auto"/>
              </w:rPr>
              <w:t>$</w:t>
            </w:r>
          </w:p>
        </w:tc>
        <w:tc>
          <w:tcPr>
            <w:tcW w:w="126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484,223</w:t>
            </w: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96"/>
              <w:spacing w:after="0" w:line="237" w:lineRule="exact"/>
              <w:rPr>
                <w:sz w:val="20"/>
                <w:szCs w:val="20"/>
                <w:color w:val="auto"/>
              </w:rPr>
            </w:pPr>
            <w:r>
              <w:rPr>
                <w:rFonts w:ascii="Arial" w:cs="Arial" w:eastAsia="Arial" w:hAnsi="Arial"/>
                <w:sz w:val="21"/>
                <w:szCs w:val="21"/>
                <w:color w:val="auto"/>
              </w:rPr>
              <w:t>$</w:t>
            </w:r>
          </w:p>
        </w:tc>
        <w:tc>
          <w:tcPr>
            <w:tcW w:w="130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454,605</w:t>
            </w:r>
          </w:p>
        </w:tc>
      </w:tr>
      <w:tr>
        <w:trPr>
          <w:trHeight w:val="243"/>
        </w:trPr>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21"/>
                <w:szCs w:val="21"/>
                <w:color w:val="auto"/>
                <w:w w:val="98"/>
              </w:rPr>
              <w:t>Case sales (192-ounce case equivalents)</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47,749</w:t>
            </w:r>
          </w:p>
        </w:tc>
        <w:tc>
          <w:tcPr>
            <w:tcW w:w="2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44,396</w:t>
            </w:r>
          </w:p>
        </w:tc>
      </w:tr>
      <w:tr>
        <w:trPr>
          <w:trHeight w:val="237"/>
        </w:trPr>
        <w:tc>
          <w:tcPr>
            <w:tcW w:w="3800" w:type="dxa"/>
            <w:vAlign w:val="bottom"/>
            <w:tcBorders>
              <w:bottom w:val="single" w:sz="8" w:color="CCEEFF"/>
            </w:tcBorders>
            <w:gridSpan w:val="2"/>
            <w:shd w:val="clear" w:color="auto" w:fill="CCEEFF"/>
          </w:tcPr>
          <w:p>
            <w:pPr>
              <w:spacing w:after="0" w:line="237" w:lineRule="exact"/>
              <w:rPr>
                <w:sz w:val="20"/>
                <w:szCs w:val="20"/>
                <w:color w:val="auto"/>
              </w:rPr>
            </w:pPr>
            <w:r>
              <w:rPr>
                <w:rFonts w:ascii="Arial" w:cs="Arial" w:eastAsia="Arial" w:hAnsi="Arial"/>
                <w:sz w:val="21"/>
                <w:szCs w:val="21"/>
                <w:color w:val="auto"/>
              </w:rPr>
              <w:t>Average net sales per case</w:t>
            </w:r>
          </w:p>
        </w:tc>
        <w:tc>
          <w:tcPr>
            <w:tcW w:w="460" w:type="dxa"/>
            <w:vAlign w:val="bottom"/>
            <w:tcBorders>
              <w:bottom w:val="single" w:sz="8" w:color="auto"/>
            </w:tcBorders>
            <w:shd w:val="clear" w:color="auto" w:fill="CCEEFF"/>
          </w:tcPr>
          <w:p>
            <w:pPr>
              <w:jc w:val="right"/>
              <w:ind w:right="116"/>
              <w:spacing w:after="0" w:line="237" w:lineRule="exact"/>
              <w:rPr>
                <w:sz w:val="20"/>
                <w:szCs w:val="20"/>
                <w:color w:val="auto"/>
              </w:rPr>
            </w:pPr>
            <w:r>
              <w:rPr>
                <w:rFonts w:ascii="Arial" w:cs="Arial" w:eastAsia="Arial" w:hAnsi="Arial"/>
                <w:sz w:val="21"/>
                <w:szCs w:val="21"/>
                <w:color w:val="auto"/>
              </w:rPr>
              <w:t>$</w:t>
            </w:r>
          </w:p>
        </w:tc>
        <w:tc>
          <w:tcPr>
            <w:tcW w:w="126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10.14</w:t>
            </w:r>
          </w:p>
        </w:tc>
        <w:tc>
          <w:tcPr>
            <w:tcW w:w="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96"/>
              <w:spacing w:after="0" w:line="237" w:lineRule="exact"/>
              <w:rPr>
                <w:sz w:val="20"/>
                <w:szCs w:val="20"/>
                <w:color w:val="auto"/>
              </w:rPr>
            </w:pPr>
            <w:r>
              <w:rPr>
                <w:rFonts w:ascii="Arial" w:cs="Arial" w:eastAsia="Arial" w:hAnsi="Arial"/>
                <w:sz w:val="21"/>
                <w:szCs w:val="21"/>
                <w:color w:val="auto"/>
              </w:rPr>
              <w:t>$</w:t>
            </w:r>
          </w:p>
        </w:tc>
        <w:tc>
          <w:tcPr>
            <w:tcW w:w="130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10.24</w:t>
            </w:r>
          </w:p>
        </w:tc>
      </w:tr>
      <w:tr>
        <w:trPr>
          <w:trHeight w:val="20"/>
        </w:trPr>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See Item 2, “Management’s Discussion and Analysis of Financial Condition and Results of Operations - Our Business” for additional information related to the increase in sales.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Changes to our critical accounting policies are discussed in “Recent Accounting Pronouncements” below. There have been no other material changes to our critical accounting policies from the information provided in Item 7, “Management’s Discussion and Analysis of Financial Condition and Results of Operations”, included in our Form 10-K for the fiscal year ended December 31, 2012.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In February 2013, the FASB issued Accounting Standards Update (“ASU”) No. 2013-02, “Comprehensive Income (Topic 220): Reporting of Amounts Reclassified Out of Accumulated Other Comprehensive Income”.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GAAP to be reclassified to net income in its entirety in the same reporting period. For other amounts that are not required under GAAP to be reclassified in their entirety to net income, an entity is required to cross-reference to other disclosures required under GAAP that provide additional detail about those amounts. The guidance is effective for annual and interim periods beginning after December 15, 2012. The adoption of ASU 2013-02 did not have a material impact on the Company’s financial position, results of operations or liquidity.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Inflation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do not believe that inflation had a significant impact on our results of operations for the periods presented.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w:t>
      </w:r>
    </w:p>
    <w:p>
      <w:pPr>
        <w:sectPr>
          <w:pgSz w:w="11900" w:h="16860" w:orient="portrait"/>
          <w:cols w:equalWidth="0" w:num="1">
            <w:col w:w="11420"/>
          </w:cols>
          <w:pgMar w:left="240" w:top="118" w:right="239" w:bottom="0" w:gutter="0" w:footer="0" w:header="0"/>
        </w:sectPr>
      </w:pPr>
    </w:p>
    <w:bookmarkStart w:id="27" w:name="page28"/>
    <w:bookmarkEnd w:id="27"/>
    <w:p>
      <w:pPr>
        <w:jc w:val="both"/>
        <w:spacing w:after="0" w:line="282" w:lineRule="auto"/>
        <w:rPr>
          <w:sz w:val="20"/>
          <w:szCs w:val="20"/>
          <w:color w:val="auto"/>
        </w:rPr>
      </w:pPr>
      <w:r>
        <w:rPr>
          <w:rFonts w:ascii="Arial" w:cs="Arial" w:eastAsia="Arial" w:hAnsi="Arial"/>
          <w:sz w:val="19"/>
          <w:szCs w:val="19"/>
          <w:color w:val="auto"/>
        </w:rPr>
        <w:t>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213" w:lineRule="exact"/>
        <w:rPr>
          <w:sz w:val="20"/>
          <w:szCs w:val="20"/>
          <w:color w:val="auto"/>
        </w:rPr>
      </w:pPr>
    </w:p>
    <w:p>
      <w:pPr>
        <w:ind w:left="420" w:hanging="412"/>
        <w:spacing w:after="0" w:line="239" w:lineRule="auto"/>
        <w:tabs>
          <w:tab w:leader="none" w:pos="4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Disruption in distribution or sales and/or decline in sales due to the termination and/or appointment of existing and/or new domestic and/or international distributors;</w:t>
      </w:r>
    </w:p>
    <w:p>
      <w:pPr>
        <w:ind w:left="420" w:hanging="412"/>
        <w:spacing w:after="0" w:line="230" w:lineRule="auto"/>
        <w:tabs>
          <w:tab w:leader="none" w:pos="4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Lack of anticipated demand for our products in international markets;</w:t>
      </w:r>
    </w:p>
    <w:p>
      <w:pPr>
        <w:ind w:left="420" w:hanging="412"/>
        <w:spacing w:after="0"/>
        <w:tabs>
          <w:tab w:leader="none" w:pos="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Unfavorable regulations, including taxation requirements, product registration requirements, tariffs and/or trade restrictions;</w:t>
      </w:r>
    </w:p>
    <w:p>
      <w:pPr>
        <w:spacing w:after="0" w:line="24" w:lineRule="exact"/>
        <w:rPr>
          <w:rFonts w:ascii="Arial" w:cs="Arial" w:eastAsia="Arial" w:hAnsi="Arial"/>
          <w:sz w:val="19"/>
          <w:szCs w:val="19"/>
          <w:color w:val="auto"/>
        </w:rPr>
      </w:pPr>
    </w:p>
    <w:p>
      <w:pPr>
        <w:ind w:left="420" w:hanging="412"/>
        <w:spacing w:after="0" w:line="230" w:lineRule="auto"/>
        <w:tabs>
          <w:tab w:leader="none" w:pos="4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Our ability to achieve profitability from our operations outside the United States;</w:t>
      </w:r>
    </w:p>
    <w:p>
      <w:pPr>
        <w:ind w:left="420" w:hanging="412"/>
        <w:spacing w:after="0" w:line="267" w:lineRule="auto"/>
        <w:tabs>
          <w:tab w:leader="none" w:pos="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ind w:left="420" w:hanging="412"/>
        <w:spacing w:after="0" w:line="230" w:lineRule="auto"/>
        <w:tabs>
          <w:tab w:leader="none" w:pos="4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Our ability to effectively manage our inventories and/or our accounts receivables;</w:t>
      </w:r>
    </w:p>
    <w:p>
      <w:pPr>
        <w:jc w:val="both"/>
        <w:ind w:left="420" w:hanging="412"/>
        <w:spacing w:after="0" w:line="230" w:lineRule="auto"/>
        <w:tabs>
          <w:tab w:leader="none" w:pos="4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Our foreign currency exchange rate risk with respect to our sales, expenses, profits, assets and liabilities denominated in currencies other than the U.S. dollar, which will continue to increase as foreign sales increase, since we do not use derivative financial instruments to reduce our net exposure to currency fluctuations;</w:t>
      </w:r>
    </w:p>
    <w:p>
      <w:pPr>
        <w:spacing w:after="0" w:line="2" w:lineRule="exact"/>
        <w:rPr>
          <w:rFonts w:ascii="Arial" w:cs="Arial" w:eastAsia="Arial" w:hAnsi="Arial"/>
          <w:sz w:val="22"/>
          <w:szCs w:val="22"/>
          <w:color w:val="auto"/>
        </w:rPr>
      </w:pPr>
    </w:p>
    <w:p>
      <w:pPr>
        <w:ind w:left="420" w:hanging="412"/>
        <w:spacing w:after="0" w:line="230" w:lineRule="auto"/>
        <w:tabs>
          <w:tab w:leader="none" w:pos="4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Changes in accounting standards may affect our reported profitability;</w:t>
      </w:r>
    </w:p>
    <w:p>
      <w:pPr>
        <w:ind w:left="420" w:hanging="412"/>
        <w:spacing w:after="0" w:line="230" w:lineRule="auto"/>
        <w:tabs>
          <w:tab w:leader="none" w:pos="4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Any proceedings which may be brought against us by the Securities and Exchange Commission (the “SEC”), the FDA, the Federal Trade Commission (the “FTC”) or other governmental agencies or bodies;</w:t>
      </w:r>
    </w:p>
    <w:p>
      <w:pPr>
        <w:spacing w:after="0" w:line="1" w:lineRule="exact"/>
        <w:rPr>
          <w:rFonts w:ascii="Arial" w:cs="Arial" w:eastAsia="Arial" w:hAnsi="Arial"/>
          <w:sz w:val="22"/>
          <w:szCs w:val="22"/>
          <w:color w:val="auto"/>
        </w:rPr>
      </w:pPr>
    </w:p>
    <w:p>
      <w:pPr>
        <w:ind w:left="420" w:right="20" w:hanging="412"/>
        <w:spacing w:after="0" w:line="237" w:lineRule="auto"/>
        <w:tabs>
          <w:tab w:leader="none" w:pos="4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outcome of shareholder securities litigation and shareholder derivative actions filed against us and/or against certain of our officers and directors, and the possibility of other private shareholder litigation;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possibility of future shareholder derivative actions or shareholder securities litigation filed against us;</w:t>
      </w:r>
    </w:p>
    <w:p>
      <w:pPr>
        <w:spacing w:after="0" w:line="8" w:lineRule="exact"/>
        <w:rPr>
          <w:rFonts w:ascii="Arial" w:cs="Arial" w:eastAsia="Arial" w:hAnsi="Arial"/>
          <w:sz w:val="22"/>
          <w:szCs w:val="22"/>
          <w:color w:val="auto"/>
        </w:rPr>
      </w:pPr>
    </w:p>
    <w:p>
      <w:pPr>
        <w:jc w:val="both"/>
        <w:ind w:left="420" w:hanging="412"/>
        <w:spacing w:after="0" w:line="230" w:lineRule="auto"/>
        <w:tabs>
          <w:tab w:leader="none" w:pos="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outcome of product liability litigation and class action litigation regarding the safety of our products and/or the ingredients in and/or claims made in connection with our products and/or alleging false advertising, and the possibility of future product liability or class action lawsuits;</w:t>
      </w:r>
    </w:p>
    <w:p>
      <w:pPr>
        <w:spacing w:after="0" w:line="2" w:lineRule="exact"/>
        <w:rPr>
          <w:rFonts w:ascii="Arial" w:cs="Arial" w:eastAsia="Arial" w:hAnsi="Arial"/>
          <w:sz w:val="22"/>
          <w:szCs w:val="22"/>
          <w:color w:val="auto"/>
        </w:rPr>
      </w:pPr>
    </w:p>
    <w:p>
      <w:pPr>
        <w:ind w:left="420" w:hanging="412"/>
        <w:spacing w:after="0" w:line="230" w:lineRule="auto"/>
        <w:tabs>
          <w:tab w:leader="none" w:pos="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current uncertainty and volatility in the national and global economy;</w:t>
      </w:r>
    </w:p>
    <w:p>
      <w:pPr>
        <w:ind w:left="420" w:hanging="412"/>
        <w:spacing w:after="0" w:line="230" w:lineRule="auto"/>
        <w:tabs>
          <w:tab w:leader="none" w:pos="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impact of lower disposable incomes of our consumers, as a result of the current state of the economy, the continuing high levels of unemployment and high gasoline prices;</w:t>
      </w:r>
    </w:p>
    <w:p>
      <w:pPr>
        <w:spacing w:after="0" w:line="1" w:lineRule="exact"/>
        <w:rPr>
          <w:rFonts w:ascii="Arial" w:cs="Arial" w:eastAsia="Arial" w:hAnsi="Arial"/>
          <w:sz w:val="22"/>
          <w:szCs w:val="22"/>
          <w:color w:val="auto"/>
        </w:rPr>
      </w:pPr>
    </w:p>
    <w:p>
      <w:pPr>
        <w:jc w:val="both"/>
        <w:ind w:left="420" w:hanging="412"/>
        <w:spacing w:after="0" w:line="241" w:lineRule="auto"/>
        <w:tabs>
          <w:tab w:leader="none" w:pos="420"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outcome of future auctions of auction rate securities and/or our ability to recover payments thereunder and/or the creditworthiness of issuers of our auction rate securities and/or our 2011 Put Option (as defined in Note 4 of Notes to the Condensed Consolidated Financial Statements) and/or their ability to make payment thereunder;</w:t>
      </w:r>
    </w:p>
    <w:p>
      <w:pPr>
        <w:spacing w:after="0" w:line="1" w:lineRule="exact"/>
        <w:rPr>
          <w:rFonts w:ascii="Arial" w:cs="Arial" w:eastAsia="Arial" w:hAnsi="Arial"/>
          <w:sz w:val="21"/>
          <w:szCs w:val="21"/>
          <w:color w:val="auto"/>
        </w:rPr>
      </w:pPr>
    </w:p>
    <w:p>
      <w:pPr>
        <w:ind w:left="420" w:hanging="412"/>
        <w:spacing w:after="0"/>
        <w:tabs>
          <w:tab w:leader="none" w:pos="420" w:val="left"/>
        </w:tabs>
        <w:numPr>
          <w:ilvl w:val="0"/>
          <w:numId w:val="24"/>
        </w:numPr>
        <w:rPr>
          <w:rFonts w:ascii="Arial" w:cs="Arial" w:eastAsia="Arial" w:hAnsi="Arial"/>
          <w:sz w:val="21"/>
          <w:szCs w:val="21"/>
          <w:color w:val="auto"/>
        </w:rPr>
      </w:pPr>
      <w:r>
        <w:rPr>
          <w:rFonts w:ascii="Arial" w:cs="Arial" w:eastAsia="Arial" w:hAnsi="Arial"/>
          <w:sz w:val="21"/>
          <w:szCs w:val="21"/>
          <w:color w:val="auto"/>
        </w:rPr>
        <w:t>Our ability to address any significant deficiencies or material weakness in our internal control over financial reporting;</w:t>
      </w:r>
    </w:p>
    <w:p>
      <w:pPr>
        <w:spacing w:after="0" w:line="1" w:lineRule="exact"/>
        <w:rPr>
          <w:rFonts w:ascii="Arial" w:cs="Arial" w:eastAsia="Arial" w:hAnsi="Arial"/>
          <w:sz w:val="21"/>
          <w:szCs w:val="21"/>
          <w:color w:val="auto"/>
        </w:rPr>
      </w:pPr>
    </w:p>
    <w:p>
      <w:pPr>
        <w:ind w:left="420" w:hanging="412"/>
        <w:spacing w:after="0" w:line="230" w:lineRule="auto"/>
        <w:tabs>
          <w:tab w:leader="none" w:pos="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generate sufficient cash flows to support capital expansion plans and general operating activities;</w:t>
      </w:r>
    </w:p>
    <w:p>
      <w:pPr>
        <w:ind w:left="420" w:hanging="412"/>
        <w:spacing w:after="0" w:line="230" w:lineRule="auto"/>
        <w:tabs>
          <w:tab w:leader="none" w:pos="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Decreased demand for our products resulting from changes in consumer preferences or from decreased consumer discretionary spending power;</w:t>
      </w:r>
    </w:p>
    <w:p>
      <w:pPr>
        <w:spacing w:after="0" w:line="1" w:lineRule="exact"/>
        <w:rPr>
          <w:rFonts w:ascii="Arial" w:cs="Arial" w:eastAsia="Arial" w:hAnsi="Arial"/>
          <w:sz w:val="22"/>
          <w:szCs w:val="22"/>
          <w:color w:val="auto"/>
        </w:rPr>
      </w:pPr>
    </w:p>
    <w:p>
      <w:pPr>
        <w:ind w:left="420" w:hanging="412"/>
        <w:spacing w:after="0" w:line="230" w:lineRule="auto"/>
        <w:tabs>
          <w:tab w:leader="none" w:pos="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Changes in demand that are weather related, particularly in areas outside of California;</w:t>
      </w:r>
    </w:p>
    <w:p>
      <w:pPr>
        <w:ind w:left="420" w:hanging="412"/>
        <w:spacing w:after="0" w:line="230" w:lineRule="auto"/>
        <w:tabs>
          <w:tab w:leader="none" w:pos="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2"/>
          <w:szCs w:val="22"/>
          <w:color w:val="auto"/>
        </w:rPr>
      </w:pPr>
    </w:p>
    <w:p>
      <w:pPr>
        <w:ind w:left="420" w:hanging="412"/>
        <w:spacing w:after="0" w:line="230" w:lineRule="auto"/>
        <w:tabs>
          <w:tab w:leader="none" w:pos="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introduce new products;</w:t>
      </w:r>
    </w:p>
    <w:p>
      <w:pPr>
        <w:ind w:left="420" w:hanging="412"/>
        <w:spacing w:after="0" w:line="230" w:lineRule="auto"/>
        <w:tabs>
          <w:tab w:leader="none" w:pos="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 inability to achieve volume growth through product and packaging initiatives;</w:t>
      </w:r>
    </w:p>
    <w:p>
      <w:pPr>
        <w:ind w:left="420" w:hanging="412"/>
        <w:spacing w:after="0" w:line="230" w:lineRule="auto"/>
        <w:tabs>
          <w:tab w:leader="none" w:pos="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sustain the current level of sales and/or increase the sales of our Monster Energy® brand energy drinks and/or our Peace Tea® iced teas and/or our Worx Energy® energy shots;</w:t>
      </w:r>
    </w:p>
    <w:p>
      <w:pPr>
        <w:spacing w:after="0" w:line="1" w:lineRule="exact"/>
        <w:rPr>
          <w:rFonts w:ascii="Arial" w:cs="Arial" w:eastAsia="Arial" w:hAnsi="Arial"/>
          <w:sz w:val="22"/>
          <w:szCs w:val="22"/>
          <w:color w:val="auto"/>
        </w:rPr>
      </w:pPr>
    </w:p>
    <w:p>
      <w:pPr>
        <w:jc w:val="both"/>
        <w:ind w:left="420" w:hanging="412"/>
        <w:spacing w:after="0" w:line="230" w:lineRule="auto"/>
        <w:tabs>
          <w:tab w:leader="none" w:pos="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impact of criticism of our energy drink products and/or the energy drink market generally and/or legislation enacted, whether as a result of such criticism or otherwise, that restrict the sale of energy drinks (including prohibiting the sale of energy drinks at certain establishments or pursuant to certain governmental programs), limit caffeine content in beverages, require certain product labeling disclosures and/or warnings, impose excise taxes, limits product size or impose age restrictions for the sale of energy drinks;</w:t>
      </w:r>
    </w:p>
    <w:p>
      <w:pPr>
        <w:spacing w:after="0" w:line="3" w:lineRule="exact"/>
        <w:rPr>
          <w:rFonts w:ascii="Arial" w:cs="Arial" w:eastAsia="Arial" w:hAnsi="Arial"/>
          <w:sz w:val="22"/>
          <w:szCs w:val="22"/>
          <w:color w:val="auto"/>
        </w:rPr>
      </w:pPr>
    </w:p>
    <w:p>
      <w:pPr>
        <w:jc w:val="both"/>
        <w:ind w:left="420" w:hanging="412"/>
        <w:spacing w:after="0" w:line="272" w:lineRule="auto"/>
        <w:tabs>
          <w:tab w:leader="none" w:pos="4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and/or sales and/or other taxes on our products and revised tax law interpretations) and environmental laws, as well as the Federal Food, Drug and Cosmetic Act, including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 or impose age restrictions</w:t>
      </w:r>
    </w:p>
    <w:p>
      <w:pPr>
        <w:sectPr>
          <w:pgSz w:w="11900" w:h="16838" w:orient="portrait"/>
          <w:cols w:equalWidth="0" w:num="1">
            <w:col w:w="11420"/>
          </w:cols>
          <w:pgMar w:left="240" w:top="118" w:right="239" w:bottom="0" w:gutter="0" w:footer="0" w:header="0"/>
        </w:sectPr>
      </w:pPr>
    </w:p>
    <w:bookmarkStart w:id="28" w:name="page29"/>
    <w:bookmarkEnd w:id="28"/>
    <w:p>
      <w:pPr>
        <w:ind w:left="420" w:right="20"/>
        <w:spacing w:after="0" w:line="251" w:lineRule="auto"/>
        <w:rPr>
          <w:sz w:val="20"/>
          <w:szCs w:val="20"/>
          <w:color w:val="auto"/>
        </w:rPr>
      </w:pPr>
      <w:r>
        <w:rPr>
          <w:rFonts w:ascii="Arial" w:cs="Arial" w:eastAsia="Arial" w:hAnsi="Arial"/>
          <w:sz w:val="22"/>
          <w:szCs w:val="22"/>
          <w:color w:val="auto"/>
        </w:rPr>
        <w:t>for the sale of energy drinks as well as laws and regulations or rules made or enforced by the FDA, and/or the Bureau of Alcohol, Tobacco and Firearms and Explosives, and/or the Federal Trade Commission;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left="420" w:hanging="412"/>
        <w:spacing w:after="0" w:line="236"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effect of inquiries from and/or actions by state or city attorneys general and/or other government agencies and/or quasi-government agencies and/or government officials, including members of Congress, into the advertising, marketing, promotion, ingredients, usage and/or sale of our energy drink products;</w:t>
      </w:r>
    </w:p>
    <w:p>
      <w:pPr>
        <w:spacing w:after="0" w:line="1" w:lineRule="exact"/>
        <w:rPr>
          <w:rFonts w:ascii="Arial" w:cs="Arial" w:eastAsia="Arial" w:hAnsi="Arial"/>
          <w:sz w:val="22"/>
          <w:szCs w:val="22"/>
          <w:color w:val="auto"/>
        </w:rPr>
      </w:pPr>
    </w:p>
    <w:p>
      <w:pPr>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effect of unfavorable press and/or articles, comments and/or media attention;</w:t>
      </w:r>
    </w:p>
    <w:p>
      <w:pPr>
        <w:jc w:val="both"/>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Changes in the cost, quality and availability of containers, packaging materials, raw materials, other ingredients and juice concentrates, and the ability to obtain and/or maintain favorable supply arrangements and relationships and procure timely and/or adequate production of all or any of our products;</w:t>
      </w:r>
    </w:p>
    <w:p>
      <w:pPr>
        <w:spacing w:after="0" w:line="2" w:lineRule="exact"/>
        <w:rPr>
          <w:rFonts w:ascii="Arial" w:cs="Arial" w:eastAsia="Arial" w:hAnsi="Arial"/>
          <w:sz w:val="22"/>
          <w:szCs w:val="22"/>
          <w:color w:val="auto"/>
        </w:rPr>
      </w:pPr>
    </w:p>
    <w:p>
      <w:pPr>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pass on to our customers all or a portion of the increasing costs of fuel and/or raw materials and/or ingredients and/or commodities affecting our business;</w:t>
      </w:r>
    </w:p>
    <w:p>
      <w:pPr>
        <w:spacing w:after="0" w:line="1" w:lineRule="exact"/>
        <w:rPr>
          <w:rFonts w:ascii="Arial" w:cs="Arial" w:eastAsia="Arial" w:hAnsi="Arial"/>
          <w:sz w:val="22"/>
          <w:szCs w:val="22"/>
          <w:color w:val="auto"/>
        </w:rPr>
      </w:pPr>
    </w:p>
    <w:p>
      <w:pPr>
        <w:jc w:val="both"/>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achieve both domestic and international forecasts, which may be based on projected volumes and sales of many product types and/or new products, certain of which are more profitable than others; there can be no assurance that we will achieve projected levels or mixes of product sales;</w:t>
      </w:r>
    </w:p>
    <w:p>
      <w:pPr>
        <w:spacing w:after="0" w:line="2" w:lineRule="exact"/>
        <w:rPr>
          <w:rFonts w:ascii="Arial" w:cs="Arial" w:eastAsia="Arial" w:hAnsi="Arial"/>
          <w:sz w:val="22"/>
          <w:szCs w:val="22"/>
          <w:color w:val="auto"/>
        </w:rPr>
      </w:pPr>
    </w:p>
    <w:p>
      <w:pPr>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penetrate new domestic and/or international markets;</w:t>
      </w:r>
    </w:p>
    <w:p>
      <w:pPr>
        <w:ind w:left="420" w:hanging="412"/>
        <w:spacing w:after="0"/>
        <w:tabs>
          <w:tab w:leader="none" w:pos="4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Our ability to gain approval or mitigate the delay in securing approval for the sale of our products in various countries;</w:t>
      </w:r>
    </w:p>
    <w:p>
      <w:pPr>
        <w:spacing w:after="0" w:line="1" w:lineRule="exact"/>
        <w:rPr>
          <w:rFonts w:ascii="Arial" w:cs="Arial" w:eastAsia="Arial" w:hAnsi="Arial"/>
          <w:sz w:val="21"/>
          <w:szCs w:val="21"/>
          <w:color w:val="auto"/>
        </w:rPr>
      </w:pPr>
    </w:p>
    <w:p>
      <w:pPr>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Economic or political instability in one or more of our international markets;</w:t>
      </w:r>
    </w:p>
    <w:p>
      <w:pPr>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secure and/or retain competent and/or effective distributors internationally;</w:t>
      </w:r>
    </w:p>
    <w:p>
      <w:pPr>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sales and/or marketing efforts of distributors of our products, most of which distribute products that are competitive with our products;</w:t>
      </w:r>
    </w:p>
    <w:p>
      <w:pPr>
        <w:spacing w:after="0" w:line="1" w:lineRule="exact"/>
        <w:rPr>
          <w:rFonts w:ascii="Arial" w:cs="Arial" w:eastAsia="Arial" w:hAnsi="Arial"/>
          <w:sz w:val="22"/>
          <w:szCs w:val="22"/>
          <w:color w:val="auto"/>
        </w:rPr>
      </w:pPr>
    </w:p>
    <w:p>
      <w:pPr>
        <w:jc w:val="both"/>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Unilateral decisions by distributors, convenience chains, grocery chains,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2" w:lineRule="exact"/>
        <w:rPr>
          <w:rFonts w:ascii="Arial" w:cs="Arial" w:eastAsia="Arial" w:hAnsi="Arial"/>
          <w:sz w:val="22"/>
          <w:szCs w:val="22"/>
          <w:color w:val="auto"/>
        </w:rPr>
      </w:pPr>
    </w:p>
    <w:p>
      <w:pPr>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costs and/or effectiveness, now or in the future, of our advertising, marketing and promotional strategies;</w:t>
      </w:r>
    </w:p>
    <w:p>
      <w:pPr>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Changes in product category consumption;</w:t>
      </w:r>
    </w:p>
    <w:p>
      <w:pPr>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Unforeseen economic and political changes;</w:t>
      </w:r>
    </w:p>
    <w:p>
      <w:pPr>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Possible recalls of our products and/or defective production;</w:t>
      </w:r>
    </w:p>
    <w:p>
      <w:pPr>
        <w:ind w:left="420" w:right="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make suitable arrangements for the co-packing of any of our products and/or the timely replacement of discontinued co-packing arrangements;</w:t>
      </w:r>
    </w:p>
    <w:p>
      <w:pPr>
        <w:spacing w:after="0" w:line="1" w:lineRule="exact"/>
        <w:rPr>
          <w:rFonts w:ascii="Arial" w:cs="Arial" w:eastAsia="Arial" w:hAnsi="Arial"/>
          <w:sz w:val="22"/>
          <w:szCs w:val="22"/>
          <w:color w:val="auto"/>
        </w:rPr>
      </w:pPr>
    </w:p>
    <w:p>
      <w:pPr>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make suitable arrangements for the procurement of non-defective raw materials;</w:t>
      </w:r>
    </w:p>
    <w:p>
      <w:pPr>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2"/>
          <w:szCs w:val="22"/>
          <w:color w:val="auto"/>
        </w:rPr>
      </w:pPr>
    </w:p>
    <w:p>
      <w:pPr>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Volatility of stock prices which may restrict stock sales, stock purchases or other opportunities;</w:t>
      </w:r>
    </w:p>
    <w:p>
      <w:pPr>
        <w:ind w:left="420" w:right="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2"/>
          <w:szCs w:val="22"/>
          <w:color w:val="auto"/>
        </w:rPr>
      </w:pPr>
    </w:p>
    <w:p>
      <w:pPr>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failure of our bottlers and contract packers to manufacture our products on a timely basis or at all;</w:t>
      </w:r>
    </w:p>
    <w:p>
      <w:pPr>
        <w:ind w:left="4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Exposure to significant liabilities due to litigation, legal or regulatory proceedings;</w:t>
      </w:r>
    </w:p>
    <w:p>
      <w:pPr>
        <w:ind w:left="420" w:right="20" w:hanging="412"/>
        <w:spacing w:after="0" w:line="230" w:lineRule="auto"/>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disruption in and/or lack of effectiveness of our information technology systems that disrupts our business or negatively impacts customer relationships; and</w:t>
      </w:r>
    </w:p>
    <w:p>
      <w:pPr>
        <w:spacing w:after="0" w:line="1" w:lineRule="exact"/>
        <w:rPr>
          <w:rFonts w:ascii="Arial" w:cs="Arial" w:eastAsia="Arial" w:hAnsi="Arial"/>
          <w:sz w:val="22"/>
          <w:szCs w:val="22"/>
          <w:color w:val="auto"/>
        </w:rPr>
      </w:pPr>
    </w:p>
    <w:p>
      <w:pPr>
        <w:ind w:left="420" w:hanging="412"/>
        <w:spacing w:after="0"/>
        <w:tabs>
          <w:tab w:leader="none" w:pos="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Recruitment and retention of senior management, other key employees and our employee base in general.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The foregoing list of important factors and other risks detailed from time to time in our reports filed with the SEC is not exhaustive. See the section entitled “Risk Factors” in our Form 10-K for the fiscal year ended December 31, 2012,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ectPr>
          <w:pgSz w:w="11900" w:h="16838" w:orient="portrait"/>
          <w:cols w:equalWidth="0" w:num="1">
            <w:col w:w="11420"/>
          </w:cols>
          <w:pgMar w:left="240" w:top="118" w:right="239" w:bottom="269" w:gutter="0" w:footer="0" w:header="0"/>
        </w:sectPr>
      </w:pPr>
    </w:p>
    <w:bookmarkStart w:id="29" w:name="page30"/>
    <w:bookmarkEnd w:id="29"/>
    <w:p>
      <w:pPr>
        <w:jc w:val="both"/>
        <w:ind w:firstLine="648"/>
        <w:spacing w:after="0" w:line="274" w:lineRule="auto"/>
        <w:rPr>
          <w:sz w:val="20"/>
          <w:szCs w:val="20"/>
          <w:color w:val="auto"/>
        </w:rPr>
      </w:pPr>
      <w:r>
        <w:rPr>
          <w:rFonts w:ascii="Arial" w:cs="Arial" w:eastAsia="Arial" w:hAnsi="Arial"/>
          <w:sz w:val="21"/>
          <w:szCs w:val="21"/>
          <w:color w:val="auto"/>
        </w:rPr>
        <w:t>There have been no material changes in our market risk during the three-months ended March 31, 2013 compared with the disclosures in Part II, Item 7A of our Annual Report on Form 10-K for the year ended December 31, 2012.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 Company’s</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 xml:space="preserve">Changes in Internal Control Over Financial Reporting </w:t>
      </w:r>
      <w:r>
        <w:rPr>
          <w:rFonts w:ascii="Arial" w:cs="Arial" w:eastAsia="Arial" w:hAnsi="Arial"/>
          <w:sz w:val="22"/>
          <w:szCs w:val="22"/>
          <w:color w:val="auto"/>
        </w:rPr>
        <w:t>— There were no changes in the Company’s internal controls over</w:t>
      </w:r>
      <w:r>
        <w:rPr>
          <w:rFonts w:ascii="Arial" w:cs="Arial" w:eastAsia="Arial" w:hAnsi="Arial"/>
          <w:sz w:val="22"/>
          <w:szCs w:val="22"/>
          <w:i w:val="1"/>
          <w:iCs w:val="1"/>
          <w:color w:val="auto"/>
        </w:rPr>
        <w:t xml:space="preserve"> </w:t>
      </w:r>
      <w:r>
        <w:rPr>
          <w:rFonts w:ascii="Arial" w:cs="Arial" w:eastAsia="Arial" w:hAnsi="Arial"/>
          <w:sz w:val="22"/>
          <w:szCs w:val="22"/>
          <w:color w:val="auto"/>
        </w:rPr>
        <w:t>financial reporting during the quarter ended March 31, 2013,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“Wellman Action”). The plaintiff alleges that the defendants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The Company believes that any such 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20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On October 17, 2012, Wendy Crossland and Richard Fournier filed a lawsuit in the Superior Court of the State of California, County of Riverside, styled </w:t>
      </w:r>
      <w:r>
        <w:rPr>
          <w:rFonts w:ascii="Arial" w:cs="Arial" w:eastAsia="Arial" w:hAnsi="Arial"/>
          <w:sz w:val="21"/>
          <w:szCs w:val="21"/>
          <w:i w:val="1"/>
          <w:iCs w:val="1"/>
          <w:color w:val="auto"/>
        </w:rPr>
        <w:t>Wendy Crossland and Richard Fournier v. Monster Beverage Corporation</w:t>
      </w:r>
      <w:r>
        <w:rPr>
          <w:rFonts w:ascii="Arial" w:cs="Arial" w:eastAsia="Arial" w:hAnsi="Arial"/>
          <w:sz w:val="21"/>
          <w:szCs w:val="21"/>
          <w:color w:val="auto"/>
        </w:rPr>
        <w:t>,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2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Securities Litigation </w:t>
      </w:r>
      <w:r>
        <w:rPr>
          <w:rFonts w:ascii="Arial" w:cs="Arial" w:eastAsia="Arial" w:hAnsi="Arial"/>
          <w:sz w:val="22"/>
          <w:szCs w:val="22"/>
          <w:color w:val="auto"/>
        </w:rPr>
        <w:t>– On September 11, 2008, a federal securities class action complaint styled</w:t>
      </w:r>
      <w:r>
        <w:rPr>
          <w:rFonts w:ascii="Arial" w:cs="Arial" w:eastAsia="Arial" w:hAnsi="Arial"/>
          <w:sz w:val="22"/>
          <w:szCs w:val="22"/>
          <w:i w:val="1"/>
          <w:iCs w:val="1"/>
          <w:color w:val="auto"/>
        </w:rPr>
        <w:t xml:space="preserve"> Cunha v. Hansen Natural Corp., et al. </w:t>
      </w:r>
      <w:r>
        <w:rPr>
          <w:rFonts w:ascii="Arial" w:cs="Arial" w:eastAsia="Arial" w:hAnsi="Arial"/>
          <w:sz w:val="22"/>
          <w:szCs w:val="22"/>
          <w:color w:val="auto"/>
        </w:rPr>
        <w:t>was filed in the United States District Court for the Central District of California (the “District Court”). 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September 17, 2008, a second federal securities class action complaint styled </w:t>
      </w:r>
      <w:r>
        <w:rPr>
          <w:rFonts w:ascii="Arial" w:cs="Arial" w:eastAsia="Arial" w:hAnsi="Arial"/>
          <w:sz w:val="22"/>
          <w:szCs w:val="22"/>
          <w:i w:val="1"/>
          <w:iCs w:val="1"/>
          <w:color w:val="auto"/>
        </w:rPr>
        <w:t>Brown v. Hansen Natural Corp., et al.</w:t>
      </w:r>
      <w:r>
        <w:rPr>
          <w:rFonts w:ascii="Arial" w:cs="Arial" w:eastAsia="Arial" w:hAnsi="Arial"/>
          <w:sz w:val="22"/>
          <w:szCs w:val="22"/>
          <w:color w:val="auto"/>
        </w:rPr>
        <w:t xml:space="preserve"> was also filed in the District Court.</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On July 14, 2009, the District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ectPr>
          <w:pgSz w:w="11900" w:h="16838" w:orient="portrait"/>
          <w:cols w:equalWidth="0" w:num="1">
            <w:col w:w="11420"/>
          </w:cols>
          <w:pgMar w:left="240" w:top="118" w:right="239" w:bottom="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November 16, 2009, the defendants filed their motion to dismiss the Consolidated Class Action Complaint pursuant to Federal Rules of Civil Procedure 12(b)(6) and 9(b), as well as the Private Securities Litigation Reform Act. On July 12, 2010, following a hearing, the District Court granted the defendants’ motion to dismiss the Consolidated Class Action Complaint, with leave to amend, on the grounds, among others, that it failed to specify which statements plaintiff claimed were false or misleading, failed adequately to allege that certain statements were actionable or false or misleading, and failed adequately to demonstrate that defendants acted with scienter.</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August 27, 2010, plaintiff filed a Consolidated Amended Class Action Complaint for Violations of Federal Securities Laws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 The Amended Class Action Complaint continues to allege violations of Sections 10(b) and 20(a) of the Exchange Act and Rule 10b-5 promulgated thereunder, and seeks an unspecified amount of damages.</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Defendants filed a motion to dismiss the Amended Class Action Complaint on November 8, 2010. At a hearing on defendants’ motion to dismiss the Amended Class Action Complaint held on May 12, 2011, the District Court issued a tentative ruling granting the motion to dismiss as to certain of plaintiff’s claims, including plaintiff’s allegations relating to promotional expenses, but denying the motion to dismiss with regard to the majority of plaintiff’s claims, including plaintiff’s channel stuffing allegations. On September 4, 2012, the District Court issued a Notice of Ruling (the “Order”) adopting the May 12, 2011 tentative ruling as its final ruling on defendants’ motion to dismiss. On October 22, 2012, the District Court denied defendants’ motion for reconsideration of the Order or certification of an interlocutory appeal from the Order. The District Court has set a schedule for briefing and discovery in connection with plaintiff’s motion for class certification, and has scheduled a hearing on that motion for June 20, 2013. Fact discovery in the action has been stayed pending resolution of the class certification motion.</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Amended Class Action Complaint seeks an unspecified amount of damages. As a result, the amount or range of reasonably possible litigation losses to which the Company is exposed cannot be estimated. Although the ultimate outcome of this action cannot be determined with certainty, the Company believes that the allegations in the Amended Class Action Complaint are without merit. The Company intends to vigorously defend against this lawsuit.</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 xml:space="preserve">State Attorney General Inquiry </w:t>
      </w:r>
      <w:r>
        <w:rPr>
          <w:rFonts w:ascii="Arial" w:cs="Arial" w:eastAsia="Arial" w:hAnsi="Arial"/>
          <w:sz w:val="19"/>
          <w:szCs w:val="19"/>
          <w:color w:val="auto"/>
        </w:rPr>
        <w:t>– In July 2012, the Company received a subpoena from a state attorney general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an investigation concerning the Company’s advertising, marketing, promotion, ingredients, usage and sale of its Monster Energy® brand of energy drinks. As the investigation is in an early stage,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i w:val="1"/>
          <w:iCs w:val="1"/>
          <w:color w:val="auto"/>
        </w:rPr>
        <w:t xml:space="preserve">Derivative Litigation </w:t>
      </w:r>
      <w:r>
        <w:rPr>
          <w:rFonts w:ascii="Arial" w:cs="Arial" w:eastAsia="Arial" w:hAnsi="Arial"/>
          <w:sz w:val="22"/>
          <w:szCs w:val="22"/>
          <w:color w:val="auto"/>
        </w:rPr>
        <w:t>– On September 13, 2012, two derivative complaints were filed in California Superior Courts,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purportedly on behalf of the Company, by shareholders of the Company who made no prior demand on the Company’s Board of Directors. One action, in the Superior Court for the County of Riverside, was styled </w:t>
      </w:r>
      <w:r>
        <w:rPr>
          <w:rFonts w:ascii="Arial" w:cs="Arial" w:eastAsia="Arial" w:hAnsi="Arial"/>
          <w:sz w:val="22"/>
          <w:szCs w:val="22"/>
          <w:i w:val="1"/>
          <w:iCs w:val="1"/>
          <w:color w:val="auto"/>
        </w:rPr>
        <w:t>Iron Workers District Council of Tennessee</w:t>
      </w:r>
      <w:r>
        <w:rPr>
          <w:rFonts w:ascii="Arial" w:cs="Arial" w:eastAsia="Arial" w:hAnsi="Arial"/>
          <w:sz w:val="22"/>
          <w:szCs w:val="22"/>
          <w:color w:val="auto"/>
        </w:rPr>
        <w:t xml:space="preserve"> </w:t>
      </w:r>
      <w:r>
        <w:rPr>
          <w:rFonts w:ascii="Arial" w:cs="Arial" w:eastAsia="Arial" w:hAnsi="Arial"/>
          <w:sz w:val="22"/>
          <w:szCs w:val="22"/>
          <w:i w:val="1"/>
          <w:iCs w:val="1"/>
          <w:color w:val="auto"/>
        </w:rPr>
        <w:t>Valley &amp; Vicinity Pension Plan v. Sacks, et al</w:t>
      </w:r>
      <w:r>
        <w:rPr>
          <w:rFonts w:ascii="Arial" w:cs="Arial" w:eastAsia="Arial" w:hAnsi="Arial"/>
          <w:sz w:val="22"/>
          <w:szCs w:val="22"/>
          <w:color w:val="auto"/>
        </w:rPr>
        <w:t>. The other action, originally filed in the Superior Court for the County of Los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Angeles, was styled </w:t>
      </w:r>
      <w:r>
        <w:rPr>
          <w:rFonts w:ascii="Arial" w:cs="Arial" w:eastAsia="Arial" w:hAnsi="Arial"/>
          <w:sz w:val="22"/>
          <w:szCs w:val="22"/>
          <w:i w:val="1"/>
          <w:iCs w:val="1"/>
          <w:color w:val="auto"/>
        </w:rPr>
        <w:t>Rumbaugh v. Sacks, et al</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i w:val="1"/>
          <w:iCs w:val="1"/>
          <w:color w:val="auto"/>
        </w:rPr>
        <w:t>Iron Workers</w:t>
      </w:r>
      <w:r>
        <w:rPr>
          <w:rFonts w:ascii="Arial" w:cs="Arial" w:eastAsia="Arial" w:hAnsi="Arial"/>
          <w:sz w:val="22"/>
          <w:szCs w:val="22"/>
          <w:color w:val="auto"/>
        </w:rPr>
        <w:t xml:space="preserve"> complaint named as defendants certain officers, directors and employees of the Company, including Rodney Sacks, Hilton Schlosberg, Harold C. Taber, Jr., Benjamin M. Polk, Norman C. Epstein, Mark S. Vidergauz, Sydney Selati and Thomas J. Kelly. The </w:t>
      </w:r>
      <w:r>
        <w:rPr>
          <w:rFonts w:ascii="Arial" w:cs="Arial" w:eastAsia="Arial" w:hAnsi="Arial"/>
          <w:sz w:val="22"/>
          <w:szCs w:val="22"/>
          <w:i w:val="1"/>
          <w:iCs w:val="1"/>
          <w:color w:val="auto"/>
        </w:rPr>
        <w:t>Rumbaugh</w:t>
      </w:r>
      <w:r>
        <w:rPr>
          <w:rFonts w:ascii="Arial" w:cs="Arial" w:eastAsia="Arial" w:hAnsi="Arial"/>
          <w:sz w:val="22"/>
          <w:szCs w:val="22"/>
          <w:color w:val="auto"/>
        </w:rPr>
        <w:t xml:space="preserve"> complaint named each of the same individuals as defendants, with the exception of Thomas J. Kelly. The Company was named as a nominal defendant in each action.</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The factual allegations of the two complaints were substantially similar. Each alleged, among other things, that the Individual Defendants breached their fiduciary duties to the Company by causing the Company to market, advertise and promote its Monster Energy brand of energy drinks in a way that has exposed, and will continue to expose, the Company to costly investigations into its compliance with federal and state laws and regulations pertaining to food and beverage advertising. The complaints further alleged that, beginning in February 2012, the Individual Defendants further breached their fiduciary duties by making statements in press releases and public filings about the Company’s earnings and financial condition and by failing to disclose that the Company was improperly advertising, marketing and promoting its Monster Energy brand of energy drinks. The </w:t>
      </w:r>
      <w:r>
        <w:rPr>
          <w:rFonts w:ascii="Arial" w:cs="Arial" w:eastAsia="Arial" w:hAnsi="Arial"/>
          <w:sz w:val="19"/>
          <w:szCs w:val="19"/>
          <w:i w:val="1"/>
          <w:iCs w:val="1"/>
          <w:color w:val="auto"/>
        </w:rPr>
        <w:t xml:space="preserve">Iron Workers </w:t>
      </w:r>
      <w:r>
        <w:rPr>
          <w:rFonts w:ascii="Arial" w:cs="Arial" w:eastAsia="Arial" w:hAnsi="Arial"/>
          <w:sz w:val="19"/>
          <w:szCs w:val="19"/>
          <w:color w:val="auto"/>
        </w:rPr>
        <w:t>complaint further alleged that while the Company’s shares were purportedly artificially inflated because of those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improper statements, certain defendants sold Company stock while in possession of material non-public information regarding the Company’s “true” business health. The </w:t>
      </w:r>
      <w:r>
        <w:rPr>
          <w:rFonts w:ascii="Arial" w:cs="Arial" w:eastAsia="Arial" w:hAnsi="Arial"/>
          <w:sz w:val="19"/>
          <w:szCs w:val="19"/>
          <w:i w:val="1"/>
          <w:iCs w:val="1"/>
          <w:color w:val="auto"/>
        </w:rPr>
        <w:t>Iron Workers</w:t>
      </w:r>
      <w:r>
        <w:rPr>
          <w:rFonts w:ascii="Arial" w:cs="Arial" w:eastAsia="Arial" w:hAnsi="Arial"/>
          <w:sz w:val="19"/>
          <w:szCs w:val="19"/>
          <w:color w:val="auto"/>
        </w:rPr>
        <w:t xml:space="preserve"> complaint asserted causes of action for breach of fiduciary duty and unjust enrichment. In addition to those causes of action, the </w:t>
      </w:r>
      <w:r>
        <w:rPr>
          <w:rFonts w:ascii="Arial" w:cs="Arial" w:eastAsia="Arial" w:hAnsi="Arial"/>
          <w:sz w:val="19"/>
          <w:szCs w:val="19"/>
          <w:i w:val="1"/>
          <w:iCs w:val="1"/>
          <w:color w:val="auto"/>
        </w:rPr>
        <w:t>Rumbaugh</w:t>
      </w:r>
      <w:r>
        <w:rPr>
          <w:rFonts w:ascii="Arial" w:cs="Arial" w:eastAsia="Arial" w:hAnsi="Arial"/>
          <w:sz w:val="19"/>
          <w:szCs w:val="19"/>
          <w:color w:val="auto"/>
        </w:rPr>
        <w:t xml:space="preserve"> complaint also asserted causes of action for abuse of control,</w:t>
      </w:r>
    </w:p>
    <w:p>
      <w:pPr>
        <w:sectPr>
          <w:pgSz w:w="11900" w:h="16838" w:orient="portrait"/>
          <w:cols w:equalWidth="0" w:num="1">
            <w:col w:w="11420"/>
          </w:cols>
          <w:pgMar w:left="240" w:top="125" w:right="239" w:bottom="0" w:gutter="0" w:footer="0" w:header="0"/>
        </w:sectPr>
      </w:pPr>
    </w:p>
    <w:bookmarkStart w:id="31" w:name="page32"/>
    <w:bookmarkEnd w:id="31"/>
    <w:p>
      <w:pPr>
        <w:jc w:val="both"/>
        <w:spacing w:after="0" w:line="251" w:lineRule="auto"/>
        <w:rPr>
          <w:sz w:val="20"/>
          <w:szCs w:val="20"/>
          <w:color w:val="auto"/>
        </w:rPr>
      </w:pPr>
      <w:r>
        <w:rPr>
          <w:rFonts w:ascii="Arial" w:cs="Arial" w:eastAsia="Arial" w:hAnsi="Arial"/>
          <w:sz w:val="22"/>
          <w:szCs w:val="22"/>
          <w:color w:val="auto"/>
        </w:rPr>
        <w:t>gross mismanagement and waste of corporate assets. Plaintiffs sought an unspecified amount of damages to be paid to the Company, adoption of corporate governance reforms, and equitable and injunctive relief.</w:t>
      </w:r>
    </w:p>
    <w:p>
      <w:pPr>
        <w:spacing w:after="0" w:line="20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By stipulation of the parties, the </w:t>
      </w:r>
      <w:r>
        <w:rPr>
          <w:rFonts w:ascii="Arial" w:cs="Arial" w:eastAsia="Arial" w:hAnsi="Arial"/>
          <w:sz w:val="22"/>
          <w:szCs w:val="22"/>
          <w:i w:val="1"/>
          <w:iCs w:val="1"/>
          <w:color w:val="auto"/>
        </w:rPr>
        <w:t>Rumbaugh</w:t>
      </w:r>
      <w:r>
        <w:rPr>
          <w:rFonts w:ascii="Arial" w:cs="Arial" w:eastAsia="Arial" w:hAnsi="Arial"/>
          <w:sz w:val="22"/>
          <w:szCs w:val="22"/>
          <w:color w:val="auto"/>
        </w:rPr>
        <w:t xml:space="preserve"> complaint was transferred to Riverside Superior Court. On March 4, 2013, and March 6, 2013, respectively, on the parties’ stipulation, the </w:t>
      </w:r>
      <w:r>
        <w:rPr>
          <w:rFonts w:ascii="Arial" w:cs="Arial" w:eastAsia="Arial" w:hAnsi="Arial"/>
          <w:sz w:val="22"/>
          <w:szCs w:val="22"/>
          <w:i w:val="1"/>
          <w:iCs w:val="1"/>
          <w:color w:val="auto"/>
        </w:rPr>
        <w:t>Iron Workers</w:t>
      </w:r>
      <w:r>
        <w:rPr>
          <w:rFonts w:ascii="Arial" w:cs="Arial" w:eastAsia="Arial" w:hAnsi="Arial"/>
          <w:sz w:val="22"/>
          <w:szCs w:val="22"/>
          <w:color w:val="auto"/>
        </w:rPr>
        <w:t xml:space="preserve"> and </w:t>
      </w:r>
      <w:r>
        <w:rPr>
          <w:rFonts w:ascii="Arial" w:cs="Arial" w:eastAsia="Arial" w:hAnsi="Arial"/>
          <w:sz w:val="22"/>
          <w:szCs w:val="22"/>
          <w:i w:val="1"/>
          <w:iCs w:val="1"/>
          <w:color w:val="auto"/>
        </w:rPr>
        <w:t>Rumbaugh</w:t>
      </w:r>
      <w:r>
        <w:rPr>
          <w:rFonts w:ascii="Arial" w:cs="Arial" w:eastAsia="Arial" w:hAnsi="Arial"/>
          <w:sz w:val="22"/>
          <w:szCs w:val="22"/>
          <w:color w:val="auto"/>
        </w:rPr>
        <w:t xml:space="preserve"> matters were dismissed with prejudice as to the named plaintiffs and without prejudice as to any other Company shareholder. No consideration was offered or exchanged to induce or reward either Plaintiff’s voluntary dismissal.</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On May 3, 2013, a derivative complaint was filed in United States District Court for the Central District of California, purportedly on behalf of the Company, by a shareholder of the Company who made no prior demand on the Company’s Board of Directors. The action is styled </w:t>
      </w:r>
      <w:r>
        <w:rPr>
          <w:rFonts w:ascii="Arial" w:cs="Arial" w:eastAsia="Arial" w:hAnsi="Arial"/>
          <w:sz w:val="22"/>
          <w:szCs w:val="22"/>
          <w:i w:val="1"/>
          <w:iCs w:val="1"/>
          <w:color w:val="auto"/>
        </w:rPr>
        <w:t>Eric Spitzer v. Sacks</w:t>
      </w:r>
      <w:r>
        <w:rPr>
          <w:rFonts w:ascii="Arial" w:cs="Arial" w:eastAsia="Arial" w:hAnsi="Arial"/>
          <w:sz w:val="22"/>
          <w:szCs w:val="22"/>
          <w:color w:val="auto"/>
        </w:rPr>
        <w:t>, et al, United States District Court for the Central District of California. Through his counsel, Spitzer had previously served a request that the Company produce certain books and records pursuant to section 220 of the Delaware General Corporation Law. Counsel for the Company and Spitzer exchanged correspondence relating to the demand. After Spitzer refused to narrow his demand, the Company ultimately denied the demand in a letter dated February 14, 2013.</w:t>
      </w:r>
    </w:p>
    <w:p>
      <w:pPr>
        <w:spacing w:after="0" w:line="21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Spitzer complaint named as defendants certain officers, directors, and employees of the Company, including Rodney Sacks, Hilton Schlosberg, Harold C. Taber, Jr., Benjamin M. Polk, Norman C. Epstein, Mark S. Vidergauz, Sydney Selati, and Thomas J. Kelly. The Company is named as a nominal defendant.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Spitzer alleges, among other things, that the Individual Defendants breached their fiduciary duties to the Company by causing the Company to (a) engage in illicit activity regarding the promotion, marketing, advertising, ingredients, usage and sale of its Monster Energy brand of energy drinks; (b) lack adequate internal and financial controls; and (c) issue financial statements that were materially false and misleading, all in a way that has exposed, and will continue to expose, the Company to costly investigations. The complaint further alleges that, beginning in February 2012, the Individual Defendants further breached their fiduciary duties by making statements in press releases and public filings about the Company’s earnings and financial condition and by failing to disclose that the Company was improperly advertising, marketing, and promoting its Monster Energy brand of energy drinks. The complaint further alleges that while the Company’s shares were purportedly artificially inflated because of those improper statements, certain defendants sold Company stock while in possession of material non-public information. The complaint asserts causes of action for breach of fiduciary duty abuse of control, gross mismanagement, and unjust enrichment. Spitzer seeks an unspecified amount of damages to be paid to the Company, adoption of corporate governance reforms, and equitable and injunctive relief.</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Although the ultimate outcome of this matter cannot be determined with certainty, the Company believes that the complaint is without merit. The Company intends to vigorously defend against this lawsuit. At this time, no evaluation of the likelihood of an unfavorable outcome or range of potential loss can be expressed.</w:t>
      </w:r>
    </w:p>
    <w:p>
      <w:pPr>
        <w:spacing w:after="0" w:line="21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i w:val="1"/>
          <w:iCs w:val="1"/>
          <w:color w:val="auto"/>
        </w:rPr>
        <w:t>San Francisco City Attorney Litigation</w:t>
      </w:r>
      <w:r>
        <w:rPr>
          <w:rFonts w:ascii="Arial" w:cs="Arial" w:eastAsia="Arial" w:hAnsi="Arial"/>
          <w:sz w:val="21"/>
          <w:szCs w:val="21"/>
          <w:color w:val="auto"/>
        </w:rPr>
        <w:t>. On October 31, 2012, the Company received a written request for information from</w:t>
      </w:r>
      <w:r>
        <w:rPr>
          <w:rFonts w:ascii="Arial" w:cs="Arial" w:eastAsia="Arial" w:hAnsi="Arial"/>
          <w:sz w:val="21"/>
          <w:szCs w:val="21"/>
          <w:i w:val="1"/>
          <w:iCs w:val="1"/>
          <w:color w:val="auto"/>
        </w:rPr>
        <w:t xml:space="preserve"> </w:t>
      </w:r>
      <w:r>
        <w:rPr>
          <w:rFonts w:ascii="Arial" w:cs="Arial" w:eastAsia="Arial" w:hAnsi="Arial"/>
          <w:sz w:val="21"/>
          <w:szCs w:val="21"/>
          <w:color w:val="auto"/>
        </w:rPr>
        <w:t>the City Attorney for the City and County of San Francisco concerning the Company’s advertising and marketing of its Monster Energy® brand of energy drinks and specifically concerning the safety of its products for consumption by adolescents. In a letter dated March 29, 2013, the San Francisco City Attorney threatened to bring suit against the Company if it did not agree to take the following five steps immediately: (i) “Reformulate its product to lower the caffeine content to safe levels”; (ii) “Provide adequate warning labels”; (iii) “Cease promoting over-consumption in marketing”; (iv) “Cease use of alcohol and drug references in marketing”; and (v) “Cease targeting minors.”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On April 29, 2013, the Company and its wholly owned subsidiary Monster Energy Company, filed a complaint for declaratory and injunctive relief against the San Francisco City Attorney in United States District Court for the Central District of California, styled </w:t>
      </w:r>
      <w:r>
        <w:rPr>
          <w:rFonts w:ascii="Arial" w:cs="Arial" w:eastAsia="Arial" w:hAnsi="Arial"/>
          <w:sz w:val="19"/>
          <w:szCs w:val="19"/>
          <w:i w:val="1"/>
          <w:iCs w:val="1"/>
          <w:color w:val="auto"/>
        </w:rPr>
        <w:t>Monster Beverage Corp., et al. v. Dennis Herrera.</w:t>
      </w:r>
      <w:r>
        <w:rPr>
          <w:rFonts w:ascii="Arial" w:cs="Arial" w:eastAsia="Arial" w:hAnsi="Arial"/>
          <w:sz w:val="19"/>
          <w:szCs w:val="19"/>
          <w:color w:val="auto"/>
        </w:rPr>
        <w:t xml:space="preserve"> The Company seeks a declaration from the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The San Francisco City Attorney’s response to the complaint is currently due on June 11, 2013.</w:t>
      </w:r>
    </w:p>
    <w:p>
      <w:pPr>
        <w:spacing w:after="0" w:line="1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On May 6, 2013, the San Francisco City Attorney filed a complaint for declaratory and injunctive relief, civil penalties and restitution for alleged violation of California’s Unfair Competition Law, Business &amp; Professions Code sections 17200, et seq., styled </w:t>
      </w:r>
      <w:r>
        <w:rPr>
          <w:rFonts w:ascii="Arial" w:cs="Arial" w:eastAsia="Arial" w:hAnsi="Arial"/>
          <w:sz w:val="22"/>
          <w:szCs w:val="22"/>
          <w:i w:val="1"/>
          <w:iCs w:val="1"/>
          <w:color w:val="auto"/>
        </w:rPr>
        <w:t>People Of The State Of California ex rel. Dennis Herrera, San Francisco City Attorney v. Monster Beverage Corporation</w:t>
      </w:r>
      <w:r>
        <w:rPr>
          <w:rFonts w:ascii="Arial" w:cs="Arial" w:eastAsia="Arial" w:hAnsi="Arial"/>
          <w:sz w:val="22"/>
          <w:szCs w:val="22"/>
          <w:color w:val="auto"/>
        </w:rPr>
        <w:t>, San Francisco Superior Court. The City Attorney alleges that the Company (1) mislabeled its products as a dietary supplement, in violation of California’s Sherman Food, Drug and Cosmetic Law, California Health &amp; Safety Code sections 109875 et. seq.; (2) is selling an</w:t>
      </w:r>
    </w:p>
    <w:p>
      <w:pPr>
        <w:sectPr>
          <w:pgSz w:w="11900" w:h="16838" w:orient="portrait"/>
          <w:cols w:equalWidth="0" w:num="1">
            <w:col w:w="11420"/>
          </w:cols>
          <w:pgMar w:left="240" w:top="118" w:right="239" w:bottom="285"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285"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“adulterated” product because caffeine is not generally recognized as safe (“GRAS”)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seeks a declaration that the Company has engaged in unfair and unlawful business acts and practices in violation of the Unfair Competition Law; an injunction from performing or proposing to perform any acts in violation of the Unfair Competition Law; restitution; and civil penalties.</w:t>
      </w:r>
    </w:p>
    <w:p>
      <w:pPr>
        <w:spacing w:after="0" w:line="2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Company denies that it has violated the Unfair Competition Law or any other law and believes that the City Attorney’s claims and demands are preempted and unconstitutional, as alleged in the action it filed in United States District Court. The Company intends to vigorously defend against this lawsuit. At this time, no evaluation of the likelihood of an unfavorable outcome or range of potential loss can be expressed.</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In addition to the above matters, the Company has been named as a defendant in various false advertising putative class actions and in a private attorney general action, each of which contains allegations similar to those presented in the Wellman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Furthermore, the Company is subject to litigation from time to time in the normal course of business, including intellectual property litigation and claims from terminated distributors. Although it is not possible to predict the outcome of such litigation, based on the facts known to the Company, management believes that such litigation in the aggregate will likely not have a material adverse effect on the Company’s financial position or results of operations.</w:t>
      </w:r>
    </w:p>
    <w:p>
      <w:pPr>
        <w:spacing w:after="0" w:line="191"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21"/>
          <w:szCs w:val="21"/>
          <w:b w:val="1"/>
          <w:bCs w:val="1"/>
          <w:color w:val="auto"/>
        </w:rPr>
        <w:t>RISK FACTORS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Risk Factors are discussed in our Annual Report on Form 10-K for the fiscal year ended December 31, 2012. There have been no material changes with respect to the risk factors disclosed in our Annual Report on Form 10-K for the period ended December 31, 2012.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UNREGISTERED SALES OF EQUITY SECURITIES AND USE OF PROCEEDS</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On November 13, 2012, the Company’s Board of Directors authorized a new share repurchase program for the repurchase of up to $250.0 million of the Company’s outstanding common stock (the “November 2012 Repurchase Plan”). During the three-months ended March 31, 2013, the Company purchased 0.257 million shares of common stock at an average purchase price of $51.99 per share for a total amount of $13.4 million (excluding broker commissions), which exhausted the availability under the November 2012 Repurchase Plan.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following tabular summary reflects the Company’s repurchase activity during the quarter ended March 31, 2013.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20"/>
                <w:szCs w:val="20"/>
                <w:color w:val="auto"/>
                <w:w w:val="93"/>
              </w:rPr>
              <w:t>Maximum Number (or</w:t>
            </w:r>
          </w:p>
        </w:tc>
      </w:tr>
      <w:tr>
        <w:trPr>
          <w:trHeight w:val="230"/>
        </w:trPr>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20"/>
                <w:szCs w:val="20"/>
                <w:color w:val="auto"/>
                <w:w w:val="94"/>
              </w:rPr>
              <w:t>Approximate Dollar</w:t>
            </w:r>
          </w:p>
        </w:tc>
      </w:tr>
      <w:tr>
        <w:trPr>
          <w:trHeight w:val="230"/>
        </w:trPr>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2"/>
          </w:tcPr>
          <w:p>
            <w:pPr>
              <w:jc w:val="center"/>
              <w:ind w:right="300"/>
              <w:spacing w:after="0"/>
              <w:rPr>
                <w:sz w:val="20"/>
                <w:szCs w:val="20"/>
                <w:color w:val="auto"/>
              </w:rPr>
            </w:pPr>
            <w:r>
              <w:rPr>
                <w:rFonts w:ascii="Arial" w:cs="Arial" w:eastAsia="Arial" w:hAnsi="Arial"/>
                <w:sz w:val="20"/>
                <w:szCs w:val="20"/>
                <w:color w:val="auto"/>
                <w:w w:val="92"/>
              </w:rPr>
              <w:t>Total Number of</w:t>
            </w:r>
          </w:p>
        </w:tc>
        <w:tc>
          <w:tcPr>
            <w:tcW w:w="300" w:type="dxa"/>
            <w:vAlign w:val="bottom"/>
          </w:tcPr>
          <w:p>
            <w:pPr>
              <w:spacing w:after="0"/>
              <w:rPr>
                <w:sz w:val="19"/>
                <w:szCs w:val="19"/>
                <w:color w:val="auto"/>
              </w:rPr>
            </w:pPr>
          </w:p>
        </w:tc>
        <w:tc>
          <w:tcPr>
            <w:tcW w:w="2300" w:type="dxa"/>
            <w:vAlign w:val="bottom"/>
            <w:gridSpan w:val="2"/>
          </w:tcPr>
          <w:p>
            <w:pPr>
              <w:jc w:val="center"/>
              <w:ind w:right="400"/>
              <w:spacing w:after="0"/>
              <w:rPr>
                <w:sz w:val="20"/>
                <w:szCs w:val="20"/>
                <w:color w:val="auto"/>
              </w:rPr>
            </w:pPr>
            <w:r>
              <w:rPr>
                <w:rFonts w:ascii="Arial" w:cs="Arial" w:eastAsia="Arial" w:hAnsi="Arial"/>
                <w:sz w:val="20"/>
                <w:szCs w:val="20"/>
                <w:color w:val="auto"/>
                <w:w w:val="88"/>
              </w:rPr>
              <w:t>Value) of Shares that</w:t>
            </w:r>
          </w:p>
        </w:tc>
      </w:tr>
      <w:tr>
        <w:trPr>
          <w:trHeight w:val="230"/>
        </w:trPr>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2"/>
          </w:tcPr>
          <w:p>
            <w:pPr>
              <w:jc w:val="center"/>
              <w:ind w:right="300"/>
              <w:spacing w:after="0"/>
              <w:rPr>
                <w:sz w:val="20"/>
                <w:szCs w:val="20"/>
                <w:color w:val="auto"/>
              </w:rPr>
            </w:pPr>
            <w:r>
              <w:rPr>
                <w:rFonts w:ascii="Arial" w:cs="Arial" w:eastAsia="Arial" w:hAnsi="Arial"/>
                <w:sz w:val="20"/>
                <w:szCs w:val="20"/>
                <w:color w:val="auto"/>
                <w:w w:val="85"/>
              </w:rPr>
              <w:t>Shares Purchased</w:t>
            </w:r>
          </w:p>
        </w:tc>
        <w:tc>
          <w:tcPr>
            <w:tcW w:w="300" w:type="dxa"/>
            <w:vAlign w:val="bottom"/>
          </w:tcPr>
          <w:p>
            <w:pPr>
              <w:spacing w:after="0"/>
              <w:rPr>
                <w:sz w:val="19"/>
                <w:szCs w:val="19"/>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20"/>
                <w:szCs w:val="20"/>
                <w:color w:val="auto"/>
                <w:w w:val="87"/>
              </w:rPr>
              <w:t>May Yet Be Purchased</w:t>
            </w:r>
          </w:p>
        </w:tc>
      </w:tr>
      <w:tr>
        <w:trPr>
          <w:trHeight w:val="230"/>
        </w:trPr>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Total Number</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20"/>
                <w:szCs w:val="20"/>
                <w:color w:val="auto"/>
                <w:w w:val="91"/>
              </w:rPr>
              <w:t>as Part of Publicly</w:t>
            </w:r>
          </w:p>
        </w:tc>
        <w:tc>
          <w:tcPr>
            <w:tcW w:w="300" w:type="dxa"/>
            <w:vAlign w:val="bottom"/>
          </w:tcPr>
          <w:p>
            <w:pPr>
              <w:spacing w:after="0"/>
              <w:rPr>
                <w:sz w:val="19"/>
                <w:szCs w:val="19"/>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20"/>
                <w:szCs w:val="20"/>
                <w:color w:val="auto"/>
                <w:w w:val="88"/>
              </w:rPr>
              <w:t>Under the Plans or</w:t>
            </w:r>
          </w:p>
        </w:tc>
      </w:tr>
      <w:tr>
        <w:trPr>
          <w:trHeight w:val="230"/>
        </w:trPr>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of Shares</w:t>
            </w:r>
          </w:p>
        </w:tc>
        <w:tc>
          <w:tcPr>
            <w:tcW w:w="1780" w:type="dxa"/>
            <w:vAlign w:val="bottom"/>
            <w:gridSpan w:val="3"/>
          </w:tcPr>
          <w:p>
            <w:pPr>
              <w:jc w:val="center"/>
              <w:ind w:right="280"/>
              <w:spacing w:after="0"/>
              <w:rPr>
                <w:sz w:val="20"/>
                <w:szCs w:val="20"/>
                <w:color w:val="auto"/>
              </w:rPr>
            </w:pPr>
            <w:r>
              <w:rPr>
                <w:rFonts w:ascii="Arial" w:cs="Arial" w:eastAsia="Arial" w:hAnsi="Arial"/>
                <w:sz w:val="20"/>
                <w:szCs w:val="20"/>
                <w:color w:val="auto"/>
                <w:w w:val="87"/>
              </w:rPr>
              <w:t>Average Price</w:t>
            </w:r>
          </w:p>
        </w:tc>
        <w:tc>
          <w:tcPr>
            <w:tcW w:w="222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Announced Plans</w:t>
            </w:r>
          </w:p>
        </w:tc>
        <w:tc>
          <w:tcPr>
            <w:tcW w:w="300" w:type="dxa"/>
            <w:vAlign w:val="bottom"/>
          </w:tcPr>
          <w:p>
            <w:pPr>
              <w:spacing w:after="0"/>
              <w:rPr>
                <w:sz w:val="19"/>
                <w:szCs w:val="19"/>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20"/>
                <w:szCs w:val="20"/>
                <w:color w:val="auto"/>
                <w:w w:val="89"/>
              </w:rPr>
              <w:t>Programs (In</w:t>
            </w:r>
          </w:p>
        </w:tc>
      </w:tr>
      <w:tr>
        <w:trPr>
          <w:trHeight w:val="246"/>
        </w:trPr>
        <w:tc>
          <w:tcPr>
            <w:tcW w:w="3040" w:type="dxa"/>
            <w:vAlign w:val="bottom"/>
            <w:gridSpan w:val="2"/>
          </w:tcPr>
          <w:p>
            <w:pPr>
              <w:spacing w:after="0"/>
              <w:rPr>
                <w:sz w:val="20"/>
                <w:szCs w:val="20"/>
                <w:color w:val="auto"/>
              </w:rPr>
            </w:pPr>
            <w:r>
              <w:rPr>
                <w:rFonts w:ascii="Arial" w:cs="Arial" w:eastAsia="Arial" w:hAnsi="Arial"/>
                <w:sz w:val="20"/>
                <w:szCs w:val="20"/>
                <w:color w:val="auto"/>
              </w:rPr>
              <w:t>Period</w:t>
            </w:r>
          </w:p>
        </w:tc>
        <w:tc>
          <w:tcPr>
            <w:tcW w:w="1780" w:type="dxa"/>
            <w:vAlign w:val="bottom"/>
            <w:gridSpan w:val="2"/>
          </w:tcPr>
          <w:p>
            <w:pPr>
              <w:jc w:val="center"/>
              <w:ind w:right="280"/>
              <w:spacing w:after="0"/>
              <w:rPr>
                <w:sz w:val="20"/>
                <w:szCs w:val="20"/>
                <w:color w:val="auto"/>
              </w:rPr>
            </w:pPr>
            <w:r>
              <w:rPr>
                <w:rFonts w:ascii="Arial" w:cs="Arial" w:eastAsia="Arial" w:hAnsi="Arial"/>
                <w:sz w:val="20"/>
                <w:szCs w:val="20"/>
                <w:color w:val="auto"/>
                <w:w w:val="85"/>
              </w:rPr>
              <w:t>Purchased</w:t>
            </w:r>
          </w:p>
        </w:tc>
        <w:tc>
          <w:tcPr>
            <w:tcW w:w="1780" w:type="dxa"/>
            <w:vAlign w:val="bottom"/>
            <w:gridSpan w:val="3"/>
          </w:tcPr>
          <w:p>
            <w:pPr>
              <w:jc w:val="center"/>
              <w:ind w:right="280"/>
              <w:spacing w:after="0"/>
              <w:rPr>
                <w:sz w:val="20"/>
                <w:szCs w:val="20"/>
                <w:color w:val="auto"/>
              </w:rPr>
            </w:pPr>
            <w:r>
              <w:rPr>
                <w:rFonts w:ascii="Arial" w:cs="Arial" w:eastAsia="Arial" w:hAnsi="Arial"/>
                <w:sz w:val="20"/>
                <w:szCs w:val="20"/>
                <w:color w:val="auto"/>
                <w:w w:val="86"/>
              </w:rPr>
              <w:t>per Share¹</w:t>
            </w:r>
          </w:p>
        </w:tc>
        <w:tc>
          <w:tcPr>
            <w:tcW w:w="222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or Programs</w:t>
            </w:r>
          </w:p>
        </w:tc>
        <w:tc>
          <w:tcPr>
            <w:tcW w:w="300" w:type="dxa"/>
            <w:vAlign w:val="bottom"/>
          </w:tcPr>
          <w:p>
            <w:pPr>
              <w:spacing w:after="0"/>
              <w:rPr>
                <w:sz w:val="21"/>
                <w:szCs w:val="21"/>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20"/>
                <w:szCs w:val="20"/>
                <w:color w:val="auto"/>
                <w:w w:val="87"/>
              </w:rPr>
              <w:t>thousands)²</w:t>
            </w:r>
          </w:p>
        </w:tc>
      </w:tr>
      <w:tr>
        <w:trPr>
          <w:trHeight w:val="223"/>
        </w:trPr>
        <w:tc>
          <w:tcPr>
            <w:tcW w:w="27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Jan 1 - Jan 31</w:t>
            </w:r>
          </w:p>
        </w:tc>
        <w:tc>
          <w:tcPr>
            <w:tcW w:w="3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rPr>
              <w:t>256,820</w:t>
            </w:r>
          </w:p>
        </w:tc>
        <w:tc>
          <w:tcPr>
            <w:tcW w:w="2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rPr>
              <w:t>51.99</w:t>
            </w:r>
          </w:p>
        </w:tc>
        <w:tc>
          <w:tcPr>
            <w:tcW w:w="28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ind w:right="141"/>
              <w:spacing w:after="0" w:line="223" w:lineRule="exact"/>
              <w:rPr>
                <w:sz w:val="20"/>
                <w:szCs w:val="20"/>
                <w:color w:val="auto"/>
              </w:rPr>
            </w:pPr>
            <w:r>
              <w:rPr>
                <w:rFonts w:ascii="Arial" w:cs="Arial" w:eastAsia="Arial" w:hAnsi="Arial"/>
                <w:sz w:val="20"/>
                <w:szCs w:val="20"/>
                <w:color w:val="auto"/>
              </w:rPr>
              <w:t>256,820</w:t>
            </w:r>
          </w:p>
        </w:tc>
        <w:tc>
          <w:tcPr>
            <w:tcW w:w="3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2200" w:type="dxa"/>
            <w:vAlign w:val="bottom"/>
            <w:tcBorders>
              <w:top w:val="single" w:sz="8" w:color="auto"/>
            </w:tcBorders>
            <w:shd w:val="clear" w:color="auto" w:fill="CCEEFF"/>
          </w:tcPr>
          <w:p>
            <w:pPr>
              <w:jc w:val="right"/>
              <w:ind w:right="981"/>
              <w:spacing w:after="0" w:line="223" w:lineRule="exact"/>
              <w:rPr>
                <w:sz w:val="20"/>
                <w:szCs w:val="20"/>
                <w:color w:val="auto"/>
              </w:rPr>
            </w:pPr>
            <w:r>
              <w:rPr>
                <w:rFonts w:ascii="Arial" w:cs="Arial" w:eastAsia="Arial" w:hAnsi="Arial"/>
                <w:sz w:val="20"/>
                <w:szCs w:val="20"/>
                <w:color w:val="auto"/>
              </w:rPr>
              <w:t>-</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¹Excluding broker commissions paid.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²Net of broker commissions paid.</w:t>
      </w:r>
    </w:p>
    <w:p>
      <w:pPr>
        <w:sectPr>
          <w:pgSz w:w="11900" w:h="16838" w:orient="portrait"/>
          <w:cols w:equalWidth="0" w:num="1">
            <w:col w:w="11420"/>
          </w:cols>
          <w:pgMar w:left="240" w:top="125" w:right="239" w:bottom="153" w:gutter="0" w:footer="0" w:header="0"/>
        </w:sectPr>
      </w:pPr>
    </w:p>
    <w:bookmarkStart w:id="33" w:name="page34"/>
    <w:bookmarkEnd w:id="33"/>
    <w:p>
      <w:pPr>
        <w:jc w:val="both"/>
        <w:ind w:firstLine="648"/>
        <w:spacing w:after="0" w:line="241" w:lineRule="auto"/>
        <w:rPr>
          <w:sz w:val="20"/>
          <w:szCs w:val="20"/>
          <w:color w:val="auto"/>
        </w:rPr>
      </w:pPr>
      <w:r>
        <w:rPr>
          <w:rFonts w:ascii="Arial" w:cs="Arial" w:eastAsia="Arial" w:hAnsi="Arial"/>
          <w:sz w:val="22"/>
          <w:szCs w:val="22"/>
          <w:color w:val="auto"/>
        </w:rPr>
        <w:t>On April 7, 2013, the Company’s Board of Directors authorized a new share repurchase program for the repurchase of up to $200.0 million of the Company’s outstanding common stock (the “April 2013 Repurchase Plan”). As of May 10, 2013, no shares have been purchased under the April 2013 Repurchase Plan.</w:t>
      </w:r>
    </w:p>
    <w:p>
      <w:pPr>
        <w:spacing w:after="0" w:line="200" w:lineRule="exact"/>
        <w:rPr>
          <w:sz w:val="20"/>
          <w:szCs w:val="20"/>
          <w:color w:val="auto"/>
        </w:rPr>
      </w:pPr>
    </w:p>
    <w:p>
      <w:pPr>
        <w:spacing w:after="0" w:line="248"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2"/>
          <w:szCs w:val="22"/>
          <w:b w:val="1"/>
          <w:b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80" w:type="dxa"/>
            <w:vAlign w:val="bottom"/>
          </w:tcPr>
          <w:p>
            <w:pPr>
              <w:ind w:left="240"/>
              <w:spacing w:after="0"/>
              <w:rPr>
                <w:sz w:val="20"/>
                <w:szCs w:val="20"/>
                <w:color w:val="auto"/>
              </w:rPr>
            </w:pPr>
            <w:r>
              <w:rPr>
                <w:rFonts w:ascii="Arial" w:cs="Arial" w:eastAsia="Arial" w:hAnsi="Arial"/>
                <w:sz w:val="22"/>
                <w:szCs w:val="22"/>
                <w:b w:val="1"/>
                <w:bCs w:val="1"/>
                <w:color w:val="auto"/>
              </w:rPr>
              <w:t>EXHIBITS</w:t>
            </w:r>
          </w:p>
        </w:tc>
      </w:tr>
      <w:tr>
        <w:trPr>
          <w:trHeight w:val="486"/>
        </w:trPr>
        <w:tc>
          <w:tcPr>
            <w:tcW w:w="1040" w:type="dxa"/>
            <w:vAlign w:val="bottom"/>
          </w:tcPr>
          <w:p>
            <w:pPr>
              <w:spacing w:after="0"/>
              <w:rPr>
                <w:sz w:val="20"/>
                <w:szCs w:val="20"/>
                <w:color w:val="auto"/>
              </w:rPr>
            </w:pPr>
            <w:r>
              <w:rPr>
                <w:rFonts w:ascii="Arial" w:cs="Arial" w:eastAsia="Arial" w:hAnsi="Arial"/>
                <w:sz w:val="22"/>
                <w:szCs w:val="22"/>
                <w:color w:val="auto"/>
              </w:rPr>
              <w:t>31.1*</w:t>
            </w:r>
          </w:p>
        </w:tc>
        <w:tc>
          <w:tcPr>
            <w:tcW w:w="10380" w:type="dxa"/>
            <w:vAlign w:val="bottom"/>
          </w:tcPr>
          <w:p>
            <w:pPr>
              <w:ind w:left="240"/>
              <w:spacing w:after="0"/>
              <w:rPr>
                <w:sz w:val="20"/>
                <w:szCs w:val="20"/>
                <w:color w:val="auto"/>
              </w:rPr>
            </w:pPr>
            <w:r>
              <w:rPr>
                <w:rFonts w:ascii="Arial" w:cs="Arial" w:eastAsia="Arial" w:hAnsi="Arial"/>
                <w:sz w:val="22"/>
                <w:szCs w:val="22"/>
                <w:color w:val="auto"/>
              </w:rPr>
              <w:t>Certification of Chief Executive Officer Pursuant to Section 302 of the Sarbanes- Oxley Act of 2002</w:t>
            </w:r>
          </w:p>
        </w:tc>
      </w:tr>
      <w:tr>
        <w:trPr>
          <w:trHeight w:val="486"/>
        </w:trPr>
        <w:tc>
          <w:tcPr>
            <w:tcW w:w="1040" w:type="dxa"/>
            <w:vAlign w:val="bottom"/>
          </w:tcPr>
          <w:p>
            <w:pPr>
              <w:spacing w:after="0"/>
              <w:rPr>
                <w:sz w:val="20"/>
                <w:szCs w:val="20"/>
                <w:color w:val="auto"/>
              </w:rPr>
            </w:pPr>
            <w:r>
              <w:rPr>
                <w:rFonts w:ascii="Arial" w:cs="Arial" w:eastAsia="Arial" w:hAnsi="Arial"/>
                <w:sz w:val="22"/>
                <w:szCs w:val="22"/>
                <w:color w:val="auto"/>
              </w:rPr>
              <w:t>31.2*</w:t>
            </w:r>
          </w:p>
        </w:tc>
        <w:tc>
          <w:tcPr>
            <w:tcW w:w="10380" w:type="dxa"/>
            <w:vAlign w:val="bottom"/>
          </w:tcPr>
          <w:p>
            <w:pPr>
              <w:ind w:left="240"/>
              <w:spacing w:after="0"/>
              <w:rPr>
                <w:sz w:val="20"/>
                <w:szCs w:val="20"/>
                <w:color w:val="auto"/>
              </w:rPr>
            </w:pPr>
            <w:r>
              <w:rPr>
                <w:rFonts w:ascii="Arial" w:cs="Arial" w:eastAsia="Arial" w:hAnsi="Arial"/>
                <w:sz w:val="22"/>
                <w:szCs w:val="22"/>
                <w:color w:val="auto"/>
              </w:rPr>
              <w:t>Certification of Chief Financial Officer Pursuant to Section 302 of the Sarbanes- Oxley Act of 2002</w:t>
            </w:r>
          </w:p>
        </w:tc>
      </w:tr>
      <w:tr>
        <w:trPr>
          <w:trHeight w:val="455"/>
        </w:trPr>
        <w:tc>
          <w:tcPr>
            <w:tcW w:w="1040" w:type="dxa"/>
            <w:vAlign w:val="bottom"/>
          </w:tcPr>
          <w:p>
            <w:pPr>
              <w:spacing w:after="0"/>
              <w:rPr>
                <w:sz w:val="20"/>
                <w:szCs w:val="20"/>
                <w:color w:val="auto"/>
              </w:rPr>
            </w:pPr>
            <w:r>
              <w:rPr>
                <w:rFonts w:ascii="Arial" w:cs="Arial" w:eastAsia="Arial" w:hAnsi="Arial"/>
                <w:sz w:val="22"/>
                <w:szCs w:val="22"/>
                <w:color w:val="auto"/>
              </w:rPr>
              <w:t>32.1*</w:t>
            </w:r>
          </w:p>
        </w:tc>
        <w:tc>
          <w:tcPr>
            <w:tcW w:w="10380" w:type="dxa"/>
            <w:vAlign w:val="bottom"/>
          </w:tcPr>
          <w:p>
            <w:pPr>
              <w:jc w:val="right"/>
              <w:spacing w:after="0"/>
              <w:rPr>
                <w:sz w:val="20"/>
                <w:szCs w:val="20"/>
                <w:color w:val="auto"/>
              </w:rPr>
            </w:pPr>
            <w:r>
              <w:rPr>
                <w:rFonts w:ascii="Arial" w:cs="Arial" w:eastAsia="Arial" w:hAnsi="Arial"/>
                <w:sz w:val="22"/>
                <w:szCs w:val="22"/>
                <w:color w:val="auto"/>
                <w:w w:val="92"/>
              </w:rPr>
              <w:t>Certification of Chief Executive Officer Pursuant to 18 U.S.C. Section 1350, as Adopted Pursuant to Section 906 of</w:t>
            </w:r>
          </w:p>
        </w:tc>
      </w:tr>
      <w:tr>
        <w:trPr>
          <w:trHeight w:val="275"/>
        </w:trPr>
        <w:tc>
          <w:tcPr>
            <w:tcW w:w="1040" w:type="dxa"/>
            <w:vAlign w:val="bottom"/>
          </w:tcPr>
          <w:p>
            <w:pPr>
              <w:spacing w:after="0"/>
              <w:rPr>
                <w:sz w:val="23"/>
                <w:szCs w:val="23"/>
                <w:color w:val="auto"/>
              </w:rPr>
            </w:pPr>
          </w:p>
        </w:tc>
        <w:tc>
          <w:tcPr>
            <w:tcW w:w="10380" w:type="dxa"/>
            <w:vAlign w:val="bottom"/>
          </w:tcPr>
          <w:p>
            <w:pPr>
              <w:ind w:left="240"/>
              <w:spacing w:after="0"/>
              <w:rPr>
                <w:sz w:val="20"/>
                <w:szCs w:val="20"/>
                <w:color w:val="auto"/>
              </w:rPr>
            </w:pPr>
            <w:r>
              <w:rPr>
                <w:rFonts w:ascii="Arial" w:cs="Arial" w:eastAsia="Arial" w:hAnsi="Arial"/>
                <w:sz w:val="22"/>
                <w:szCs w:val="22"/>
                <w:color w:val="auto"/>
              </w:rPr>
              <w:t>the Sarbanes-Oxley Act of 2002</w:t>
            </w:r>
          </w:p>
        </w:tc>
      </w:tr>
      <w:tr>
        <w:trPr>
          <w:trHeight w:val="455"/>
        </w:trPr>
        <w:tc>
          <w:tcPr>
            <w:tcW w:w="1040" w:type="dxa"/>
            <w:vAlign w:val="bottom"/>
          </w:tcPr>
          <w:p>
            <w:pPr>
              <w:spacing w:after="0"/>
              <w:rPr>
                <w:sz w:val="20"/>
                <w:szCs w:val="20"/>
                <w:color w:val="auto"/>
              </w:rPr>
            </w:pPr>
            <w:r>
              <w:rPr>
                <w:rFonts w:ascii="Arial" w:cs="Arial" w:eastAsia="Arial" w:hAnsi="Arial"/>
                <w:sz w:val="22"/>
                <w:szCs w:val="22"/>
                <w:color w:val="auto"/>
              </w:rPr>
              <w:t>32.2*</w:t>
            </w:r>
          </w:p>
        </w:tc>
        <w:tc>
          <w:tcPr>
            <w:tcW w:w="10380" w:type="dxa"/>
            <w:vAlign w:val="bottom"/>
          </w:tcPr>
          <w:p>
            <w:pPr>
              <w:jc w:val="right"/>
              <w:spacing w:after="0"/>
              <w:rPr>
                <w:sz w:val="20"/>
                <w:szCs w:val="20"/>
                <w:color w:val="auto"/>
              </w:rPr>
            </w:pPr>
            <w:r>
              <w:rPr>
                <w:rFonts w:ascii="Arial" w:cs="Arial" w:eastAsia="Arial" w:hAnsi="Arial"/>
                <w:sz w:val="22"/>
                <w:szCs w:val="22"/>
                <w:color w:val="auto"/>
                <w:w w:val="93"/>
              </w:rPr>
              <w:t>Certification by Chief Financial Officer Pursuant to 18 U.S.C. Section 1350, as Adopted Pursuant to Section 906 of</w:t>
            </w:r>
          </w:p>
        </w:tc>
      </w:tr>
      <w:tr>
        <w:trPr>
          <w:trHeight w:val="275"/>
        </w:trPr>
        <w:tc>
          <w:tcPr>
            <w:tcW w:w="1040" w:type="dxa"/>
            <w:vAlign w:val="bottom"/>
          </w:tcPr>
          <w:p>
            <w:pPr>
              <w:spacing w:after="0"/>
              <w:rPr>
                <w:sz w:val="23"/>
                <w:szCs w:val="23"/>
                <w:color w:val="auto"/>
              </w:rPr>
            </w:pPr>
          </w:p>
        </w:tc>
        <w:tc>
          <w:tcPr>
            <w:tcW w:w="10380" w:type="dxa"/>
            <w:vAlign w:val="bottom"/>
          </w:tcPr>
          <w:p>
            <w:pPr>
              <w:ind w:left="240"/>
              <w:spacing w:after="0"/>
              <w:rPr>
                <w:sz w:val="20"/>
                <w:szCs w:val="20"/>
                <w:color w:val="auto"/>
              </w:rPr>
            </w:pPr>
            <w:r>
              <w:rPr>
                <w:rFonts w:ascii="Arial" w:cs="Arial" w:eastAsia="Arial" w:hAnsi="Arial"/>
                <w:sz w:val="22"/>
                <w:szCs w:val="22"/>
                <w:color w:val="auto"/>
              </w:rPr>
              <w:t>the Sarbanes-Oxley Act of 2002</w:t>
            </w:r>
          </w:p>
        </w:tc>
      </w:tr>
      <w:tr>
        <w:trPr>
          <w:trHeight w:val="455"/>
        </w:trPr>
        <w:tc>
          <w:tcPr>
            <w:tcW w:w="1040" w:type="dxa"/>
            <w:vAlign w:val="bottom"/>
          </w:tcPr>
          <w:p>
            <w:pPr>
              <w:spacing w:after="0"/>
              <w:rPr>
                <w:sz w:val="20"/>
                <w:szCs w:val="20"/>
                <w:color w:val="auto"/>
              </w:rPr>
            </w:pPr>
            <w:r>
              <w:rPr>
                <w:rFonts w:ascii="Arial" w:cs="Arial" w:eastAsia="Arial" w:hAnsi="Arial"/>
                <w:sz w:val="22"/>
                <w:szCs w:val="22"/>
                <w:color w:val="auto"/>
              </w:rPr>
              <w:t>101*</w:t>
            </w:r>
          </w:p>
        </w:tc>
        <w:tc>
          <w:tcPr>
            <w:tcW w:w="10380" w:type="dxa"/>
            <w:vAlign w:val="bottom"/>
          </w:tcPr>
          <w:p>
            <w:pPr>
              <w:jc w:val="right"/>
              <w:spacing w:after="0"/>
              <w:rPr>
                <w:sz w:val="20"/>
                <w:szCs w:val="20"/>
                <w:color w:val="auto"/>
              </w:rPr>
            </w:pPr>
            <w:r>
              <w:rPr>
                <w:rFonts w:ascii="Arial" w:cs="Arial" w:eastAsia="Arial" w:hAnsi="Arial"/>
                <w:sz w:val="22"/>
                <w:szCs w:val="22"/>
                <w:color w:val="auto"/>
                <w:w w:val="95"/>
              </w:rPr>
              <w:t>The following financial information from Monster Beverage Corporation’s Quarterly Report on Form 10-Q for the</w:t>
            </w:r>
          </w:p>
        </w:tc>
      </w:tr>
      <w:tr>
        <w:trPr>
          <w:trHeight w:val="243"/>
        </w:trPr>
        <w:tc>
          <w:tcPr>
            <w:tcW w:w="1040" w:type="dxa"/>
            <w:vAlign w:val="bottom"/>
          </w:tcPr>
          <w:p>
            <w:pPr>
              <w:spacing w:after="0"/>
              <w:rPr>
                <w:sz w:val="21"/>
                <w:szCs w:val="21"/>
                <w:color w:val="auto"/>
              </w:rPr>
            </w:pPr>
          </w:p>
        </w:tc>
        <w:tc>
          <w:tcPr>
            <w:tcW w:w="10380" w:type="dxa"/>
            <w:vAlign w:val="bottom"/>
          </w:tcPr>
          <w:p>
            <w:pPr>
              <w:ind w:left="240"/>
              <w:spacing w:after="0" w:line="243" w:lineRule="exact"/>
              <w:rPr>
                <w:sz w:val="20"/>
                <w:szCs w:val="20"/>
                <w:color w:val="auto"/>
              </w:rPr>
            </w:pPr>
            <w:r>
              <w:rPr>
                <w:rFonts w:ascii="Arial" w:cs="Arial" w:eastAsia="Arial" w:hAnsi="Arial"/>
                <w:sz w:val="22"/>
                <w:szCs w:val="22"/>
                <w:color w:val="auto"/>
                <w:w w:val="95"/>
              </w:rPr>
              <w:t>quarter ended March 31, 2013, formatted in XBRL (eXtensible Business Reporting Language): (i) Condensed</w:t>
            </w:r>
          </w:p>
        </w:tc>
      </w:tr>
      <w:tr>
        <w:trPr>
          <w:trHeight w:val="243"/>
        </w:trPr>
        <w:tc>
          <w:tcPr>
            <w:tcW w:w="1040" w:type="dxa"/>
            <w:vAlign w:val="bottom"/>
          </w:tcPr>
          <w:p>
            <w:pPr>
              <w:spacing w:after="0"/>
              <w:rPr>
                <w:sz w:val="21"/>
                <w:szCs w:val="21"/>
                <w:color w:val="auto"/>
              </w:rPr>
            </w:pPr>
          </w:p>
        </w:tc>
        <w:tc>
          <w:tcPr>
            <w:tcW w:w="10380" w:type="dxa"/>
            <w:vAlign w:val="bottom"/>
          </w:tcPr>
          <w:p>
            <w:pPr>
              <w:ind w:left="240"/>
              <w:spacing w:after="0" w:line="243" w:lineRule="exact"/>
              <w:rPr>
                <w:sz w:val="20"/>
                <w:szCs w:val="20"/>
                <w:color w:val="auto"/>
              </w:rPr>
            </w:pPr>
            <w:r>
              <w:rPr>
                <w:rFonts w:ascii="Arial" w:cs="Arial" w:eastAsia="Arial" w:hAnsi="Arial"/>
                <w:sz w:val="22"/>
                <w:szCs w:val="22"/>
                <w:color w:val="auto"/>
                <w:w w:val="87"/>
              </w:rPr>
              <w:t>Consolidated Balance Sheets as of March 31, 2013 and December 31, 2012, (ii) Condensed Consolidated Statements</w:t>
            </w:r>
          </w:p>
        </w:tc>
      </w:tr>
      <w:tr>
        <w:trPr>
          <w:trHeight w:val="261"/>
        </w:trPr>
        <w:tc>
          <w:tcPr>
            <w:tcW w:w="1040" w:type="dxa"/>
            <w:vAlign w:val="bottom"/>
          </w:tcPr>
          <w:p>
            <w:pPr>
              <w:spacing w:after="0"/>
              <w:rPr>
                <w:sz w:val="22"/>
                <w:szCs w:val="22"/>
                <w:color w:val="auto"/>
              </w:rPr>
            </w:pPr>
          </w:p>
        </w:tc>
        <w:tc>
          <w:tcPr>
            <w:tcW w:w="10380" w:type="dxa"/>
            <w:vAlign w:val="bottom"/>
          </w:tcPr>
          <w:p>
            <w:pPr>
              <w:ind w:left="240"/>
              <w:spacing w:after="0"/>
              <w:rPr>
                <w:sz w:val="20"/>
                <w:szCs w:val="20"/>
                <w:color w:val="auto"/>
              </w:rPr>
            </w:pPr>
            <w:r>
              <w:rPr>
                <w:rFonts w:ascii="Arial" w:cs="Arial" w:eastAsia="Arial" w:hAnsi="Arial"/>
                <w:sz w:val="22"/>
                <w:szCs w:val="22"/>
                <w:color w:val="auto"/>
                <w:w w:val="95"/>
              </w:rPr>
              <w:t>of Income for the three-months ended March 31, 2013 and 2012, (iii) Condensed Consolidated Statements of</w:t>
            </w:r>
          </w:p>
        </w:tc>
      </w:tr>
    </w:tbl>
    <w:p>
      <w:pPr>
        <w:jc w:val="both"/>
        <w:ind w:left="1280"/>
        <w:spacing w:after="0" w:line="234" w:lineRule="auto"/>
        <w:rPr>
          <w:sz w:val="20"/>
          <w:szCs w:val="20"/>
          <w:color w:val="auto"/>
        </w:rPr>
      </w:pPr>
      <w:r>
        <w:rPr>
          <w:rFonts w:ascii="Arial" w:cs="Arial" w:eastAsia="Arial" w:hAnsi="Arial"/>
          <w:sz w:val="22"/>
          <w:szCs w:val="22"/>
          <w:color w:val="auto"/>
        </w:rPr>
        <w:t>Comprehensive Income for the three-months ended March 31, 2013 and 2012, (iv) Condensed Consolidated Statements of Cash Flows for the three-months ended March 31, 2013 and 2012, and (v) the Notes to Condensed Consolidated Financial Statements.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0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Arial" w:cs="Arial" w:eastAsia="Arial" w:hAnsi="Arial"/>
                <w:sz w:val="22"/>
                <w:szCs w:val="22"/>
                <w:color w:val="auto"/>
                <w:w w:val="92"/>
              </w:rPr>
              <w:t>MONSTER BEVERAGE CORPORATION</w:t>
            </w:r>
          </w:p>
        </w:tc>
      </w:tr>
      <w:tr>
        <w:trPr>
          <w:trHeight w:val="275"/>
        </w:trPr>
        <w:tc>
          <w:tcPr>
            <w:tcW w:w="5900" w:type="dxa"/>
            <w:vAlign w:val="bottom"/>
          </w:tcPr>
          <w:p>
            <w:pPr>
              <w:spacing w:after="0"/>
              <w:rPr>
                <w:sz w:val="23"/>
                <w:szCs w:val="23"/>
                <w:color w:val="auto"/>
              </w:rPr>
            </w:pPr>
          </w:p>
        </w:tc>
        <w:tc>
          <w:tcPr>
            <w:tcW w:w="3800" w:type="dxa"/>
            <w:vAlign w:val="bottom"/>
            <w:gridSpan w:val="2"/>
          </w:tcPr>
          <w:p>
            <w:pPr>
              <w:spacing w:after="0"/>
              <w:rPr>
                <w:sz w:val="20"/>
                <w:szCs w:val="20"/>
                <w:color w:val="auto"/>
              </w:rPr>
            </w:pPr>
            <w:r>
              <w:rPr>
                <w:rFonts w:ascii="Arial" w:cs="Arial" w:eastAsia="Arial" w:hAnsi="Arial"/>
                <w:sz w:val="22"/>
                <w:szCs w:val="22"/>
                <w:color w:val="auto"/>
              </w:rPr>
              <w:t>Registrant</w:t>
            </w:r>
          </w:p>
        </w:tc>
      </w:tr>
      <w:tr>
        <w:trPr>
          <w:trHeight w:val="679"/>
        </w:trPr>
        <w:tc>
          <w:tcPr>
            <w:tcW w:w="5900" w:type="dxa"/>
            <w:vAlign w:val="bottom"/>
          </w:tcPr>
          <w:p>
            <w:pPr>
              <w:spacing w:after="0"/>
              <w:rPr>
                <w:sz w:val="20"/>
                <w:szCs w:val="20"/>
                <w:color w:val="auto"/>
              </w:rPr>
            </w:pPr>
            <w:r>
              <w:rPr>
                <w:rFonts w:ascii="Arial" w:cs="Arial" w:eastAsia="Arial" w:hAnsi="Arial"/>
                <w:sz w:val="22"/>
                <w:szCs w:val="22"/>
                <w:color w:val="auto"/>
              </w:rPr>
              <w:t>Date: May 10, 2013</w:t>
            </w:r>
          </w:p>
        </w:tc>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 RODNEY C. SACKS</w:t>
            </w:r>
          </w:p>
        </w:tc>
        <w:tc>
          <w:tcPr>
            <w:tcW w:w="1640" w:type="dxa"/>
            <w:vAlign w:val="bottom"/>
          </w:tcPr>
          <w:p>
            <w:pPr>
              <w:spacing w:after="0"/>
              <w:rPr>
                <w:sz w:val="24"/>
                <w:szCs w:val="24"/>
                <w:color w:val="auto"/>
              </w:rPr>
            </w:pPr>
          </w:p>
        </w:tc>
      </w:tr>
      <w:tr>
        <w:trPr>
          <w:trHeight w:val="242"/>
        </w:trPr>
        <w:tc>
          <w:tcPr>
            <w:tcW w:w="5900" w:type="dxa"/>
            <w:vAlign w:val="bottom"/>
          </w:tcPr>
          <w:p>
            <w:pPr>
              <w:spacing w:after="0"/>
              <w:rPr>
                <w:sz w:val="21"/>
                <w:szCs w:val="21"/>
                <w:color w:val="auto"/>
              </w:rPr>
            </w:pPr>
          </w:p>
        </w:tc>
        <w:tc>
          <w:tcPr>
            <w:tcW w:w="3800" w:type="dxa"/>
            <w:vAlign w:val="bottom"/>
            <w:gridSpan w:val="2"/>
          </w:tcPr>
          <w:p>
            <w:pPr>
              <w:spacing w:after="0" w:line="242" w:lineRule="exact"/>
              <w:rPr>
                <w:sz w:val="20"/>
                <w:szCs w:val="20"/>
                <w:color w:val="auto"/>
              </w:rPr>
            </w:pPr>
            <w:r>
              <w:rPr>
                <w:rFonts w:ascii="Arial" w:cs="Arial" w:eastAsia="Arial" w:hAnsi="Arial"/>
                <w:sz w:val="22"/>
                <w:szCs w:val="22"/>
                <w:color w:val="auto"/>
              </w:rPr>
              <w:t>Rodney C. Sacks</w:t>
            </w:r>
          </w:p>
        </w:tc>
      </w:tr>
      <w:tr>
        <w:trPr>
          <w:trHeight w:val="243"/>
        </w:trPr>
        <w:tc>
          <w:tcPr>
            <w:tcW w:w="5900" w:type="dxa"/>
            <w:vAlign w:val="bottom"/>
          </w:tcPr>
          <w:p>
            <w:pPr>
              <w:spacing w:after="0"/>
              <w:rPr>
                <w:sz w:val="21"/>
                <w:szCs w:val="21"/>
                <w:color w:val="auto"/>
              </w:rPr>
            </w:pPr>
          </w:p>
        </w:tc>
        <w:tc>
          <w:tcPr>
            <w:tcW w:w="3800" w:type="dxa"/>
            <w:vAlign w:val="bottom"/>
            <w:gridSpan w:val="2"/>
          </w:tcPr>
          <w:p>
            <w:pPr>
              <w:spacing w:after="0" w:line="243" w:lineRule="exact"/>
              <w:rPr>
                <w:sz w:val="20"/>
                <w:szCs w:val="20"/>
                <w:color w:val="auto"/>
              </w:rPr>
            </w:pPr>
            <w:r>
              <w:rPr>
                <w:rFonts w:ascii="Arial" w:cs="Arial" w:eastAsia="Arial" w:hAnsi="Arial"/>
                <w:sz w:val="22"/>
                <w:szCs w:val="22"/>
                <w:color w:val="auto"/>
              </w:rPr>
              <w:t>Chairman of the Board of Directors</w:t>
            </w:r>
          </w:p>
        </w:tc>
      </w:tr>
      <w:tr>
        <w:trPr>
          <w:trHeight w:val="275"/>
        </w:trPr>
        <w:tc>
          <w:tcPr>
            <w:tcW w:w="5900" w:type="dxa"/>
            <w:vAlign w:val="bottom"/>
          </w:tcPr>
          <w:p>
            <w:pPr>
              <w:spacing w:after="0"/>
              <w:rPr>
                <w:sz w:val="23"/>
                <w:szCs w:val="23"/>
                <w:color w:val="auto"/>
              </w:rPr>
            </w:pPr>
          </w:p>
        </w:tc>
        <w:tc>
          <w:tcPr>
            <w:tcW w:w="3800" w:type="dxa"/>
            <w:vAlign w:val="bottom"/>
            <w:gridSpan w:val="2"/>
          </w:tcPr>
          <w:p>
            <w:pPr>
              <w:spacing w:after="0"/>
              <w:rPr>
                <w:sz w:val="20"/>
                <w:szCs w:val="20"/>
                <w:color w:val="auto"/>
              </w:rPr>
            </w:pPr>
            <w:r>
              <w:rPr>
                <w:rFonts w:ascii="Arial" w:cs="Arial" w:eastAsia="Arial" w:hAnsi="Arial"/>
                <w:sz w:val="22"/>
                <w:szCs w:val="22"/>
                <w:color w:val="auto"/>
              </w:rPr>
              <w:t>and Chief Executive Officer</w:t>
            </w:r>
          </w:p>
        </w:tc>
      </w:tr>
    </w:tbl>
    <w:p>
      <w:pPr>
        <w:spacing w:after="0" w:line="192" w:lineRule="exact"/>
        <w:rPr>
          <w:sz w:val="20"/>
          <w:szCs w:val="20"/>
          <w:color w:val="auto"/>
        </w:rPr>
      </w:pPr>
    </w:p>
    <w:p>
      <w:pPr>
        <w:sectPr>
          <w:pgSz w:w="11900" w:h="16838" w:orient="portrait"/>
          <w:cols w:equalWidth="0" w:num="1">
            <w:col w:w="11420"/>
          </w:cols>
          <w:pgMar w:left="240" w:top="118" w:right="239" w:bottom="1440" w:gutter="0" w:footer="0" w:header="0"/>
        </w:sect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20"/>
          <w:szCs w:val="20"/>
          <w:b w:val="1"/>
          <w:bCs w:val="1"/>
          <w:color w:val="auto"/>
        </w:rPr>
        <w:t>EXHIBIT 31.1</w:t>
      </w:r>
    </w:p>
    <w:p>
      <w:pPr>
        <w:spacing w:after="0" w:line="236"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00" w:hanging="292"/>
        <w:spacing w:after="0"/>
        <w:tabs>
          <w:tab w:leader="none" w:pos="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 have reviewed this annual report on Form 10-Q of Monster Beverage Corporation;</w:t>
      </w:r>
    </w:p>
    <w:p>
      <w:pPr>
        <w:spacing w:after="0" w:line="229" w:lineRule="exact"/>
        <w:rPr>
          <w:rFonts w:ascii="Arial" w:cs="Arial" w:eastAsia="Arial" w:hAnsi="Arial"/>
          <w:sz w:val="20"/>
          <w:szCs w:val="20"/>
          <w:color w:val="auto"/>
        </w:rPr>
      </w:pPr>
    </w:p>
    <w:p>
      <w:pPr>
        <w:jc w:val="both"/>
        <w:ind w:left="340" w:hanging="332"/>
        <w:spacing w:after="0" w:line="250" w:lineRule="auto"/>
        <w:tabs>
          <w:tab w:leader="none" w:pos="358"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hanging="332"/>
        <w:spacing w:after="0" w:line="316" w:lineRule="auto"/>
        <w:tabs>
          <w:tab w:leader="none" w:pos="3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50" w:lineRule="auto"/>
        <w:tabs>
          <w:tab w:leader="none" w:pos="398"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hanging="315"/>
        <w:spacing w:after="0" w:line="291" w:lineRule="auto"/>
        <w:tabs>
          <w:tab w:leader="none" w:pos="161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hanging="315"/>
        <w:spacing w:after="0" w:line="291" w:lineRule="auto"/>
        <w:tabs>
          <w:tab w:leader="none" w:pos="171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hanging="315"/>
        <w:spacing w:after="0" w:line="250" w:lineRule="auto"/>
        <w:tabs>
          <w:tab w:leader="none" w:pos="1775" w:val="left"/>
        </w:tabs>
        <w:numPr>
          <w:ilvl w:val="1"/>
          <w:numId w:val="2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hanging="315"/>
        <w:spacing w:after="0" w:line="291" w:lineRule="auto"/>
        <w:tabs>
          <w:tab w:leader="none" w:pos="16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hanging="332"/>
        <w:spacing w:after="0" w:line="250" w:lineRule="auto"/>
        <w:tabs>
          <w:tab w:leader="none" w:pos="412"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hanging="315"/>
        <w:spacing w:after="0" w:line="250" w:lineRule="auto"/>
        <w:tabs>
          <w:tab w:leader="none" w:pos="1640" w:val="left"/>
        </w:tabs>
        <w:numPr>
          <w:ilvl w:val="1"/>
          <w:numId w:val="2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hanging="315"/>
        <w:spacing w:after="0" w:line="260" w:lineRule="auto"/>
        <w:tabs>
          <w:tab w:leader="none" w:pos="1719" w:val="left"/>
        </w:tabs>
        <w:numPr>
          <w:ilvl w:val="1"/>
          <w:numId w:val="2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0" w:type="dxa"/>
            <w:vAlign w:val="bottom"/>
          </w:tcPr>
          <w:p>
            <w:pPr>
              <w:spacing w:after="0"/>
              <w:rPr>
                <w:sz w:val="20"/>
                <w:szCs w:val="20"/>
                <w:color w:val="auto"/>
              </w:rPr>
            </w:pPr>
            <w:r>
              <w:rPr>
                <w:rFonts w:ascii="Arial" w:cs="Arial" w:eastAsia="Arial" w:hAnsi="Arial"/>
                <w:sz w:val="20"/>
                <w:szCs w:val="20"/>
                <w:color w:val="auto"/>
              </w:rPr>
              <w:t>Date:</w:t>
            </w:r>
          </w:p>
        </w:tc>
        <w:tc>
          <w:tcPr>
            <w:tcW w:w="5160" w:type="dxa"/>
            <w:vAlign w:val="bottom"/>
          </w:tcPr>
          <w:p>
            <w:pPr>
              <w:ind w:left="280"/>
              <w:spacing w:after="0"/>
              <w:rPr>
                <w:sz w:val="20"/>
                <w:szCs w:val="20"/>
                <w:color w:val="auto"/>
              </w:rPr>
            </w:pPr>
            <w:r>
              <w:rPr>
                <w:rFonts w:ascii="Arial" w:cs="Arial" w:eastAsia="Arial" w:hAnsi="Arial"/>
                <w:sz w:val="20"/>
                <w:szCs w:val="20"/>
                <w:color w:val="auto"/>
              </w:rPr>
              <w:t>May 10, 2013</w:t>
            </w:r>
          </w:p>
        </w:tc>
        <w:tc>
          <w:tcPr>
            <w:tcW w:w="55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/s/Rodney C. Sacks</w:t>
            </w:r>
          </w:p>
        </w:tc>
      </w:tr>
      <w:tr>
        <w:trPr>
          <w:trHeight w:val="222"/>
        </w:trPr>
        <w:tc>
          <w:tcPr>
            <w:tcW w:w="7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5560" w:type="dxa"/>
            <w:vAlign w:val="bottom"/>
          </w:tcPr>
          <w:p>
            <w:pPr>
              <w:ind w:left="60"/>
              <w:spacing w:after="0" w:line="222" w:lineRule="exact"/>
              <w:rPr>
                <w:sz w:val="20"/>
                <w:szCs w:val="20"/>
                <w:color w:val="auto"/>
              </w:rPr>
            </w:pPr>
            <w:r>
              <w:rPr>
                <w:rFonts w:ascii="Arial" w:cs="Arial" w:eastAsia="Arial" w:hAnsi="Arial"/>
                <w:sz w:val="20"/>
                <w:szCs w:val="20"/>
                <w:color w:val="auto"/>
              </w:rPr>
              <w:t>Rodney C. Sacks</w:t>
            </w:r>
          </w:p>
        </w:tc>
      </w:tr>
    </w:tbl>
    <w:p>
      <w:pPr>
        <w:ind w:left="5920"/>
        <w:spacing w:after="0"/>
        <w:rPr>
          <w:sz w:val="20"/>
          <w:szCs w:val="20"/>
          <w:color w:val="auto"/>
        </w:rPr>
      </w:pPr>
      <w:r>
        <w:rPr>
          <w:rFonts w:ascii="Arial" w:cs="Arial" w:eastAsia="Arial" w:hAnsi="Arial"/>
          <w:sz w:val="20"/>
          <w:szCs w:val="20"/>
          <w:color w:val="auto"/>
        </w:rPr>
        <w:t>Chairman of the Board of Directors</w:t>
      </w:r>
    </w:p>
    <w:p>
      <w:pPr>
        <w:ind w:left="5920"/>
        <w:spacing w:after="0"/>
        <w:rPr>
          <w:sz w:val="20"/>
          <w:szCs w:val="20"/>
          <w:color w:val="auto"/>
        </w:rPr>
      </w:pPr>
      <w:r>
        <w:rPr>
          <w:rFonts w:ascii="Arial" w:cs="Arial" w:eastAsia="Arial" w:hAnsi="Arial"/>
          <w:sz w:val="20"/>
          <w:szCs w:val="20"/>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5" w:name="page36"/>
    <w:bookmarkEnd w:id="35"/>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 have reviewed this annual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2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2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2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2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0" w:type="dxa"/>
            <w:vAlign w:val="bottom"/>
          </w:tcPr>
          <w:p>
            <w:pPr>
              <w:spacing w:after="0"/>
              <w:rPr>
                <w:sz w:val="20"/>
                <w:szCs w:val="20"/>
                <w:color w:val="auto"/>
              </w:rPr>
            </w:pPr>
            <w:r>
              <w:rPr>
                <w:rFonts w:ascii="Arial" w:cs="Arial" w:eastAsia="Arial" w:hAnsi="Arial"/>
                <w:sz w:val="20"/>
                <w:szCs w:val="20"/>
                <w:color w:val="auto"/>
              </w:rPr>
              <w:t>Date:</w:t>
            </w:r>
          </w:p>
        </w:tc>
        <w:tc>
          <w:tcPr>
            <w:tcW w:w="4980" w:type="dxa"/>
            <w:vAlign w:val="bottom"/>
          </w:tcPr>
          <w:p>
            <w:pPr>
              <w:ind w:left="300"/>
              <w:spacing w:after="0"/>
              <w:rPr>
                <w:sz w:val="20"/>
                <w:szCs w:val="20"/>
                <w:color w:val="auto"/>
              </w:rPr>
            </w:pPr>
            <w:r>
              <w:rPr>
                <w:rFonts w:ascii="Arial" w:cs="Arial" w:eastAsia="Arial" w:hAnsi="Arial"/>
                <w:sz w:val="20"/>
                <w:szCs w:val="20"/>
                <w:color w:val="auto"/>
              </w:rPr>
              <w:t>May 10, 2013</w:t>
            </w:r>
          </w:p>
        </w:tc>
        <w:tc>
          <w:tcPr>
            <w:tcW w:w="520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Hilton H. Schlosberg</w:t>
            </w:r>
          </w:p>
        </w:tc>
        <w:tc>
          <w:tcPr>
            <w:tcW w:w="540" w:type="dxa"/>
            <w:vAlign w:val="bottom"/>
          </w:tcPr>
          <w:p>
            <w:pPr>
              <w:spacing w:after="0"/>
              <w:rPr>
                <w:sz w:val="21"/>
                <w:szCs w:val="21"/>
                <w:color w:val="auto"/>
              </w:rPr>
            </w:pPr>
          </w:p>
        </w:tc>
      </w:tr>
      <w:tr>
        <w:trPr>
          <w:trHeight w:val="206"/>
        </w:trPr>
        <w:tc>
          <w:tcPr>
            <w:tcW w:w="7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5200" w:type="dxa"/>
            <w:vAlign w:val="bottom"/>
          </w:tcPr>
          <w:p>
            <w:pPr>
              <w:ind w:left="60"/>
              <w:spacing w:after="0" w:line="207" w:lineRule="exact"/>
              <w:rPr>
                <w:sz w:val="20"/>
                <w:szCs w:val="20"/>
                <w:color w:val="auto"/>
              </w:rPr>
            </w:pPr>
            <w:r>
              <w:rPr>
                <w:rFonts w:ascii="Arial" w:cs="Arial" w:eastAsia="Arial" w:hAnsi="Arial"/>
                <w:sz w:val="20"/>
                <w:szCs w:val="20"/>
                <w:color w:val="auto"/>
              </w:rPr>
              <w:t>Hilton H. Schlosberg</w:t>
            </w:r>
          </w:p>
        </w:tc>
        <w:tc>
          <w:tcPr>
            <w:tcW w:w="540" w:type="dxa"/>
            <w:vAlign w:val="bottom"/>
          </w:tcPr>
          <w:p>
            <w:pPr>
              <w:spacing w:after="0"/>
              <w:rPr>
                <w:sz w:val="17"/>
                <w:szCs w:val="17"/>
                <w:color w:val="auto"/>
              </w:rPr>
            </w:pPr>
          </w:p>
        </w:tc>
      </w:tr>
      <w:tr>
        <w:trPr>
          <w:trHeight w:val="230"/>
        </w:trPr>
        <w:tc>
          <w:tcPr>
            <w:tcW w:w="7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200" w:type="dxa"/>
            <w:vAlign w:val="bottom"/>
          </w:tcPr>
          <w:p>
            <w:pPr>
              <w:ind w:left="60"/>
              <w:spacing w:after="0"/>
              <w:rPr>
                <w:sz w:val="20"/>
                <w:szCs w:val="20"/>
                <w:color w:val="auto"/>
              </w:rPr>
            </w:pPr>
            <w:r>
              <w:rPr>
                <w:rFonts w:ascii="Arial" w:cs="Arial" w:eastAsia="Arial" w:hAnsi="Arial"/>
                <w:sz w:val="20"/>
                <w:szCs w:val="20"/>
                <w:color w:val="auto"/>
              </w:rPr>
              <w:t>Vice Chairman of the Board of Directors,</w:t>
            </w:r>
          </w:p>
        </w:tc>
        <w:tc>
          <w:tcPr>
            <w:tcW w:w="540" w:type="dxa"/>
            <w:vAlign w:val="bottom"/>
          </w:tcPr>
          <w:p>
            <w:pPr>
              <w:spacing w:after="0"/>
              <w:rPr>
                <w:sz w:val="19"/>
                <w:szCs w:val="19"/>
                <w:color w:val="auto"/>
              </w:rPr>
            </w:pPr>
          </w:p>
        </w:tc>
      </w:tr>
      <w:tr>
        <w:trPr>
          <w:trHeight w:val="230"/>
        </w:trPr>
        <w:tc>
          <w:tcPr>
            <w:tcW w:w="7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200" w:type="dxa"/>
            <w:vAlign w:val="bottom"/>
          </w:tcPr>
          <w:p>
            <w:pPr>
              <w:ind w:left="60"/>
              <w:spacing w:after="0"/>
              <w:rPr>
                <w:sz w:val="20"/>
                <w:szCs w:val="20"/>
                <w:color w:val="auto"/>
              </w:rPr>
            </w:pPr>
            <w:r>
              <w:rPr>
                <w:rFonts w:ascii="Arial" w:cs="Arial" w:eastAsia="Arial" w:hAnsi="Arial"/>
                <w:sz w:val="20"/>
                <w:szCs w:val="20"/>
                <w:color w:val="auto"/>
              </w:rPr>
              <w:t>President, Chief Operating Officer, Chief</w:t>
            </w:r>
          </w:p>
        </w:tc>
        <w:tc>
          <w:tcPr>
            <w:tcW w:w="540" w:type="dxa"/>
            <w:vAlign w:val="bottom"/>
          </w:tcPr>
          <w:p>
            <w:pPr>
              <w:spacing w:after="0"/>
              <w:rPr>
                <w:sz w:val="19"/>
                <w:szCs w:val="19"/>
                <w:color w:val="auto"/>
              </w:rPr>
            </w:pPr>
          </w:p>
        </w:tc>
      </w:tr>
      <w:tr>
        <w:trPr>
          <w:trHeight w:val="250"/>
        </w:trPr>
        <w:tc>
          <w:tcPr>
            <w:tcW w:w="7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5200" w:type="dxa"/>
            <w:vAlign w:val="bottom"/>
          </w:tcPr>
          <w:p>
            <w:pPr>
              <w:ind w:left="60"/>
              <w:spacing w:after="0"/>
              <w:rPr>
                <w:sz w:val="20"/>
                <w:szCs w:val="20"/>
                <w:color w:val="auto"/>
              </w:rPr>
            </w:pPr>
            <w:r>
              <w:rPr>
                <w:rFonts w:ascii="Arial" w:cs="Arial" w:eastAsia="Arial" w:hAnsi="Arial"/>
                <w:sz w:val="20"/>
                <w:szCs w:val="20"/>
                <w:color w:val="auto"/>
              </w:rPr>
              <w:t>Financial Officer and Secretary</w:t>
            </w:r>
          </w:p>
        </w:tc>
        <w:tc>
          <w:tcPr>
            <w:tcW w:w="540" w:type="dxa"/>
            <w:vAlign w:val="bottom"/>
          </w:tcPr>
          <w:p>
            <w:pPr>
              <w:spacing w:after="0"/>
              <w:rPr>
                <w:sz w:val="21"/>
                <w:szCs w:val="21"/>
                <w:color w:val="auto"/>
              </w:rPr>
            </w:pPr>
          </w:p>
        </w:tc>
      </w:tr>
      <w:tr>
        <w:trPr>
          <w:trHeight w:val="344"/>
        </w:trPr>
        <w:tc>
          <w:tcPr>
            <w:tcW w:w="740" w:type="dxa"/>
            <w:vAlign w:val="bottom"/>
            <w:tcBorders>
              <w:bottom w:val="single" w:sz="8" w:color="010101"/>
            </w:tcBorders>
          </w:tcPr>
          <w:p>
            <w:pPr>
              <w:spacing w:after="0"/>
              <w:rPr>
                <w:sz w:val="24"/>
                <w:szCs w:val="24"/>
                <w:color w:val="auto"/>
              </w:rPr>
            </w:pPr>
          </w:p>
        </w:tc>
        <w:tc>
          <w:tcPr>
            <w:tcW w:w="498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t>EXHIBIT 32.1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annual report of Monster Beverage Corporation (the “Company”) on Form 10-Q for the quarter ended March 31, 2013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hanging="324"/>
        <w:spacing w:after="0" w:line="260" w:lineRule="auto"/>
        <w:tabs>
          <w:tab w:leader="none" w:pos="1007"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0" w:type="dxa"/>
            <w:vAlign w:val="bottom"/>
          </w:tcPr>
          <w:p>
            <w:pPr>
              <w:spacing w:after="0"/>
              <w:rPr>
                <w:sz w:val="20"/>
                <w:szCs w:val="20"/>
                <w:color w:val="auto"/>
              </w:rPr>
            </w:pPr>
            <w:r>
              <w:rPr>
                <w:rFonts w:ascii="Arial" w:cs="Arial" w:eastAsia="Arial" w:hAnsi="Arial"/>
                <w:sz w:val="20"/>
                <w:szCs w:val="20"/>
                <w:color w:val="auto"/>
              </w:rPr>
              <w:t>Date:</w:t>
            </w:r>
          </w:p>
        </w:tc>
        <w:tc>
          <w:tcPr>
            <w:tcW w:w="4980" w:type="dxa"/>
            <w:vAlign w:val="bottom"/>
          </w:tcPr>
          <w:p>
            <w:pPr>
              <w:ind w:left="300"/>
              <w:spacing w:after="0"/>
              <w:rPr>
                <w:sz w:val="20"/>
                <w:szCs w:val="20"/>
                <w:color w:val="auto"/>
              </w:rPr>
            </w:pPr>
            <w:r>
              <w:rPr>
                <w:rFonts w:ascii="Arial" w:cs="Arial" w:eastAsia="Arial" w:hAnsi="Arial"/>
                <w:sz w:val="20"/>
                <w:szCs w:val="20"/>
                <w:color w:val="auto"/>
              </w:rPr>
              <w:t>May 10, 2013</w:t>
            </w:r>
          </w:p>
        </w:tc>
        <w:tc>
          <w:tcPr>
            <w:tcW w:w="570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Rodney C. Sacks</w:t>
            </w:r>
          </w:p>
        </w:tc>
      </w:tr>
      <w:tr>
        <w:trPr>
          <w:trHeight w:val="222"/>
        </w:trPr>
        <w:tc>
          <w:tcPr>
            <w:tcW w:w="7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700" w:type="dxa"/>
            <w:vAlign w:val="bottom"/>
          </w:tcPr>
          <w:p>
            <w:pPr>
              <w:ind w:left="60"/>
              <w:spacing w:after="0" w:line="222" w:lineRule="exact"/>
              <w:rPr>
                <w:sz w:val="20"/>
                <w:szCs w:val="20"/>
                <w:color w:val="auto"/>
              </w:rPr>
            </w:pPr>
            <w:r>
              <w:rPr>
                <w:rFonts w:ascii="Arial" w:cs="Arial" w:eastAsia="Arial" w:hAnsi="Arial"/>
                <w:sz w:val="20"/>
                <w:szCs w:val="20"/>
                <w:color w:val="auto"/>
              </w:rPr>
              <w:t>Rodney C. Sacks</w:t>
            </w:r>
          </w:p>
        </w:tc>
      </w:tr>
    </w:tbl>
    <w:p>
      <w:pPr>
        <w:ind w:left="5780"/>
        <w:spacing w:after="0"/>
        <w:rPr>
          <w:sz w:val="20"/>
          <w:szCs w:val="20"/>
          <w:color w:val="auto"/>
        </w:rPr>
      </w:pPr>
      <w:r>
        <w:rPr>
          <w:rFonts w:ascii="Arial" w:cs="Arial" w:eastAsia="Arial" w:hAnsi="Arial"/>
          <w:sz w:val="20"/>
          <w:szCs w:val="20"/>
          <w:color w:val="auto"/>
        </w:rPr>
        <w:t>Chairman of the Board of Directors</w:t>
      </w:r>
    </w:p>
    <w:p>
      <w:pPr>
        <w:ind w:left="5780"/>
        <w:spacing w:after="0"/>
        <w:rPr>
          <w:sz w:val="20"/>
          <w:szCs w:val="20"/>
          <w:color w:val="auto"/>
        </w:rPr>
      </w:pPr>
      <w:r>
        <w:rPr>
          <w:rFonts w:ascii="Arial" w:cs="Arial" w:eastAsia="Arial" w:hAnsi="Arial"/>
          <w:sz w:val="20"/>
          <w:szCs w:val="20"/>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annual report of Monster Beverage Corporation (the “Company”) on Form 10-Q for the quarter ended March 31, 2013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0" w:type="dxa"/>
            <w:vAlign w:val="bottom"/>
          </w:tcPr>
          <w:p>
            <w:pPr>
              <w:spacing w:after="0"/>
              <w:rPr>
                <w:sz w:val="20"/>
                <w:szCs w:val="20"/>
                <w:color w:val="auto"/>
              </w:rPr>
            </w:pPr>
            <w:r>
              <w:rPr>
                <w:rFonts w:ascii="Arial" w:cs="Arial" w:eastAsia="Arial" w:hAnsi="Arial"/>
                <w:sz w:val="20"/>
                <w:szCs w:val="20"/>
                <w:color w:val="auto"/>
              </w:rPr>
              <w:t>Date:</w:t>
            </w:r>
          </w:p>
        </w:tc>
        <w:tc>
          <w:tcPr>
            <w:tcW w:w="4980" w:type="dxa"/>
            <w:vAlign w:val="bottom"/>
          </w:tcPr>
          <w:p>
            <w:pPr>
              <w:ind w:left="300"/>
              <w:spacing w:after="0"/>
              <w:rPr>
                <w:sz w:val="20"/>
                <w:szCs w:val="20"/>
                <w:color w:val="auto"/>
              </w:rPr>
            </w:pPr>
            <w:r>
              <w:rPr>
                <w:rFonts w:ascii="Arial" w:cs="Arial" w:eastAsia="Arial" w:hAnsi="Arial"/>
                <w:sz w:val="20"/>
                <w:szCs w:val="20"/>
                <w:color w:val="auto"/>
              </w:rPr>
              <w:t>May 10, 2013</w:t>
            </w:r>
          </w:p>
        </w:tc>
        <w:tc>
          <w:tcPr>
            <w:tcW w:w="570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7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5700" w:type="dxa"/>
            <w:vAlign w:val="bottom"/>
          </w:tcPr>
          <w:p>
            <w:pPr>
              <w:ind w:left="6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7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700" w:type="dxa"/>
            <w:vAlign w:val="bottom"/>
          </w:tcPr>
          <w:p>
            <w:pPr>
              <w:ind w:left="6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7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700" w:type="dxa"/>
            <w:vAlign w:val="bottom"/>
          </w:tcPr>
          <w:p>
            <w:pPr>
              <w:ind w:left="6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7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5700" w:type="dxa"/>
            <w:vAlign w:val="bottom"/>
          </w:tcPr>
          <w:p>
            <w:pPr>
              <w:ind w:left="6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44"/>
        </w:trPr>
        <w:tc>
          <w:tcPr>
            <w:tcW w:w="740" w:type="dxa"/>
            <w:vAlign w:val="bottom"/>
            <w:tcBorders>
              <w:bottom w:val="single" w:sz="8" w:color="010101"/>
            </w:tcBorders>
          </w:tcPr>
          <w:p>
            <w:pPr>
              <w:spacing w:after="0"/>
              <w:rPr>
                <w:sz w:val="24"/>
                <w:szCs w:val="24"/>
                <w:color w:val="auto"/>
              </w:rPr>
            </w:pPr>
          </w:p>
        </w:tc>
        <w:tc>
          <w:tcPr>
            <w:tcW w:w="498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1."/>
      <w:numFmt w:val="decimal"/>
      <w:start w:val="3"/>
    </w:lvl>
  </w:abstractNum>
  <w:abstractNum w:abstractNumId="3">
    <w:nsid w:val="4E6AFB66"/>
    <w:multiLevelType w:val="hybridMultilevel"/>
    <w:lvl w:ilvl="0">
      <w:lvlJc w:val="left"/>
      <w:lvlText w:val="%1."/>
      <w:numFmt w:val="decimal"/>
      <w:start w:val="4"/>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lowerRoman"/>
      <w:start w:val="3"/>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decimal"/>
      <w:start w:val="6"/>
    </w:lvl>
  </w:abstractNum>
  <w:abstractNum w:abstractNumId="9">
    <w:nsid w:val="257130A3"/>
    <w:multiLevelType w:val="hybridMultilevel"/>
    <w:lvl w:ilvl="0">
      <w:lvlJc w:val="left"/>
      <w:lvlText w:val="%1."/>
      <w:numFmt w:val="decimal"/>
      <w:start w:val="7"/>
    </w:lvl>
  </w:abstractNum>
  <w:abstractNum w:abstractNumId="10">
    <w:nsid w:val="62BBD95A"/>
    <w:multiLevelType w:val="hybridMultilevel"/>
    <w:lvl w:ilvl="0">
      <w:lvlJc w:val="left"/>
      <w:lvlText w:val="%1."/>
      <w:numFmt w:val="decimal"/>
      <w:start w:val="8"/>
    </w:lvl>
  </w:abstractNum>
  <w:abstractNum w:abstractNumId="11">
    <w:nsid w:val="436C6125"/>
    <w:multiLevelType w:val="hybridMultilevel"/>
    <w:lvl w:ilvl="0">
      <w:lvlJc w:val="left"/>
      <w:lvlText w:val="%1."/>
      <w:numFmt w:val="decimal"/>
      <w:start w:val="9"/>
    </w:lvl>
  </w:abstractNum>
  <w:abstractNum w:abstractNumId="12">
    <w:nsid w:val="628C895D"/>
    <w:multiLevelType w:val="hybridMultilevel"/>
    <w:lvl w:ilvl="0">
      <w:lvlJc w:val="left"/>
      <w:lvlText w:val="(%1)"/>
      <w:numFmt w:val="lowerLetter"/>
      <w:start w:val="2"/>
    </w:lvl>
  </w:abstractNum>
  <w:abstractNum w:abstractNumId="13">
    <w:nsid w:val="333AB105"/>
    <w:multiLevelType w:val="hybridMultilevel"/>
    <w:lvl w:ilvl="0">
      <w:lvlJc w:val="left"/>
      <w:lvlText w:val="%1."/>
      <w:numFmt w:val="decimal"/>
      <w:start w:val="10"/>
    </w:lvl>
  </w:abstractNum>
  <w:abstractNum w:abstractNumId="14">
    <w:nsid w:val="721DA317"/>
    <w:multiLevelType w:val="hybridMultilevel"/>
    <w:lvl w:ilvl="0">
      <w:lvlJc w:val="left"/>
      <w:lvlText w:val="1"/>
      <w:numFmt w:val="bullet"/>
      <w:start w:val="1"/>
    </w:lvl>
  </w:abstractNum>
  <w:abstractNum w:abstractNumId="15">
    <w:nsid w:val="2443A858"/>
    <w:multiLevelType w:val="hybridMultilevel"/>
    <w:lvl w:ilvl="0">
      <w:lvlJc w:val="left"/>
      <w:lvlText w:val="%1."/>
      <w:numFmt w:val="decimal"/>
      <w:start w:val="11"/>
    </w:lvl>
  </w:abstractNum>
  <w:abstractNum w:abstractNumId="16">
    <w:nsid w:val="2D1D5AE9"/>
    <w:multiLevelType w:val="hybridMultilevel"/>
    <w:lvl w:ilvl="0">
      <w:lvlJc w:val="left"/>
      <w:lvlText w:val="%1."/>
      <w:numFmt w:val="decimal"/>
      <w:start w:val="12"/>
    </w:lvl>
  </w:abstractNum>
  <w:abstractNum w:abstractNumId="17">
    <w:nsid w:val="6763845E"/>
    <w:multiLevelType w:val="hybridMultilevel"/>
    <w:lvl w:ilvl="0">
      <w:lvlJc w:val="left"/>
      <w:lvlText w:val="%1."/>
      <w:numFmt w:val="decimal"/>
      <w:start w:val="13"/>
    </w:lvl>
  </w:abstractNum>
  <w:abstractNum w:abstractNumId="18">
    <w:nsid w:val="75A2A8D4"/>
    <w:multiLevelType w:val="hybridMultilevel"/>
    <w:lvl w:ilvl="0">
      <w:lvlJc w:val="left"/>
      <w:lvlText w:val="%1."/>
      <w:numFmt w:val="decimal"/>
      <w:start w:val="14"/>
    </w:lvl>
  </w:abstractNum>
  <w:abstractNum w:abstractNumId="19">
    <w:nsid w:val="8EDBDAB"/>
    <w:multiLevelType w:val="hybridMultilevel"/>
    <w:lvl w:ilvl="0">
      <w:lvlJc w:val="left"/>
      <w:lvlText w:val="%1."/>
      <w:numFmt w:val="decimal"/>
      <w:start w:val="15"/>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2019-12-06T04:33:54Z</dcterms:created>
  <dcterms:modified xsi:type="dcterms:W3CDTF">2019-12-06T04:33:54Z</dcterms:modified>
</cp:coreProperties>
</file>