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60630x10q.htm"/>
        <w:bookmarkStart w:id="1" w:name="ksmns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d8617256_9e97_48e5_ba5b_c825000648ca"/>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041" w:type="dxa"/>
        <w:jc w:val="left"/>
        <w:tblInd w:w="0" w:type="dxa"/>
        <w:tblLayout w:type="fixed"/>
        <w:tblCellMar>
          <w:top w:w="0" w:type="dxa"/>
          <w:left w:w="0" w:type="dxa"/>
          <w:bottom w:w="0" w:type="dxa"/>
          <w:right w:w="0" w:type="dxa"/>
        </w:tblCellMar>
      </w:tblPr>
      <w:tblGrid>
        <w:gridCol w:w="3766"/>
        <w:gridCol w:w="3121"/>
        <w:gridCol w:w="154"/>
      </w:tblGrid>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June 30, 2026</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jqzTo3c_8EKQhS9_UlJ5tg_3_2"/>
      <w:bookmarkStart w:id="4" w:name="Tc_40tr8Bo2nkK9ouxrjaW1tQ_3_0"/>
      <w:bookmarkStart w:id="5" w:name="Tc_3WLELhorSEGacUrxYuRlHA_2_2"/>
      <w:bookmarkStart w:id="6" w:name="Tc_3oDJw7gF4k2l-z-Nkz2Y8g_2_0"/>
      <w:bookmarkStart w:id="7" w:name="_7c34c122_80de_42ce_bdc9_cb651d4bdee5"/>
      <w:bookmarkStart w:id="8" w:name="Tc_jqzTo3c_8EKQhS9_UlJ5tg_3_2"/>
      <w:bookmarkStart w:id="9" w:name="Tc_40tr8Bo2nkK9ouxrjaW1tQ_3_0"/>
      <w:bookmarkStart w:id="10" w:name="Tc_3WLELhorSEGacUrxYuRlHA_2_2"/>
      <w:bookmarkStart w:id="11" w:name="Tc_3oDJw7gF4k2l-z-Nkz2Y8g_2_0"/>
      <w:bookmarkStart w:id="12" w:name="_7c34c122_80de_42ce_bdc9_cb651d4bdee5"/>
      <w:bookmarkEnd w:id="8"/>
      <w:bookmarkEnd w:id="9"/>
      <w:bookmarkEnd w:id="10"/>
      <w:bookmarkEnd w:id="11"/>
      <w:bookmarkEnd w:id="12"/>
    </w:p>
    <w:tbl>
      <w:tblPr>
        <w:tblW w:w="4023" w:type="dxa"/>
        <w:jc w:val="left"/>
        <w:tblInd w:w="0" w:type="dxa"/>
        <w:tblLayout w:type="fixed"/>
        <w:tblCellMar>
          <w:top w:w="0" w:type="dxa"/>
          <w:left w:w="0" w:type="dxa"/>
          <w:bottom w:w="0" w:type="dxa"/>
          <w:right w:w="0" w:type="dxa"/>
        </w:tblCellMar>
      </w:tblPr>
      <w:tblGrid>
        <w:gridCol w:w="2236"/>
        <w:gridCol w:w="346"/>
        <w:gridCol w:w="1441"/>
      </w:tblGrid>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vAlign w:val="center"/>
          </w:tcPr>
          <w:p>
            <w:pPr>
              <w:pStyle w:val="TableContents"/>
              <w:bidi w:val="0"/>
              <w:spacing w:before="0" w:after="0"/>
              <w:ind w:left="0" w:right="0" w:hanging="0"/>
              <w:jc w:val="left"/>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DLLe8WzqQEi5KvI2AptrUw_1_2"/>
      <w:bookmarkStart w:id="14" w:name="Tc_MbUwKlsq20KjgLKAJXX28g_1_1"/>
      <w:bookmarkStart w:id="15" w:name="Tc_RRtThtLD-EmxRZumo7qvKA_1_0"/>
      <w:bookmarkStart w:id="16" w:name="_fa178305_9a1f_42a6_93c4_acbfe5acb49e"/>
      <w:bookmarkStart w:id="17" w:name="Tc_DLLe8WzqQEi5KvI2AptrUw_1_2"/>
      <w:bookmarkStart w:id="18" w:name="Tc_MbUwKlsq20KjgLKAJXX28g_1_1"/>
      <w:bookmarkStart w:id="19" w:name="Tc_RRtThtLD-EmxRZumo7qvKA_1_0"/>
      <w:bookmarkStart w:id="20" w:name="_fa178305_9a1f_42a6_93c4_acbfe5acb49e"/>
      <w:bookmarkEnd w:id="17"/>
      <w:bookmarkEnd w:id="18"/>
      <w:bookmarkEnd w:id="19"/>
      <w:bookmarkEnd w:id="20"/>
    </w:p>
    <w:tbl>
      <w:tblPr>
        <w:tblW w:w="5718" w:type="dxa"/>
        <w:jc w:val="left"/>
        <w:tblInd w:w="0" w:type="dxa"/>
        <w:tblLayout w:type="fixed"/>
        <w:tblCellMar>
          <w:top w:w="0" w:type="dxa"/>
          <w:left w:w="0" w:type="dxa"/>
          <w:bottom w:w="0" w:type="dxa"/>
          <w:right w:w="0" w:type="dxa"/>
        </w:tblCellMar>
      </w:tblPr>
      <w:tblGrid>
        <w:gridCol w:w="1576"/>
        <w:gridCol w:w="1621"/>
        <w:gridCol w:w="25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w:t>
              <w:br/>
              <w:t>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had 979,525,882 shares of common stock, par value $0.005 per share, outstanding as of July 31, 2026.</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c8f4850f_93a5_4c37_90c5_6d69c1686fe4"/>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8"/>
        <w:gridCol w:w="8295"/>
        <w:gridCol w:w="346"/>
        <w:gridCol w:w="826"/>
      </w:tblGrid>
      <w:tr>
        <w:trPr/>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8630" cy="175260"/>
                      <wp:effectExtent l="0" t="0" r="0" b="0"/>
                      <wp:wrapNone/>
                      <wp:docPr id="1" name="Frame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67325" cy="175260"/>
                      <wp:effectExtent l="0" t="0" r="0" b="0"/>
                      <wp:wrapNone/>
                      <wp:docPr id="2" name="Frame2"/>
                      <a:graphic xmlns:a="http://schemas.openxmlformats.org/drawingml/2006/main">
                        <a:graphicData uri="http://schemas.microsoft.com/office/word/2010/wordprocessingShape">
                          <wps:wsp>
                            <wps:cNvSpPr txBox="1"/>
                            <wps:spPr>
                              <a:xfrm>
                                <a:off x="0" y="0"/>
                                <a:ext cx="526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8"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295"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295" w:type="dxa"/>
            <w:tcBorders/>
            <w:vAlign w:val="center"/>
          </w:tcPr>
          <w:p>
            <w:pPr>
              <w:pStyle w:val="TableContents"/>
              <w:pBdr/>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pBdr/>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 and Six-Months Ended June 30, 2026 and 2025</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 Consolidated Statements of Comprehensive Income for the Three- and Six-Months Ended June 30, 2026 and 2025</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 and Six-Months Ended June 30, 2026 and 2025</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pBdr/>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Six-Months Ended June 30, 2026 and 2025</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pBdr/>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295" w:type="dxa"/>
            <w:tcBorders/>
            <w:vAlign w:val="center"/>
          </w:tcPr>
          <w:p>
            <w:pPr>
              <w:pStyle w:val="TableContents"/>
              <w:pBdr/>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295"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295" w:type="dxa"/>
            <w:tcBorders/>
            <w:vAlign w:val="center"/>
          </w:tcPr>
          <w:p>
            <w:pPr>
              <w:pStyle w:val="TableContents"/>
              <w:pBdr/>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295"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295" w:type="dxa"/>
            <w:tcBorders/>
            <w:vAlign w:val="center"/>
          </w:tcPr>
          <w:p>
            <w:pPr>
              <w:pStyle w:val="TableContents"/>
              <w:pBdr/>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295" w:type="dxa"/>
            <w:tcBorders/>
            <w:vAlign w:val="center"/>
          </w:tcPr>
          <w:p>
            <w:pPr>
              <w:pStyle w:val="TableContents"/>
              <w:pBdr/>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295" w:type="dxa"/>
            <w:tcBorders/>
            <w:vAlign w:val="center"/>
          </w:tcPr>
          <w:p>
            <w:pPr>
              <w:pStyle w:val="TableContents"/>
              <w:pBdr/>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295" w:type="dxa"/>
            <w:tcBorders/>
            <w:vAlign w:val="center"/>
          </w:tcPr>
          <w:p>
            <w:pPr>
              <w:pStyle w:val="TableContents"/>
              <w:pBdr/>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295" w:type="dxa"/>
            <w:tcBorders/>
            <w:vAlign w:val="center"/>
          </w:tcPr>
          <w:p>
            <w:pPr>
              <w:pStyle w:val="TableContents"/>
              <w:pBdr/>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295" w:type="dxa"/>
            <w:tcBorders/>
            <w:vAlign w:val="center"/>
          </w:tcPr>
          <w:p>
            <w:pPr>
              <w:pStyle w:val="TableContents"/>
              <w:pBdr/>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295" w:type="dxa"/>
            <w:tcBorders/>
            <w:vAlign w:val="center"/>
          </w:tcPr>
          <w:p>
            <w:pPr>
              <w:pStyle w:val="TableContents"/>
              <w:pBdr/>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295" w:type="dxa"/>
            <w:tcBorders/>
            <w:vAlign w:val="center"/>
          </w:tcPr>
          <w:p>
            <w:pPr>
              <w:pStyle w:val="TableContents"/>
              <w:pBdr/>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3" w:name="PARTIFINANCIALINFORMATION_555950"/>
      <w:bookmarkStart w:id="24" w:name="_25e693dd_2491_4fe6_95d5_fc8191d32ee6"/>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JUNE 30, 2026 AND DECEMBER 31, 2025</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4t0-iqATE2mqXLy2VTCaA_43_5"/>
      <w:bookmarkStart w:id="28" w:name="Tc_OqS54WXgckew0ux98LnkyA_43_2"/>
      <w:bookmarkStart w:id="29" w:name="Tc_q1bj3_Iky0CReMT3TIwBQw_43_0"/>
      <w:bookmarkStart w:id="30" w:name="Tc_kuzltn6Jb0uJS_P4rIjckw_42_0"/>
      <w:bookmarkStart w:id="31" w:name="Tc_b0yMGMKoY06B_tVmZlK6-g_41_0"/>
      <w:bookmarkStart w:id="32" w:name="Tc_1mV-Mz-N-0C8jc9B4lAVog_40_0"/>
      <w:bookmarkStart w:id="33" w:name="Tc_uwxJUz2EQ0C1KfkxS6IR7w_39_0"/>
      <w:bookmarkStart w:id="34" w:name="Tc_j8-n_yhOPEeK39kYDWKJog_38_0"/>
      <w:bookmarkStart w:id="35" w:name="Tc_jnMqWJQXKEWQ4-e5iXoXMw_37_0"/>
      <w:bookmarkStart w:id="36" w:name="Tc_J9P7EZbobEqOUKBrY7kriA_36_0"/>
      <w:bookmarkStart w:id="37" w:name="Tc_Dl864VB85EeWtHxWtr_OeQ_34_0"/>
      <w:bookmarkStart w:id="38" w:name="Tc_CcvTMDWlC0GZ-yx_TUJa_A_32_0"/>
      <w:bookmarkStart w:id="39" w:name="Tc_ZpFvoKMYq0WuJBQto3kDpQ_31_0"/>
      <w:bookmarkStart w:id="40" w:name="Tc_62I9PZdv7U6SE6iKMEUJjQ_29_0"/>
      <w:bookmarkStart w:id="41" w:name="Tc_-k-PMg9jX0yCKjvEPHLfQg_28_0"/>
      <w:bookmarkStart w:id="42" w:name="Tc_ITT05IXwqUCYCGfDNhmLsQ_27_0"/>
      <w:bookmarkStart w:id="43" w:name="Tc_GxxXFQgLCUCQS_27m-1VZQ_26_0"/>
      <w:bookmarkStart w:id="44" w:name="Tc_0de1WKtNEkGTACgRYjfS5w_25_0"/>
      <w:bookmarkStart w:id="45" w:name="Tc_EzOOeqzeK0ORNzqsLT2ayA_24_0"/>
      <w:bookmarkStart w:id="46" w:name="Tc_JY8o7mnlfUiGa_GMqlG3tw_23_5"/>
      <w:bookmarkStart w:id="47" w:name="Tc_yxtYqL8MP0aa4uYfwnymvw_23_2"/>
      <w:bookmarkStart w:id="48" w:name="Tc_H2odmz2gLEeYpeMTtqdoZQ_23_0"/>
      <w:bookmarkStart w:id="49" w:name="Tc_t8df98alkkeEIW8h6DRh3Q_22_0"/>
      <w:bookmarkStart w:id="50" w:name="Tc_2I6j9xfRp0iPPETVElmO5g_21_0"/>
      <w:bookmarkStart w:id="51" w:name="Tc_LwiErtnEYkaJptWWkNLi5Q_19_5"/>
      <w:bookmarkStart w:id="52" w:name="Tc_FoRZ4cQbOUm5v6y29REHCg_19_2"/>
      <w:bookmarkStart w:id="53" w:name="Tc_HVpXzM6FUU66hbPAoDEB2Q_19_0"/>
      <w:bookmarkStart w:id="54" w:name="Tc_MXaDXIGL0EKdpEdChGrCqw_18_0"/>
      <w:bookmarkStart w:id="55" w:name="Tc_TUdO6HwfzUGpczu3dVvugA_17_0"/>
      <w:bookmarkStart w:id="56" w:name="Tc_jOhd1G2xd0SOWZf3Wjzbew_16_0"/>
      <w:bookmarkStart w:id="57" w:name="Tc_sQJ3JS6oDUOjmzz0CTB5bA_15_0"/>
      <w:bookmarkStart w:id="58" w:name="Tc_g3qsKiE_jUuuBLGIXazHyw_14_0"/>
      <w:bookmarkStart w:id="59" w:name="Tc_-vF3PoSBKUWVnPoFUiSZdA_13_0"/>
      <w:bookmarkStart w:id="60" w:name="Tc_3rRIL1p6gUCY-s103hrHRA_11_0"/>
      <w:bookmarkStart w:id="61" w:name="Tc_g9wfeG8PIEuXKw_HXlw8IA_10_0"/>
      <w:bookmarkStart w:id="62" w:name="Tc_HQb0IpwG1EScI4tG1nJABw_9_0"/>
      <w:bookmarkStart w:id="63" w:name="Tc_OSmP42aEyESMK0zlgvTpFw_8_0"/>
      <w:bookmarkStart w:id="64" w:name="Tc_Wvq6VfQGZkqryf89DbWCdQ_7_0"/>
      <w:bookmarkStart w:id="65" w:name="Tc_ADsoaH5oAkC_vN-vnmc1Qg_6_0"/>
      <w:bookmarkStart w:id="66" w:name="Tc_0Kbu0cEDWUmYLhTaBAxSLA_5_5"/>
      <w:bookmarkStart w:id="67" w:name="Tc_SQemHNteh0esJtgK6BMSMw_5_2"/>
      <w:bookmarkStart w:id="68" w:name="Tc_Eh6NbDSBpE24s8fH8EUFpA_5_0"/>
      <w:bookmarkStart w:id="69" w:name="Tc_B3_y04dV70O9lsxY1CdCfQ_4_0"/>
      <w:bookmarkStart w:id="70" w:name="Tc_XK1ygQpvkE65GQgpJQuguw_3_0"/>
      <w:bookmarkStart w:id="71" w:name="Tc_ABGMRiIswkmQu1Vz-Ds4NA_2_5"/>
      <w:bookmarkStart w:id="72" w:name="Tc_mGrQDeRHwUW4WN4ma6TNcA_2_2"/>
      <w:bookmarkStart w:id="73" w:name="Tc_PQuteqlbCUG6TXdd3j3lYA_1_5"/>
      <w:bookmarkStart w:id="74" w:name="Tc_BjckKg2LGECmeelI2AOFGQ_1_2"/>
      <w:bookmarkStart w:id="75" w:name="_aa78ee75_a14b_4317_a4f4_2660b50578dd"/>
      <w:bookmarkStart w:id="76" w:name="Tc_-4t0-iqATE2mqXLy2VTCaA_43_5"/>
      <w:bookmarkStart w:id="77" w:name="Tc_OqS54WXgckew0ux98LnkyA_43_2"/>
      <w:bookmarkStart w:id="78" w:name="Tc_q1bj3_Iky0CReMT3TIwBQw_43_0"/>
      <w:bookmarkStart w:id="79" w:name="Tc_kuzltn6Jb0uJS_P4rIjckw_42_0"/>
      <w:bookmarkStart w:id="80" w:name="Tc_b0yMGMKoY06B_tVmZlK6-g_41_0"/>
      <w:bookmarkStart w:id="81" w:name="Tc_1mV-Mz-N-0C8jc9B4lAVog_40_0"/>
      <w:bookmarkStart w:id="82" w:name="Tc_uwxJUz2EQ0C1KfkxS6IR7w_39_0"/>
      <w:bookmarkStart w:id="83" w:name="Tc_j8-n_yhOPEeK39kYDWKJog_38_0"/>
      <w:bookmarkStart w:id="84" w:name="Tc_jnMqWJQXKEWQ4-e5iXoXMw_37_0"/>
      <w:bookmarkStart w:id="85" w:name="Tc_J9P7EZbobEqOUKBrY7kriA_36_0"/>
      <w:bookmarkStart w:id="86" w:name="Tc_Dl864VB85EeWtHxWtr_OeQ_34_0"/>
      <w:bookmarkStart w:id="87" w:name="Tc_CcvTMDWlC0GZ-yx_TUJa_A_32_0"/>
      <w:bookmarkStart w:id="88" w:name="Tc_ZpFvoKMYq0WuJBQto3kDpQ_31_0"/>
      <w:bookmarkStart w:id="89" w:name="Tc_62I9PZdv7U6SE6iKMEUJjQ_29_0"/>
      <w:bookmarkStart w:id="90" w:name="Tc_-k-PMg9jX0yCKjvEPHLfQg_28_0"/>
      <w:bookmarkStart w:id="91" w:name="Tc_ITT05IXwqUCYCGfDNhmLsQ_27_0"/>
      <w:bookmarkStart w:id="92" w:name="Tc_GxxXFQgLCUCQS_27m-1VZQ_26_0"/>
      <w:bookmarkStart w:id="93" w:name="Tc_0de1WKtNEkGTACgRYjfS5w_25_0"/>
      <w:bookmarkStart w:id="94" w:name="Tc_EzOOeqzeK0ORNzqsLT2ayA_24_0"/>
      <w:bookmarkStart w:id="95" w:name="Tc_JY8o7mnlfUiGa_GMqlG3tw_23_5"/>
      <w:bookmarkStart w:id="96" w:name="Tc_yxtYqL8MP0aa4uYfwnymvw_23_2"/>
      <w:bookmarkStart w:id="97" w:name="Tc_H2odmz2gLEeYpeMTtqdoZQ_23_0"/>
      <w:bookmarkStart w:id="98" w:name="Tc_t8df98alkkeEIW8h6DRh3Q_22_0"/>
      <w:bookmarkStart w:id="99" w:name="Tc_2I6j9xfRp0iPPETVElmO5g_21_0"/>
      <w:bookmarkStart w:id="100" w:name="Tc_LwiErtnEYkaJptWWkNLi5Q_19_5"/>
      <w:bookmarkStart w:id="101" w:name="Tc_FoRZ4cQbOUm5v6y29REHCg_19_2"/>
      <w:bookmarkStart w:id="102" w:name="Tc_HVpXzM6FUU66hbPAoDEB2Q_19_0"/>
      <w:bookmarkStart w:id="103" w:name="Tc_MXaDXIGL0EKdpEdChGrCqw_18_0"/>
      <w:bookmarkStart w:id="104" w:name="Tc_TUdO6HwfzUGpczu3dVvugA_17_0"/>
      <w:bookmarkStart w:id="105" w:name="Tc_jOhd1G2xd0SOWZf3Wjzbew_16_0"/>
      <w:bookmarkStart w:id="106" w:name="Tc_sQJ3JS6oDUOjmzz0CTB5bA_15_0"/>
      <w:bookmarkStart w:id="107" w:name="Tc_g3qsKiE_jUuuBLGIXazHyw_14_0"/>
      <w:bookmarkStart w:id="108" w:name="Tc_-vF3PoSBKUWVnPoFUiSZdA_13_0"/>
      <w:bookmarkStart w:id="109" w:name="Tc_3rRIL1p6gUCY-s103hrHRA_11_0"/>
      <w:bookmarkStart w:id="110" w:name="Tc_g9wfeG8PIEuXKw_HXlw8IA_10_0"/>
      <w:bookmarkStart w:id="111" w:name="Tc_HQb0IpwG1EScI4tG1nJABw_9_0"/>
      <w:bookmarkStart w:id="112" w:name="Tc_OSmP42aEyESMK0zlgvTpFw_8_0"/>
      <w:bookmarkStart w:id="113" w:name="Tc_Wvq6VfQGZkqryf89DbWCdQ_7_0"/>
      <w:bookmarkStart w:id="114" w:name="Tc_ADsoaH5oAkC_vN-vnmc1Qg_6_0"/>
      <w:bookmarkStart w:id="115" w:name="Tc_0Kbu0cEDWUmYLhTaBAxSLA_5_5"/>
      <w:bookmarkStart w:id="116" w:name="Tc_SQemHNteh0esJtgK6BMSMw_5_2"/>
      <w:bookmarkStart w:id="117" w:name="Tc_Eh6NbDSBpE24s8fH8EUFpA_5_0"/>
      <w:bookmarkStart w:id="118" w:name="Tc_B3_y04dV70O9lsxY1CdCfQ_4_0"/>
      <w:bookmarkStart w:id="119" w:name="Tc_XK1ygQpvkE65GQgpJQuguw_3_0"/>
      <w:bookmarkStart w:id="120" w:name="Tc_ABGMRiIswkmQu1Vz-Ds4NA_2_5"/>
      <w:bookmarkStart w:id="121" w:name="Tc_mGrQDeRHwUW4WN4ma6TNcA_2_2"/>
      <w:bookmarkStart w:id="122" w:name="Tc_PQuteqlbCUG6TXdd3j3lYA_1_5"/>
      <w:bookmarkStart w:id="123" w:name="Tc_BjckKg2LGECmeelI2AOFGQ_1_2"/>
      <w:bookmarkStart w:id="124" w:name="_aa78ee75_a14b_4317_a4f4_2660b50578dd"/>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10205" w:type="dxa"/>
        <w:jc w:val="left"/>
        <w:tblInd w:w="0" w:type="dxa"/>
        <w:tblLayout w:type="fixed"/>
        <w:tblCellMar>
          <w:top w:w="0" w:type="dxa"/>
          <w:left w:w="0" w:type="dxa"/>
          <w:bottom w:w="0" w:type="dxa"/>
          <w:right w:w="0" w:type="dxa"/>
        </w:tblCellMar>
      </w:tblPr>
      <w:tblGrid>
        <w:gridCol w:w="7214"/>
        <w:gridCol w:w="346"/>
        <w:gridCol w:w="196"/>
        <w:gridCol w:w="927"/>
        <w:gridCol w:w="346"/>
        <w:gridCol w:w="198"/>
        <w:gridCol w:w="978"/>
      </w:tblGrid>
      <w:tr>
        <w:trPr/>
        <w:tc>
          <w:tcPr>
            <w:tcW w:w="7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80890" cy="175260"/>
                      <wp:effectExtent l="0" t="0" r="0" b="0"/>
                      <wp:wrapNone/>
                      <wp:docPr id="4" name="Frame4"/>
                      <a:graphic xmlns:a="http://schemas.openxmlformats.org/drawingml/2006/main">
                        <a:graphicData uri="http://schemas.microsoft.com/office/word/2010/wordprocessingShape">
                          <wps:wsp>
                            <wps:cNvSpPr txBox="1"/>
                            <wps:spPr>
                              <a:xfrm>
                                <a:off x="0" y="0"/>
                                <a:ext cx="458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8645" cy="175260"/>
                      <wp:effectExtent l="0" t="0" r="0" b="0"/>
                      <wp:wrapNone/>
                      <wp:docPr id="7" name="Frame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5730" cy="175260"/>
                      <wp:effectExtent l="0" t="0" r="0" b="0"/>
                      <wp:wrapNone/>
                      <wp:docPr id="9" name="Frame9"/>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1030" cy="175260"/>
                      <wp:effectExtent l="0" t="0" r="0" b="0"/>
                      <wp:wrapNone/>
                      <wp:docPr id="10" name="Frame10"/>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21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2,192,424</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2,088,117</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1,226,832</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677,084</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1,902,421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1,618,072</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867,674</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799,623</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148,691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103,551</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67,034</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74,637</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6,405,076</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5,361,084</w:t>
            </w:r>
          </w:p>
        </w:tc>
      </w:tr>
      <w:tr>
        <w:trPr/>
        <w:tc>
          <w:tcPr>
            <w:tcW w:w="72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781,314</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487,329</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1,095,810</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1,081,544</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189,427</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188,646</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1,381,827</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1,379,268</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197,194</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159,431</w:t>
            </w:r>
          </w:p>
        </w:tc>
      </w:tr>
      <w:tr>
        <w:trPr/>
        <w:tc>
          <w:tcPr>
            <w:tcW w:w="721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11,382,291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9,988,945</w:t>
            </w:r>
          </w:p>
        </w:tc>
      </w:tr>
      <w:tr>
        <w:trPr/>
        <w:tc>
          <w:tcPr>
            <w:tcW w:w="72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753,751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565,974</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335,527</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306,085</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434,012</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384,070</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47,695</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45,323</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88,194</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114,023</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58,315</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32,305</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1,717,494</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1,447,780</w:t>
            </w:r>
          </w:p>
        </w:tc>
      </w:tr>
      <w:tr>
        <w:trPr/>
        <w:tc>
          <w:tcPr>
            <w:tcW w:w="72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151,344</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159,991</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149,305</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127,066</w:t>
            </w:r>
          </w:p>
        </w:tc>
      </w:tr>
      <w:tr>
        <w:trPr/>
        <w:tc>
          <w:tcPr>
            <w:tcW w:w="72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1,136,078 shares issued and 979,490 shares outstanding as of June 30, 2026; 1,132,906 shares issued and 978,113 shares outstanding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5,680</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5,665</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5,572,830</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5,430,847</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10,508,241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9,354,216</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(112,846)</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(60,841)</w:t>
            </w:r>
          </w:p>
        </w:tc>
      </w:tr>
      <w:tr>
        <w:trPr/>
        <w:tc>
          <w:tcPr>
            <w:tcW w:w="72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in treasury, at cost; 156,588 shares and 154,793 shares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(6,609,757)</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(6,475,779)</w:t>
            </w:r>
          </w:p>
        </w:tc>
      </w:tr>
      <w:tr>
        <w:trPr/>
        <w:tc>
          <w:tcPr>
            <w:tcW w:w="721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9,364,148</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8,254,108</w:t>
            </w:r>
          </w:p>
        </w:tc>
      </w:tr>
      <w:tr>
        <w:trPr/>
        <w:tc>
          <w:tcPr>
            <w:tcW w:w="721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11,382,291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9,988,945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5" w:name="_7f0390ff_80e9_4d97_b58d_a0783c71c627"/>
      <w:bookmarkEnd w:id="125"/>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26" w:name="STATEMENTSOFINCOME_393941"/>
      <w:bookmarkEnd w:id="126"/>
      <w:r>
        <w:rPr>
          <w:rFonts w:ascii="Times New Roman;Times;serif" w:hAnsi="Times New Roman;Times;serif"/>
          <w:b/>
          <w:sz w:val="20"/>
        </w:rPr>
        <w:t>CONDENSED CONSOLIDATED STATEMENTS OF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 THREE</w:t>
      </w:r>
      <w:r>
        <w:rPr>
          <w:rFonts w:ascii="Times New Roman;Times;serif" w:hAnsi="Times New Roman;Times;serif"/>
          <w:b/>
          <w:color w:val="212529"/>
          <w:sz w:val="20"/>
          <w:shd w:fill="FFFFFF" w:val="clear"/>
        </w:rPr>
        <w:t>- AND SIX-MONTHS ENDED JUNE 30</w:t>
      </w:r>
      <w:r>
        <w:rPr>
          <w:rFonts w:ascii="Times New Roman;Times;serif" w:hAnsi="Times New Roman;Times;serif"/>
          <w:b/>
          <w:sz w:val="20"/>
        </w:rPr>
        <w:t>, 2026 AND 2025</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7" w:name="Tc_UNljezSpUECYR295X1ypBQ_28_0"/>
      <w:bookmarkStart w:id="128" w:name="Tc_s9dlWXPilUmNjZCfGqVj0w_27_0"/>
      <w:bookmarkStart w:id="129" w:name="Tc_SZWzFXQz3EWIrCQ0ABXtRg_26_0"/>
      <w:bookmarkStart w:id="130" w:name="Tc_JYMKxjI5TE2bnt1DG88SKg_24_11"/>
      <w:bookmarkStart w:id="131" w:name="Tc_tBJoQs2Gcku6VG2TKghgaQ_24_8"/>
      <w:bookmarkStart w:id="132" w:name="Tc_6TauIlnlc0O8RTdMls_xeA_24_5"/>
      <w:bookmarkStart w:id="133" w:name="Tc_Qnnp1WdMp0-EIdZ0jCuhug_24_2"/>
      <w:bookmarkStart w:id="134" w:name="Tc_aKfO1QyLEkyvXXOJy7EQSg_24_0"/>
      <w:bookmarkStart w:id="135" w:name="Tc_UF9ADMMnzECLA2ZwhBzY3w_23_11"/>
      <w:bookmarkStart w:id="136" w:name="Tc_tyuqHvCkck2G9UXDGA6sHg_23_8"/>
      <w:bookmarkStart w:id="137" w:name="Tc_i92ER3lJs0OZ30aqKlQ3Iw_23_5"/>
      <w:bookmarkStart w:id="138" w:name="Tc_ERZafM7iW0qMLPTtBGsc9A_23_2"/>
      <w:bookmarkStart w:id="139" w:name="Tc_Ib_L_co88kuK6Qin9OTdTA_23_0"/>
      <w:bookmarkStart w:id="140" w:name="Tc__U_AXERXD029khbTNCeQLA_22_0"/>
      <w:bookmarkStart w:id="141" w:name="Tc_KIWfr2yRyE6YfdJGSaE5sQ_20_11"/>
      <w:bookmarkStart w:id="142" w:name="Tc_2XZ3NBnxP0yEZTx3oP_QWw_20_8"/>
      <w:bookmarkStart w:id="143" w:name="Tc_0WuUhRxGrkmHQp2lHo2rOA_20_5"/>
      <w:bookmarkStart w:id="144" w:name="Tc_g0Ib8DVSeECqZhcsG3Scdw_20_2"/>
      <w:bookmarkStart w:id="145" w:name="Tc_sYBYpx3ry0SRTJMSeII5Ow_20_0"/>
      <w:bookmarkStart w:id="146" w:name="Tc_birtvDWdaUukeb1J0usFBg_18_0"/>
      <w:bookmarkStart w:id="147" w:name="Tc_6RoH966D2ku18BsPm4li6w_16_0"/>
      <w:bookmarkStart w:id="148" w:name="Tc_g3K86It1d0WS23v-7SLRrQ_14_0"/>
      <w:bookmarkStart w:id="149" w:name="Tc_YOqPYIUB60WZLTP-GOBW6w_12_0"/>
      <w:bookmarkStart w:id="150" w:name="Tc_5_oazaSTrUi9IXLPkeFxRQ_10_0"/>
      <w:bookmarkStart w:id="151" w:name="Tc_Pq54MIpR9EGzv0soy0J96g_8_0"/>
      <w:bookmarkStart w:id="152" w:name="Tc_S10a1xBqDEiliofUtMYz7g_6_0"/>
      <w:bookmarkStart w:id="153" w:name="Tc_E0osa5deF0WtjQvdZ2cVAQ_4_11"/>
      <w:bookmarkStart w:id="154" w:name="Tc_Jy4El2mDEUGukIHA4rtCLg_4_8"/>
      <w:bookmarkStart w:id="155" w:name="Tc_Q_w4MV-cg0y4nDpRYf8VEg_4_5"/>
      <w:bookmarkStart w:id="156" w:name="Tc_jrlB9tPeEE61n4pviOGmyQ_4_2"/>
      <w:bookmarkStart w:id="157" w:name="Tc_JC3p3cX6SkaezACyPjlnUA_4_0"/>
      <w:bookmarkStart w:id="158" w:name="Tc_VXB-RkLND0SDjkvZ6m4BHw_3_11"/>
      <w:bookmarkStart w:id="159" w:name="Tc_VqquHRCb_EujfrBc1wx_3w_3_8"/>
      <w:bookmarkStart w:id="160" w:name="Tc_uDzr_LwN6E2fafPMSy0mdg_3_5"/>
      <w:bookmarkStart w:id="161" w:name="Tc_14Pv98mQYkeQevPkbL3bjw_3_2"/>
      <w:bookmarkStart w:id="162" w:name="Tc_Dich4-MF7EOxDfqmkG7gNA_2_8"/>
      <w:bookmarkStart w:id="163" w:name="Tc_uu3v8frpxUWRMmS9MDRxtg_2_2"/>
      <w:bookmarkStart w:id="164" w:name="Tc_JmYaGOH4pUSDq5F-41swWw_1_8"/>
      <w:bookmarkStart w:id="165" w:name="Tc_TZKiIqra9EeMERPWhmEQZg_1_2"/>
      <w:bookmarkStart w:id="166" w:name="_e41ed53e_8063_4a6b_97b7_63b0959abaf8"/>
      <w:bookmarkStart w:id="167" w:name="Tc_UNljezSpUECYR295X1ypBQ_28_0"/>
      <w:bookmarkStart w:id="168" w:name="Tc_s9dlWXPilUmNjZCfGqVj0w_27_0"/>
      <w:bookmarkStart w:id="169" w:name="Tc_SZWzFXQz3EWIrCQ0ABXtRg_26_0"/>
      <w:bookmarkStart w:id="170" w:name="Tc_JYMKxjI5TE2bnt1DG88SKg_24_11"/>
      <w:bookmarkStart w:id="171" w:name="Tc_tBJoQs2Gcku6VG2TKghgaQ_24_8"/>
      <w:bookmarkStart w:id="172" w:name="Tc_6TauIlnlc0O8RTdMls_xeA_24_5"/>
      <w:bookmarkStart w:id="173" w:name="Tc_Qnnp1WdMp0-EIdZ0jCuhug_24_2"/>
      <w:bookmarkStart w:id="174" w:name="Tc_aKfO1QyLEkyvXXOJy7EQSg_24_0"/>
      <w:bookmarkStart w:id="175" w:name="Tc_UF9ADMMnzECLA2ZwhBzY3w_23_11"/>
      <w:bookmarkStart w:id="176" w:name="Tc_tyuqHvCkck2G9UXDGA6sHg_23_8"/>
      <w:bookmarkStart w:id="177" w:name="Tc_i92ER3lJs0OZ30aqKlQ3Iw_23_5"/>
      <w:bookmarkStart w:id="178" w:name="Tc_ERZafM7iW0qMLPTtBGsc9A_23_2"/>
      <w:bookmarkStart w:id="179" w:name="Tc_Ib_L_co88kuK6Qin9OTdTA_23_0"/>
      <w:bookmarkStart w:id="180" w:name="Tc__U_AXERXD029khbTNCeQLA_22_0"/>
      <w:bookmarkStart w:id="181" w:name="Tc_KIWfr2yRyE6YfdJGSaE5sQ_20_11"/>
      <w:bookmarkStart w:id="182" w:name="Tc_2XZ3NBnxP0yEZTx3oP_QWw_20_8"/>
      <w:bookmarkStart w:id="183" w:name="Tc_0WuUhRxGrkmHQp2lHo2rOA_20_5"/>
      <w:bookmarkStart w:id="184" w:name="Tc_g0Ib8DVSeECqZhcsG3Scdw_20_2"/>
      <w:bookmarkStart w:id="185" w:name="Tc_sYBYpx3ry0SRTJMSeII5Ow_20_0"/>
      <w:bookmarkStart w:id="186" w:name="Tc_birtvDWdaUukeb1J0usFBg_18_0"/>
      <w:bookmarkStart w:id="187" w:name="Tc_6RoH966D2ku18BsPm4li6w_16_0"/>
      <w:bookmarkStart w:id="188" w:name="Tc_g3K86It1d0WS23v-7SLRrQ_14_0"/>
      <w:bookmarkStart w:id="189" w:name="Tc_YOqPYIUB60WZLTP-GOBW6w_12_0"/>
      <w:bookmarkStart w:id="190" w:name="Tc_5_oazaSTrUi9IXLPkeFxRQ_10_0"/>
      <w:bookmarkStart w:id="191" w:name="Tc_Pq54MIpR9EGzv0soy0J96g_8_0"/>
      <w:bookmarkStart w:id="192" w:name="Tc_S10a1xBqDEiliofUtMYz7g_6_0"/>
      <w:bookmarkStart w:id="193" w:name="Tc_E0osa5deF0WtjQvdZ2cVAQ_4_11"/>
      <w:bookmarkStart w:id="194" w:name="Tc_Jy4El2mDEUGukIHA4rtCLg_4_8"/>
      <w:bookmarkStart w:id="195" w:name="Tc_Q_w4MV-cg0y4nDpRYf8VEg_4_5"/>
      <w:bookmarkStart w:id="196" w:name="Tc_jrlB9tPeEE61n4pviOGmyQ_4_2"/>
      <w:bookmarkStart w:id="197" w:name="Tc_JC3p3cX6SkaezACyPjlnUA_4_0"/>
      <w:bookmarkStart w:id="198" w:name="Tc_VXB-RkLND0SDjkvZ6m4BHw_3_11"/>
      <w:bookmarkStart w:id="199" w:name="Tc_VqquHRCb_EujfrBc1wx_3w_3_8"/>
      <w:bookmarkStart w:id="200" w:name="Tc_uDzr_LwN6E2fafPMSy0mdg_3_5"/>
      <w:bookmarkStart w:id="201" w:name="Tc_14Pv98mQYkeQevPkbL3bjw_3_2"/>
      <w:bookmarkStart w:id="202" w:name="Tc_Dich4-MF7EOxDfqmkG7gNA_2_8"/>
      <w:bookmarkStart w:id="203" w:name="Tc_uu3v8frpxUWRMmS9MDRxtg_2_2"/>
      <w:bookmarkStart w:id="204" w:name="Tc_JmYaGOH4pUSDq5F-41swWw_1_8"/>
      <w:bookmarkStart w:id="205" w:name="Tc_TZKiIqra9EeMERPWhmEQZg_1_2"/>
      <w:bookmarkStart w:id="206" w:name="_e41ed53e_8063_4a6b_97b7_63b0959abaf8"/>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10205" w:type="dxa"/>
        <w:jc w:val="left"/>
        <w:tblInd w:w="0" w:type="dxa"/>
        <w:tblLayout w:type="fixed"/>
        <w:tblCellMar>
          <w:top w:w="0" w:type="dxa"/>
          <w:left w:w="0" w:type="dxa"/>
          <w:bottom w:w="0" w:type="dxa"/>
          <w:right w:w="0" w:type="dxa"/>
        </w:tblCellMar>
      </w:tblPr>
      <w:tblGrid>
        <w:gridCol w:w="4688"/>
        <w:gridCol w:w="346"/>
        <w:gridCol w:w="196"/>
        <w:gridCol w:w="826"/>
        <w:gridCol w:w="346"/>
        <w:gridCol w:w="196"/>
        <w:gridCol w:w="826"/>
        <w:gridCol w:w="346"/>
        <w:gridCol w:w="196"/>
        <w:gridCol w:w="826"/>
        <w:gridCol w:w="346"/>
        <w:gridCol w:w="196"/>
        <w:gridCol w:w="871"/>
      </w:tblGrid>
      <w:tr>
        <w:trPr/>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76880" cy="175260"/>
                      <wp:effectExtent l="0" t="0" r="0" b="0"/>
                      <wp:wrapNone/>
                      <wp:docPr id="11" name="Frame11"/>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53085" cy="175260"/>
                      <wp:effectExtent l="0" t="0" r="0" b="0"/>
                      <wp:wrapNone/>
                      <wp:docPr id="22" name="Frame2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Six-Months Ended </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2,111,593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4,890,764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3,966,150</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1,117,839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935,180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2,177,781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1,741,775</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1,419,634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1,176,413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2,712,983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2,224,375</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679,192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544,791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1,242,582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1,023,008</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740,442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631,622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1,470,401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1,201,367</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23,337</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768,269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646,687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1,518,398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1,224,704</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292,917</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931,787</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68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0.95</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68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978,662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975,749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978,487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974,691</w:t>
            </w:r>
          </w:p>
        </w:tc>
      </w:tr>
      <w:tr>
        <w:trPr/>
        <w:tc>
          <w:tcPr>
            <w:tcW w:w="46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988,479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983,997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988,456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982,748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07" w:name="_110f7056_dbb2_4a57_8491_1a1f3a9308cd"/>
      <w:bookmarkEnd w:id="207"/>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08" w:name="STATEMENTSOFCOMPREHENSIVEINCOME_19420"/>
      <w:bookmarkEnd w:id="208"/>
      <w:r>
        <w:rPr>
          <w:rFonts w:ascii="Times New Roman;Times;serif" w:hAnsi="Times New Roman;Times;serif"/>
          <w:b/>
          <w:sz w:val="20"/>
        </w:rPr>
        <w:t>CONDENSED CONSOLIDATED STATEMENTS OF COMPREHENSIVE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 THREE- AND SIX</w:t>
      </w:r>
      <w:r>
        <w:rPr>
          <w:rFonts w:ascii="Times New Roman;Times;serif" w:hAnsi="Times New Roman;Times;serif"/>
          <w:b/>
          <w:color w:val="212529"/>
          <w:sz w:val="20"/>
          <w:shd w:fill="FFFFFF" w:val="clear"/>
        </w:rPr>
        <w:t>-MONTHS ENDED JUNE 30</w:t>
      </w:r>
      <w:r>
        <w:rPr>
          <w:rFonts w:ascii="Times New Roman;Times;serif" w:hAnsi="Times New Roman;Times;serif"/>
          <w:b/>
          <w:sz w:val="20"/>
        </w:rPr>
        <w:t>, 2026 AND 2025</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9" w:name="Tc_n0EO_U2UrEejXmMNCeih9A_10_11"/>
      <w:bookmarkStart w:id="210" w:name="Tc_Mhvid7O2W0GalooYHoX4XQ_10_8"/>
      <w:bookmarkStart w:id="211" w:name="Tc_lBV_l_q7QEakNPhjJTZlcg_10_5"/>
      <w:bookmarkStart w:id="212" w:name="Tc_yVM-uNs9vUKvC_heZKVitA_10_2"/>
      <w:bookmarkStart w:id="213" w:name="Tc_VbykppW350mF-uJJDZILQg_10_0"/>
      <w:bookmarkStart w:id="214" w:name="Tc_X6hJj3XBnk2xO-V8LT43uQ_9_0"/>
      <w:bookmarkStart w:id="215" w:name="Tc_VtiL7nMNAECkFf3QipasEA_8_0"/>
      <w:bookmarkStart w:id="216" w:name="Tc_hemp49zfJU-WHN4ujjg0Ug_7_0"/>
      <w:bookmarkStart w:id="217" w:name="Tc_4I12qbCdYka7X2MrtbM81Q_6_0"/>
      <w:bookmarkStart w:id="218" w:name="Tc_hnuq-zXjzk6r-BmSnK2ewA_5_0"/>
      <w:bookmarkStart w:id="219" w:name="Tc_tbs7CApcikCYj5UzEPqi5Q_4_11"/>
      <w:bookmarkStart w:id="220" w:name="Tc_zvHuldPxmEC60s0LJ_Ow7w_4_8"/>
      <w:bookmarkStart w:id="221" w:name="Tc_EX5ddqWHh0qElKsDsy56lg_4_5"/>
      <w:bookmarkStart w:id="222" w:name="Tc_hBo2BwbsCEavUNStS53VLQ_4_2"/>
      <w:bookmarkStart w:id="223" w:name="Tc_DYbonfBEP0C8JRdW7jp1oQ_4_0"/>
      <w:bookmarkStart w:id="224" w:name="Tc_pPhx64-x5E-HxZVWmav_xw_3_11"/>
      <w:bookmarkStart w:id="225" w:name="Tc_ORQ60jp93Uy3maP8ti_47w_3_8"/>
      <w:bookmarkStart w:id="226" w:name="Tc_-v7uTH1kYkWBKXVYDOVaXg_3_5"/>
      <w:bookmarkStart w:id="227" w:name="Tc_e-pKSOShJ0KPsXn25-tF_A_3_2"/>
      <w:bookmarkStart w:id="228" w:name="Tc_MTqtr2zqwkqX4Y8_5bqiGA_2_8"/>
      <w:bookmarkStart w:id="229" w:name="Tc_PqnGmEeSe0K9ek60HE-aug_2_2"/>
      <w:bookmarkStart w:id="230" w:name="Tc_1Xw7pIxNAUa0Jna2GjkXtw_1_8"/>
      <w:bookmarkStart w:id="231" w:name="Tc_sXfaBiFTXEyn7dYdDVyvog_1_2"/>
      <w:bookmarkStart w:id="232" w:name="_573ee5ac_a9bc_4816_916d_45e1e2716977"/>
      <w:bookmarkStart w:id="233" w:name="Tc_n0EO_U2UrEejXmMNCeih9A_10_11"/>
      <w:bookmarkStart w:id="234" w:name="Tc_Mhvid7O2W0GalooYHoX4XQ_10_8"/>
      <w:bookmarkStart w:id="235" w:name="Tc_lBV_l_q7QEakNPhjJTZlcg_10_5"/>
      <w:bookmarkStart w:id="236" w:name="Tc_yVM-uNs9vUKvC_heZKVitA_10_2"/>
      <w:bookmarkStart w:id="237" w:name="Tc_VbykppW350mF-uJJDZILQg_10_0"/>
      <w:bookmarkStart w:id="238" w:name="Tc_X6hJj3XBnk2xO-V8LT43uQ_9_0"/>
      <w:bookmarkStart w:id="239" w:name="Tc_VtiL7nMNAECkFf3QipasEA_8_0"/>
      <w:bookmarkStart w:id="240" w:name="Tc_hemp49zfJU-WHN4ujjg0Ug_7_0"/>
      <w:bookmarkStart w:id="241" w:name="Tc_4I12qbCdYka7X2MrtbM81Q_6_0"/>
      <w:bookmarkStart w:id="242" w:name="Tc_hnuq-zXjzk6r-BmSnK2ewA_5_0"/>
      <w:bookmarkStart w:id="243" w:name="Tc_tbs7CApcikCYj5UzEPqi5Q_4_11"/>
      <w:bookmarkStart w:id="244" w:name="Tc_zvHuldPxmEC60s0LJ_Ow7w_4_8"/>
      <w:bookmarkStart w:id="245" w:name="Tc_EX5ddqWHh0qElKsDsy56lg_4_5"/>
      <w:bookmarkStart w:id="246" w:name="Tc_hBo2BwbsCEavUNStS53VLQ_4_2"/>
      <w:bookmarkStart w:id="247" w:name="Tc_DYbonfBEP0C8JRdW7jp1oQ_4_0"/>
      <w:bookmarkStart w:id="248" w:name="Tc_pPhx64-x5E-HxZVWmav_xw_3_11"/>
      <w:bookmarkStart w:id="249" w:name="Tc_ORQ60jp93Uy3maP8ti_47w_3_8"/>
      <w:bookmarkStart w:id="250" w:name="Tc_-v7uTH1kYkWBKXVYDOVaXg_3_5"/>
      <w:bookmarkStart w:id="251" w:name="Tc_e-pKSOShJ0KPsXn25-tF_A_3_2"/>
      <w:bookmarkStart w:id="252" w:name="Tc_MTqtr2zqwkqX4Y8_5bqiGA_2_8"/>
      <w:bookmarkStart w:id="253" w:name="Tc_PqnGmEeSe0K9ek60HE-aug_2_2"/>
      <w:bookmarkStart w:id="254" w:name="Tc_1Xw7pIxNAUa0Jna2GjkXtw_1_8"/>
      <w:bookmarkStart w:id="255" w:name="Tc_sXfaBiFTXEyn7dYdDVyvog_1_2"/>
      <w:bookmarkStart w:id="256" w:name="_573ee5ac_a9bc_4816_916d_45e1e2716977"/>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4869"/>
        <w:gridCol w:w="346"/>
        <w:gridCol w:w="196"/>
        <w:gridCol w:w="719"/>
        <w:gridCol w:w="346"/>
        <w:gridCol w:w="196"/>
        <w:gridCol w:w="691"/>
        <w:gridCol w:w="346"/>
        <w:gridCol w:w="196"/>
        <w:gridCol w:w="826"/>
        <w:gridCol w:w="346"/>
        <w:gridCol w:w="196"/>
        <w:gridCol w:w="932"/>
      </w:tblGrid>
      <w:tr>
        <w:trPr/>
        <w:tc>
          <w:tcPr>
            <w:tcW w:w="4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091815" cy="175260"/>
                      <wp:effectExtent l="0" t="0" r="0" b="0"/>
                      <wp:wrapNone/>
                      <wp:docPr id="23" name="Frame23"/>
                      <a:graphic xmlns:a="http://schemas.openxmlformats.org/drawingml/2006/main">
                        <a:graphicData uri="http://schemas.microsoft.com/office/word/2010/wordprocessingShape">
                          <wps:wsp>
                            <wps:cNvSpPr txBox="1"/>
                            <wps:spPr>
                              <a:xfrm>
                                <a:off x="0" y="0"/>
                                <a:ext cx="309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56565" cy="175260"/>
                      <wp:effectExtent l="0" t="0" r="0" b="0"/>
                      <wp:wrapNone/>
                      <wp:docPr id="25" name="Frame2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820" cy="175260"/>
                      <wp:effectExtent l="0" t="0" r="0" b="0"/>
                      <wp:wrapNone/>
                      <wp:docPr id="34" name="Frame3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46" w:type="dxa"/>
            <w:tcBorders/>
            <w:vAlign w:val="center"/>
          </w:tcPr>
          <w:p>
            <w:pPr>
              <w:pStyle w:val="TableContents"/>
              <w:bidi w:val="0"/>
              <w:spacing w:before="0" w:after="0"/>
              <w:ind w:left="0" w:right="0" w:hanging="0"/>
              <w:jc w:val="center"/>
              <w:rPr/>
            </w:pPr>
            <w:r>
              <w:rPr/>
              <w:t>  ​ ​ ​</w:t>
            </w:r>
          </w:p>
        </w:tc>
        <w:tc>
          <w:tcPr>
            <w:tcW w:w="2496"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Six-Months Ended </w:t>
            </w:r>
          </w:p>
        </w:tc>
      </w:tr>
      <w:tr>
        <w:trPr/>
        <w:tc>
          <w:tcPr>
            <w:tcW w:w="48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24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8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931,787</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164,730</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unrealized gain (loss) on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gain (loss) on 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13,236</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178,179</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Comprehensive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541,030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600,432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1,102,020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1,109,966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b/>
          <w:sz w:val="20"/>
        </w:rPr>
      </w:pPr>
      <w:bookmarkStart w:id="257" w:name="_ff4cfbf4_93f0_4bcc_a6d5_b20004cc9108"/>
      <w:bookmarkEnd w:id="257"/>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258" w:name="STATEMENTSOFSTOCKHOLDERSEQUITY_603690"/>
      <w:bookmarkEnd w:id="258"/>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FOR THE THREE</w:t>
      </w:r>
      <w:r>
        <w:rPr>
          <w:rFonts w:ascii="Times New Roman;Times;serif" w:hAnsi="Times New Roman;Times;serif"/>
          <w:b/>
          <w:color w:val="212529"/>
          <w:sz w:val="20"/>
          <w:shd w:fill="FFFFFF" w:val="clear"/>
        </w:rPr>
        <w:t>- AND SIX-MONTHS ENDED JUNE 30</w:t>
      </w:r>
      <w:r>
        <w:rPr>
          <w:rFonts w:ascii="Times New Roman;Times;serif" w:hAnsi="Times New Roman;Times;serif"/>
          <w:b/>
          <w:sz w:val="20"/>
        </w:rPr>
        <w:t>, 2026 AND 2025</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9" w:name="Tc_lundqmMVaUq1vCZy29UwFg_23_21"/>
      <w:bookmarkStart w:id="260" w:name="Tc_cief7Ez63EykF-QwyyZJfw_23_18"/>
      <w:bookmarkStart w:id="261" w:name="Tc_LYOkhBzPMUiygSyR0nTQ-Q_23_13"/>
      <w:bookmarkStart w:id="262" w:name="Tc_aa6xISTZqk-uIkjdqqIeFA_23_10"/>
      <w:bookmarkStart w:id="263" w:name="Tc_ticT65xcS0eA8tufLCOwrQ_23_7"/>
      <w:bookmarkStart w:id="264" w:name="Tc_1DVnvmu5j0GR4JHLXQZuUQ_23_4"/>
      <w:bookmarkStart w:id="265" w:name="Tc_-AaXS73tyE2loGvQu5l7Ig_23_0"/>
      <w:bookmarkStart w:id="266" w:name="Tc_IRtYTZUhZU2xmrgxuzImVQ_22_19"/>
      <w:bookmarkStart w:id="267" w:name="Tc_K6wYMhuYCkiIP2upGxfE2Q_22_16"/>
      <w:bookmarkStart w:id="268" w:name="Tc_Q7aVI7SVmUSgCk8xzXObwQ_22_14"/>
      <w:bookmarkStart w:id="269" w:name="Tc_leA-KIRiRUmlvDqUZaHxzA_22_8"/>
      <w:bookmarkStart w:id="270" w:name="Tc_NyUAmKW6jkCIpMOygaCViQ_22_5"/>
      <w:bookmarkStart w:id="271" w:name="Tc_nKPWBfoZp0W0Z0ePBUwO8Q_22_2"/>
      <w:bookmarkStart w:id="272" w:name="Tc_xEa5grodJkeiz4NOf7_lQg_22_0"/>
      <w:bookmarkStart w:id="273" w:name="Tc_WHRmkp3fc06_DCdrMCk3kg_21_19"/>
      <w:bookmarkStart w:id="274" w:name="Tc_fvm0mEg8cEeEnxipe6xj_Q_21_16"/>
      <w:bookmarkStart w:id="275" w:name="Tc_VrCeMf6uq0iAS1T_Z_fRoQ_21_11"/>
      <w:bookmarkStart w:id="276" w:name="Tc_S5AGvEETMUiRurvlvXyKcw_21_8"/>
      <w:bookmarkStart w:id="277" w:name="Tc_qZBUI71wo0iSqDPqten6sA_21_5"/>
      <w:bookmarkStart w:id="278" w:name="Tc_66Wrz24ltUCj6HXvpGZf-A_21_2"/>
      <w:bookmarkStart w:id="279" w:name="Tc_ET3_E_tfu0qG6Z91owyfOw_21_0"/>
      <w:bookmarkStart w:id="280" w:name="Tc_-kwGsCUQ50m3a5mE9XK7Rg_20_19"/>
      <w:bookmarkStart w:id="281" w:name="Tc_2jg-1qY8N0Ch7neRpIdkXQ_20_16"/>
      <w:bookmarkStart w:id="282" w:name="Tc_t60V7633wUODCB2lHcKXYw_20_11"/>
      <w:bookmarkStart w:id="283" w:name="Tc_Zoxf18KSsEG1iTmRVFlfsQ_20_8"/>
      <w:bookmarkStart w:id="284" w:name="Tc_c0mYhDuBb0m3f2RyAcBSqg_20_5"/>
      <w:bookmarkStart w:id="285" w:name="Tc_VgfaWd0AOU6j_rW0bX7bGA_20_2"/>
      <w:bookmarkStart w:id="286" w:name="Tc_azw656MEoEa6QcKtEJ_CAA_20_0"/>
      <w:bookmarkStart w:id="287" w:name="Tc_AoFbmo9epUuLVnYtp-UABg_19_14"/>
      <w:bookmarkStart w:id="288" w:name="Tc_dh9DhmlgA0CU2eL0QmQiXQ_19_11"/>
      <w:bookmarkStart w:id="289" w:name="Tc_JNDr7yo6c0GnnhJI6JYD-w_19_8"/>
      <w:bookmarkStart w:id="290" w:name="Tc_WVxE2FzCOUOp_Bz5Z-1KpQ_19_5"/>
      <w:bookmarkStart w:id="291" w:name="Tc_RyuV5xjYPUuqOS7Et0mclA_19_2"/>
      <w:bookmarkStart w:id="292" w:name="Tc_eebm0VI3GUOTmR3042M8Zw_19_0"/>
      <w:bookmarkStart w:id="293" w:name="Tc_S9J0Ax5oV0WEbfat1ku-5A_18_19"/>
      <w:bookmarkStart w:id="294" w:name="Tc_IebNMWRJGEmqayse_vq30g_18_16"/>
      <w:bookmarkStart w:id="295" w:name="Tc_Tp9S-VgmmEKUg-pRkSOeEg_18_11"/>
      <w:bookmarkStart w:id="296" w:name="Tc_g7xNlmVfKkiOro6riOGaPg_18_8"/>
      <w:bookmarkStart w:id="297" w:name="Tc_LRc3qpgwh0Sp5mpe_STMWQ_18_5"/>
      <w:bookmarkStart w:id="298" w:name="Tc_gBRIjcESYU-i1vgkEJiiaw_18_2"/>
      <w:bookmarkStart w:id="299" w:name="Tc_tS-ibbD9ekmbiH4PO0bMrA_18_0"/>
      <w:bookmarkStart w:id="300" w:name="Tc_V8hMzOJOxEGJi88Wu5RVEA_17_19"/>
      <w:bookmarkStart w:id="301" w:name="Tc_YbAEzcHsP0uUDRQU8Veo4A_17_16"/>
      <w:bookmarkStart w:id="302" w:name="Tc_bPs6ZdLDjkezHvZ3TqESYw_17_14"/>
      <w:bookmarkStart w:id="303" w:name="Tc_F4Oag6ycKE2x5thtpgTrqg_17_11"/>
      <w:bookmarkStart w:id="304" w:name="Tc_PL7mchFOk0GtnvZ6k-pfvQ_17_0"/>
      <w:bookmarkStart w:id="305" w:name="Tc_HwVqeE-Dg0eSoJb2wbuwkA_16_19"/>
      <w:bookmarkStart w:id="306" w:name="Tc_FaKgk1Jku0Se0DhwdAThBg_16_16"/>
      <w:bookmarkStart w:id="307" w:name="Tc_cDiOPvGRAka8dwcjdS7pXQ_16_14"/>
      <w:bookmarkStart w:id="308" w:name="Tc_sxqP7j0SHE6dvr66VqFTSQ_16_11"/>
      <w:bookmarkStart w:id="309" w:name="Tc_wUAkFdYvukuQve9DQ_yxzw_16_5"/>
      <w:bookmarkStart w:id="310" w:name="Tc_wHJERfKA1ky3zsXM7pnInQ_16_2"/>
      <w:bookmarkStart w:id="311" w:name="Tc_oQDxFXVfqke3qpMbIVua5g_16_0"/>
      <w:bookmarkStart w:id="312" w:name="Tc_m51v054F40yk2chv_FPsng_14_21"/>
      <w:bookmarkStart w:id="313" w:name="Tc_NFyFwIS9GkKFewisJsWAHg_14_18"/>
      <w:bookmarkStart w:id="314" w:name="Tc_q8SRi3UM_EyyhIQvduNx-w_14_13"/>
      <w:bookmarkStart w:id="315" w:name="Tc_lhXM5NTe_E2lkNCTFi4BiA_14_10"/>
      <w:bookmarkStart w:id="316" w:name="Tc_elb9rCyCfUWfQFZp_zSZhA_14_7"/>
      <w:bookmarkStart w:id="317" w:name="Tc_e86DETEGQE-dUvN5pex69Q_14_4"/>
      <w:bookmarkStart w:id="318" w:name="Tc_InyKk7ZojUulFCJDFOQOwg_14_0"/>
      <w:bookmarkStart w:id="319" w:name="Tc_E3S26xxCmk-9D8t5AN8yZQ_13_19"/>
      <w:bookmarkStart w:id="320" w:name="Tc_Wh8_Wb5hLkuMJDRLN8bl8Q_13_16"/>
      <w:bookmarkStart w:id="321" w:name="Tc_2TrqfBJ7oEqYmDhGB22SyQ_13_14"/>
      <w:bookmarkStart w:id="322" w:name="Tc_Zp-OkMiqkEqMX9HnEr_ryg_13_8"/>
      <w:bookmarkStart w:id="323" w:name="Tc_EPLlRltiqU6KG8RBBiDRIg_13_5"/>
      <w:bookmarkStart w:id="324" w:name="Tc_hidXFhluUkmX_lxPncZ4wA_13_2"/>
      <w:bookmarkStart w:id="325" w:name="Tc_xtNqJmigZky0nGNFNAnJcQ_13_0"/>
      <w:bookmarkStart w:id="326" w:name="Tc_uEG2_xYDakmCDqO_pLehIA_12_19"/>
      <w:bookmarkStart w:id="327" w:name="Tc_N5QpyOApaU-lUlvPFBvW-A_12_16"/>
      <w:bookmarkStart w:id="328" w:name="Tc_sItP8jX6h0mhKAS67TqWkA_12_11"/>
      <w:bookmarkStart w:id="329" w:name="Tc_oMl50zLhHk2NohUsszA_uA_12_8"/>
      <w:bookmarkStart w:id="330" w:name="Tc_TD8M4F_oJUia3fxO2_E8aQ_12_5"/>
      <w:bookmarkStart w:id="331" w:name="Tc_Wem9IeuUh0qvgZpn4cnGLw_12_2"/>
      <w:bookmarkStart w:id="332" w:name="Tc_JUOAJIdfG0ui4Z9BVwSa1A_12_0"/>
      <w:bookmarkStart w:id="333" w:name="Tc_JGqnAcosJU6UPcor8e-aaQ_11_19"/>
      <w:bookmarkStart w:id="334" w:name="Tc_JAi-p5fpXkuvki5OY1qoHQ_11_16"/>
      <w:bookmarkStart w:id="335" w:name="Tc_2TVFRdLhAEaQqK9haWs5gQ_11_11"/>
      <w:bookmarkStart w:id="336" w:name="Tc__Rh8b1MQak6BtdlQMLeT3Q_11_8"/>
      <w:bookmarkStart w:id="337" w:name="Tc_KTKZG1Pb_UqlV_bzfuuauw_11_5"/>
      <w:bookmarkStart w:id="338" w:name="Tc_9aKq3fk94USHPPBtLW3x7g_11_2"/>
      <w:bookmarkStart w:id="339" w:name="Tc_6Ss2ss304kmfVwkmMaIaRw_11_0"/>
      <w:bookmarkStart w:id="340" w:name="Tc_RJpH0WtT6U6qiJ-yh6tEZw_10_14"/>
      <w:bookmarkStart w:id="341" w:name="Tc_msXnTnt89U-O8zioyQv7Iw_10_11"/>
      <w:bookmarkStart w:id="342" w:name="Tc_ojjA4hWObkeMh4CJjehE7A_10_8"/>
      <w:bookmarkStart w:id="343" w:name="Tc_cQD0zaKUQ0Su-DyZ5InhkA_10_5"/>
      <w:bookmarkStart w:id="344" w:name="Tc_DMqg3FZFHkWHCJfvp-0kdA_10_2"/>
      <w:bookmarkStart w:id="345" w:name="Tc_1-RrlYqYYk295Y4xkFZ-Ww_10_0"/>
      <w:bookmarkStart w:id="346" w:name="Tc_X6Fu4vi1F0GnHozr0XBKBg_9_19"/>
      <w:bookmarkStart w:id="347" w:name="Tc_0wdyCIg9Z0C91rTGz7HQeg_9_16"/>
      <w:bookmarkStart w:id="348" w:name="Tc_QHK02j_QJU2GRWgIGM9KrA_9_11"/>
      <w:bookmarkStart w:id="349" w:name="Tc__xPuoS5BKki5aZlWVmlcoQ_9_8"/>
      <w:bookmarkStart w:id="350" w:name="Tc_DC536yblWUiqq1lwtXlAxw_9_5"/>
      <w:bookmarkStart w:id="351" w:name="Tc_N3cQbot91Uim3a6W8mRweA_9_2"/>
      <w:bookmarkStart w:id="352" w:name="Tc_x_6NLAoxskiu_ET7D-ENNg_9_0"/>
      <w:bookmarkStart w:id="353" w:name="Tc_xXf2mjnE2Uqw_QOtnTXAmg_8_19"/>
      <w:bookmarkStart w:id="354" w:name="Tc_57uL0EllxkOI4Xkdbbc5ew_8_16"/>
      <w:bookmarkStart w:id="355" w:name="Tc_a7qo-FrmE0K_uSJKlDy-Uw_8_14"/>
      <w:bookmarkStart w:id="356" w:name="Tc_1EfVntpg-kuanT0Zvz61Ug_8_11"/>
      <w:bookmarkStart w:id="357" w:name="Tc__nmbcG_tKkeWWNklBjWZtg_8_0"/>
      <w:bookmarkStart w:id="358" w:name="Tc_Etf8ETokLUmJFwtgORU6eg_7_19"/>
      <w:bookmarkStart w:id="359" w:name="Tc_w-n7f4M9Y0uCo8nNgNIoqA_7_16"/>
      <w:bookmarkStart w:id="360" w:name="Tc_CTs_K-xxn0irIPxa4S5W2A_7_14"/>
      <w:bookmarkStart w:id="361" w:name="Tc_UA-MCcYq8kO3MEEX6U2ekw_7_11"/>
      <w:bookmarkStart w:id="362" w:name="Tc_lfohDdlPykyQ1F15ZpANYw_7_5"/>
      <w:bookmarkStart w:id="363" w:name="Tc_yrUE8XRK30i_DEiEs3ALuA_7_2"/>
      <w:bookmarkStart w:id="364" w:name="Tc__7Z3KAVUMEqDqPJeDkxhHA_7_0"/>
      <w:bookmarkStart w:id="365" w:name="Tc_qMQNIZC7i0OYd2LaXAW4qg_5_21"/>
      <w:bookmarkStart w:id="366" w:name="Tc_M4N7bwDoRUiUY1j9_lshrw_5_18"/>
      <w:bookmarkStart w:id="367" w:name="Tc_JBvMp330IEyNFktUmA-yLw_5_13"/>
      <w:bookmarkStart w:id="368" w:name="Tc_SeEFOM3XCEqnFGH5lenAyg_5_10"/>
      <w:bookmarkStart w:id="369" w:name="Tc_k_07-QmZhUOQ4EfrGXVkCA_5_7"/>
      <w:bookmarkStart w:id="370" w:name="Tc_LvrlMkS8BUyw88uDB8trKg_5_4"/>
      <w:bookmarkStart w:id="371" w:name="Tc_1xBJDjPiEEyNjp0k0dF6Ow_5_0"/>
      <w:bookmarkStart w:id="372" w:name="Tc_ACwUkrqThEiVdap7pRjwjw_4_21"/>
      <w:bookmarkStart w:id="373" w:name="Tc_nbR-wHZP_EyaQjRXpw9hBw_4_18"/>
      <w:bookmarkStart w:id="374" w:name="Tc_wU_XtZqaQkq-JsExPLDEkw_4_16"/>
      <w:bookmarkStart w:id="375" w:name="Tc_u3iE74iR6k-pzQEs-TNyhw_4_13"/>
      <w:bookmarkStart w:id="376" w:name="Tc_gRWxJjbf6U6JfL6-h4jTrQ_4_10"/>
      <w:bookmarkStart w:id="377" w:name="Tc_pX98kx2_CUe9BCLMfo9KWg_4_7"/>
      <w:bookmarkStart w:id="378" w:name="Tc_bGlyLa_sC06OY9NSnVf7xw_4_4"/>
      <w:bookmarkStart w:id="379" w:name="Tc_VTueFsiOhEOJFoOfZyW5CA_4_2"/>
      <w:bookmarkStart w:id="380" w:name="Tc_X9BC0peMK0ucmKF-9_B1Hw_3_21"/>
      <w:bookmarkStart w:id="381" w:name="Tc_SI21rqqbVEarQSg6BIXTEQ_3_16"/>
      <w:bookmarkStart w:id="382" w:name="Tc_QrIgLbgONUOHOeg6KBu_Lg_3_13"/>
      <w:bookmarkStart w:id="383" w:name="Tc_HPtnRCNbskmUbD78R-6oRA_3_10"/>
      <w:bookmarkStart w:id="384" w:name="Tc__NblhrVmvU-FqUxmHPZUtg_3_7"/>
      <w:bookmarkStart w:id="385" w:name="Tc_kQGL5JdmtkunsgWlKiPcjA_3_2"/>
      <w:bookmarkStart w:id="386" w:name="Tc_KFcDc0H9D0iE2IDLsRqKrQ_2_21"/>
      <w:bookmarkStart w:id="387" w:name="Tc_7sdXwwBqQEOouACBsAxKXQ_2_13"/>
      <w:bookmarkStart w:id="388" w:name="Tc_kpA-i15NekiJHtC-8ZgfSA_2_7"/>
      <w:bookmarkStart w:id="389" w:name="Tc_FMM_sh1B6UyJkyFDlHuOdQ_1_13"/>
      <w:bookmarkStart w:id="390" w:name="_f30de4c4_50e8_4b76_95e7_5cf508d24da9"/>
      <w:bookmarkStart w:id="391" w:name="Tc_lundqmMVaUq1vCZy29UwFg_23_21"/>
      <w:bookmarkStart w:id="392" w:name="Tc_cief7Ez63EykF-QwyyZJfw_23_18"/>
      <w:bookmarkStart w:id="393" w:name="Tc_LYOkhBzPMUiygSyR0nTQ-Q_23_13"/>
      <w:bookmarkStart w:id="394" w:name="Tc_aa6xISTZqk-uIkjdqqIeFA_23_10"/>
      <w:bookmarkStart w:id="395" w:name="Tc_ticT65xcS0eA8tufLCOwrQ_23_7"/>
      <w:bookmarkStart w:id="396" w:name="Tc_1DVnvmu5j0GR4JHLXQZuUQ_23_4"/>
      <w:bookmarkStart w:id="397" w:name="Tc_-AaXS73tyE2loGvQu5l7Ig_23_0"/>
      <w:bookmarkStart w:id="398" w:name="Tc_IRtYTZUhZU2xmrgxuzImVQ_22_19"/>
      <w:bookmarkStart w:id="399" w:name="Tc_K6wYMhuYCkiIP2upGxfE2Q_22_16"/>
      <w:bookmarkStart w:id="400" w:name="Tc_Q7aVI7SVmUSgCk8xzXObwQ_22_14"/>
      <w:bookmarkStart w:id="401" w:name="Tc_leA-KIRiRUmlvDqUZaHxzA_22_8"/>
      <w:bookmarkStart w:id="402" w:name="Tc_NyUAmKW6jkCIpMOygaCViQ_22_5"/>
      <w:bookmarkStart w:id="403" w:name="Tc_nKPWBfoZp0W0Z0ePBUwO8Q_22_2"/>
      <w:bookmarkStart w:id="404" w:name="Tc_xEa5grodJkeiz4NOf7_lQg_22_0"/>
      <w:bookmarkStart w:id="405" w:name="Tc_WHRmkp3fc06_DCdrMCk3kg_21_19"/>
      <w:bookmarkStart w:id="406" w:name="Tc_fvm0mEg8cEeEnxipe6xj_Q_21_16"/>
      <w:bookmarkStart w:id="407" w:name="Tc_VrCeMf6uq0iAS1T_Z_fRoQ_21_11"/>
      <w:bookmarkStart w:id="408" w:name="Tc_S5AGvEETMUiRurvlvXyKcw_21_8"/>
      <w:bookmarkStart w:id="409" w:name="Tc_qZBUI71wo0iSqDPqten6sA_21_5"/>
      <w:bookmarkStart w:id="410" w:name="Tc_66Wrz24ltUCj6HXvpGZf-A_21_2"/>
      <w:bookmarkStart w:id="411" w:name="Tc_ET3_E_tfu0qG6Z91owyfOw_21_0"/>
      <w:bookmarkStart w:id="412" w:name="Tc_-kwGsCUQ50m3a5mE9XK7Rg_20_19"/>
      <w:bookmarkStart w:id="413" w:name="Tc_2jg-1qY8N0Ch7neRpIdkXQ_20_16"/>
      <w:bookmarkStart w:id="414" w:name="Tc_t60V7633wUODCB2lHcKXYw_20_11"/>
      <w:bookmarkStart w:id="415" w:name="Tc_Zoxf18KSsEG1iTmRVFlfsQ_20_8"/>
      <w:bookmarkStart w:id="416" w:name="Tc_c0mYhDuBb0m3f2RyAcBSqg_20_5"/>
      <w:bookmarkStart w:id="417" w:name="Tc_VgfaWd0AOU6j_rW0bX7bGA_20_2"/>
      <w:bookmarkStart w:id="418" w:name="Tc_azw656MEoEa6QcKtEJ_CAA_20_0"/>
      <w:bookmarkStart w:id="419" w:name="Tc_AoFbmo9epUuLVnYtp-UABg_19_14"/>
      <w:bookmarkStart w:id="420" w:name="Tc_dh9DhmlgA0CU2eL0QmQiXQ_19_11"/>
      <w:bookmarkStart w:id="421" w:name="Tc_JNDr7yo6c0GnnhJI6JYD-w_19_8"/>
      <w:bookmarkStart w:id="422" w:name="Tc_WVxE2FzCOUOp_Bz5Z-1KpQ_19_5"/>
      <w:bookmarkStart w:id="423" w:name="Tc_RyuV5xjYPUuqOS7Et0mclA_19_2"/>
      <w:bookmarkStart w:id="424" w:name="Tc_eebm0VI3GUOTmR3042M8Zw_19_0"/>
      <w:bookmarkStart w:id="425" w:name="Tc_S9J0Ax5oV0WEbfat1ku-5A_18_19"/>
      <w:bookmarkStart w:id="426" w:name="Tc_IebNMWRJGEmqayse_vq30g_18_16"/>
      <w:bookmarkStart w:id="427" w:name="Tc_Tp9S-VgmmEKUg-pRkSOeEg_18_11"/>
      <w:bookmarkStart w:id="428" w:name="Tc_g7xNlmVfKkiOro6riOGaPg_18_8"/>
      <w:bookmarkStart w:id="429" w:name="Tc_LRc3qpgwh0Sp5mpe_STMWQ_18_5"/>
      <w:bookmarkStart w:id="430" w:name="Tc_gBRIjcESYU-i1vgkEJiiaw_18_2"/>
      <w:bookmarkStart w:id="431" w:name="Tc_tS-ibbD9ekmbiH4PO0bMrA_18_0"/>
      <w:bookmarkStart w:id="432" w:name="Tc_V8hMzOJOxEGJi88Wu5RVEA_17_19"/>
      <w:bookmarkStart w:id="433" w:name="Tc_YbAEzcHsP0uUDRQU8Veo4A_17_16"/>
      <w:bookmarkStart w:id="434" w:name="Tc_bPs6ZdLDjkezHvZ3TqESYw_17_14"/>
      <w:bookmarkStart w:id="435" w:name="Tc_F4Oag6ycKE2x5thtpgTrqg_17_11"/>
      <w:bookmarkStart w:id="436" w:name="Tc_PL7mchFOk0GtnvZ6k-pfvQ_17_0"/>
      <w:bookmarkStart w:id="437" w:name="Tc_HwVqeE-Dg0eSoJb2wbuwkA_16_19"/>
      <w:bookmarkStart w:id="438" w:name="Tc_FaKgk1Jku0Se0DhwdAThBg_16_16"/>
      <w:bookmarkStart w:id="439" w:name="Tc_cDiOPvGRAka8dwcjdS7pXQ_16_14"/>
      <w:bookmarkStart w:id="440" w:name="Tc_sxqP7j0SHE6dvr66VqFTSQ_16_11"/>
      <w:bookmarkStart w:id="441" w:name="Tc_wUAkFdYvukuQve9DQ_yxzw_16_5"/>
      <w:bookmarkStart w:id="442" w:name="Tc_wHJERfKA1ky3zsXM7pnInQ_16_2"/>
      <w:bookmarkStart w:id="443" w:name="Tc_oQDxFXVfqke3qpMbIVua5g_16_0"/>
      <w:bookmarkStart w:id="444" w:name="Tc_m51v054F40yk2chv_FPsng_14_21"/>
      <w:bookmarkStart w:id="445" w:name="Tc_NFyFwIS9GkKFewisJsWAHg_14_18"/>
      <w:bookmarkStart w:id="446" w:name="Tc_q8SRi3UM_EyyhIQvduNx-w_14_13"/>
      <w:bookmarkStart w:id="447" w:name="Tc_lhXM5NTe_E2lkNCTFi4BiA_14_10"/>
      <w:bookmarkStart w:id="448" w:name="Tc_elb9rCyCfUWfQFZp_zSZhA_14_7"/>
      <w:bookmarkStart w:id="449" w:name="Tc_e86DETEGQE-dUvN5pex69Q_14_4"/>
      <w:bookmarkStart w:id="450" w:name="Tc_InyKk7ZojUulFCJDFOQOwg_14_0"/>
      <w:bookmarkStart w:id="451" w:name="Tc_E3S26xxCmk-9D8t5AN8yZQ_13_19"/>
      <w:bookmarkStart w:id="452" w:name="Tc_Wh8_Wb5hLkuMJDRLN8bl8Q_13_16"/>
      <w:bookmarkStart w:id="453" w:name="Tc_2TrqfBJ7oEqYmDhGB22SyQ_13_14"/>
      <w:bookmarkStart w:id="454" w:name="Tc_Zp-OkMiqkEqMX9HnEr_ryg_13_8"/>
      <w:bookmarkStart w:id="455" w:name="Tc_EPLlRltiqU6KG8RBBiDRIg_13_5"/>
      <w:bookmarkStart w:id="456" w:name="Tc_hidXFhluUkmX_lxPncZ4wA_13_2"/>
      <w:bookmarkStart w:id="457" w:name="Tc_xtNqJmigZky0nGNFNAnJcQ_13_0"/>
      <w:bookmarkStart w:id="458" w:name="Tc_uEG2_xYDakmCDqO_pLehIA_12_19"/>
      <w:bookmarkStart w:id="459" w:name="Tc_N5QpyOApaU-lUlvPFBvW-A_12_16"/>
      <w:bookmarkStart w:id="460" w:name="Tc_sItP8jX6h0mhKAS67TqWkA_12_11"/>
      <w:bookmarkStart w:id="461" w:name="Tc_oMl50zLhHk2NohUsszA_uA_12_8"/>
      <w:bookmarkStart w:id="462" w:name="Tc_TD8M4F_oJUia3fxO2_E8aQ_12_5"/>
      <w:bookmarkStart w:id="463" w:name="Tc_Wem9IeuUh0qvgZpn4cnGLw_12_2"/>
      <w:bookmarkStart w:id="464" w:name="Tc_JUOAJIdfG0ui4Z9BVwSa1A_12_0"/>
      <w:bookmarkStart w:id="465" w:name="Tc_JGqnAcosJU6UPcor8e-aaQ_11_19"/>
      <w:bookmarkStart w:id="466" w:name="Tc_JAi-p5fpXkuvki5OY1qoHQ_11_16"/>
      <w:bookmarkStart w:id="467" w:name="Tc_2TVFRdLhAEaQqK9haWs5gQ_11_11"/>
      <w:bookmarkStart w:id="468" w:name="Tc__Rh8b1MQak6BtdlQMLeT3Q_11_8"/>
      <w:bookmarkStart w:id="469" w:name="Tc_KTKZG1Pb_UqlV_bzfuuauw_11_5"/>
      <w:bookmarkStart w:id="470" w:name="Tc_9aKq3fk94USHPPBtLW3x7g_11_2"/>
      <w:bookmarkStart w:id="471" w:name="Tc_6Ss2ss304kmfVwkmMaIaRw_11_0"/>
      <w:bookmarkStart w:id="472" w:name="Tc_RJpH0WtT6U6qiJ-yh6tEZw_10_14"/>
      <w:bookmarkStart w:id="473" w:name="Tc_msXnTnt89U-O8zioyQv7Iw_10_11"/>
      <w:bookmarkStart w:id="474" w:name="Tc_ojjA4hWObkeMh4CJjehE7A_10_8"/>
      <w:bookmarkStart w:id="475" w:name="Tc_cQD0zaKUQ0Su-DyZ5InhkA_10_5"/>
      <w:bookmarkStart w:id="476" w:name="Tc_DMqg3FZFHkWHCJfvp-0kdA_10_2"/>
      <w:bookmarkStart w:id="477" w:name="Tc_1-RrlYqYYk295Y4xkFZ-Ww_10_0"/>
      <w:bookmarkStart w:id="478" w:name="Tc_X6Fu4vi1F0GnHozr0XBKBg_9_19"/>
      <w:bookmarkStart w:id="479" w:name="Tc_0wdyCIg9Z0C91rTGz7HQeg_9_16"/>
      <w:bookmarkStart w:id="480" w:name="Tc_QHK02j_QJU2GRWgIGM9KrA_9_11"/>
      <w:bookmarkStart w:id="481" w:name="Tc__xPuoS5BKki5aZlWVmlcoQ_9_8"/>
      <w:bookmarkStart w:id="482" w:name="Tc_DC536yblWUiqq1lwtXlAxw_9_5"/>
      <w:bookmarkStart w:id="483" w:name="Tc_N3cQbot91Uim3a6W8mRweA_9_2"/>
      <w:bookmarkStart w:id="484" w:name="Tc_x_6NLAoxskiu_ET7D-ENNg_9_0"/>
      <w:bookmarkStart w:id="485" w:name="Tc_xXf2mjnE2Uqw_QOtnTXAmg_8_19"/>
      <w:bookmarkStart w:id="486" w:name="Tc_57uL0EllxkOI4Xkdbbc5ew_8_16"/>
      <w:bookmarkStart w:id="487" w:name="Tc_a7qo-FrmE0K_uSJKlDy-Uw_8_14"/>
      <w:bookmarkStart w:id="488" w:name="Tc_1EfVntpg-kuanT0Zvz61Ug_8_11"/>
      <w:bookmarkStart w:id="489" w:name="Tc__nmbcG_tKkeWWNklBjWZtg_8_0"/>
      <w:bookmarkStart w:id="490" w:name="Tc_Etf8ETokLUmJFwtgORU6eg_7_19"/>
      <w:bookmarkStart w:id="491" w:name="Tc_w-n7f4M9Y0uCo8nNgNIoqA_7_16"/>
      <w:bookmarkStart w:id="492" w:name="Tc_CTs_K-xxn0irIPxa4S5W2A_7_14"/>
      <w:bookmarkStart w:id="493" w:name="Tc_UA-MCcYq8kO3MEEX6U2ekw_7_11"/>
      <w:bookmarkStart w:id="494" w:name="Tc_lfohDdlPykyQ1F15ZpANYw_7_5"/>
      <w:bookmarkStart w:id="495" w:name="Tc_yrUE8XRK30i_DEiEs3ALuA_7_2"/>
      <w:bookmarkStart w:id="496" w:name="Tc__7Z3KAVUMEqDqPJeDkxhHA_7_0"/>
      <w:bookmarkStart w:id="497" w:name="Tc_qMQNIZC7i0OYd2LaXAW4qg_5_21"/>
      <w:bookmarkStart w:id="498" w:name="Tc_M4N7bwDoRUiUY1j9_lshrw_5_18"/>
      <w:bookmarkStart w:id="499" w:name="Tc_JBvMp330IEyNFktUmA-yLw_5_13"/>
      <w:bookmarkStart w:id="500" w:name="Tc_SeEFOM3XCEqnFGH5lenAyg_5_10"/>
      <w:bookmarkStart w:id="501" w:name="Tc_k_07-QmZhUOQ4EfrGXVkCA_5_7"/>
      <w:bookmarkStart w:id="502" w:name="Tc_LvrlMkS8BUyw88uDB8trKg_5_4"/>
      <w:bookmarkStart w:id="503" w:name="Tc_1xBJDjPiEEyNjp0k0dF6Ow_5_0"/>
      <w:bookmarkStart w:id="504" w:name="Tc_ACwUkrqThEiVdap7pRjwjw_4_21"/>
      <w:bookmarkStart w:id="505" w:name="Tc_nbR-wHZP_EyaQjRXpw9hBw_4_18"/>
      <w:bookmarkStart w:id="506" w:name="Tc_wU_XtZqaQkq-JsExPLDEkw_4_16"/>
      <w:bookmarkStart w:id="507" w:name="Tc_u3iE74iR6k-pzQEs-TNyhw_4_13"/>
      <w:bookmarkStart w:id="508" w:name="Tc_gRWxJjbf6U6JfL6-h4jTrQ_4_10"/>
      <w:bookmarkStart w:id="509" w:name="Tc_pX98kx2_CUe9BCLMfo9KWg_4_7"/>
      <w:bookmarkStart w:id="510" w:name="Tc_bGlyLa_sC06OY9NSnVf7xw_4_4"/>
      <w:bookmarkStart w:id="511" w:name="Tc_VTueFsiOhEOJFoOfZyW5CA_4_2"/>
      <w:bookmarkStart w:id="512" w:name="Tc_X9BC0peMK0ucmKF-9_B1Hw_3_21"/>
      <w:bookmarkStart w:id="513" w:name="Tc_SI21rqqbVEarQSg6BIXTEQ_3_16"/>
      <w:bookmarkStart w:id="514" w:name="Tc_QrIgLbgONUOHOeg6KBu_Lg_3_13"/>
      <w:bookmarkStart w:id="515" w:name="Tc_HPtnRCNbskmUbD78R-6oRA_3_10"/>
      <w:bookmarkStart w:id="516" w:name="Tc__NblhrVmvU-FqUxmHPZUtg_3_7"/>
      <w:bookmarkStart w:id="517" w:name="Tc_kQGL5JdmtkunsgWlKiPcjA_3_2"/>
      <w:bookmarkStart w:id="518" w:name="Tc_KFcDc0H9D0iE2IDLsRqKrQ_2_21"/>
      <w:bookmarkStart w:id="519" w:name="Tc_7sdXwwBqQEOouACBsAxKXQ_2_13"/>
      <w:bookmarkStart w:id="520" w:name="Tc_kpA-i15NekiJHtC-8ZgfSA_2_7"/>
      <w:bookmarkStart w:id="521" w:name="Tc_FMM_sh1B6UyJkyFDlHuOdQ_1_13"/>
      <w:bookmarkStart w:id="522" w:name="_f30de4c4_50e8_4b76_95e7_5cf508d24da9"/>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W w:w="10552" w:type="dxa"/>
        <w:jc w:val="left"/>
        <w:tblInd w:w="0" w:type="dxa"/>
        <w:tblLayout w:type="fixed"/>
        <w:tblCellMar>
          <w:top w:w="0" w:type="dxa"/>
          <w:left w:w="0" w:type="dxa"/>
          <w:bottom w:w="0" w:type="dxa"/>
          <w:right w:w="0" w:type="dxa"/>
        </w:tblCellMar>
      </w:tblPr>
      <w:tblGrid>
        <w:gridCol w:w="1126"/>
        <w:gridCol w:w="346"/>
        <w:gridCol w:w="691"/>
        <w:gridCol w:w="346"/>
        <w:gridCol w:w="181"/>
        <w:gridCol w:w="436"/>
        <w:gridCol w:w="346"/>
        <w:gridCol w:w="181"/>
        <w:gridCol w:w="691"/>
        <w:gridCol w:w="346"/>
        <w:gridCol w:w="181"/>
        <w:gridCol w:w="766"/>
        <w:gridCol w:w="346"/>
        <w:gridCol w:w="227"/>
        <w:gridCol w:w="794"/>
        <w:gridCol w:w="346"/>
        <w:gridCol w:w="631"/>
        <w:gridCol w:w="346"/>
        <w:gridCol w:w="181"/>
        <w:gridCol w:w="736"/>
        <w:gridCol w:w="346"/>
        <w:gridCol w:w="181"/>
        <w:gridCol w:w="78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15010" cy="175260"/>
                      <wp:effectExtent l="0" t="0" r="0" b="0"/>
                      <wp:wrapNone/>
                      <wp:docPr id="35" name="Frame3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76860" cy="175260"/>
                      <wp:effectExtent l="0" t="0" r="0" b="0"/>
                      <wp:wrapNone/>
                      <wp:docPr id="40" name="Frame4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4935" cy="175260"/>
                      <wp:effectExtent l="0" t="0" r="0" b="0"/>
                      <wp:wrapNone/>
                      <wp:docPr id="42" name="Frame4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6410" cy="175260"/>
                      <wp:effectExtent l="0" t="0" r="0" b="0"/>
                      <wp:wrapNone/>
                      <wp:docPr id="46" name="Frame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4145" cy="175260"/>
                      <wp:effectExtent l="0" t="0" r="0" b="0"/>
                      <wp:wrapNone/>
                      <wp:docPr id="48" name="Frame4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4190" cy="175260"/>
                      <wp:effectExtent l="0" t="0" r="0" b="0"/>
                      <wp:wrapNone/>
                      <wp:docPr id="49" name="Frame4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00685" cy="175260"/>
                      <wp:effectExtent l="0" t="0" r="0" b="0"/>
                      <wp:wrapNone/>
                      <wp:docPr id="51" name="Frame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7360" cy="175260"/>
                      <wp:effectExtent l="0" t="0" r="0" b="0"/>
                      <wp:wrapNone/>
                      <wp:docPr id="54" name="Frame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56" name="Frame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1,132,906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5,430,847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9,354,216</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(60,841)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(154,793)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(6,475,779)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8,254,108</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27,944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27,944</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 options/awards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17,955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17,963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net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(4,324)</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(4,324)</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(133,970)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(133,970)</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(24,664)</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(24,664)</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20,493</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20,493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569,485</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569,485</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March 31, 2026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1,134,502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5,476,746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9,923,701</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(69,336)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(156,586)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(6,609,749)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8,727,035</w:t>
            </w:r>
          </w:p>
        </w:tc>
      </w:tr>
      <w:tr>
        <w:trPr/>
        <w:tc>
          <w:tcPr>
            <w:tcW w:w="11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35,189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35,189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60,895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60,902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(2,743)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(2,743)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(12,175)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(12,175)</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(28,592)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(28,592)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584,540</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584,540</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1,136,078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5,572,830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10,508,241</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(112,846)</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(156,588)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(6,609,757)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9,364,148</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3" w:name="Tc_rb56mESe_0iXYfEwCE7JnA_21_21"/>
      <w:bookmarkStart w:id="524" w:name="Tc_nELkKtyrSkaAbBYGbFyeAA_21_18"/>
      <w:bookmarkStart w:id="525" w:name="Tc_VIAZoQZ-kUKvnUZvdFm60g_21_13"/>
      <w:bookmarkStart w:id="526" w:name="Tc_88J7GkdUyEOMVSummFgFig_21_10"/>
      <w:bookmarkStart w:id="527" w:name="Tc_YNBdbQrwREO5B6vRXlbWcg_21_7"/>
      <w:bookmarkStart w:id="528" w:name="Tc_mMJLZfWY4UKxwa_WyF7-uA_21_4"/>
      <w:bookmarkStart w:id="529" w:name="Tc_n-144l7ifECQsSVbN3nJfw_21_0"/>
      <w:bookmarkStart w:id="530" w:name="Tc_pLrgmAiljEycdfpmFwwkxw_20_19"/>
      <w:bookmarkStart w:id="531" w:name="Tc_7JaRtNhLuUyg58ci2xSBLQ_20_16"/>
      <w:bookmarkStart w:id="532" w:name="Tc_Qvtd1VkMuECeRnvzwKjWRw_20_14"/>
      <w:bookmarkStart w:id="533" w:name="Tc_1gXoglI04kyh7o0o_ay-1A_20_8"/>
      <w:bookmarkStart w:id="534" w:name="Tc_uMnzjJTqEkGQ-BW_l16njQ_20_5"/>
      <w:bookmarkStart w:id="535" w:name="Tc_VzC5gs0-mUCcRXNVYkWuqw_20_2"/>
      <w:bookmarkStart w:id="536" w:name="Tc_G1DFTgpl0EWnMogKjNi6CA_20_0"/>
      <w:bookmarkStart w:id="537" w:name="Tc_kHUrfqH7RESZ_K1P-kzUxQ_19_19"/>
      <w:bookmarkStart w:id="538" w:name="Tc_Pon1zZEWqEqNjSTk45-TwA_19_16"/>
      <w:bookmarkStart w:id="539" w:name="Tc_a3ynQ1zkREmIDuMS1sFhlQ_19_11"/>
      <w:bookmarkStart w:id="540" w:name="Tc_WiLUQKrcd0eq-aZsTPTAWQ_19_8"/>
      <w:bookmarkStart w:id="541" w:name="Tc_v2GSbenLjUS_i7pRal2Mig_19_5"/>
      <w:bookmarkStart w:id="542" w:name="Tc_hx4iyXvFpEejYZg___AsoA_19_2"/>
      <w:bookmarkStart w:id="543" w:name="Tc_ZvBI8T7AEkWdYNk8Ds0kNg_19_0"/>
      <w:bookmarkStart w:id="544" w:name="Tc_WARsVrDldkaBAIFxpQMrJA_18_19"/>
      <w:bookmarkStart w:id="545" w:name="Tc_r9pWWHEgOE6_u4Wc0E-lZw_18_16"/>
      <w:bookmarkStart w:id="546" w:name="Tc_2GdZfBbFmkOt11WM8VEeYw_18_11"/>
      <w:bookmarkStart w:id="547" w:name="Tc_xnI-CCVPT06fHpnHj1_taw_18_8"/>
      <w:bookmarkStart w:id="548" w:name="Tc_JYaCLS3ASEOY--I8WVu5XA_18_5"/>
      <w:bookmarkStart w:id="549" w:name="Tc_GXG2b9wBf0mSRpiTaYXj0A_18_2"/>
      <w:bookmarkStart w:id="550" w:name="Tc_mwxeOssu2UKJ0XUUxk0aQg_18_0"/>
      <w:bookmarkStart w:id="551" w:name="Tc_Kvo6ruQqnUeDFz528DighQ_17_19"/>
      <w:bookmarkStart w:id="552" w:name="Tc_YlKziOe4dkiWgmyjvSVFxQ_17_16"/>
      <w:bookmarkStart w:id="553" w:name="Tc_ggF8jpfZIkyIP28SqvZ39w_17_11"/>
      <w:bookmarkStart w:id="554" w:name="Tc_7lI7bUN3_0S4pSL946614w_17_8"/>
      <w:bookmarkStart w:id="555" w:name="Tc_hVrY38sU70uk4K9BznSiuw_17_5"/>
      <w:bookmarkStart w:id="556" w:name="Tc_tfVz89e22kKTR7g76iev7A_17_2"/>
      <w:bookmarkStart w:id="557" w:name="Tc_Q_TE88Ivk0uAygGZSffkcg_17_0"/>
      <w:bookmarkStart w:id="558" w:name="Tc_AQXJASbk9UunUNUAwbmiww_16_19"/>
      <w:bookmarkStart w:id="559" w:name="Tc_cFIGutk_J0utbSphKJYrBg_16_16"/>
      <w:bookmarkStart w:id="560" w:name="Tc_Mbvzku9_tEeFfbVe3rXMJQ_16_14"/>
      <w:bookmarkStart w:id="561" w:name="Tc_ZpYziaeesE2WnZCWlTY1IQ_16_11"/>
      <w:bookmarkStart w:id="562" w:name="Tc_EE_KTfKz9UOaP4o8Nj_KDw_16_0"/>
      <w:bookmarkStart w:id="563" w:name="Tc_li6huZjbQUClp87iB-SP4g_15_19"/>
      <w:bookmarkStart w:id="564" w:name="Tc_3xlJKWdcHU-Cq92wj5_KXw_15_16"/>
      <w:bookmarkStart w:id="565" w:name="Tc_hYYMfsdaAUyXJ99kNRx61A_15_14"/>
      <w:bookmarkStart w:id="566" w:name="Tc_jjlr6fRYVUGMiAyDDytL8g_15_11"/>
      <w:bookmarkStart w:id="567" w:name="Tc_fZ66BWbv8Uye5b0dJWOhlA_15_5"/>
      <w:bookmarkStart w:id="568" w:name="Tc_yX5h7MgW3EypsW6DLCDB-g_15_2"/>
      <w:bookmarkStart w:id="569" w:name="Tc_vAgXizjB5EivFE9s5_kAeQ_15_0"/>
      <w:bookmarkStart w:id="570" w:name="Tc_aSh7GzHc-0agkHsEzdMP9Q_13_21"/>
      <w:bookmarkStart w:id="571" w:name="Tc_AWL44NZAOkyu4Fgl3_i1TA_13_18"/>
      <w:bookmarkStart w:id="572" w:name="Tc_2RNyvsPnwE-er6gtPYtW2g_13_13"/>
      <w:bookmarkStart w:id="573" w:name="Tc_3agfj2Mt4kyIfGo1fB-r4A_13_10"/>
      <w:bookmarkStart w:id="574" w:name="Tc_0em1XEqk3keVsOt5MuaKBw_13_7"/>
      <w:bookmarkStart w:id="575" w:name="Tc_2rUilJvsD0ayukpByaTdYg_13_4"/>
      <w:bookmarkStart w:id="576" w:name="Tc_cu7xmyDbqUywjgWigtFLCw_13_0"/>
      <w:bookmarkStart w:id="577" w:name="Tc_ZA_-SoM-xUCnS0uV29EJZQ_12_19"/>
      <w:bookmarkStart w:id="578" w:name="Tc_XEjccT98sUGEFFl5mERcNQ_12_16"/>
      <w:bookmarkStart w:id="579" w:name="Tc_UGIB_4CmNE6enRV4_5Y05Q_12_14"/>
      <w:bookmarkStart w:id="580" w:name="Tc_I1RH42MiTkWDLUOPfjZEfQ_12_8"/>
      <w:bookmarkStart w:id="581" w:name="Tc_uyoR_Ka_YEOBGrL5vdGr5w_12_5"/>
      <w:bookmarkStart w:id="582" w:name="Tc_g1DGxVYuVkimbCADna_tbQ_12_2"/>
      <w:bookmarkStart w:id="583" w:name="Tc_U475KPsLTE6df6dQ6lIPRg_12_0"/>
      <w:bookmarkStart w:id="584" w:name="Tc_9iLYxX8Pk0CvWAHroCBINQ_11_19"/>
      <w:bookmarkStart w:id="585" w:name="Tc_toCH7c9f30qKzlRVFF4oUg_11_16"/>
      <w:bookmarkStart w:id="586" w:name="Tc_49pibDio-kqKly2muDQb2g_11_11"/>
      <w:bookmarkStart w:id="587" w:name="Tc_uf_Sb2vB-06wDsyvwey24A_11_8"/>
      <w:bookmarkStart w:id="588" w:name="Tc_V5AFbUZBcU-OlnlDc6uobA_11_5"/>
      <w:bookmarkStart w:id="589" w:name="Tc_3PjpSO_Pzkaq2jUT6FTUZA_11_2"/>
      <w:bookmarkStart w:id="590" w:name="Tc_-1MZLLmLzEu6mtA_GwDjmQ_11_0"/>
      <w:bookmarkStart w:id="591" w:name="Tc_VyMFsBYu5E6Bwmubl8tefg_10_19"/>
      <w:bookmarkStart w:id="592" w:name="Tc_AVClEAiX-EuK8bitUlJjyQ_10_16"/>
      <w:bookmarkStart w:id="593" w:name="Tc_EXIDV7U2WUixCdPTPPPxpQ_10_11"/>
      <w:bookmarkStart w:id="594" w:name="Tc_uSzkfzhIx0uBwF0y97yTuw_10_8"/>
      <w:bookmarkStart w:id="595" w:name="Tc_6F9DpybZjUWRVXwZ60Kbzw_10_5"/>
      <w:bookmarkStart w:id="596" w:name="Tc_nyWJhhLknkKNEVfRUDEq5A_10_2"/>
      <w:bookmarkStart w:id="597" w:name="Tc_Dd20GpfuTEiHkSRzHqMXlQ_10_0"/>
      <w:bookmarkStart w:id="598" w:name="Tc_xTqCLdpL40m4mQyF6QKCyA_9_14"/>
      <w:bookmarkStart w:id="599" w:name="Tc_4TrZ9mAq8k-aIKB4tusJiw_9_11"/>
      <w:bookmarkStart w:id="600" w:name="Tc__sRnvvLFFUWOMoampmWNHg_9_8"/>
      <w:bookmarkStart w:id="601" w:name="Tc__uO37fOEjki5lb6zB-WZag_9_5"/>
      <w:bookmarkStart w:id="602" w:name="Tc__fxMKs1cu0OVPeUmpWgXGA_9_2"/>
      <w:bookmarkStart w:id="603" w:name="Tc_cCK1hPu1lk-13m1r294q-g_9_0"/>
      <w:bookmarkStart w:id="604" w:name="Tc_BXkQwNpqEEigmqcDZpf6Ug_8_19"/>
      <w:bookmarkStart w:id="605" w:name="Tc_5y9ZjeDR1USe0-A-Ms9ccg_8_16"/>
      <w:bookmarkStart w:id="606" w:name="Tc_oIyl1VUqIkmJjUWJs1zxUQ_8_14"/>
      <w:bookmarkStart w:id="607" w:name="Tc_b9qva-2w3ESqha4mJLOhlg_8_11"/>
      <w:bookmarkStart w:id="608" w:name="Tc_T8G4YCkkgE-_DiRf2jVWVg_8_0"/>
      <w:bookmarkStart w:id="609" w:name="Tc_AsNwEbFOg0Knr64g2UMjlA_7_19"/>
      <w:bookmarkStart w:id="610" w:name="Tc_EDOHIV5F_kikaUehY28qRQ_7_16"/>
      <w:bookmarkStart w:id="611" w:name="Tc_o3iotF7goEytR5qlthxKqA_7_14"/>
      <w:bookmarkStart w:id="612" w:name="Tc_oDE9sgq2MkaydEbdtSjixA_7_11"/>
      <w:bookmarkStart w:id="613" w:name="Tc_k51Ups55W029q-CU8OsWGA_7_5"/>
      <w:bookmarkStart w:id="614" w:name="Tc_TX7GyZPiSUO6270xYVwvuw_7_2"/>
      <w:bookmarkStart w:id="615" w:name="Tc_0cK6UaThlkaKHsJs0KMOjw_7_0"/>
      <w:bookmarkStart w:id="616" w:name="Tc_TK8YItzdCkqnJ-6PzIhzsQ_5_21"/>
      <w:bookmarkStart w:id="617" w:name="Tc_yYz1fn9JQUack7SIllQv3A_5_18"/>
      <w:bookmarkStart w:id="618" w:name="Tc_i5hQpFzD20Kg2BVK4k-gwA_5_13"/>
      <w:bookmarkStart w:id="619" w:name="Tc_biS_uQqulUq0H47sXrCWZg_5_10"/>
      <w:bookmarkStart w:id="620" w:name="Tc_MKDPJNvds0O6S37zdE40lA_5_7"/>
      <w:bookmarkStart w:id="621" w:name="Tc_A815EbHNo0S1CZ-PFB1NpQ_5_4"/>
      <w:bookmarkStart w:id="622" w:name="Tc_4D2ujJ_c1UC1bHRgSXb8wQ_5_0"/>
      <w:bookmarkStart w:id="623" w:name="Tc_KDvYxWXrfUuiF6RcmbPx1g_4_21"/>
      <w:bookmarkStart w:id="624" w:name="Tc_D8SfMD4Mo0mV8trJEM82Uw_4_18"/>
      <w:bookmarkStart w:id="625" w:name="Tc_5o75HXitR0WHXQDIHWvRuw_4_16"/>
      <w:bookmarkStart w:id="626" w:name="Tc_yaLlquQRaUCuHCOrHjA2HA_4_13"/>
      <w:bookmarkStart w:id="627" w:name="Tc_ohvpueyoxUGIkcBuGb1Ixw_4_10"/>
      <w:bookmarkStart w:id="628" w:name="Tc_r31oW6Eor0u3uJyaCAA6MA_4_7"/>
      <w:bookmarkStart w:id="629" w:name="Tc_tFOwvdEsmkKx3AmFa5kecA_4_4"/>
      <w:bookmarkStart w:id="630" w:name="Tc_Sgpz6nfikUOBn6JsHlbwuw_4_2"/>
      <w:bookmarkStart w:id="631" w:name="Tc_iE2Qqamxj0GVflafjbfFFw_3_21"/>
      <w:bookmarkStart w:id="632" w:name="Tc_leMOL1y7OU--bfoHqXKFPg_3_16"/>
      <w:bookmarkStart w:id="633" w:name="Tc_5aB_0KvdjE2h65QRcSaigA_3_13"/>
      <w:bookmarkStart w:id="634" w:name="Tc_aSBJqSHFcEmPrajRoVp1tA_3_10"/>
      <w:bookmarkStart w:id="635" w:name="Tc_m9J0HGDYQEOdaycuFhsPaA_3_7"/>
      <w:bookmarkStart w:id="636" w:name="Tc_e-qqoW4ZnU-UJQdvslMXdQ_3_2"/>
      <w:bookmarkStart w:id="637" w:name="Tc_6ald4XNa50CyuD2rtfnxuQ_2_21"/>
      <w:bookmarkStart w:id="638" w:name="Tc_wAe9626ue02_67NTpICksg_2_13"/>
      <w:bookmarkStart w:id="639" w:name="Tc_6SGhKnfjP0WfDH0-mAzyYg_2_7"/>
      <w:bookmarkStart w:id="640" w:name="Tc_dDqEDDL0BECse1nlbPbcXg_1_13"/>
      <w:bookmarkStart w:id="641" w:name="_7a4560e4_7e00_4866_9e2e_3d3fd636dbde"/>
      <w:bookmarkStart w:id="642" w:name="Tc_rb56mESe_0iXYfEwCE7JnA_21_21"/>
      <w:bookmarkStart w:id="643" w:name="Tc_nELkKtyrSkaAbBYGbFyeAA_21_18"/>
      <w:bookmarkStart w:id="644" w:name="Tc_VIAZoQZ-kUKvnUZvdFm60g_21_13"/>
      <w:bookmarkStart w:id="645" w:name="Tc_88J7GkdUyEOMVSummFgFig_21_10"/>
      <w:bookmarkStart w:id="646" w:name="Tc_YNBdbQrwREO5B6vRXlbWcg_21_7"/>
      <w:bookmarkStart w:id="647" w:name="Tc_mMJLZfWY4UKxwa_WyF7-uA_21_4"/>
      <w:bookmarkStart w:id="648" w:name="Tc_n-144l7ifECQsSVbN3nJfw_21_0"/>
      <w:bookmarkStart w:id="649" w:name="Tc_pLrgmAiljEycdfpmFwwkxw_20_19"/>
      <w:bookmarkStart w:id="650" w:name="Tc_7JaRtNhLuUyg58ci2xSBLQ_20_16"/>
      <w:bookmarkStart w:id="651" w:name="Tc_Qvtd1VkMuECeRnvzwKjWRw_20_14"/>
      <w:bookmarkStart w:id="652" w:name="Tc_1gXoglI04kyh7o0o_ay-1A_20_8"/>
      <w:bookmarkStart w:id="653" w:name="Tc_uMnzjJTqEkGQ-BW_l16njQ_20_5"/>
      <w:bookmarkStart w:id="654" w:name="Tc_VzC5gs0-mUCcRXNVYkWuqw_20_2"/>
      <w:bookmarkStart w:id="655" w:name="Tc_G1DFTgpl0EWnMogKjNi6CA_20_0"/>
      <w:bookmarkStart w:id="656" w:name="Tc_kHUrfqH7RESZ_K1P-kzUxQ_19_19"/>
      <w:bookmarkStart w:id="657" w:name="Tc_Pon1zZEWqEqNjSTk45-TwA_19_16"/>
      <w:bookmarkStart w:id="658" w:name="Tc_a3ynQ1zkREmIDuMS1sFhlQ_19_11"/>
      <w:bookmarkStart w:id="659" w:name="Tc_WiLUQKrcd0eq-aZsTPTAWQ_19_8"/>
      <w:bookmarkStart w:id="660" w:name="Tc_v2GSbenLjUS_i7pRal2Mig_19_5"/>
      <w:bookmarkStart w:id="661" w:name="Tc_hx4iyXvFpEejYZg___AsoA_19_2"/>
      <w:bookmarkStart w:id="662" w:name="Tc_ZvBI8T7AEkWdYNk8Ds0kNg_19_0"/>
      <w:bookmarkStart w:id="663" w:name="Tc_WARsVrDldkaBAIFxpQMrJA_18_19"/>
      <w:bookmarkStart w:id="664" w:name="Tc_r9pWWHEgOE6_u4Wc0E-lZw_18_16"/>
      <w:bookmarkStart w:id="665" w:name="Tc_2GdZfBbFmkOt11WM8VEeYw_18_11"/>
      <w:bookmarkStart w:id="666" w:name="Tc_xnI-CCVPT06fHpnHj1_taw_18_8"/>
      <w:bookmarkStart w:id="667" w:name="Tc_JYaCLS3ASEOY--I8WVu5XA_18_5"/>
      <w:bookmarkStart w:id="668" w:name="Tc_GXG2b9wBf0mSRpiTaYXj0A_18_2"/>
      <w:bookmarkStart w:id="669" w:name="Tc_mwxeOssu2UKJ0XUUxk0aQg_18_0"/>
      <w:bookmarkStart w:id="670" w:name="Tc_Kvo6ruQqnUeDFz528DighQ_17_19"/>
      <w:bookmarkStart w:id="671" w:name="Tc_YlKziOe4dkiWgmyjvSVFxQ_17_16"/>
      <w:bookmarkStart w:id="672" w:name="Tc_ggF8jpfZIkyIP28SqvZ39w_17_11"/>
      <w:bookmarkStart w:id="673" w:name="Tc_7lI7bUN3_0S4pSL946614w_17_8"/>
      <w:bookmarkStart w:id="674" w:name="Tc_hVrY38sU70uk4K9BznSiuw_17_5"/>
      <w:bookmarkStart w:id="675" w:name="Tc_tfVz89e22kKTR7g76iev7A_17_2"/>
      <w:bookmarkStart w:id="676" w:name="Tc_Q_TE88Ivk0uAygGZSffkcg_17_0"/>
      <w:bookmarkStart w:id="677" w:name="Tc_AQXJASbk9UunUNUAwbmiww_16_19"/>
      <w:bookmarkStart w:id="678" w:name="Tc_cFIGutk_J0utbSphKJYrBg_16_16"/>
      <w:bookmarkStart w:id="679" w:name="Tc_Mbvzku9_tEeFfbVe3rXMJQ_16_14"/>
      <w:bookmarkStart w:id="680" w:name="Tc_ZpYziaeesE2WnZCWlTY1IQ_16_11"/>
      <w:bookmarkStart w:id="681" w:name="Tc_EE_KTfKz9UOaP4o8Nj_KDw_16_0"/>
      <w:bookmarkStart w:id="682" w:name="Tc_li6huZjbQUClp87iB-SP4g_15_19"/>
      <w:bookmarkStart w:id="683" w:name="Tc_3xlJKWdcHU-Cq92wj5_KXw_15_16"/>
      <w:bookmarkStart w:id="684" w:name="Tc_hYYMfsdaAUyXJ99kNRx61A_15_14"/>
      <w:bookmarkStart w:id="685" w:name="Tc_jjlr6fRYVUGMiAyDDytL8g_15_11"/>
      <w:bookmarkStart w:id="686" w:name="Tc_fZ66BWbv8Uye5b0dJWOhlA_15_5"/>
      <w:bookmarkStart w:id="687" w:name="Tc_yX5h7MgW3EypsW6DLCDB-g_15_2"/>
      <w:bookmarkStart w:id="688" w:name="Tc_vAgXizjB5EivFE9s5_kAeQ_15_0"/>
      <w:bookmarkStart w:id="689" w:name="Tc_aSh7GzHc-0agkHsEzdMP9Q_13_21"/>
      <w:bookmarkStart w:id="690" w:name="Tc_AWL44NZAOkyu4Fgl3_i1TA_13_18"/>
      <w:bookmarkStart w:id="691" w:name="Tc_2RNyvsPnwE-er6gtPYtW2g_13_13"/>
      <w:bookmarkStart w:id="692" w:name="Tc_3agfj2Mt4kyIfGo1fB-r4A_13_10"/>
      <w:bookmarkStart w:id="693" w:name="Tc_0em1XEqk3keVsOt5MuaKBw_13_7"/>
      <w:bookmarkStart w:id="694" w:name="Tc_2rUilJvsD0ayukpByaTdYg_13_4"/>
      <w:bookmarkStart w:id="695" w:name="Tc_cu7xmyDbqUywjgWigtFLCw_13_0"/>
      <w:bookmarkStart w:id="696" w:name="Tc_ZA_-SoM-xUCnS0uV29EJZQ_12_19"/>
      <w:bookmarkStart w:id="697" w:name="Tc_XEjccT98sUGEFFl5mERcNQ_12_16"/>
      <w:bookmarkStart w:id="698" w:name="Tc_UGIB_4CmNE6enRV4_5Y05Q_12_14"/>
      <w:bookmarkStart w:id="699" w:name="Tc_I1RH42MiTkWDLUOPfjZEfQ_12_8"/>
      <w:bookmarkStart w:id="700" w:name="Tc_uyoR_Ka_YEOBGrL5vdGr5w_12_5"/>
      <w:bookmarkStart w:id="701" w:name="Tc_g1DGxVYuVkimbCADna_tbQ_12_2"/>
      <w:bookmarkStart w:id="702" w:name="Tc_U475KPsLTE6df6dQ6lIPRg_12_0"/>
      <w:bookmarkStart w:id="703" w:name="Tc_9iLYxX8Pk0CvWAHroCBINQ_11_19"/>
      <w:bookmarkStart w:id="704" w:name="Tc_toCH7c9f30qKzlRVFF4oUg_11_16"/>
      <w:bookmarkStart w:id="705" w:name="Tc_49pibDio-kqKly2muDQb2g_11_11"/>
      <w:bookmarkStart w:id="706" w:name="Tc_uf_Sb2vB-06wDsyvwey24A_11_8"/>
      <w:bookmarkStart w:id="707" w:name="Tc_V5AFbUZBcU-OlnlDc6uobA_11_5"/>
      <w:bookmarkStart w:id="708" w:name="Tc_3PjpSO_Pzkaq2jUT6FTUZA_11_2"/>
      <w:bookmarkStart w:id="709" w:name="Tc_-1MZLLmLzEu6mtA_GwDjmQ_11_0"/>
      <w:bookmarkStart w:id="710" w:name="Tc_VyMFsBYu5E6Bwmubl8tefg_10_19"/>
      <w:bookmarkStart w:id="711" w:name="Tc_AVClEAiX-EuK8bitUlJjyQ_10_16"/>
      <w:bookmarkStart w:id="712" w:name="Tc_EXIDV7U2WUixCdPTPPPxpQ_10_11"/>
      <w:bookmarkStart w:id="713" w:name="Tc_uSzkfzhIx0uBwF0y97yTuw_10_8"/>
      <w:bookmarkStart w:id="714" w:name="Tc_6F9DpybZjUWRVXwZ60Kbzw_10_5"/>
      <w:bookmarkStart w:id="715" w:name="Tc_nyWJhhLknkKNEVfRUDEq5A_10_2"/>
      <w:bookmarkStart w:id="716" w:name="Tc_Dd20GpfuTEiHkSRzHqMXlQ_10_0"/>
      <w:bookmarkStart w:id="717" w:name="Tc_xTqCLdpL40m4mQyF6QKCyA_9_14"/>
      <w:bookmarkStart w:id="718" w:name="Tc_4TrZ9mAq8k-aIKB4tusJiw_9_11"/>
      <w:bookmarkStart w:id="719" w:name="Tc__sRnvvLFFUWOMoampmWNHg_9_8"/>
      <w:bookmarkStart w:id="720" w:name="Tc__uO37fOEjki5lb6zB-WZag_9_5"/>
      <w:bookmarkStart w:id="721" w:name="Tc__fxMKs1cu0OVPeUmpWgXGA_9_2"/>
      <w:bookmarkStart w:id="722" w:name="Tc_cCK1hPu1lk-13m1r294q-g_9_0"/>
      <w:bookmarkStart w:id="723" w:name="Tc_BXkQwNpqEEigmqcDZpf6Ug_8_19"/>
      <w:bookmarkStart w:id="724" w:name="Tc_5y9ZjeDR1USe0-A-Ms9ccg_8_16"/>
      <w:bookmarkStart w:id="725" w:name="Tc_oIyl1VUqIkmJjUWJs1zxUQ_8_14"/>
      <w:bookmarkStart w:id="726" w:name="Tc_b9qva-2w3ESqha4mJLOhlg_8_11"/>
      <w:bookmarkStart w:id="727" w:name="Tc_T8G4YCkkgE-_DiRf2jVWVg_8_0"/>
      <w:bookmarkStart w:id="728" w:name="Tc_AsNwEbFOg0Knr64g2UMjlA_7_19"/>
      <w:bookmarkStart w:id="729" w:name="Tc_EDOHIV5F_kikaUehY28qRQ_7_16"/>
      <w:bookmarkStart w:id="730" w:name="Tc_o3iotF7goEytR5qlthxKqA_7_14"/>
      <w:bookmarkStart w:id="731" w:name="Tc_oDE9sgq2MkaydEbdtSjixA_7_11"/>
      <w:bookmarkStart w:id="732" w:name="Tc_k51Ups55W029q-CU8OsWGA_7_5"/>
      <w:bookmarkStart w:id="733" w:name="Tc_TX7GyZPiSUO6270xYVwvuw_7_2"/>
      <w:bookmarkStart w:id="734" w:name="Tc_0cK6UaThlkaKHsJs0KMOjw_7_0"/>
      <w:bookmarkStart w:id="735" w:name="Tc_TK8YItzdCkqnJ-6PzIhzsQ_5_21"/>
      <w:bookmarkStart w:id="736" w:name="Tc_yYz1fn9JQUack7SIllQv3A_5_18"/>
      <w:bookmarkStart w:id="737" w:name="Tc_i5hQpFzD20Kg2BVK4k-gwA_5_13"/>
      <w:bookmarkStart w:id="738" w:name="Tc_biS_uQqulUq0H47sXrCWZg_5_10"/>
      <w:bookmarkStart w:id="739" w:name="Tc_MKDPJNvds0O6S37zdE40lA_5_7"/>
      <w:bookmarkStart w:id="740" w:name="Tc_A815EbHNo0S1CZ-PFB1NpQ_5_4"/>
      <w:bookmarkStart w:id="741" w:name="Tc_4D2ujJ_c1UC1bHRgSXb8wQ_5_0"/>
      <w:bookmarkStart w:id="742" w:name="Tc_KDvYxWXrfUuiF6RcmbPx1g_4_21"/>
      <w:bookmarkStart w:id="743" w:name="Tc_D8SfMD4Mo0mV8trJEM82Uw_4_18"/>
      <w:bookmarkStart w:id="744" w:name="Tc_5o75HXitR0WHXQDIHWvRuw_4_16"/>
      <w:bookmarkStart w:id="745" w:name="Tc_yaLlquQRaUCuHCOrHjA2HA_4_13"/>
      <w:bookmarkStart w:id="746" w:name="Tc_ohvpueyoxUGIkcBuGb1Ixw_4_10"/>
      <w:bookmarkStart w:id="747" w:name="Tc_r31oW6Eor0u3uJyaCAA6MA_4_7"/>
      <w:bookmarkStart w:id="748" w:name="Tc_tFOwvdEsmkKx3AmFa5kecA_4_4"/>
      <w:bookmarkStart w:id="749" w:name="Tc_Sgpz6nfikUOBn6JsHlbwuw_4_2"/>
      <w:bookmarkStart w:id="750" w:name="Tc_iE2Qqamxj0GVflafjbfFFw_3_21"/>
      <w:bookmarkStart w:id="751" w:name="Tc_leMOL1y7OU--bfoHqXKFPg_3_16"/>
      <w:bookmarkStart w:id="752" w:name="Tc_5aB_0KvdjE2h65QRcSaigA_3_13"/>
      <w:bookmarkStart w:id="753" w:name="Tc_aSBJqSHFcEmPrajRoVp1tA_3_10"/>
      <w:bookmarkStart w:id="754" w:name="Tc_m9J0HGDYQEOdaycuFhsPaA_3_7"/>
      <w:bookmarkStart w:id="755" w:name="Tc_e-qqoW4ZnU-UJQdvslMXdQ_3_2"/>
      <w:bookmarkStart w:id="756" w:name="Tc_6ald4XNa50CyuD2rtfnxuQ_2_21"/>
      <w:bookmarkStart w:id="757" w:name="Tc_wAe9626ue02_67NTpICksg_2_13"/>
      <w:bookmarkStart w:id="758" w:name="Tc_6SGhKnfjP0WfDH0-mAzyYg_2_7"/>
      <w:bookmarkStart w:id="759" w:name="Tc_dDqEDDL0BECse1nlbPbcXg_1_13"/>
      <w:bookmarkStart w:id="760" w:name="_7a4560e4_7e00_4866_9e2e_3d3fd636dbde"/>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tbl>
      <w:tblPr>
        <w:tblW w:w="10477" w:type="dxa"/>
        <w:jc w:val="left"/>
        <w:tblInd w:w="0" w:type="dxa"/>
        <w:tblLayout w:type="fixed"/>
        <w:tblCellMar>
          <w:top w:w="0" w:type="dxa"/>
          <w:left w:w="0" w:type="dxa"/>
          <w:bottom w:w="0" w:type="dxa"/>
          <w:right w:w="0" w:type="dxa"/>
        </w:tblCellMar>
      </w:tblPr>
      <w:tblGrid>
        <w:gridCol w:w="1126"/>
        <w:gridCol w:w="346"/>
        <w:gridCol w:w="691"/>
        <w:gridCol w:w="346"/>
        <w:gridCol w:w="181"/>
        <w:gridCol w:w="436"/>
        <w:gridCol w:w="346"/>
        <w:gridCol w:w="181"/>
        <w:gridCol w:w="691"/>
        <w:gridCol w:w="346"/>
        <w:gridCol w:w="181"/>
        <w:gridCol w:w="691"/>
        <w:gridCol w:w="346"/>
        <w:gridCol w:w="227"/>
        <w:gridCol w:w="794"/>
        <w:gridCol w:w="346"/>
        <w:gridCol w:w="631"/>
        <w:gridCol w:w="346"/>
        <w:gridCol w:w="181"/>
        <w:gridCol w:w="736"/>
        <w:gridCol w:w="346"/>
        <w:gridCol w:w="181"/>
        <w:gridCol w:w="78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15010" cy="175260"/>
                      <wp:effectExtent l="0" t="0" r="0" b="0"/>
                      <wp:wrapNone/>
                      <wp:docPr id="58" name="Frame5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6860" cy="175260"/>
                      <wp:effectExtent l="0" t="0" r="0" b="0"/>
                      <wp:wrapNone/>
                      <wp:docPr id="63" name="Frame6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8785" cy="175260"/>
                      <wp:effectExtent l="0" t="0" r="0" b="0"/>
                      <wp:wrapNone/>
                      <wp:docPr id="69" name="Frame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4145" cy="175260"/>
                      <wp:effectExtent l="0" t="0" r="0" b="0"/>
                      <wp:wrapNone/>
                      <wp:docPr id="71" name="Frame7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4190" cy="175260"/>
                      <wp:effectExtent l="0" t="0" r="0" b="0"/>
                      <wp:wrapNone/>
                      <wp:docPr id="72" name="Frame7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00685" cy="175260"/>
                      <wp:effectExtent l="0" t="0" r="0" b="0"/>
                      <wp:wrapNone/>
                      <wp:docPr id="74" name="Frame7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4935" cy="175260"/>
                      <wp:effectExtent l="0" t="0" r="0" b="0"/>
                      <wp:wrapNone/>
                      <wp:docPr id="76"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67360" cy="175260"/>
                      <wp:effectExtent l="0" t="0" r="0" b="0"/>
                      <wp:wrapNone/>
                      <wp:docPr id="77" name="Frame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Comprehensive </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1,126,329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5,144,922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7,448,784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(269,487)</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(6,372,133)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5,957,718</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20,727</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48,093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(16,633)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63,971</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63,971</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2,570</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2,570</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442,993</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442,993</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1,128,695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5,643</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5,213,731</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7,891,777</w:t>
            </w:r>
          </w:p>
        </w:tc>
        <w:tc>
          <w:tcPr>
            <w:tcW w:w="346" w:type="dxa"/>
            <w:tcBorders/>
            <w:shd w:fill="CCEEFF" w:val="clear"/>
            <w:vAlign w:val="center"/>
          </w:tcPr>
          <w:p>
            <w:pPr>
              <w:pStyle w:val="TableContents"/>
              <w:bidi w:val="0"/>
              <w:spacing w:before="0" w:after="0"/>
              <w:ind w:left="0" w:right="0" w:hanging="0"/>
              <w:jc w:val="right"/>
              <w:rPr/>
            </w:pPr>
            <w:r>
              <w:rPr/>
              <w:t> </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(202,946)</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(153,552)</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(6,388,766)</w:t>
            </w:r>
          </w:p>
        </w:tc>
        <w:tc>
          <w:tcPr>
            <w:tcW w:w="346" w:type="dxa"/>
            <w:tcBorders/>
            <w:shd w:fill="CCEEFF" w:val="clear"/>
            <w:vAlign w:val="center"/>
          </w:tcPr>
          <w:p>
            <w:pPr>
              <w:pStyle w:val="TableContents"/>
              <w:bidi w:val="0"/>
              <w:spacing w:before="0" w:after="0"/>
              <w:ind w:left="0" w:right="0" w:hanging="0"/>
              <w:jc w:val="righ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6,519,439</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31,842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39,584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39,591</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(loss), net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100,759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100,759</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10,666</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10,666</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488,794</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488,794</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1,129,950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5,285,157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8,380,571</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(91,308)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(153,552)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(6,388,766)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7,191,304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61" w:name="_f84483f4_8287_409d_a942_17a32f0fde86"/>
      <w:bookmarkEnd w:id="761"/>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762" w:name="STATEMENTSOFCASHFLOWS_392736"/>
      <w:bookmarkEnd w:id="762"/>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FOR THE SIX</w:t>
      </w:r>
      <w:r>
        <w:rPr>
          <w:rFonts w:ascii="Times New Roman;Times;serif" w:hAnsi="Times New Roman;Times;serif"/>
          <w:b/>
          <w:color w:val="212529"/>
          <w:sz w:val="20"/>
          <w:shd w:fill="FFFFFF" w:val="clear"/>
        </w:rPr>
        <w:t>-MONTHS ENDED JUNE 30</w:t>
      </w:r>
      <w:r>
        <w:rPr>
          <w:rFonts w:ascii="Times New Roman;Times;serif" w:hAnsi="Times New Roman;Times;serif"/>
          <w:b/>
          <w:sz w:val="20"/>
        </w:rPr>
        <w:t>, 2026 AND 2025</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63" w:name="Tc_GuuDz1Gfu0OgPdnZWp4iGQ_52_5"/>
      <w:bookmarkStart w:id="764" w:name="Tc_iHUf17g5lk6OFoXkX-VJLw_52_2"/>
      <w:bookmarkStart w:id="765" w:name="Tc_RK1hC1TptkOmNuEA6CwahQ_52_0"/>
      <w:bookmarkStart w:id="766" w:name="Tc_5gmGIUzaZk-fdaFcG2joZg_51_5"/>
      <w:bookmarkStart w:id="767" w:name="Tc_3PTP7qE6ikKqfs1LCM_zdw_51_2"/>
      <w:bookmarkStart w:id="768" w:name="Tc_DmnvG9xbykKoGpKycvDjtw_51_0"/>
      <w:bookmarkStart w:id="769" w:name="Tc_CBjOYyyX7EycjINDy9aLsw_50_0"/>
      <w:bookmarkStart w:id="770" w:name="Tc_QroXiiZEEUOBtK8hGj15ww_49_0"/>
      <w:bookmarkStart w:id="771" w:name="Tc_s8nzPo9q6k2WFje7e1YqWg_47_5"/>
      <w:bookmarkStart w:id="772" w:name="Tc_Cjm4tuhh1UGNBzIFy96P7w_47_2"/>
      <w:bookmarkStart w:id="773" w:name="Tc_slx0Rw-_WUWZaZn7KKGsWQ_47_0"/>
      <w:bookmarkStart w:id="774" w:name="Tc_osd2CJNUeE68CxlQ5mTIvg_46_0"/>
      <w:bookmarkStart w:id="775" w:name="Tc_PlggW69uEEu5J4-GN9k_4w_45_0"/>
      <w:bookmarkStart w:id="776" w:name="Tc_GJI_DWZGJ0Cbt1elKyQTRg_43_0"/>
      <w:bookmarkStart w:id="777" w:name="Tc_8lzFOPosrkC683XZoHOcYA_41_0"/>
      <w:bookmarkStart w:id="778" w:name="Tc_S8fh1UDBJEiXeuyMU3cB1g_40_0"/>
      <w:bookmarkStart w:id="779" w:name="Tc_Uj98gBMY2UO9O-HpBBEQ6w_39_0"/>
      <w:bookmarkStart w:id="780" w:name="Tc_-bfEUwqskEOQEh8ZHytyKg_38_0"/>
      <w:bookmarkStart w:id="781" w:name="Tc_V7JW-eclYky-Bj_NIw063A_37_0"/>
      <w:bookmarkStart w:id="782" w:name="Tc_pxTQVSNiIk2kaNpqTINVOQ_36_0"/>
      <w:bookmarkStart w:id="783" w:name="Tc_m7KsLjo1dEqTC6G0MPlfjw_34_0"/>
      <w:bookmarkStart w:id="784" w:name="Tc_KfApzb6exk-HCb2SPrNY1Q_33_0"/>
      <w:bookmarkStart w:id="785" w:name="Tc_9hCy3S6m5kKLGKRoKBULFQ_32_0"/>
      <w:bookmarkStart w:id="786" w:name="Tc_4aNSw7Qz9kS4xiyGWdzW6Q_31_0"/>
      <w:bookmarkStart w:id="787" w:name="Tc_Ua5H8NinVkmQYCsUr46wcg_30_0"/>
      <w:bookmarkStart w:id="788" w:name="Tc_nefFFoSMvU2vxmKeRnKTjA_29_0"/>
      <w:bookmarkStart w:id="789" w:name="Tc_9t9sq9iCg0K5YelbrpD34w_28_0"/>
      <w:bookmarkStart w:id="790" w:name="Tc_p9TMFW1Hr0iiX9vlQ_8iBA_27_0"/>
      <w:bookmarkStart w:id="791" w:name="Tc_YOg062UAJUWAMsbGBuWBVw_25_0"/>
      <w:bookmarkStart w:id="792" w:name="Tc_3WTdhvUA2UehIxZsbV5c4w_24_0"/>
      <w:bookmarkStart w:id="793" w:name="Tc_3BakL9d8v0eOJj9UPYO9yQ_23_0"/>
      <w:bookmarkStart w:id="794" w:name="Tc_LHEeXm7UeUiNTk0pmp4rwg_22_0"/>
      <w:bookmarkStart w:id="795" w:name="Tc_77oIhAaopUqZZ49lxSCZUg_21_0"/>
      <w:bookmarkStart w:id="796" w:name="Tc_yNt7HUJijUmCsGFe_qRqHA_20_0"/>
      <w:bookmarkStart w:id="797" w:name="Tc_UpaWkoFRuUeBrlMLrJ5Yfw_19_0"/>
      <w:bookmarkStart w:id="798" w:name="Tc_NXcn3MMIt02hubKWEBDwiw_18_0"/>
      <w:bookmarkStart w:id="799" w:name="Tc_B4OZCibXokqqYqP6ajbywA_17_0"/>
      <w:bookmarkStart w:id="800" w:name="Tc_C6RCcftJTU6qnbuVFS9aPg_16_0"/>
      <w:bookmarkStart w:id="801" w:name="Tc_eY4xguH7jEqs2pp0p6QVoQ_15_0"/>
      <w:bookmarkStart w:id="802" w:name="Tc_fUdpyn4kAECxm4980xrqsA_14_0"/>
      <w:bookmarkStart w:id="803" w:name="Tc_altV4smqckC9cM4cS_TNnw_13_0"/>
      <w:bookmarkStart w:id="804" w:name="Tc_KFkYwavWuUqC8qB-XeIDIw_12_0"/>
      <w:bookmarkStart w:id="805" w:name="Tc_OojPp87Sf0uZoFIdmc2eyA_11_0"/>
      <w:bookmarkStart w:id="806" w:name="Tc_uOEAPm1WPkGK54UlXwFx-w_10_0"/>
      <w:bookmarkStart w:id="807" w:name="Tc_Oj599-3b9kCwH-I3pmCUzg_9_0"/>
      <w:bookmarkStart w:id="808" w:name="Tc_6cSd0-C1QUiqbRkcRICTtQ_8_0"/>
      <w:bookmarkStart w:id="809" w:name="Tc_4xjt0U8ptUCZ2izxqz2M_A_7_0"/>
      <w:bookmarkStart w:id="810" w:name="Tc_1sUcWqLDmk-i2RuOmA90Zw_6_0"/>
      <w:bookmarkStart w:id="811" w:name="Tc_0lJvneikek6h7Aef7lXZ4w_5_5"/>
      <w:bookmarkStart w:id="812" w:name="Tc_WXt1krEhCk6PMX_Rq4ZftA_5_2"/>
      <w:bookmarkStart w:id="813" w:name="Tc_8pUUZdlRZkaSbFvkoDXEwQ_5_0"/>
      <w:bookmarkStart w:id="814" w:name="Tc_WeiM_dACpE2jge2xbvLaXg_4_0"/>
      <w:bookmarkStart w:id="815" w:name="Tc_KYeopVfj_U2D4coxfWA2Ug_3_5"/>
      <w:bookmarkStart w:id="816" w:name="Tc_P3bawrPNg0-yA1kHeZkkOw_3_2"/>
      <w:bookmarkStart w:id="817" w:name="Tc_WBFC4ttPakarqg_M6TxFEQ_2_2"/>
      <w:bookmarkStart w:id="818" w:name="Tc_6Rz0r7fom0WrGArQ3CQO0Q_1_2"/>
      <w:bookmarkStart w:id="819" w:name="_71a6b9e4_4df5_4f37_9a92_3ee23909c94c"/>
      <w:bookmarkStart w:id="820" w:name="Tc_GuuDz1Gfu0OgPdnZWp4iGQ_52_5"/>
      <w:bookmarkStart w:id="821" w:name="Tc_iHUf17g5lk6OFoXkX-VJLw_52_2"/>
      <w:bookmarkStart w:id="822" w:name="Tc_RK1hC1TptkOmNuEA6CwahQ_52_0"/>
      <w:bookmarkStart w:id="823" w:name="Tc_5gmGIUzaZk-fdaFcG2joZg_51_5"/>
      <w:bookmarkStart w:id="824" w:name="Tc_3PTP7qE6ikKqfs1LCM_zdw_51_2"/>
      <w:bookmarkStart w:id="825" w:name="Tc_DmnvG9xbykKoGpKycvDjtw_51_0"/>
      <w:bookmarkStart w:id="826" w:name="Tc_CBjOYyyX7EycjINDy9aLsw_50_0"/>
      <w:bookmarkStart w:id="827" w:name="Tc_QroXiiZEEUOBtK8hGj15ww_49_0"/>
      <w:bookmarkStart w:id="828" w:name="Tc_s8nzPo9q6k2WFje7e1YqWg_47_5"/>
      <w:bookmarkStart w:id="829" w:name="Tc_Cjm4tuhh1UGNBzIFy96P7w_47_2"/>
      <w:bookmarkStart w:id="830" w:name="Tc_slx0Rw-_WUWZaZn7KKGsWQ_47_0"/>
      <w:bookmarkStart w:id="831" w:name="Tc_osd2CJNUeE68CxlQ5mTIvg_46_0"/>
      <w:bookmarkStart w:id="832" w:name="Tc_PlggW69uEEu5J4-GN9k_4w_45_0"/>
      <w:bookmarkStart w:id="833" w:name="Tc_GJI_DWZGJ0Cbt1elKyQTRg_43_0"/>
      <w:bookmarkStart w:id="834" w:name="Tc_8lzFOPosrkC683XZoHOcYA_41_0"/>
      <w:bookmarkStart w:id="835" w:name="Tc_S8fh1UDBJEiXeuyMU3cB1g_40_0"/>
      <w:bookmarkStart w:id="836" w:name="Tc_Uj98gBMY2UO9O-HpBBEQ6w_39_0"/>
      <w:bookmarkStart w:id="837" w:name="Tc_-bfEUwqskEOQEh8ZHytyKg_38_0"/>
      <w:bookmarkStart w:id="838" w:name="Tc_V7JW-eclYky-Bj_NIw063A_37_0"/>
      <w:bookmarkStart w:id="839" w:name="Tc_pxTQVSNiIk2kaNpqTINVOQ_36_0"/>
      <w:bookmarkStart w:id="840" w:name="Tc_m7KsLjo1dEqTC6G0MPlfjw_34_0"/>
      <w:bookmarkStart w:id="841" w:name="Tc_KfApzb6exk-HCb2SPrNY1Q_33_0"/>
      <w:bookmarkStart w:id="842" w:name="Tc_9hCy3S6m5kKLGKRoKBULFQ_32_0"/>
      <w:bookmarkStart w:id="843" w:name="Tc_4aNSw7Qz9kS4xiyGWdzW6Q_31_0"/>
      <w:bookmarkStart w:id="844" w:name="Tc_Ua5H8NinVkmQYCsUr46wcg_30_0"/>
      <w:bookmarkStart w:id="845" w:name="Tc_nefFFoSMvU2vxmKeRnKTjA_29_0"/>
      <w:bookmarkStart w:id="846" w:name="Tc_9t9sq9iCg0K5YelbrpD34w_28_0"/>
      <w:bookmarkStart w:id="847" w:name="Tc_p9TMFW1Hr0iiX9vlQ_8iBA_27_0"/>
      <w:bookmarkStart w:id="848" w:name="Tc_YOg062UAJUWAMsbGBuWBVw_25_0"/>
      <w:bookmarkStart w:id="849" w:name="Tc_3WTdhvUA2UehIxZsbV5c4w_24_0"/>
      <w:bookmarkStart w:id="850" w:name="Tc_3BakL9d8v0eOJj9UPYO9yQ_23_0"/>
      <w:bookmarkStart w:id="851" w:name="Tc_LHEeXm7UeUiNTk0pmp4rwg_22_0"/>
      <w:bookmarkStart w:id="852" w:name="Tc_77oIhAaopUqZZ49lxSCZUg_21_0"/>
      <w:bookmarkStart w:id="853" w:name="Tc_yNt7HUJijUmCsGFe_qRqHA_20_0"/>
      <w:bookmarkStart w:id="854" w:name="Tc_UpaWkoFRuUeBrlMLrJ5Yfw_19_0"/>
      <w:bookmarkStart w:id="855" w:name="Tc_NXcn3MMIt02hubKWEBDwiw_18_0"/>
      <w:bookmarkStart w:id="856" w:name="Tc_B4OZCibXokqqYqP6ajbywA_17_0"/>
      <w:bookmarkStart w:id="857" w:name="Tc_C6RCcftJTU6qnbuVFS9aPg_16_0"/>
      <w:bookmarkStart w:id="858" w:name="Tc_eY4xguH7jEqs2pp0p6QVoQ_15_0"/>
      <w:bookmarkStart w:id="859" w:name="Tc_fUdpyn4kAECxm4980xrqsA_14_0"/>
      <w:bookmarkStart w:id="860" w:name="Tc_altV4smqckC9cM4cS_TNnw_13_0"/>
      <w:bookmarkStart w:id="861" w:name="Tc_KFkYwavWuUqC8qB-XeIDIw_12_0"/>
      <w:bookmarkStart w:id="862" w:name="Tc_OojPp87Sf0uZoFIdmc2eyA_11_0"/>
      <w:bookmarkStart w:id="863" w:name="Tc_uOEAPm1WPkGK54UlXwFx-w_10_0"/>
      <w:bookmarkStart w:id="864" w:name="Tc_Oj599-3b9kCwH-I3pmCUzg_9_0"/>
      <w:bookmarkStart w:id="865" w:name="Tc_6cSd0-C1QUiqbRkcRICTtQ_8_0"/>
      <w:bookmarkStart w:id="866" w:name="Tc_4xjt0U8ptUCZ2izxqz2M_A_7_0"/>
      <w:bookmarkStart w:id="867" w:name="Tc_1sUcWqLDmk-i2RuOmA90Zw_6_0"/>
      <w:bookmarkStart w:id="868" w:name="Tc_0lJvneikek6h7Aef7lXZ4w_5_5"/>
      <w:bookmarkStart w:id="869" w:name="Tc_WXt1krEhCk6PMX_Rq4ZftA_5_2"/>
      <w:bookmarkStart w:id="870" w:name="Tc_8pUUZdlRZkaSbFvkoDXEwQ_5_0"/>
      <w:bookmarkStart w:id="871" w:name="Tc_WeiM_dACpE2jge2xbvLaXg_4_0"/>
      <w:bookmarkStart w:id="872" w:name="Tc_KYeopVfj_U2D4coxfWA2Ug_3_5"/>
      <w:bookmarkStart w:id="873" w:name="Tc_P3bawrPNg0-yA1kHeZkkOw_3_2"/>
      <w:bookmarkStart w:id="874" w:name="Tc_WBFC4ttPakarqg_M6TxFEQ_2_2"/>
      <w:bookmarkStart w:id="875" w:name="Tc_6Rz0r7fom0WrGArQ3CQO0Q_1_2"/>
      <w:bookmarkStart w:id="876" w:name="_71a6b9e4_4df5_4f37_9a92_3ee23909c94c"/>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tbl>
      <w:tblPr>
        <w:tblW w:w="8617" w:type="dxa"/>
        <w:jc w:val="left"/>
        <w:tblInd w:w="0" w:type="dxa"/>
        <w:tblLayout w:type="fixed"/>
        <w:tblCellMar>
          <w:top w:w="0" w:type="dxa"/>
          <w:left w:w="0" w:type="dxa"/>
          <w:bottom w:w="0" w:type="dxa"/>
          <w:right w:w="0" w:type="dxa"/>
        </w:tblCellMar>
      </w:tblPr>
      <w:tblGrid>
        <w:gridCol w:w="5716"/>
        <w:gridCol w:w="346"/>
        <w:gridCol w:w="196"/>
        <w:gridCol w:w="946"/>
        <w:gridCol w:w="346"/>
        <w:gridCol w:w="196"/>
        <w:gridCol w:w="87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9660" cy="175260"/>
                      <wp:effectExtent l="0" t="0" r="0" b="0"/>
                      <wp:wrapNone/>
                      <wp:docPr id="81" name="Frame81"/>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00710" cy="175260"/>
                      <wp:effectExtent l="0" t="0" r="0" b="0"/>
                      <wp:wrapNone/>
                      <wp:docPr id="83" name="Frame8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53085" cy="175260"/>
                      <wp:effectExtent l="0" t="0" r="0" b="0"/>
                      <wp:wrapNone/>
                      <wp:docPr id="86" name="Frame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Six-Months Ended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1,154,025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931,787</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58,184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52,405</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6,966</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impairment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63,965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53,854</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(290,418)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(222,239)</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(73,782)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104,633</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(62,264)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(63,675)</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14,512</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192,205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4,333</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28,510</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56,516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71,516</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(27,136)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(22,146)</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21,056</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(4,177)</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(8,598)</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1,114,201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973,616</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maturities of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507,415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(1,358,328)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(283,097)</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(69,031)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(60,460)</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2,334</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(15,399)</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(5,713)</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(929,315)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(357,729)</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short-term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(5,023)</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87,684</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(308,972)</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86,725</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393,640</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2,088,117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2,192,424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1,926,927</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5,144</w:t>
            </w:r>
          </w:p>
        </w:tc>
      </w:tr>
      <w:tr>
        <w:trPr/>
        <w:tc>
          <w:tcPr>
            <w:tcW w:w="57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332,057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262,711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SIX-MONTHS ENDED</w:t>
      </w:r>
      <w:r>
        <w:rPr>
          <w:rFonts w:ascii="Times New Roman;Times;serif" w:hAnsi="Times New Roman;Times;serif"/>
          <w:sz w:val="20"/>
        </w:rPr>
        <w:t xml:space="preserve"> </w:t>
      </w:r>
      <w:r>
        <w:rPr>
          <w:rFonts w:ascii="Times New Roman;Times;serif" w:hAnsi="Times New Roman;Times;serif"/>
          <w:b/>
          <w:sz w:val="20"/>
        </w:rPr>
        <w:t>JUNE 30, 2026 AND 2025</w:t>
      </w:r>
    </w:p>
    <w:p>
      <w:pPr>
        <w:pStyle w:val="TextBody"/>
        <w:pBdr>
          <w:bottom w:val="single" w:sz="12" w:space="1" w:color="000000"/>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June 30, 2026 and 2025 were additions to other intangible assets of $1.8 million and $2.7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2026 and 2025 were property and equipment purchases of $0.7 million and $4.2 million,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7" w:name="a1BASISOFPRESENTATION_156061"/>
      <w:bookmarkStart w:id="878" w:name="a1BASISOFPRESENTATION_156061"/>
      <w:bookmarkEnd w:id="878"/>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2025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w:t>
      </w:r>
      <w:r>
        <w:rPr>
          <w:rFonts w:ascii="Times New Roman;Times;serif" w:hAnsi="Times New Roman;Times;serif"/>
          <w:color w:val="212529"/>
          <w:sz w:val="20"/>
        </w:rPr>
        <w:t>-months ended June 30, 2026 and 2025</w:t>
      </w:r>
      <w:r>
        <w:rPr>
          <w:rFonts w:ascii="Times New Roman;Times;serif" w:hAnsi="Times New Roman;Times;serif"/>
          <w:sz w:val="20"/>
        </w:rPr>
        <w:t>,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(“ASU”) 2024-03, </w:t>
      </w:r>
      <w:r>
        <w:rPr>
          <w:rFonts w:ascii="Times New Roman;Times;serif" w:hAnsi="Times New Roman;Times;serif"/>
          <w:i/>
          <w:sz w:val="20"/>
        </w:rPr>
        <w:t>Disaggregation of Income Statement Expenses</w:t>
      </w:r>
      <w:r>
        <w:rPr>
          <w:rFonts w:ascii="Times New Roman;Times;serif" w:hAnsi="Times New Roman;Times;serif"/>
          <w:sz w:val="20"/>
        </w:rPr>
        <w:t>.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evaluating the impact ASU 2024-03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Targeted Improvements to the Accounting for Internal-Use Software</w:t>
      </w:r>
      <w:r>
        <w:rPr>
          <w:rFonts w:ascii="Times New Roman;Times;serif" w:hAnsi="Times New Roman;Times;serif"/>
          <w:sz w:val="20"/>
        </w:rPr>
        <w:t>. The amendments in this update require internal-use software development cost capitalization to begin when both of the following occur: management has authorized and committed to funding the software project, and it is probable that the project will be completed and that the software will be used to perform its intended function. The amendments also eliminate the accounting considerations of software development stages. The amendments in ASU 2025-06 are effective for fiscal years beginning after December 15, 2027. Early adoption is permitted. The Company is evaluating the impact ASU 2025-06 will have on its consolidated financial statements.</w:t>
      </w:r>
    </w:p>
    <w:p>
      <w:pPr>
        <w:pStyle w:val="TextBody"/>
        <w:bidi w:val="0"/>
        <w:spacing w:before="0" w:after="0"/>
        <w:ind w:left="0" w:right="0" w:hanging="0"/>
        <w:jc w:val="left"/>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Bang Energy® drinks, Storm</w:t>
      </w:r>
      <w:r>
        <w:rPr>
          <w:rFonts w:ascii="Times New Roman;Times;serif" w:hAnsi="Times New Roman;Times;serif"/>
          <w:sz w:val="15"/>
        </w:rPr>
        <w:t>TM</w:t>
      </w:r>
      <w:r>
        <w:rPr>
          <w:rFonts w:ascii="Times New Roman;Times;serif" w:hAnsi="Times New Roman;Times;serif"/>
          <w:sz w:val="20"/>
        </w:rPr>
        <w:t xml:space="preserve"> and Reign Storm® total wellness energy drinks and FLRT</w:t>
      </w:r>
      <w:r>
        <w:rPr>
          <w:rFonts w:ascii="Times New Roman;Times;serif" w:hAnsi="Times New Roman;Times;serif"/>
          <w:sz w:val="15"/>
        </w:rPr>
        <w:t>TM</w:t>
      </w:r>
      <w:r>
        <w:rPr>
          <w:rFonts w:ascii="Times New Roman;Times;serif" w:hAnsi="Times New Roman;Times;serif"/>
          <w:sz w:val="20"/>
        </w:rPr>
        <w:t xml:space="preserve"> total wellness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flavored malt beverages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w:t>
      </w:r>
      <w:r>
        <w:rPr>
          <w:rFonts w:ascii="Times New Roman;Times;serif" w:hAnsi="Times New Roman;Times;serif"/>
          <w:color w:val="212529"/>
          <w:sz w:val="20"/>
          <w:shd w:fill="FFFFFF" w:val="clear"/>
        </w:rPr>
        <w:t>June 30, 2026 and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expenses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and/or free products or cash rebates;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879" w:name="Tc_cjuFhTjTA0eQcrMhFrm-fg_9_14"/>
      <w:bookmarkStart w:id="880" w:name="Tc_6AN8VLZbGk6v4JFs_uCdPQ_9_11"/>
      <w:bookmarkStart w:id="881" w:name="Tc_6G4SM_U-FU-wsAKSyoMayQ_9_8"/>
      <w:bookmarkStart w:id="882" w:name="Tc_rS8ojnzp7UWjcjKkFk6I3w_9_5"/>
      <w:bookmarkStart w:id="883" w:name="Tc_KZQnD6MU30SThe7jJhj0bg_9_2"/>
      <w:bookmarkStart w:id="884" w:name="Tc_V19kONuz-EGxGvLW6lIoUw_9_0"/>
      <w:bookmarkStart w:id="885" w:name="Tc_UXhrQMFVC0GKPF5f3y7Zbw_8_0"/>
      <w:bookmarkStart w:id="886" w:name="Tc_rEWFbzPyeUu7nB0duH_hUQ_7_0"/>
      <w:bookmarkStart w:id="887" w:name="Tc_kA8ORvlH9kmnessf7e36QA_6_0"/>
      <w:bookmarkStart w:id="888" w:name="Tc_SEnUO15KzE-9MEHTjS4Qgw_5_14"/>
      <w:bookmarkStart w:id="889" w:name="Tc_bkS6H4RXmUC-uv0N2c2mUQ_5_11"/>
      <w:bookmarkStart w:id="890" w:name="Tc_OqyQz1E4jUWXPjxegkRzww_5_8"/>
      <w:bookmarkStart w:id="891" w:name="Tc__CDSpxGYW0-VwrX540U83A_5_5"/>
      <w:bookmarkStart w:id="892" w:name="Tc_fLNhDcBwYk6gliXYGsmazw_5_2"/>
      <w:bookmarkStart w:id="893" w:name="Tc_goWH0pPlnkO38JDT97tpQQ_5_0"/>
      <w:bookmarkStart w:id="894" w:name="Tc_3nP8QLupv0y_S7CCXnr7pQ_4_14"/>
      <w:bookmarkStart w:id="895" w:name="Tc_AGbEargol02orheZ__JQ3g_4_11"/>
      <w:bookmarkStart w:id="896" w:name="Tc_TG91pjUtH0GMG4bmZna_ow_4_8"/>
      <w:bookmarkStart w:id="897" w:name="Tc_eY_3So78c0itwF8Hgt3FuQ_4_5"/>
      <w:bookmarkStart w:id="898" w:name="Tc_9d2CF-tYykiiasH4CQB_gA_4_2"/>
      <w:bookmarkStart w:id="899" w:name="Tc_IwVeDCDDN0eqKAO4bdaWIA_4_0"/>
      <w:bookmarkStart w:id="900" w:name="Tc_6EK6wCymJ0q0UtRbZhRspg_3_11"/>
      <w:bookmarkStart w:id="901" w:name="Tc_OA-KCqivm0ieWVAoiWtjOw_3_8"/>
      <w:bookmarkStart w:id="902" w:name="Tc_Cw14H0LlOkKcAACHbt_XyA_3_2"/>
      <w:bookmarkStart w:id="903" w:name="Tc_ixOiZJEyZ0WctAqwCywOxA_2_11"/>
      <w:bookmarkStart w:id="904" w:name="Tc_lAOoEQkcTESZXxd2sgAUBw_2_8"/>
      <w:bookmarkStart w:id="905" w:name="Tc_cmd4Gy5LBUeRjqUhMl1Nig_1_2"/>
      <w:bookmarkStart w:id="906" w:name="_b4a1b985_9662_452c_815b_61af2793b679"/>
      <w:bookmarkStart w:id="907" w:name="Tc__JOtqGey20CoFZP968vMug_9_14"/>
      <w:bookmarkStart w:id="908" w:name="Tc_ZZ54I18KXU67ElOpvMFbdw_9_11"/>
      <w:bookmarkStart w:id="909" w:name="Tc_l2_OFqLaQ0mKMA8V7T_tsw_9_8"/>
      <w:bookmarkStart w:id="910" w:name="Tc_MGIIm0CD4EGjDK4jvfozHg_9_5"/>
      <w:bookmarkStart w:id="911" w:name="Tc_HohzpVbxoUKr3GBSxFZY6Q_9_2"/>
      <w:bookmarkStart w:id="912" w:name="Tc_iWJkTKdiI0ybtZ5O1W1VOg_9_0"/>
      <w:bookmarkStart w:id="913" w:name="Tc_5MXSu6j5VEuJ775kW6ne-A_8_0"/>
      <w:bookmarkStart w:id="914" w:name="Tc_pcZUCITKDUecOfPCnhfx4g_7_0"/>
      <w:bookmarkStart w:id="915" w:name="Tc_NvdZRXAkfUGwofGD888ZTg_6_0"/>
      <w:bookmarkStart w:id="916" w:name="Tc_USaAw2OOLUKaeDU30ooL2g_5_14"/>
      <w:bookmarkStart w:id="917" w:name="Tc_yVnQf3Zfb0SPeqI_iSuGqg_5_11"/>
      <w:bookmarkStart w:id="918" w:name="Tc_nUh_oEKXWUaSMnZ5vC5raQ_5_8"/>
      <w:bookmarkStart w:id="919" w:name="Tc_Afe8lv50m0KPi-y2FQgLVw_5_5"/>
      <w:bookmarkStart w:id="920" w:name="Tc_pSe6V_rSgE-lS8x_DDmrAg_5_2"/>
      <w:bookmarkStart w:id="921" w:name="Tc_Z3U3u7wcY0KGZE39pp-VLA_5_0"/>
      <w:bookmarkStart w:id="922" w:name="Tc_C_aJaHOZukyQ3ZLKX_cK8g_4_14"/>
      <w:bookmarkStart w:id="923" w:name="Tc__RSDqupRhkGrNM5aCK-S8w_4_11"/>
      <w:bookmarkStart w:id="924" w:name="Tc_bING0RvVlkuJB1HXo44T4Q_4_8"/>
      <w:bookmarkStart w:id="925" w:name="Tc_dlkIXaVSMECvWFrPqNqxng_4_5"/>
      <w:bookmarkStart w:id="926" w:name="Tc_LtXPW_sysUelqPZUVsp-8w_4_2"/>
      <w:bookmarkStart w:id="927" w:name="Tc_rRbRItkIh0WULgKbxoSIoA_4_0"/>
      <w:bookmarkStart w:id="928" w:name="Tc_vLu2Pf-RQU-UEUEi9PlWcQ_3_11"/>
      <w:bookmarkStart w:id="929" w:name="Tc_l-W75kHusEataIYB2BlEiQ_3_8"/>
      <w:bookmarkStart w:id="930" w:name="Tc_9bI5Zrb35Uqw3nx7EkFR-w_3_2"/>
      <w:bookmarkStart w:id="931" w:name="Tc_XMAR7Y6wPEiVN9fl_nkRug_2_11"/>
      <w:bookmarkStart w:id="932" w:name="Tc_ExgfS4w4FUO1KqwuxAFodg_2_8"/>
      <w:bookmarkStart w:id="933" w:name="Tc_QMKa4j2NQ0ml_cmWmKLpBA_1_2"/>
      <w:bookmarkStart w:id="934" w:name="_220eae69_a6ce_45dc_85c8_6740366435ee"/>
      <w:bookmarkStart w:id="935" w:name="Tc_xvUDQHkdSUuwkuPWKhFwkw_9_14"/>
      <w:bookmarkStart w:id="936" w:name="Tc_1LvQ_-1aPEyUs4KqCQ9eJA_9_11"/>
      <w:bookmarkStart w:id="937" w:name="Tc_H2cYu9MiUUWCaqc4sTxMkQ_9_8"/>
      <w:bookmarkStart w:id="938" w:name="Tc_0e2ZSrJ9OEuEf_2coCaYiQ_9_5"/>
      <w:bookmarkStart w:id="939" w:name="Tc_6-4Szm2-ZE2P9V2RXj2VcA_9_2"/>
      <w:bookmarkStart w:id="940" w:name="Tc_oLJFz63rQUCFk8I-AwfIbQ_9_0"/>
      <w:bookmarkStart w:id="941" w:name="Tc_OCa3d1sNuU69mJif7TBXgg_8_0"/>
      <w:bookmarkStart w:id="942" w:name="Tc_aLGRceWu2kCk-GRrM72_tw_7_0"/>
      <w:bookmarkStart w:id="943" w:name="Tc_9G44YuOCj0KeXOAFbH6bvQ_6_0"/>
      <w:bookmarkStart w:id="944" w:name="Tc_gowKIHsw8kGE7eExmGyzPg_5_14"/>
      <w:bookmarkStart w:id="945" w:name="Tc_LtkfuaWZ80GLG3wh7rYUag_5_11"/>
      <w:bookmarkStart w:id="946" w:name="Tc_eBKBxXvbs0SCjVxBEfwdDg_5_8"/>
      <w:bookmarkStart w:id="947" w:name="Tc__K1UulriXU-F0lnRi56Lkg_5_5"/>
      <w:bookmarkStart w:id="948" w:name="Tc_0Ku3sLNPykqkEnU4SnzEDQ_5_2"/>
      <w:bookmarkStart w:id="949" w:name="Tc_PVX_y-7yj0iXpirGo7YfYw_5_0"/>
      <w:bookmarkStart w:id="950" w:name="Tc_XSfvlyjZ1EaswNSN4ki2ug_4_14"/>
      <w:bookmarkStart w:id="951" w:name="Tc_Xm8ES1ukeUij0HdoZOWw0A_4_11"/>
      <w:bookmarkStart w:id="952" w:name="Tc_8tHAh_BoTk6R0arN1wRvYg_4_8"/>
      <w:bookmarkStart w:id="953" w:name="Tc_Bt4-iNXRY0OnD5hw6j2QXQ_4_5"/>
      <w:bookmarkStart w:id="954" w:name="Tc_dqCq_yQijU2sPGsXjQtXVw_4_2"/>
      <w:bookmarkStart w:id="955" w:name="Tc_p_0Lq0ddAEKe3ligdSckcg_4_0"/>
      <w:bookmarkStart w:id="956" w:name="Tc_SmiGb2gHgk-AoHEEForlZA_3_11"/>
      <w:bookmarkStart w:id="957" w:name="Tc_HhWW22Rikk2hozI9450Xlg_3_8"/>
      <w:bookmarkStart w:id="958" w:name="Tc_KkutjfYRZ0a3BQCV-N1S4A_3_2"/>
      <w:bookmarkStart w:id="959" w:name="Tc_twgV-AukmEWyC5_u0eTm_g_2_11"/>
      <w:bookmarkStart w:id="960" w:name="Tc_1glTWhSkakWUfWiVzOvPCQ_2_8"/>
      <w:bookmarkStart w:id="961" w:name="Tc_Bk-Ybjl26kWhA35kb0k0_w_1_2"/>
      <w:bookmarkStart w:id="962" w:name="_a455006d_229b_4f87_9ac0_b9e396400e85"/>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Times New Roman;Times;serif" w:hAnsi="Times New Roman;Times;serif"/>
          <w:sz w:val="20"/>
        </w:rPr>
        <w:t>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463"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781"/>
        <w:gridCol w:w="346"/>
        <w:gridCol w:w="226"/>
        <w:gridCol w:w="840"/>
        <w:gridCol w:w="346"/>
        <w:gridCol w:w="239"/>
        <w:gridCol w:w="886"/>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72235" cy="175260"/>
                      <wp:effectExtent l="0" t="0" r="0" b="0"/>
                      <wp:wrapNone/>
                      <wp:docPr id="87" name="Frame8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90"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33400" cy="175260"/>
                      <wp:effectExtent l="0" t="0" r="0" b="0"/>
                      <wp:wrapNone/>
                      <wp:docPr id="96" name="Frame9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765" cy="175260"/>
                      <wp:effectExtent l="0" t="0" r="0" b="0"/>
                      <wp:wrapNone/>
                      <wp:docPr id="98" name="Frame9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2610" cy="175260"/>
                      <wp:effectExtent l="0" t="0" r="0" b="0"/>
                      <wp:wrapNone/>
                      <wp:docPr id="99"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2026</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1,360,558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207,016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2,356,131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72,644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143,721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632,759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218,973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2,537,473</w:t>
            </w:r>
          </w:p>
        </w:tc>
      </w:tr>
    </w:tbl>
    <w:p>
      <w:pPr>
        <w:pStyle w:val="TextBody"/>
        <w:bidi w:val="0"/>
        <w:spacing w:before="0" w:after="0"/>
        <w:ind w:left="0" w:right="0" w:hanging="0"/>
        <w:jc w:val="left"/>
        <w:rPr/>
      </w:pPr>
      <w:r>
        <w:rPr/>
        <w:t>​</w:t>
      </w:r>
    </w:p>
    <w:tbl>
      <w:tblPr>
        <w:tblW w:w="9463"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781"/>
        <w:gridCol w:w="346"/>
        <w:gridCol w:w="226"/>
        <w:gridCol w:w="840"/>
        <w:gridCol w:w="346"/>
        <w:gridCol w:w="239"/>
        <w:gridCol w:w="886"/>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72235" cy="175260"/>
                      <wp:effectExtent l="0" t="0" r="0" b="0"/>
                      <wp:wrapNone/>
                      <wp:docPr id="103" name="Frame10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3510" cy="175260"/>
                      <wp:effectExtent l="0" t="0" r="0" b="0"/>
                      <wp:wrapNone/>
                      <wp:docPr id="111" name="Frame1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3400" cy="175260"/>
                      <wp:effectExtent l="0" t="0" r="0" b="0"/>
                      <wp:wrapNone/>
                      <wp:docPr id="112" name="Frame11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1765" cy="175260"/>
                      <wp:effectExtent l="0" t="0" r="0" b="0"/>
                      <wp:wrapNone/>
                      <wp:docPr id="114" name="Frame11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2610" cy="175260"/>
                      <wp:effectExtent l="0" t="0" r="0" b="0"/>
                      <wp:wrapNone/>
                      <wp:docPr id="115"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8" name="Frame1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2025</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1,937,321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129,893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2,111,593</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both"/>
        <w:rPr/>
      </w:pPr>
      <w:r>
        <w:rPr/>
        <w:t>​</w:t>
      </w:r>
    </w:p>
    <w:tbl>
      <w:tblPr>
        <w:tblW w:w="9613"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931"/>
        <w:gridCol w:w="346"/>
        <w:gridCol w:w="226"/>
        <w:gridCol w:w="840"/>
        <w:gridCol w:w="346"/>
        <w:gridCol w:w="239"/>
        <w:gridCol w:w="886"/>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72235" cy="175260"/>
                      <wp:effectExtent l="0" t="0" r="0" b="0"/>
                      <wp:wrapNone/>
                      <wp:docPr id="119" name="Frame11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22" name="Frame1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27" name="Frame1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3400" cy="175260"/>
                      <wp:effectExtent l="0" t="0" r="0" b="0"/>
                      <wp:wrapNone/>
                      <wp:docPr id="128" name="Frame128"/>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1765" cy="175260"/>
                      <wp:effectExtent l="0" t="0" r="0" b="0"/>
                      <wp:wrapNone/>
                      <wp:docPr id="130" name="Frame1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1" name="Frame1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4"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0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2026</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1,085,644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396,709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4,544,785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133,338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24,155</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270,441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64,851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1,218,982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420,864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4,890,764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3" w:name="Tc_D-ADbH21C02C0XoE4VEZUg_9_14"/>
      <w:bookmarkStart w:id="964" w:name="Tc_q0rJMkDNSEKY71hbC-ykBw_9_11"/>
      <w:bookmarkStart w:id="965" w:name="Tc_XHBUj2NeFUSI1rajePdWGg_9_8"/>
      <w:bookmarkStart w:id="966" w:name="Tc_xnLWOKta00yALT4W9b_aiQ_9_5"/>
      <w:bookmarkStart w:id="967" w:name="Tc_FulMHvE_S0uFujWWIJ5xGg_9_2"/>
      <w:bookmarkStart w:id="968" w:name="Tc_c_aVCds7CECy3EHAofAUSw_9_0"/>
      <w:bookmarkStart w:id="969" w:name="Tc_XLwyVrbsu0iTn2WuZP293Q_8_12"/>
      <w:bookmarkStart w:id="970" w:name="Tc_-3iCvdesw0G_7S3kY8Uxcg_8_9"/>
      <w:bookmarkStart w:id="971" w:name="Tc_6v8VZg9PY0Spabil31ZY9g_8_6"/>
      <w:bookmarkStart w:id="972" w:name="Tc_z8gMSuAPekGZb3iVC7aC7g_8_0"/>
      <w:bookmarkStart w:id="973" w:name="Tc_dum_w2jZoEmGHJJTARATNg_7_12"/>
      <w:bookmarkStart w:id="974" w:name="Tc_nW1gFU-ZGka1r8dAQsff2g_7_9"/>
      <w:bookmarkStart w:id="975" w:name="Tc_KfmipbgUpkOikh4RQYuvEg_7_6"/>
      <w:bookmarkStart w:id="976" w:name="Tc_vC6wJeaA-kSjuz8N6XQrhg_7_0"/>
      <w:bookmarkStart w:id="977" w:name="Tc_CKARWi6WnkGeu6XJWmttwQ_6_0"/>
      <w:bookmarkStart w:id="978" w:name="Tc_O-wEc8elYUGqHG0R2OaBfw_5_14"/>
      <w:bookmarkStart w:id="979" w:name="Tc_RfCg9le-e0e0RKgg8FWqtw_5_11"/>
      <w:bookmarkStart w:id="980" w:name="Tc_6Y-HIpZINke9uBFhJMRqRw_5_8"/>
      <w:bookmarkStart w:id="981" w:name="Tc_a5FU84zozU6bmJnJaX-82w_5_5"/>
      <w:bookmarkStart w:id="982" w:name="Tc_9lfARJHno0mobWDnKuGS1Q_5_2"/>
      <w:bookmarkStart w:id="983" w:name="Tc_2j41vdB-K0G8YtbML0FPAQ_5_0"/>
      <w:bookmarkStart w:id="984" w:name="Tc_e8DFh9ddxUG3hcEplU1kDQ_4_14"/>
      <w:bookmarkStart w:id="985" w:name="Tc_XfZFmVc_K0y6NVkD3cIppQ_4_11"/>
      <w:bookmarkStart w:id="986" w:name="Tc_14rmH68erk698GNDbRWsyg_4_8"/>
      <w:bookmarkStart w:id="987" w:name="Tc_Rxhad-JgrU-uGSpZA9C-yA_4_5"/>
      <w:bookmarkStart w:id="988" w:name="Tc_Kli2FhsGh0OMbtRdJz3Biw_4_2"/>
      <w:bookmarkStart w:id="989" w:name="Tc_meB2Dp9kokSAX7PVPxRF_w_4_0"/>
      <w:bookmarkStart w:id="990" w:name="Tc_oJNgTzXYSUya-OEZJKdcEQ_3_11"/>
      <w:bookmarkStart w:id="991" w:name="Tc_PODw58orbkyIOkIXljLp5A_3_8"/>
      <w:bookmarkStart w:id="992" w:name="Tc_7NRHaINJWkiPGreAntEYrA_3_2"/>
      <w:bookmarkStart w:id="993" w:name="Tc_zyWXbHRsrk2w3FRIUFI38A_2_11"/>
      <w:bookmarkStart w:id="994" w:name="Tc_hLcIzeDd7kC1HFI8zEdiMw_2_8"/>
      <w:bookmarkStart w:id="995" w:name="Tc_TmWpJ9MjOUytpqBvT0PkoA_1_2"/>
      <w:bookmarkStart w:id="996" w:name="_0016ad93_221c_4bfb_9060_587ef4097ef9"/>
      <w:bookmarkStart w:id="997" w:name="Tc_D-ADbH21C02C0XoE4VEZUg_9_14"/>
      <w:bookmarkStart w:id="998" w:name="Tc_q0rJMkDNSEKY71hbC-ykBw_9_11"/>
      <w:bookmarkStart w:id="999" w:name="Tc_XHBUj2NeFUSI1rajePdWGg_9_8"/>
      <w:bookmarkStart w:id="1000" w:name="Tc_xnLWOKta00yALT4W9b_aiQ_9_5"/>
      <w:bookmarkStart w:id="1001" w:name="Tc_FulMHvE_S0uFujWWIJ5xGg_9_2"/>
      <w:bookmarkStart w:id="1002" w:name="Tc_c_aVCds7CECy3EHAofAUSw_9_0"/>
      <w:bookmarkStart w:id="1003" w:name="Tc_XLwyVrbsu0iTn2WuZP293Q_8_12"/>
      <w:bookmarkStart w:id="1004" w:name="Tc_-3iCvdesw0G_7S3kY8Uxcg_8_9"/>
      <w:bookmarkStart w:id="1005" w:name="Tc_6v8VZg9PY0Spabil31ZY9g_8_6"/>
      <w:bookmarkStart w:id="1006" w:name="Tc_z8gMSuAPekGZb3iVC7aC7g_8_0"/>
      <w:bookmarkStart w:id="1007" w:name="Tc_dum_w2jZoEmGHJJTARATNg_7_12"/>
      <w:bookmarkStart w:id="1008" w:name="Tc_nW1gFU-ZGka1r8dAQsff2g_7_9"/>
      <w:bookmarkStart w:id="1009" w:name="Tc_KfmipbgUpkOikh4RQYuvEg_7_6"/>
      <w:bookmarkStart w:id="1010" w:name="Tc_vC6wJeaA-kSjuz8N6XQrhg_7_0"/>
      <w:bookmarkStart w:id="1011" w:name="Tc_CKARWi6WnkGeu6XJWmttwQ_6_0"/>
      <w:bookmarkStart w:id="1012" w:name="Tc_O-wEc8elYUGqHG0R2OaBfw_5_14"/>
      <w:bookmarkStart w:id="1013" w:name="Tc_RfCg9le-e0e0RKgg8FWqtw_5_11"/>
      <w:bookmarkStart w:id="1014" w:name="Tc_6Y-HIpZINke9uBFhJMRqRw_5_8"/>
      <w:bookmarkStart w:id="1015" w:name="Tc_a5FU84zozU6bmJnJaX-82w_5_5"/>
      <w:bookmarkStart w:id="1016" w:name="Tc_9lfARJHno0mobWDnKuGS1Q_5_2"/>
      <w:bookmarkStart w:id="1017" w:name="Tc_2j41vdB-K0G8YtbML0FPAQ_5_0"/>
      <w:bookmarkStart w:id="1018" w:name="Tc_e8DFh9ddxUG3hcEplU1kDQ_4_14"/>
      <w:bookmarkStart w:id="1019" w:name="Tc_XfZFmVc_K0y6NVkD3cIppQ_4_11"/>
      <w:bookmarkStart w:id="1020" w:name="Tc_14rmH68erk698GNDbRWsyg_4_8"/>
      <w:bookmarkStart w:id="1021" w:name="Tc_Rxhad-JgrU-uGSpZA9C-yA_4_5"/>
      <w:bookmarkStart w:id="1022" w:name="Tc_Kli2FhsGh0OMbtRdJz3Biw_4_2"/>
      <w:bookmarkStart w:id="1023" w:name="Tc_meB2Dp9kokSAX7PVPxRF_w_4_0"/>
      <w:bookmarkStart w:id="1024" w:name="Tc_oJNgTzXYSUya-OEZJKdcEQ_3_11"/>
      <w:bookmarkStart w:id="1025" w:name="Tc_PODw58orbkyIOkIXljLp5A_3_8"/>
      <w:bookmarkStart w:id="1026" w:name="Tc_7NRHaINJWkiPGreAntEYrA_3_2"/>
      <w:bookmarkStart w:id="1027" w:name="Tc_zyWXbHRsrk2w3FRIUFI38A_2_11"/>
      <w:bookmarkStart w:id="1028" w:name="Tc_hLcIzeDd7kC1HFI8zEdiMw_2_8"/>
      <w:bookmarkStart w:id="1029" w:name="Tc_TmWpJ9MjOUytpqBvT0PkoA_1_2"/>
      <w:bookmarkStart w:id="1030" w:name="_0016ad93_221c_4bfb_9060_587ef4097ef9"/>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tbl>
      <w:tblPr>
        <w:tblW w:w="9463"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781"/>
        <w:gridCol w:w="346"/>
        <w:gridCol w:w="226"/>
        <w:gridCol w:w="840"/>
        <w:gridCol w:w="346"/>
        <w:gridCol w:w="239"/>
        <w:gridCol w:w="886"/>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72235" cy="175260"/>
                      <wp:effectExtent l="0" t="0" r="0" b="0"/>
                      <wp:wrapNone/>
                      <wp:docPr id="135" name="Frame13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8"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3510" cy="175260"/>
                      <wp:effectExtent l="0" t="0" r="0" b="0"/>
                      <wp:wrapNone/>
                      <wp:docPr id="143" name="Frame1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33400" cy="175260"/>
                      <wp:effectExtent l="0" t="0" r="0" b="0"/>
                      <wp:wrapNone/>
                      <wp:docPr id="144" name="Frame14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1765" cy="175260"/>
                      <wp:effectExtent l="0" t="0" r="0" b="0"/>
                      <wp:wrapNone/>
                      <wp:docPr id="146" name="Frame1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62610" cy="175260"/>
                      <wp:effectExtent l="0" t="0" r="0" b="0"/>
                      <wp:wrapNone/>
                      <wp:docPr id="147" name="Frame1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7860" cy="175260"/>
                      <wp:effectExtent l="0" t="0" r="0" b="0"/>
                      <wp:wrapNone/>
                      <wp:docPr id="150" name="Frame1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2025</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785,489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285,945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3,652,869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20,271</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2,466,073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882,791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306,216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3,966,150</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Amounts received from certain bottlers/distributors at the inception of their distribution contracts or at the inception of certain sales/marketing programs are accounted for as deferred revenue. As of </w:t>
      </w:r>
      <w:r>
        <w:rPr>
          <w:rFonts w:ascii="Times New Roman;Times;serif" w:hAnsi="Times New Roman;Times;serif"/>
          <w:color w:val="212529"/>
          <w:sz w:val="20"/>
        </w:rPr>
        <w:t>June 30, 2026 and December 31, 2025</w:t>
      </w:r>
      <w:r>
        <w:rPr>
          <w:rFonts w:ascii="Times New Roman;Times;serif" w:hAnsi="Times New Roman;Times;serif"/>
          <w:sz w:val="20"/>
        </w:rPr>
        <w:t>, the Company had $199.0 million and $205.3 million, respectively, of deferred revenue, which is included in current and long-term deferred revenue in the Company’s condensed consolidated balance sheets. During both the three</w:t>
      </w:r>
      <w:r>
        <w:rPr>
          <w:rFonts w:ascii="Times New Roman;Times;serif" w:hAnsi="Times New Roman;Times;serif"/>
          <w:color w:val="212529"/>
          <w:sz w:val="20"/>
          <w:shd w:fill="FFFFFF" w:val="clear"/>
        </w:rPr>
        <w:t>-months ended June 30, 2026 and 2025,</w:t>
      </w:r>
      <w:r>
        <w:rPr>
          <w:rFonts w:ascii="Times New Roman;Times;serif" w:hAnsi="Times New Roman;Times;serif"/>
          <w:sz w:val="20"/>
        </w:rPr>
        <w:t xml:space="preserve"> $10.0 million of deferred revenue was recognized in net sales. During both the six</w:t>
      </w:r>
      <w:r>
        <w:rPr>
          <w:rFonts w:ascii="Times New Roman;Times;serif" w:hAnsi="Times New Roman;Times;serif"/>
          <w:color w:val="212529"/>
          <w:sz w:val="20"/>
          <w:shd w:fill="FFFFFF" w:val="clear"/>
        </w:rPr>
        <w:t>-months ended June 30, 2026 and 2025,</w:t>
      </w:r>
      <w:r>
        <w:rPr>
          <w:rFonts w:ascii="Times New Roman;Times;serif" w:hAnsi="Times New Roman;Times;serif"/>
          <w:sz w:val="20"/>
        </w:rPr>
        <w:t xml:space="preserve"> $19.9 million of deferred revenue was recognized in net sales. See Note 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031" w:name="Tc_szfHtrLLZk60q0QEzu-BhA_18_18"/>
      <w:bookmarkStart w:id="1032" w:name="Tc_4UJnvp-uEkiX5LkOIxexmg_18_17"/>
      <w:bookmarkStart w:id="1033" w:name="Tc_v4HsPm7kTEmoFqj3j_qmUQ_18_14"/>
      <w:bookmarkStart w:id="1034" w:name="Tc_0x9KAQQk_0eI17Pcm93Bkg_18_11"/>
      <w:bookmarkStart w:id="1035" w:name="Tc_OiqoQY-f3k6WGD33SP3g5g_18_8"/>
      <w:bookmarkStart w:id="1036" w:name="Tc_J2e9T6HWGEWOFXjSgLFSdQ_18_5"/>
      <w:bookmarkStart w:id="1037" w:name="Tc_hS1dqdDpKEyG1uBYm1Xyow_18_2"/>
      <w:bookmarkStart w:id="1038" w:name="Tc_8eElAbHDtkSKi6XYiJhIJg_18_0"/>
      <w:bookmarkStart w:id="1039" w:name="Tc_mhbFfQPw-EKe_BWWnX81cA_17_18"/>
      <w:bookmarkStart w:id="1040" w:name="Tc_fES5guVGm0Cw23yVBCu71A_17_6"/>
      <w:bookmarkStart w:id="1041" w:name="Tc_HeLLm6Fv7Ue_Th__U0HOqA_17_0"/>
      <w:bookmarkStart w:id="1042" w:name="Tc_NJQnLL-Ki0qbKvOqF0SIlA_16_18"/>
      <w:bookmarkStart w:id="1043" w:name="Tc_ZSTNVFoU7U2WnOYYKZYnzg_16_6"/>
      <w:bookmarkStart w:id="1044" w:name="Tc_TdFUS86SIUWgQu1ZDYMZpw_16_0"/>
      <w:bookmarkStart w:id="1045" w:name="Tc_9BDZ6J7vd0OvwHhBwoCQJg_15_18"/>
      <w:bookmarkStart w:id="1046" w:name="Tc_mqRjmW2VW0WP8QyvL5iDzA_15_6"/>
      <w:bookmarkStart w:id="1047" w:name="Tc_Dce4UZI6oUG7m9jazeVDRw_15_0"/>
      <w:bookmarkStart w:id="1048" w:name="Tc_lr4TMOk6NEaMpLwwGaqw1A_14_18"/>
      <w:bookmarkStart w:id="1049" w:name="Tc_yamhmIbdMk-TdD1O0AQJyg_14_6"/>
      <w:bookmarkStart w:id="1050" w:name="Tc_CJg_AOQEA0m3-rqFCEvjmQ_14_0"/>
      <w:bookmarkStart w:id="1051" w:name="Tc_CIFZerZrZ0a1AS-N4YChxw_13_0"/>
      <w:bookmarkStart w:id="1052" w:name="Tc_cLyuTtqkuEa8tcy2xFzWxQ_12_18"/>
      <w:bookmarkStart w:id="1053" w:name="Tc_rmZPj3Wbx0SkS4z9c-GEjg_12_6"/>
      <w:bookmarkStart w:id="1054" w:name="Tc_5kpgUKx_ek-4ZWST3hT3gQ_12_0"/>
      <w:bookmarkStart w:id="1055" w:name="Tc_l8es7i3FSE-_bBBrsK6HIg_11_18"/>
      <w:bookmarkStart w:id="1056" w:name="Tc_H70dj4MKekmEqwvUQcR_XQ_11_6"/>
      <w:bookmarkStart w:id="1057" w:name="Tc_lEXU0XEaJESVovqiWmfL3A_11_0"/>
      <w:bookmarkStart w:id="1058" w:name="Tc_4LaDhXgHhU6O63ozUXw5uQ_10_18"/>
      <w:bookmarkStart w:id="1059" w:name="Tc_jA0SLs1aw0mAXbPw8-9k8g_10_6"/>
      <w:bookmarkStart w:id="1060" w:name="Tc_vv9Eq5vYLUKtikQizgtSSA_10_0"/>
      <w:bookmarkStart w:id="1061" w:name="Tc_aiPxHYQpRkaIdM0tCSJnVA_9_18"/>
      <w:bookmarkStart w:id="1062" w:name="Tc_NSF6sPsUWkyyI-nTKA9Ffw_9_6"/>
      <w:bookmarkStart w:id="1063" w:name="Tc_imEeNn4ADUGfHsNj_8WqWw_9_0"/>
      <w:bookmarkStart w:id="1064" w:name="Tc_hKd2MTmvQEyGque712ZKnw_8_18"/>
      <w:bookmarkStart w:id="1065" w:name="Tc_oS0pbepJlE6ce84cegNLww_8_17"/>
      <w:bookmarkStart w:id="1066" w:name="Tc_ZiA7Uz_jiEq1liMDuXSjiA_8_15"/>
      <w:bookmarkStart w:id="1067" w:name="Tc_ZwRtM0gyFUeHXT1dnzsO8w_8_14"/>
      <w:bookmarkStart w:id="1068" w:name="Tc_8bLH-rpnhkuR0_0jOAn_Aw_8_11"/>
      <w:bookmarkStart w:id="1069" w:name="Tc_oA-uJfhJV0WnWbg0MHfhZw_8_9"/>
      <w:bookmarkStart w:id="1070" w:name="Tc_GSRXyQOZ90qWbx1aW-QxuQ_8_8"/>
      <w:bookmarkStart w:id="1071" w:name="Tc_g-BHs6E0_E-bJfwoTOO2xQ_8_5"/>
      <w:bookmarkStart w:id="1072" w:name="Tc_Q0shyfSyLUaRvszwRNk0cw_8_2"/>
      <w:bookmarkStart w:id="1073" w:name="Tc_H916q9CaD0Srkia5WBQj3g_8_0"/>
      <w:bookmarkStart w:id="1074" w:name="Tc_IpQshLZs70avGnGrtN6AQg_7_0"/>
      <w:bookmarkStart w:id="1075" w:name="Tc_BCmSs_mXY0OkkK4-kJL1NQ_6_0"/>
      <w:bookmarkStart w:id="1076" w:name="Tc_bq8BrcnJJ0eG7T3pcBs_Dg_5_17"/>
      <w:bookmarkStart w:id="1077" w:name="Tc_gjF095t_t0Gds80vo9Enwg_5_14"/>
      <w:bookmarkStart w:id="1078" w:name="Tc_7F6sIJuRk0CWCWcAMIiuiQ_5_11"/>
      <w:bookmarkStart w:id="1079" w:name="Tc_3IrQXS34fUus7nJfqWlWtQ_5_8"/>
      <w:bookmarkStart w:id="1080" w:name="Tc_BP2N0QXSvUq9UQQRGUHs4A_5_5"/>
      <w:bookmarkStart w:id="1081" w:name="Tc_V4veMI4NwkCafOxjJOh2uw_5_2"/>
      <w:bookmarkStart w:id="1082" w:name="Tc_T_Udk2mxbUuhbCYCGVKF-w_5_0"/>
      <w:bookmarkStart w:id="1083" w:name="Tc_Go2YHZbRx02mfBLQJA0BJA_4_17"/>
      <w:bookmarkStart w:id="1084" w:name="Tc_PnFgTfLZ7EyP00d1gntucg_4_14"/>
      <w:bookmarkStart w:id="1085" w:name="Tc_JWWCxkag1UGr5eqeG_cB2A_4_11"/>
      <w:bookmarkStart w:id="1086" w:name="Tc_pYLaTbtDK0WtYd9xJ57DLg_4_8"/>
      <w:bookmarkStart w:id="1087" w:name="Tc_MY4XQRaPAkuvZFLX0SzyHA_4_5"/>
      <w:bookmarkStart w:id="1088" w:name="Tc_triaMW0a5UmI00Wt81wqqg_4_2"/>
      <w:bookmarkStart w:id="1089" w:name="Tc_yrAd5yaCRkqVExvJMDPVgg_3_17"/>
      <w:bookmarkStart w:id="1090" w:name="Tc_l1BqO_esnEuPocfuXw9qcQ_3_14"/>
      <w:bookmarkStart w:id="1091" w:name="Tc_8k8-k8iZwU2BZrL_xN6L6g_3_8"/>
      <w:bookmarkStart w:id="1092" w:name="Tc_2ZdYDc7GfkGYog7s1hp74g_3_5"/>
      <w:bookmarkStart w:id="1093" w:name="Tc_NSoVmpHjQUybyAjNfHxNhA_2_17"/>
      <w:bookmarkStart w:id="1094" w:name="Tc_a_vMDutLjUicr1nrtYbuBw_2_14"/>
      <w:bookmarkStart w:id="1095" w:name="Tc_INMxPmoEF0-j7RmpbQ8XVA_2_8"/>
      <w:bookmarkStart w:id="1096" w:name="Tc_KMOjQ0J20kyVGxyYFxprAg_2_5"/>
      <w:bookmarkStart w:id="1097" w:name="Tc_pzH5b8ullEGdQRiD1yndiQ_1_17"/>
      <w:bookmarkStart w:id="1098" w:name="Tc_JxdINBiXREa9Mx_2JoqfYA_1_14"/>
      <w:bookmarkStart w:id="1099" w:name="_d63d2878_0aa5_461c_ada7_6a2ffba76ce4"/>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r>
        <w:rPr>
          <w:rFonts w:ascii="Times New Roman;Times;serif" w:hAnsi="Times New Roman;Times;serif"/>
          <w:b w:val="false"/>
          <w:i w:val="false"/>
          <w:caps w:val="false"/>
          <w:smallCaps w:val="false"/>
          <w:sz w:val="20"/>
        </w:rPr>
        <w:t>3.</w:t>
      </w:r>
      <w:r>
        <w:rPr>
          <w:rFonts w:ascii="Times New Roman;Times;serif" w:hAnsi="Times New Roman;Times;serif"/>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w:t>
      </w:r>
    </w:p>
    <w:p>
      <w:pPr>
        <w:pStyle w:val="TextBody"/>
        <w:bidi w:val="0"/>
        <w:spacing w:before="0" w:after="0"/>
        <w:ind w:left="0" w:right="0" w:hanging="0"/>
        <w:jc w:val="left"/>
        <w:rPr/>
      </w:pPr>
      <w:r>
        <w:rPr/>
        <w:t>​</w:t>
      </w:r>
    </w:p>
    <w:tbl>
      <w:tblPr>
        <w:tblW w:w="10440" w:type="dxa"/>
        <w:jc w:val="left"/>
        <w:tblInd w:w="0" w:type="dxa"/>
        <w:tblLayout w:type="fixed"/>
        <w:tblCellMar>
          <w:top w:w="0" w:type="dxa"/>
          <w:left w:w="0" w:type="dxa"/>
          <w:bottom w:w="0" w:type="dxa"/>
          <w:right w:w="0" w:type="dxa"/>
        </w:tblCellMar>
      </w:tblPr>
      <w:tblGrid>
        <w:gridCol w:w="1651"/>
        <w:gridCol w:w="346"/>
        <w:gridCol w:w="211"/>
        <w:gridCol w:w="931"/>
        <w:gridCol w:w="346"/>
        <w:gridCol w:w="375"/>
        <w:gridCol w:w="616"/>
        <w:gridCol w:w="346"/>
        <w:gridCol w:w="267"/>
        <w:gridCol w:w="724"/>
        <w:gridCol w:w="346"/>
        <w:gridCol w:w="211"/>
        <w:gridCol w:w="931"/>
        <w:gridCol w:w="346"/>
        <w:gridCol w:w="323"/>
        <w:gridCol w:w="878"/>
        <w:gridCol w:w="346"/>
        <w:gridCol w:w="397"/>
        <w:gridCol w:w="849"/>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48385" cy="175260"/>
                      <wp:effectExtent l="0" t="0" r="0" b="0"/>
                      <wp:wrapNone/>
                      <wp:docPr id="151" name="Frame151"/>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1185" cy="175260"/>
                      <wp:effectExtent l="0" t="0" r="0" b="0"/>
                      <wp:wrapNone/>
                      <wp:docPr id="154" name="Frame1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8125" cy="175260"/>
                      <wp:effectExtent l="0" t="0" r="0" b="0"/>
                      <wp:wrapNone/>
                      <wp:docPr id="156" name="Frame15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91160" cy="175260"/>
                      <wp:effectExtent l="0" t="0" r="0" b="0"/>
                      <wp:wrapNone/>
                      <wp:docPr id="157" name="Frame15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9545" cy="175260"/>
                      <wp:effectExtent l="0" t="0" r="0" b="0"/>
                      <wp:wrapNone/>
                      <wp:docPr id="159" name="Frame15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59740" cy="175260"/>
                      <wp:effectExtent l="0" t="0" r="0" b="0"/>
                      <wp:wrapNone/>
                      <wp:docPr id="160" name="Frame16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1185" cy="175260"/>
                      <wp:effectExtent l="0" t="0" r="0" b="0"/>
                      <wp:wrapNone/>
                      <wp:docPr id="163" name="Frame1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5105" cy="175260"/>
                      <wp:effectExtent l="0" t="0" r="0" b="0"/>
                      <wp:wrapNone/>
                      <wp:docPr id="165" name="Frame165"/>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57530" cy="175260"/>
                      <wp:effectExtent l="0" t="0" r="0" b="0"/>
                      <wp:wrapNone/>
                      <wp:docPr id="166" name="Frame16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52095" cy="175260"/>
                      <wp:effectExtent l="0" t="0" r="0" b="0"/>
                      <wp:wrapNone/>
                      <wp:docPr id="168" name="Frame16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39115" cy="175260"/>
                      <wp:effectExtent l="0" t="0" r="0" b="0"/>
                      <wp:wrapNone/>
                      <wp:docPr id="169" name="Frame169"/>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174,270</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174,271</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62,316</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62,263</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653,881</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652,974</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334,849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334,222</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42,124</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41,835</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468,616</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465,952</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274,305</w:t>
            </w:r>
          </w:p>
        </w:tc>
        <w:tc>
          <w:tcPr>
            <w:tcW w:w="34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272,938</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46"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2,014,061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2,008,146</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00" w:name="Tc_p1KV_9v1xEi6I_2GNYOgxw_15_11"/>
      <w:bookmarkStart w:id="1101" w:name="Tc_NMOEGhydNke0Zvy0TR7jow_15_8"/>
      <w:bookmarkStart w:id="1102" w:name="Tc_uAFooQFJMkypWHQ3zAkh0g_15_5"/>
      <w:bookmarkStart w:id="1103" w:name="Tc_yN32kMjmU0Ohlw0Hw02u_g_15_2"/>
      <w:bookmarkStart w:id="1104" w:name="Tc_I4KcRnL_1Uq93ZBi6KoC6Q_15_0"/>
      <w:bookmarkStart w:id="1105" w:name="Tc_EfapT9iZK0yKOerizYz_XA_14_0"/>
      <w:bookmarkStart w:id="1106" w:name="Tc_nlSgSaXMiEmKDlZfVDHUTA_13_0"/>
      <w:bookmarkStart w:id="1107" w:name="Tc_5ARztEo2n0qVXBJUmPJ0OA_12_0"/>
      <w:bookmarkStart w:id="1108" w:name="Tc_LdOLCj5RRUSBquO2CUaJqw_11_0"/>
      <w:bookmarkStart w:id="1109" w:name="Tc_KYUMgOCXXEiNPKZNJI5W9A_10_0"/>
      <w:bookmarkStart w:id="1110" w:name="Tc_kLe_Rnts-0iexU2eP3rABw_9_0"/>
      <w:bookmarkStart w:id="1111" w:name="Tc_nKcjpUsI6kib2cwm6TBf4w_8_0"/>
      <w:bookmarkStart w:id="1112" w:name="Tc_zVCVgMPBw0OzcaV9oqPdrg_7_0"/>
      <w:bookmarkStart w:id="1113" w:name="Tc_DfxdOU6WjEuxK1E7Xc32Nw_6_0"/>
      <w:bookmarkStart w:id="1114" w:name="Tc_BrRGIb_BpUmJuJwjEK9F8A_5_0"/>
      <w:bookmarkStart w:id="1115" w:name="Tc_l5Ecm7jdK0OagRD7nNvrVQ_4_11"/>
      <w:bookmarkStart w:id="1116" w:name="Tc_q_hvxgEoRkyCbTZRcZjvyA_4_8"/>
      <w:bookmarkStart w:id="1117" w:name="Tc_1wXEl3C200aFWThEV8ARIw_4_5"/>
      <w:bookmarkStart w:id="1118" w:name="Tc_c4UcTCOb0kuqASvN3ZsPww_4_2"/>
      <w:bookmarkStart w:id="1119" w:name="Tc_jaZtOjHb5UOAadLfbZXjJQ_4_0"/>
      <w:bookmarkStart w:id="1120" w:name="Tc_VHI9VFbdLkWdNN8fraXkDA_3_0"/>
      <w:bookmarkStart w:id="1121" w:name="Tc_i3v1B3LnU0688bmJJqmpJg_2_11"/>
      <w:bookmarkStart w:id="1122" w:name="Tc_y1jZeTi0IkuevCf_KklKKw_2_8"/>
      <w:bookmarkStart w:id="1123" w:name="Tc_sH21XaAz8UmeYsiaAZzG7Q_2_5"/>
      <w:bookmarkStart w:id="1124" w:name="Tc_-sN-D0uMhE6t2Dr-sYSljQ_2_2"/>
      <w:bookmarkStart w:id="1125" w:name="Tc_VHnInnxWtkil9-ufEprEnA_1_8"/>
      <w:bookmarkStart w:id="1126" w:name="Tc_N9IIt9J_8k6xfFTsdug8sg_1_2"/>
      <w:bookmarkStart w:id="1127" w:name="_1795939c_135f_44cc_9fdc_2bf1302023cf"/>
      <w:bookmarkStart w:id="1128" w:name="Tc_RuhCN6lXpE-7ZFJTQmaCGw_17_18"/>
      <w:bookmarkStart w:id="1129" w:name="Tc_zEhhEct6oUe4cMixPEolFg_17_17"/>
      <w:bookmarkStart w:id="1130" w:name="Tc_bj-WKtvuO0CsJFUDTMivUA_17_15"/>
      <w:bookmarkStart w:id="1131" w:name="Tc_rbAVUqLU5UCZ50WW3_Inpg_17_14"/>
      <w:bookmarkStart w:id="1132" w:name="Tc_g4p9NDQonkiSATJhDhQbfA_17_11"/>
      <w:bookmarkStart w:id="1133" w:name="Tc_9nDb1sR-vkO6LMWJVTolGQ_17_9"/>
      <w:bookmarkStart w:id="1134" w:name="Tc_xTn3eC7w9Uq7DJSTAGM1-w_17_8"/>
      <w:bookmarkStart w:id="1135" w:name="Tc_8voxjU2KlEyxPBgniQAI3Q_17_5"/>
      <w:bookmarkStart w:id="1136" w:name="Tc_TcjvcbuQFkqFa8jV6S2HlQ_17_2"/>
      <w:bookmarkStart w:id="1137" w:name="Tc_Obc-NvHL40etVc2O4lRs2w_17_0"/>
      <w:bookmarkStart w:id="1138" w:name="Tc_meK142LEhUKE6244gHaBVw_16_18"/>
      <w:bookmarkStart w:id="1139" w:name="Tc_L1jUEumDAESyado0Ct4e0Q_16_15"/>
      <w:bookmarkStart w:id="1140" w:name="Tc_zzzKjMzxfkiOwiW5U4I_ew_16_9"/>
      <w:bookmarkStart w:id="1141" w:name="Tc_iW91o-qm3U6oghEhoz68qA_16_0"/>
      <w:bookmarkStart w:id="1142" w:name="Tc_KNVAkH2XdUufT68lzBsrwg_15_18"/>
      <w:bookmarkStart w:id="1143" w:name="Tc_4xSpS6Mqu0qXrQeDhQxGHw_15_15"/>
      <w:bookmarkStart w:id="1144" w:name="Tc_-nZ7eSuCdkSO5wdLHRQmQw_15_9"/>
      <w:bookmarkStart w:id="1145" w:name="Tc_Wo1r1HV4D0mGP-TLuWmstg_15_0"/>
      <w:bookmarkStart w:id="1146" w:name="Tc_FeZ6DIYn2km4nqTnZPlmrA_14_18"/>
      <w:bookmarkStart w:id="1147" w:name="Tc_nLzwznZi9kSEmN4c0PVSwA_14_15"/>
      <w:bookmarkStart w:id="1148" w:name="Tc_DzWEvFxPm0y2ECRT2tlQvA_14_9"/>
      <w:bookmarkStart w:id="1149" w:name="Tc_atU73cwssUuaDcfRGUjp8g_14_0"/>
      <w:bookmarkStart w:id="1150" w:name="Tc_47Hw6IwVOUCmwRQW0xMF7g_13_0"/>
      <w:bookmarkStart w:id="1151" w:name="Tc_TnxdbAdbaUWyDDnNIqeQFg_12_18"/>
      <w:bookmarkStart w:id="1152" w:name="Tc_VvOif4uv5kCdM8v789lG0g_12_15"/>
      <w:bookmarkStart w:id="1153" w:name="Tc_dkYusw4Y80CVWAXIrom62Q_12_9"/>
      <w:bookmarkStart w:id="1154" w:name="Tc_9Bh8HWKTDEGFggoy-ox9Ew_12_0"/>
      <w:bookmarkStart w:id="1155" w:name="Tc_miQ3ugpMF0ihxVXW8x8vAA_11_18"/>
      <w:bookmarkStart w:id="1156" w:name="Tc_hBRxbuEQd0Ki6p51TkJBpg_11_15"/>
      <w:bookmarkStart w:id="1157" w:name="Tc_0wT43nQVzEymybdPQHIRUw_11_9"/>
      <w:bookmarkStart w:id="1158" w:name="Tc_RVqwUIRJU0yOvMcf0qtKLw_11_0"/>
      <w:bookmarkStart w:id="1159" w:name="Tc_Q_k4xm_bUUCem6ydDJtreg_10_18"/>
      <w:bookmarkStart w:id="1160" w:name="Tc_yannpEmxykWggjRLdpPQJg_10_15"/>
      <w:bookmarkStart w:id="1161" w:name="Tc_WGu1ILdPKEionjnnWegV3A_10_9"/>
      <w:bookmarkStart w:id="1162" w:name="Tc_xdFL62LEjkyvTLLTsS3r8g_10_0"/>
      <w:bookmarkStart w:id="1163" w:name="Tc_E8_RtEGCxEGCpLcx5d1xxA_9_18"/>
      <w:bookmarkStart w:id="1164" w:name="Tc_q88699tjIESRGU4bE4d3QA_9_15"/>
      <w:bookmarkStart w:id="1165" w:name="Tc_c336vzRRrECLJZgHaIPc-A_9_9"/>
      <w:bookmarkStart w:id="1166" w:name="Tc_X3LHetMYeUyHA5iXZ1xHNw_9_6"/>
      <w:bookmarkStart w:id="1167" w:name="Tc_S2_j1plMtUegf39UV3fNgQ_9_0"/>
      <w:bookmarkStart w:id="1168" w:name="Tc_lRz3nmWmgU-VNq3hItn4mQ_8_18"/>
      <w:bookmarkStart w:id="1169" w:name="Tc_KrnyI-Dw50up2vf4TQpy5g_8_17"/>
      <w:bookmarkStart w:id="1170" w:name="Tc_24XbLdCJi0qOi5rZkpDw-g_8_15"/>
      <w:bookmarkStart w:id="1171" w:name="Tc_C-4wkNJG8U6zb3ZLFOXahw_8_14"/>
      <w:bookmarkStart w:id="1172" w:name="Tc_qm3nDgk45UK04Qss8xiBAw_8_11"/>
      <w:bookmarkStart w:id="1173" w:name="Tc_ZpMNO9keU0GKGxsipvY5Ow_8_9"/>
      <w:bookmarkStart w:id="1174" w:name="Tc_qJ3rmgHBGUSiDCLDqoXHjw_8_8"/>
      <w:bookmarkStart w:id="1175" w:name="Tc_f1M72t93Pkyo5oQ8e7AX7w_8_5"/>
      <w:bookmarkStart w:id="1176" w:name="Tc_p3G-I7Owv0ymjmUJw11V5Q_8_2"/>
      <w:bookmarkStart w:id="1177" w:name="Tc_cy7XyuFNcUqqAd1qjb7fIg_8_0"/>
      <w:bookmarkStart w:id="1178" w:name="Tc_gGt11D-7MkOt7seY5RhMaA_7_0"/>
      <w:bookmarkStart w:id="1179" w:name="Tc_qMWXN7seI02TaPMiVV-kxQ_6_0"/>
      <w:bookmarkStart w:id="1180" w:name="Tc_Uu4C2_bddki3_3rkNIXZ-g_5_17"/>
      <w:bookmarkStart w:id="1181" w:name="Tc_QfPkNN3qfE-TvoJorM325g_5_14"/>
      <w:bookmarkStart w:id="1182" w:name="Tc_Tx6z7V6Y2kGEIn1YyeJ7NQ_5_11"/>
      <w:bookmarkStart w:id="1183" w:name="Tc_chABWT5HOUyu89-GO4jAtw_5_8"/>
      <w:bookmarkStart w:id="1184" w:name="Tc_lUOmF-401UOop3fBudse4w_5_5"/>
      <w:bookmarkStart w:id="1185" w:name="Tc_t2e_mFIZRUGc4UEGwa17Nw_5_2"/>
      <w:bookmarkStart w:id="1186" w:name="Tc_9r1KxWukGEqTuIexKWVFwg_5_0"/>
      <w:bookmarkStart w:id="1187" w:name="Tc_66op4qFTBUGDU5GZx21SQA_4_17"/>
      <w:bookmarkStart w:id="1188" w:name="Tc_t_JCDs6ySE6SdEV66ZdlfA_4_14"/>
      <w:bookmarkStart w:id="1189" w:name="Tc_JfwFjHvyhkKQ8OmZoKGGdQ_4_11"/>
      <w:bookmarkStart w:id="1190" w:name="Tc_IbuESrIUFECE044exSGz5Q_4_8"/>
      <w:bookmarkStart w:id="1191" w:name="Tc_MlOI5M_SbkCVugtdIrot_g_4_5"/>
      <w:bookmarkStart w:id="1192" w:name="Tc_uV4sL_MDUEmlLITUMbOxjw_4_2"/>
      <w:bookmarkStart w:id="1193" w:name="Tc_25_ZN0YSyk2eyyRkpJB0Kg_3_17"/>
      <w:bookmarkStart w:id="1194" w:name="Tc_uqJa4KcMX0q3NAraazCzrw_3_14"/>
      <w:bookmarkStart w:id="1195" w:name="Tc_sxkcBZiyEkyLy-a4lHgshw_3_8"/>
      <w:bookmarkStart w:id="1196" w:name="Tc__wlEr5l0IEKz-AhmMD0HnA_3_5"/>
      <w:bookmarkStart w:id="1197" w:name="Tc_lzwgDgc1p0Cr0rdpGBQmqg_2_17"/>
      <w:bookmarkStart w:id="1198" w:name="Tc_rF_cF_B6CU6jBRSwp82pVg_2_14"/>
      <w:bookmarkStart w:id="1199" w:name="Tc_xhZDlNv3kUakh-Eof8WiaA_2_8"/>
      <w:bookmarkStart w:id="1200" w:name="Tc_WjerDnFBgk6PcFwMoQAi_w_2_5"/>
      <w:bookmarkStart w:id="1201" w:name="Tc_wa_GpnqGwEeokPm6rb883A_1_17"/>
      <w:bookmarkStart w:id="1202" w:name="Tc_6aSrklTB5kWC1QeJ1AjPVg_1_14"/>
      <w:bookmarkStart w:id="1203" w:name="_edb2c477_3334_4344_8d69_cf4b7bec7eef"/>
      <w:bookmarkStart w:id="1204" w:name="Tc_p1KV_9v1xEi6I_2GNYOgxw_15_11"/>
      <w:bookmarkStart w:id="1205" w:name="Tc_NMOEGhydNke0Zvy0TR7jow_15_8"/>
      <w:bookmarkStart w:id="1206" w:name="Tc_uAFooQFJMkypWHQ3zAkh0g_15_5"/>
      <w:bookmarkStart w:id="1207" w:name="Tc_yN32kMjmU0Ohlw0Hw02u_g_15_2"/>
      <w:bookmarkStart w:id="1208" w:name="Tc_I4KcRnL_1Uq93ZBi6KoC6Q_15_0"/>
      <w:bookmarkStart w:id="1209" w:name="Tc_EfapT9iZK0yKOerizYz_XA_14_0"/>
      <w:bookmarkStart w:id="1210" w:name="Tc_nlSgSaXMiEmKDlZfVDHUTA_13_0"/>
      <w:bookmarkStart w:id="1211" w:name="Tc_5ARztEo2n0qVXBJUmPJ0OA_12_0"/>
      <w:bookmarkStart w:id="1212" w:name="Tc_LdOLCj5RRUSBquO2CUaJqw_11_0"/>
      <w:bookmarkStart w:id="1213" w:name="Tc_KYUMgOCXXEiNPKZNJI5W9A_10_0"/>
      <w:bookmarkStart w:id="1214" w:name="Tc_kLe_Rnts-0iexU2eP3rABw_9_0"/>
      <w:bookmarkStart w:id="1215" w:name="Tc_nKcjpUsI6kib2cwm6TBf4w_8_0"/>
      <w:bookmarkStart w:id="1216" w:name="Tc_zVCVgMPBw0OzcaV9oqPdrg_7_0"/>
      <w:bookmarkStart w:id="1217" w:name="Tc_DfxdOU6WjEuxK1E7Xc32Nw_6_0"/>
      <w:bookmarkStart w:id="1218" w:name="Tc_BrRGIb_BpUmJuJwjEK9F8A_5_0"/>
      <w:bookmarkStart w:id="1219" w:name="Tc_l5Ecm7jdK0OagRD7nNvrVQ_4_11"/>
      <w:bookmarkStart w:id="1220" w:name="Tc_q_hvxgEoRkyCbTZRcZjvyA_4_8"/>
      <w:bookmarkStart w:id="1221" w:name="Tc_1wXEl3C200aFWThEV8ARIw_4_5"/>
      <w:bookmarkStart w:id="1222" w:name="Tc_c4UcTCOb0kuqASvN3ZsPww_4_2"/>
      <w:bookmarkStart w:id="1223" w:name="Tc_jaZtOjHb5UOAadLfbZXjJQ_4_0"/>
      <w:bookmarkStart w:id="1224" w:name="Tc_VHI9VFbdLkWdNN8fraXkDA_3_0"/>
      <w:bookmarkStart w:id="1225" w:name="Tc_i3v1B3LnU0688bmJJqmpJg_2_11"/>
      <w:bookmarkStart w:id="1226" w:name="Tc_y1jZeTi0IkuevCf_KklKKw_2_8"/>
      <w:bookmarkStart w:id="1227" w:name="Tc_sH21XaAz8UmeYsiaAZzG7Q_2_5"/>
      <w:bookmarkStart w:id="1228" w:name="Tc_-sN-D0uMhE6t2Dr-sYSljQ_2_2"/>
      <w:bookmarkStart w:id="1229" w:name="Tc_VHnInnxWtkil9-ufEprEnA_1_8"/>
      <w:bookmarkStart w:id="1230" w:name="Tc_N9IIt9J_8k6xfFTsdug8sg_1_2"/>
      <w:bookmarkStart w:id="1231" w:name="_1795939c_135f_44cc_9fdc_2bf1302023cf"/>
      <w:bookmarkStart w:id="1232" w:name="Tc_RuhCN6lXpE-7ZFJTQmaCGw_17_18"/>
      <w:bookmarkStart w:id="1233" w:name="Tc_zEhhEct6oUe4cMixPEolFg_17_17"/>
      <w:bookmarkStart w:id="1234" w:name="Tc_bj-WKtvuO0CsJFUDTMivUA_17_15"/>
      <w:bookmarkStart w:id="1235" w:name="Tc_rbAVUqLU5UCZ50WW3_Inpg_17_14"/>
      <w:bookmarkStart w:id="1236" w:name="Tc_g4p9NDQonkiSATJhDhQbfA_17_11"/>
      <w:bookmarkStart w:id="1237" w:name="Tc_9nDb1sR-vkO6LMWJVTolGQ_17_9"/>
      <w:bookmarkStart w:id="1238" w:name="Tc_xTn3eC7w9Uq7DJSTAGM1-w_17_8"/>
      <w:bookmarkStart w:id="1239" w:name="Tc_8voxjU2KlEyxPBgniQAI3Q_17_5"/>
      <w:bookmarkStart w:id="1240" w:name="Tc_TcjvcbuQFkqFa8jV6S2HlQ_17_2"/>
      <w:bookmarkStart w:id="1241" w:name="Tc_Obc-NvHL40etVc2O4lRs2w_17_0"/>
      <w:bookmarkStart w:id="1242" w:name="Tc_meK142LEhUKE6244gHaBVw_16_18"/>
      <w:bookmarkStart w:id="1243" w:name="Tc_L1jUEumDAESyado0Ct4e0Q_16_15"/>
      <w:bookmarkStart w:id="1244" w:name="Tc_zzzKjMzxfkiOwiW5U4I_ew_16_9"/>
      <w:bookmarkStart w:id="1245" w:name="Tc_iW91o-qm3U6oghEhoz68qA_16_0"/>
      <w:bookmarkStart w:id="1246" w:name="Tc_KNVAkH2XdUufT68lzBsrwg_15_18"/>
      <w:bookmarkStart w:id="1247" w:name="Tc_4xSpS6Mqu0qXrQeDhQxGHw_15_15"/>
      <w:bookmarkStart w:id="1248" w:name="Tc_-nZ7eSuCdkSO5wdLHRQmQw_15_9"/>
      <w:bookmarkStart w:id="1249" w:name="Tc_Wo1r1HV4D0mGP-TLuWmstg_15_0"/>
      <w:bookmarkStart w:id="1250" w:name="Tc_FeZ6DIYn2km4nqTnZPlmrA_14_18"/>
      <w:bookmarkStart w:id="1251" w:name="Tc_nLzwznZi9kSEmN4c0PVSwA_14_15"/>
      <w:bookmarkStart w:id="1252" w:name="Tc_DzWEvFxPm0y2ECRT2tlQvA_14_9"/>
      <w:bookmarkStart w:id="1253" w:name="Tc_atU73cwssUuaDcfRGUjp8g_14_0"/>
      <w:bookmarkStart w:id="1254" w:name="Tc_47Hw6IwVOUCmwRQW0xMF7g_13_0"/>
      <w:bookmarkStart w:id="1255" w:name="Tc_TnxdbAdbaUWyDDnNIqeQFg_12_18"/>
      <w:bookmarkStart w:id="1256" w:name="Tc_VvOif4uv5kCdM8v789lG0g_12_15"/>
      <w:bookmarkStart w:id="1257" w:name="Tc_dkYusw4Y80CVWAXIrom62Q_12_9"/>
      <w:bookmarkStart w:id="1258" w:name="Tc_9Bh8HWKTDEGFggoy-ox9Ew_12_0"/>
      <w:bookmarkStart w:id="1259" w:name="Tc_miQ3ugpMF0ihxVXW8x8vAA_11_18"/>
      <w:bookmarkStart w:id="1260" w:name="Tc_hBRxbuEQd0Ki6p51TkJBpg_11_15"/>
      <w:bookmarkStart w:id="1261" w:name="Tc_0wT43nQVzEymybdPQHIRUw_11_9"/>
      <w:bookmarkStart w:id="1262" w:name="Tc_RVqwUIRJU0yOvMcf0qtKLw_11_0"/>
      <w:bookmarkStart w:id="1263" w:name="Tc_Q_k4xm_bUUCem6ydDJtreg_10_18"/>
      <w:bookmarkStart w:id="1264" w:name="Tc_yannpEmxykWggjRLdpPQJg_10_15"/>
      <w:bookmarkStart w:id="1265" w:name="Tc_WGu1ILdPKEionjnnWegV3A_10_9"/>
      <w:bookmarkStart w:id="1266" w:name="Tc_xdFL62LEjkyvTLLTsS3r8g_10_0"/>
      <w:bookmarkStart w:id="1267" w:name="Tc_E8_RtEGCxEGCpLcx5d1xxA_9_18"/>
      <w:bookmarkStart w:id="1268" w:name="Tc_q88699tjIESRGU4bE4d3QA_9_15"/>
      <w:bookmarkStart w:id="1269" w:name="Tc_c336vzRRrECLJZgHaIPc-A_9_9"/>
      <w:bookmarkStart w:id="1270" w:name="Tc_X3LHetMYeUyHA5iXZ1xHNw_9_6"/>
      <w:bookmarkStart w:id="1271" w:name="Tc_S2_j1plMtUegf39UV3fNgQ_9_0"/>
      <w:bookmarkStart w:id="1272" w:name="Tc_lRz3nmWmgU-VNq3hItn4mQ_8_18"/>
      <w:bookmarkStart w:id="1273" w:name="Tc_KrnyI-Dw50up2vf4TQpy5g_8_17"/>
      <w:bookmarkStart w:id="1274" w:name="Tc_24XbLdCJi0qOi5rZkpDw-g_8_15"/>
      <w:bookmarkStart w:id="1275" w:name="Tc_C-4wkNJG8U6zb3ZLFOXahw_8_14"/>
      <w:bookmarkStart w:id="1276" w:name="Tc_qm3nDgk45UK04Qss8xiBAw_8_11"/>
      <w:bookmarkStart w:id="1277" w:name="Tc_ZpMNO9keU0GKGxsipvY5Ow_8_9"/>
      <w:bookmarkStart w:id="1278" w:name="Tc_qJ3rmgHBGUSiDCLDqoXHjw_8_8"/>
      <w:bookmarkStart w:id="1279" w:name="Tc_f1M72t93Pkyo5oQ8e7AX7w_8_5"/>
      <w:bookmarkStart w:id="1280" w:name="Tc_p3G-I7Owv0ymjmUJw11V5Q_8_2"/>
      <w:bookmarkStart w:id="1281" w:name="Tc_cy7XyuFNcUqqAd1qjb7fIg_8_0"/>
      <w:bookmarkStart w:id="1282" w:name="Tc_gGt11D-7MkOt7seY5RhMaA_7_0"/>
      <w:bookmarkStart w:id="1283" w:name="Tc_qMWXN7seI02TaPMiVV-kxQ_6_0"/>
      <w:bookmarkStart w:id="1284" w:name="Tc_Uu4C2_bddki3_3rkNIXZ-g_5_17"/>
      <w:bookmarkStart w:id="1285" w:name="Tc_QfPkNN3qfE-TvoJorM325g_5_14"/>
      <w:bookmarkStart w:id="1286" w:name="Tc_Tx6z7V6Y2kGEIn1YyeJ7NQ_5_11"/>
      <w:bookmarkStart w:id="1287" w:name="Tc_chABWT5HOUyu89-GO4jAtw_5_8"/>
      <w:bookmarkStart w:id="1288" w:name="Tc_lUOmF-401UOop3fBudse4w_5_5"/>
      <w:bookmarkStart w:id="1289" w:name="Tc_t2e_mFIZRUGc4UEGwa17Nw_5_2"/>
      <w:bookmarkStart w:id="1290" w:name="Tc_9r1KxWukGEqTuIexKWVFwg_5_0"/>
      <w:bookmarkStart w:id="1291" w:name="Tc_66op4qFTBUGDU5GZx21SQA_4_17"/>
      <w:bookmarkStart w:id="1292" w:name="Tc_t_JCDs6ySE6SdEV66ZdlfA_4_14"/>
      <w:bookmarkStart w:id="1293" w:name="Tc_JfwFjHvyhkKQ8OmZoKGGdQ_4_11"/>
      <w:bookmarkStart w:id="1294" w:name="Tc_IbuESrIUFECE044exSGz5Q_4_8"/>
      <w:bookmarkStart w:id="1295" w:name="Tc_MlOI5M_SbkCVugtdIrot_g_4_5"/>
      <w:bookmarkStart w:id="1296" w:name="Tc_uV4sL_MDUEmlLITUMbOxjw_4_2"/>
      <w:bookmarkStart w:id="1297" w:name="Tc_25_ZN0YSyk2eyyRkpJB0Kg_3_17"/>
      <w:bookmarkStart w:id="1298" w:name="Tc_uqJa4KcMX0q3NAraazCzrw_3_14"/>
      <w:bookmarkStart w:id="1299" w:name="Tc_sxkcBZiyEkyLy-a4lHgshw_3_8"/>
      <w:bookmarkStart w:id="1300" w:name="Tc__wlEr5l0IEKz-AhmMD0HnA_3_5"/>
      <w:bookmarkStart w:id="1301" w:name="Tc_lzwgDgc1p0Cr0rdpGBQmqg_2_17"/>
      <w:bookmarkStart w:id="1302" w:name="Tc_rF_cF_B6CU6jBRSwp82pVg_2_14"/>
      <w:bookmarkStart w:id="1303" w:name="Tc_xhZDlNv3kUakh-Eof8WiaA_2_8"/>
      <w:bookmarkStart w:id="1304" w:name="Tc_WjerDnFBgk6PcFwMoQAi_w_2_5"/>
      <w:bookmarkStart w:id="1305" w:name="Tc_wa_GpnqGwEeokPm6rb883A_1_17"/>
      <w:bookmarkStart w:id="1306" w:name="Tc_6aSrklTB5kWC1QeJ1AjPVg_1_14"/>
      <w:bookmarkStart w:id="1307" w:name="_edb2c477_3334_4344_8d69_cf4b7bec7eef"/>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tbl>
      <w:tblPr>
        <w:tblW w:w="10605" w:type="dxa"/>
        <w:jc w:val="left"/>
        <w:tblInd w:w="0" w:type="dxa"/>
        <w:tblLayout w:type="fixed"/>
        <w:tblCellMar>
          <w:top w:w="0" w:type="dxa"/>
          <w:left w:w="0" w:type="dxa"/>
          <w:bottom w:w="0" w:type="dxa"/>
          <w:right w:w="0" w:type="dxa"/>
        </w:tblCellMar>
      </w:tblPr>
      <w:tblGrid>
        <w:gridCol w:w="1696"/>
        <w:gridCol w:w="346"/>
        <w:gridCol w:w="226"/>
        <w:gridCol w:w="931"/>
        <w:gridCol w:w="346"/>
        <w:gridCol w:w="281"/>
        <w:gridCol w:w="710"/>
        <w:gridCol w:w="346"/>
        <w:gridCol w:w="391"/>
        <w:gridCol w:w="600"/>
        <w:gridCol w:w="346"/>
        <w:gridCol w:w="226"/>
        <w:gridCol w:w="931"/>
        <w:gridCol w:w="346"/>
        <w:gridCol w:w="491"/>
        <w:gridCol w:w="755"/>
        <w:gridCol w:w="346"/>
        <w:gridCol w:w="429"/>
        <w:gridCol w:w="862"/>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76960" cy="175260"/>
                      <wp:effectExtent l="0" t="0" r="0" b="0"/>
                      <wp:wrapNone/>
                      <wp:docPr id="170" name="Frame17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3510" cy="175260"/>
                      <wp:effectExtent l="0" t="0" r="0" b="0"/>
                      <wp:wrapNone/>
                      <wp:docPr id="172" name="Frame1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3" name="Frame1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8435" cy="175260"/>
                      <wp:effectExtent l="0" t="0" r="0" b="0"/>
                      <wp:wrapNone/>
                      <wp:docPr id="175" name="Frame17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0850" cy="175260"/>
                      <wp:effectExtent l="0" t="0" r="0" b="0"/>
                      <wp:wrapNone/>
                      <wp:docPr id="176" name="Frame17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8285" cy="175260"/>
                      <wp:effectExtent l="0" t="0" r="0" b="0"/>
                      <wp:wrapNone/>
                      <wp:docPr id="178" name="Frame1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81000" cy="175260"/>
                      <wp:effectExtent l="0" t="0" r="0" b="0"/>
                      <wp:wrapNone/>
                      <wp:docPr id="179" name="Frame179"/>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3510" cy="175260"/>
                      <wp:effectExtent l="0" t="0" r="0" b="0"/>
                      <wp:wrapNone/>
                      <wp:docPr id="181" name="Frame1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11785" cy="175260"/>
                      <wp:effectExtent l="0" t="0" r="0" b="0"/>
                      <wp:wrapNone/>
                      <wp:docPr id="184" name="Frame18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79425" cy="175260"/>
                      <wp:effectExtent l="0" t="0" r="0" b="0"/>
                      <wp:wrapNone/>
                      <wp:docPr id="185" name="Frame18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72415" cy="175260"/>
                      <wp:effectExtent l="0" t="0" r="0" b="0"/>
                      <wp:wrapNone/>
                      <wp:docPr id="187" name="Frame187"/>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47370" cy="175260"/>
                      <wp:effectExtent l="0" t="0" r="0" b="0"/>
                      <wp:wrapNone/>
                      <wp:docPr id="188" name="Frame18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8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9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 </w:t>
            </w:r>
          </w:p>
        </w:tc>
        <w:tc>
          <w:tcPr>
            <w:tcW w:w="346" w:type="dxa"/>
            <w:tcBorders/>
            <w:vAlign w:val="center"/>
          </w:tcPr>
          <w:p>
            <w:pPr>
              <w:pStyle w:val="TableContents"/>
              <w:bidi w:val="0"/>
              <w:spacing w:before="0" w:after="0"/>
              <w:ind w:left="0" w:right="0" w:hanging="0"/>
              <w:jc w:val="center"/>
              <w:rPr/>
            </w:pPr>
            <w:r>
              <w:rPr/>
              <w:t>  ​ ​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 </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46" w:type="dxa"/>
            <w:tcBorders/>
            <w:vAlign w:val="center"/>
          </w:tcPr>
          <w:p>
            <w:pPr>
              <w:pStyle w:val="TableContents"/>
              <w:bidi w:val="0"/>
              <w:spacing w:before="0" w:after="0"/>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c>
          <w:tcPr>
            <w:tcW w:w="346" w:type="dxa"/>
            <w:tcBorders/>
            <w:vAlign w:val="center"/>
          </w:tcPr>
          <w:p>
            <w:pPr>
              <w:pStyle w:val="TableContents"/>
              <w:bidi w:val="0"/>
              <w:spacing w:before="0" w:after="0"/>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  ​</w:t>
            </w:r>
          </w:p>
        </w:tc>
        <w:tc>
          <w:tcPr>
            <w:tcW w:w="60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91" w:type="dxa"/>
            <w:tcBorders/>
            <w:shd w:fill="CCEEFF" w:val="clear"/>
            <w:vAlign w:val="center"/>
          </w:tcPr>
          <w:p>
            <w:pPr>
              <w:pStyle w:val="TableContents"/>
              <w:bidi w:val="0"/>
              <w:spacing w:before="0" w:after="0"/>
              <w:ind w:left="0" w:right="0" w:hanging="0"/>
              <w:jc w:val="center"/>
              <w:rPr/>
            </w:pPr>
            <w:r>
              <w:rPr/>
              <w:t>  ​</w:t>
            </w:r>
          </w:p>
        </w:tc>
        <w:tc>
          <w:tcPr>
            <w:tcW w:w="7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29" w:type="dxa"/>
            <w:tcBorders/>
            <w:shd w:fill="CCEEFF" w:val="clear"/>
            <w:vAlign w:val="center"/>
          </w:tcPr>
          <w:p>
            <w:pPr>
              <w:pStyle w:val="TableContents"/>
              <w:bidi w:val="0"/>
              <w:spacing w:before="0" w:after="0"/>
              <w:ind w:left="0" w:right="0" w:hanging="0"/>
              <w:jc w:val="center"/>
              <w:rPr/>
            </w:pPr>
            <w:r>
              <w:rPr/>
              <w:t>  ​</w:t>
            </w:r>
          </w:p>
        </w:tc>
        <w:tc>
          <w:tcPr>
            <w:tcW w:w="862" w:type="dxa"/>
            <w:tcBorders/>
            <w:shd w:fill="CCEEFF" w:val="clear"/>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489,007</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489,499</w:t>
            </w:r>
          </w:p>
        </w:tc>
        <w:tc>
          <w:tcPr>
            <w:tcW w:w="34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83,639</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83,763</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259,613</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259,966</w:t>
            </w:r>
          </w:p>
        </w:tc>
        <w:tc>
          <w:tcPr>
            <w:tcW w:w="34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226,156</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1,163,152</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1,164,413</w:t>
            </w:r>
          </w:p>
        </w:tc>
        <w:tc>
          <w:tcPr>
            <w:tcW w:w="346" w:type="dxa"/>
            <w:tcBorders/>
            <w:vAlign w:val="center"/>
          </w:tcPr>
          <w:p>
            <w:pPr>
              <w:pStyle w:val="TableContents"/>
              <w:bidi w:val="0"/>
              <w:spacing w:before="0" w:after="0"/>
              <w:ind w:left="0" w:right="0" w:hanging="0"/>
              <w:jc w:val="left"/>
              <w:rPr/>
            </w:pPr>
            <w:r>
              <w:rPr/>
              <w:t>​</w:t>
            </w:r>
          </w:p>
        </w:tc>
        <w:tc>
          <w:tcPr>
            <w:tcW w:w="4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six-months ended June 30, 2026 and 2025,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investments at June 30, 2026 carried investment grade credit ratings.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underlying contractual maturities of the Company’s investments at:</w:t>
      </w:r>
    </w:p>
    <w:tbl>
      <w:tblPr>
        <w:tblW w:w="9444" w:type="dxa"/>
        <w:jc w:val="left"/>
        <w:tblInd w:w="0" w:type="dxa"/>
        <w:tblLayout w:type="fixed"/>
        <w:tblCellMar>
          <w:top w:w="0" w:type="dxa"/>
          <w:left w:w="0" w:type="dxa"/>
          <w:bottom w:w="0" w:type="dxa"/>
          <w:right w:w="0" w:type="dxa"/>
        </w:tblCellMar>
      </w:tblPr>
      <w:tblGrid>
        <w:gridCol w:w="2911"/>
        <w:gridCol w:w="346"/>
        <w:gridCol w:w="255"/>
        <w:gridCol w:w="1125"/>
        <w:gridCol w:w="346"/>
        <w:gridCol w:w="211"/>
        <w:gridCol w:w="931"/>
        <w:gridCol w:w="346"/>
        <w:gridCol w:w="255"/>
        <w:gridCol w:w="1125"/>
        <w:gridCol w:w="346"/>
        <w:gridCol w:w="211"/>
        <w:gridCol w:w="10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48485" cy="175260"/>
                      <wp:effectExtent l="0" t="0" r="0" b="0"/>
                      <wp:wrapNone/>
                      <wp:docPr id="189" name="Frame18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1925" cy="175260"/>
                      <wp:effectExtent l="0" t="0" r="0" b="0"/>
                      <wp:wrapNone/>
                      <wp:docPr id="191" name="Frame19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14375" cy="175260"/>
                      <wp:effectExtent l="0" t="0" r="0" b="0"/>
                      <wp:wrapNone/>
                      <wp:docPr id="192" name="Frame192"/>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1185" cy="175260"/>
                      <wp:effectExtent l="0" t="0" r="0" b="0"/>
                      <wp:wrapNone/>
                      <wp:docPr id="195"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1925" cy="175260"/>
                      <wp:effectExtent l="0" t="0" r="0" b="0"/>
                      <wp:wrapNone/>
                      <wp:docPr id="197" name="Frame19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14375" cy="175260"/>
                      <wp:effectExtent l="0" t="0" r="0" b="0"/>
                      <wp:wrapNone/>
                      <wp:docPr id="198" name="Frame198"/>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201" name="Frame2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center"/>
              <w:rPr/>
            </w:pPr>
            <w:r>
              <w:rPr/>
              <w:t>  ​ ​ ​</w:t>
            </w:r>
          </w:p>
        </w:tc>
        <w:tc>
          <w:tcPr>
            <w:tcW w:w="29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46" w:type="dxa"/>
            <w:tcBorders/>
            <w:vAlign w:val="center"/>
          </w:tcPr>
          <w:p>
            <w:pPr>
              <w:pStyle w:val="TableContents"/>
              <w:bidi w:val="0"/>
              <w:spacing w:before="0" w:after="0"/>
              <w:ind w:left="0" w:right="0" w:hanging="0"/>
              <w:jc w:val="center"/>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174,271</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62,263</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652,974</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489,499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334,222</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83,763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41,835</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465,952</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259,966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272,938</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226,156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2,008,146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1,164,413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08" w:name="Tc_AdoSozfKWEmcdmN6gjMz9Q_22_11"/>
      <w:bookmarkStart w:id="1309" w:name="Tc_03S-5y2Ns0OtIT7jXrbpow_22_8"/>
      <w:bookmarkStart w:id="1310" w:name="Tc_jEEMyQd8jUWnwC0QTiATlQ_22_5"/>
      <w:bookmarkStart w:id="1311" w:name="Tc_eL_NAYmEX0-v2RpEdt0Iiw_22_2"/>
      <w:bookmarkStart w:id="1312" w:name="Tc_nIaR6tG60Uq3VKESbrAquw_22_0"/>
      <w:bookmarkStart w:id="1313" w:name="Tc_Qryydv7tOUOfVi80runVgQ_21_0"/>
      <w:bookmarkStart w:id="1314" w:name="Tc_sFhJxufS4kehBr4-sprbDQ_20_0"/>
      <w:bookmarkStart w:id="1315" w:name="Tc_8hpvktJHNUmd6RXLPluSkg_19_0"/>
      <w:bookmarkStart w:id="1316" w:name="Tc_QuWSBw6C_UKfEJQMSO9wJg_18_0"/>
      <w:bookmarkStart w:id="1317" w:name="Tc_06kk_mn8D0i6gs54XwcUFA_17_0"/>
      <w:bookmarkStart w:id="1318" w:name="Tc_j2YyzFyiWEuxqChYPBvvcg_16_0"/>
      <w:bookmarkStart w:id="1319" w:name="Tc_hTVEsUgYU0ivZ-gaLvtmXQ_15_11"/>
      <w:bookmarkStart w:id="1320" w:name="Tc_jlLFwdXsB0ey52ZLGRgkoA_15_8"/>
      <w:bookmarkStart w:id="1321" w:name="Tc_3PktANMyhEC21mklQruDYg_15_5"/>
      <w:bookmarkStart w:id="1322" w:name="Tc_nT6QwpiCLk2hFobGqJw5vw_15_2"/>
      <w:bookmarkStart w:id="1323" w:name="Tc_RT2dLRtWAUKuz1JFCgbiXQ_15_0"/>
      <w:bookmarkStart w:id="1324" w:name="Tc_8wsBi5Dz_kqlZQBDsKpoCw_14_0"/>
      <w:bookmarkStart w:id="1325" w:name="Tc_9qKGgL6aEkCQ-kfaHXUzOw_12_11"/>
      <w:bookmarkStart w:id="1326" w:name="Tc_1qZZQGaxO0eq_P5XvSgvmA_12_8"/>
      <w:bookmarkStart w:id="1327" w:name="Tc_DvpIQCqItkessbmsnHZ36w_12_5"/>
      <w:bookmarkStart w:id="1328" w:name="Tc_A1wHIi7XZEO5nhfdyuR57A_12_2"/>
      <w:bookmarkStart w:id="1329" w:name="Tc_f2tiB03zJEmgejURXMP40w_12_0"/>
      <w:bookmarkStart w:id="1330" w:name="Tc_OxtqtDoiekiPbSHdT28XxA_11_0"/>
      <w:bookmarkStart w:id="1331" w:name="Tc_D-4wUSjTGkGvy5IPABHASg_10_0"/>
      <w:bookmarkStart w:id="1332" w:name="Tc_pYeszTDH4kicXT6kztvZGQ_9_0"/>
      <w:bookmarkStart w:id="1333" w:name="Tc_fD0Mq9UmVUG6wQHr5rWTOg_8_0"/>
      <w:bookmarkStart w:id="1334" w:name="Tc_RheMt9Pr4Ea5bf8NMIAhyQ_7_0"/>
      <w:bookmarkStart w:id="1335" w:name="Tc_NhqdM1zW6Eq_ZCeWhQ0seQ_6_0"/>
      <w:bookmarkStart w:id="1336" w:name="Tc__cGyxhHT7kShwszXLGZAsg_5_0"/>
      <w:bookmarkStart w:id="1337" w:name="Tc_X2Mj6spf_U-EJsmBO6AxrA_4_0"/>
      <w:bookmarkStart w:id="1338" w:name="Tc_YJ9eEaCt9Uq8RTOF4DEORw_3_0"/>
      <w:bookmarkStart w:id="1339" w:name="Tc_OJ4Z8v3-YEOu8hSsEjUI9w_2_11"/>
      <w:bookmarkStart w:id="1340" w:name="Tc_vfTgzmE5bUaibs2mxZhv2A_2_8"/>
      <w:bookmarkStart w:id="1341" w:name="Tc_sTGNoNnj2UmuL1QjLz1IDg_2_5"/>
      <w:bookmarkStart w:id="1342" w:name="Tc_8Nls3Xlah0aOWlslPeCpNA_2_2"/>
      <w:bookmarkStart w:id="1343" w:name="Tc_3YLSX-PnSU2U7fwJzMqd9w_2_0"/>
      <w:bookmarkStart w:id="1344" w:name="Tc_1_9JnmhlhUeDltAhU6q4Mw_1_11"/>
      <w:bookmarkStart w:id="1345" w:name="Tc_UeH1uTkfF0Skltez15tOqg_1_8"/>
      <w:bookmarkStart w:id="1346" w:name="Tc_lm8sgw1XbUi4K2acLOlwIw_1_5"/>
      <w:bookmarkStart w:id="1347" w:name="Tc_crEfxsXraE2Bd2k7lAEOkw_1_2"/>
      <w:bookmarkStart w:id="1348" w:name="Tc__IBWL9LnnU-UemQsGS-CKw_1_0"/>
      <w:bookmarkStart w:id="1349" w:name="_28b21def_c64e_419b_9475_3e21586523d5"/>
      <w:bookmarkStart w:id="1350" w:name="Tc_AdoSozfKWEmcdmN6gjMz9Q_22_11"/>
      <w:bookmarkStart w:id="1351" w:name="Tc_03S-5y2Ns0OtIT7jXrbpow_22_8"/>
      <w:bookmarkStart w:id="1352" w:name="Tc_jEEMyQd8jUWnwC0QTiATlQ_22_5"/>
      <w:bookmarkStart w:id="1353" w:name="Tc_eL_NAYmEX0-v2RpEdt0Iiw_22_2"/>
      <w:bookmarkStart w:id="1354" w:name="Tc_nIaR6tG60Uq3VKESbrAquw_22_0"/>
      <w:bookmarkStart w:id="1355" w:name="Tc_Qryydv7tOUOfVi80runVgQ_21_0"/>
      <w:bookmarkStart w:id="1356" w:name="Tc_sFhJxufS4kehBr4-sprbDQ_20_0"/>
      <w:bookmarkStart w:id="1357" w:name="Tc_8hpvktJHNUmd6RXLPluSkg_19_0"/>
      <w:bookmarkStart w:id="1358" w:name="Tc_QuWSBw6C_UKfEJQMSO9wJg_18_0"/>
      <w:bookmarkStart w:id="1359" w:name="Tc_06kk_mn8D0i6gs54XwcUFA_17_0"/>
      <w:bookmarkStart w:id="1360" w:name="Tc_j2YyzFyiWEuxqChYPBvvcg_16_0"/>
      <w:bookmarkStart w:id="1361" w:name="Tc_hTVEsUgYU0ivZ-gaLvtmXQ_15_11"/>
      <w:bookmarkStart w:id="1362" w:name="Tc_jlLFwdXsB0ey52ZLGRgkoA_15_8"/>
      <w:bookmarkStart w:id="1363" w:name="Tc_3PktANMyhEC21mklQruDYg_15_5"/>
      <w:bookmarkStart w:id="1364" w:name="Tc_nT6QwpiCLk2hFobGqJw5vw_15_2"/>
      <w:bookmarkStart w:id="1365" w:name="Tc_RT2dLRtWAUKuz1JFCgbiXQ_15_0"/>
      <w:bookmarkStart w:id="1366" w:name="Tc_8wsBi5Dz_kqlZQBDsKpoCw_14_0"/>
      <w:bookmarkStart w:id="1367" w:name="Tc_9qKGgL6aEkCQ-kfaHXUzOw_12_11"/>
      <w:bookmarkStart w:id="1368" w:name="Tc_1qZZQGaxO0eq_P5XvSgvmA_12_8"/>
      <w:bookmarkStart w:id="1369" w:name="Tc_DvpIQCqItkessbmsnHZ36w_12_5"/>
      <w:bookmarkStart w:id="1370" w:name="Tc_A1wHIi7XZEO5nhfdyuR57A_12_2"/>
      <w:bookmarkStart w:id="1371" w:name="Tc_f2tiB03zJEmgejURXMP40w_12_0"/>
      <w:bookmarkStart w:id="1372" w:name="Tc_OxtqtDoiekiPbSHdT28XxA_11_0"/>
      <w:bookmarkStart w:id="1373" w:name="Tc_D-4wUSjTGkGvy5IPABHASg_10_0"/>
      <w:bookmarkStart w:id="1374" w:name="Tc_pYeszTDH4kicXT6kztvZGQ_9_0"/>
      <w:bookmarkStart w:id="1375" w:name="Tc_fD0Mq9UmVUG6wQHr5rWTOg_8_0"/>
      <w:bookmarkStart w:id="1376" w:name="Tc_RheMt9Pr4Ea5bf8NMIAhyQ_7_0"/>
      <w:bookmarkStart w:id="1377" w:name="Tc_NhqdM1zW6Eq_ZCeWhQ0seQ_6_0"/>
      <w:bookmarkStart w:id="1378" w:name="Tc__cGyxhHT7kShwszXLGZAsg_5_0"/>
      <w:bookmarkStart w:id="1379" w:name="Tc_X2Mj6spf_U-EJsmBO6AxrA_4_0"/>
      <w:bookmarkStart w:id="1380" w:name="Tc_YJ9eEaCt9Uq8RTOF4DEORw_3_0"/>
      <w:bookmarkStart w:id="1381" w:name="Tc_OJ4Z8v3-YEOu8hSsEjUI9w_2_11"/>
      <w:bookmarkStart w:id="1382" w:name="Tc_vfTgzmE5bUaibs2mxZhv2A_2_8"/>
      <w:bookmarkStart w:id="1383" w:name="Tc_sTGNoNnj2UmuL1QjLz1IDg_2_5"/>
      <w:bookmarkStart w:id="1384" w:name="Tc_8Nls3Xlah0aOWlslPeCpNA_2_2"/>
      <w:bookmarkStart w:id="1385" w:name="Tc_3YLSX-PnSU2U7fwJzMqd9w_2_0"/>
      <w:bookmarkStart w:id="1386" w:name="Tc_1_9JnmhlhUeDltAhU6q4Mw_1_11"/>
      <w:bookmarkStart w:id="1387" w:name="Tc_UeH1uTkfF0Skltez15tOqg_1_8"/>
      <w:bookmarkStart w:id="1388" w:name="Tc_lm8sgw1XbUi4K2acLOlwIw_1_5"/>
      <w:bookmarkStart w:id="1389" w:name="Tc_crEfxsXraE2Bd2k7lAEOkw_1_2"/>
      <w:bookmarkStart w:id="1390" w:name="Tc__IBWL9LnnU-UemQsGS-CKw_1_0"/>
      <w:bookmarkStart w:id="1391" w:name="_28b21def_c64e_419b_9475_3e21586523d5"/>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5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hanging="0"/>
        <w:jc w:val="left"/>
        <w:rPr/>
      </w:pPr>
      <w:r>
        <w:rPr/>
        <w:t>​</w:t>
      </w:r>
    </w:p>
    <w:tbl>
      <w:tblPr>
        <w:tblW w:w="8547" w:type="dxa"/>
        <w:jc w:val="left"/>
        <w:tblInd w:w="0" w:type="dxa"/>
        <w:tblLayout w:type="fixed"/>
        <w:tblCellMar>
          <w:top w:w="0" w:type="dxa"/>
          <w:left w:w="0" w:type="dxa"/>
          <w:bottom w:w="0" w:type="dxa"/>
          <w:right w:w="0" w:type="dxa"/>
        </w:tblCellMar>
      </w:tblPr>
      <w:tblGrid>
        <w:gridCol w:w="2911"/>
        <w:gridCol w:w="346"/>
        <w:gridCol w:w="211"/>
        <w:gridCol w:w="931"/>
        <w:gridCol w:w="346"/>
        <w:gridCol w:w="211"/>
        <w:gridCol w:w="931"/>
        <w:gridCol w:w="346"/>
        <w:gridCol w:w="273"/>
        <w:gridCol w:w="448"/>
        <w:gridCol w:w="346"/>
        <w:gridCol w:w="211"/>
        <w:gridCol w:w="10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48485" cy="175260"/>
                      <wp:effectExtent l="0" t="0" r="0" b="0"/>
                      <wp:wrapNone/>
                      <wp:docPr id="202" name="Frame20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1185" cy="175260"/>
                      <wp:effectExtent l="0" t="0" r="0" b="0"/>
                      <wp:wrapNone/>
                      <wp:docPr id="205" name="Frame2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91185" cy="175260"/>
                      <wp:effectExtent l="0" t="0" r="0" b="0"/>
                      <wp:wrapNone/>
                      <wp:docPr id="208" name="Frame2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3355" cy="175260"/>
                      <wp:effectExtent l="0" t="0" r="0" b="0"/>
                      <wp:wrapNone/>
                      <wp:docPr id="210" name="Frame21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84480" cy="175260"/>
                      <wp:effectExtent l="0" t="0" r="0" b="0"/>
                      <wp:wrapNone/>
                      <wp:docPr id="211" name="Frame21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7860" cy="175260"/>
                      <wp:effectExtent l="0" t="0" r="0" b="0"/>
                      <wp:wrapNone/>
                      <wp:docPr id="214" name="Frame2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center"/>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967,598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1,132,752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92,074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92,074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104,098</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1,118,926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1,118,926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607,160</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607,160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2,117,516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4,217,866</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92,074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2,192,424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1,226,832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1,226,832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24,161</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781,314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781,314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2,117,516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4,217,866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392" w:name="_839788ad_c501_4b43_a655_cc7e4a324398_4"/>
      <w:bookmarkStart w:id="1393" w:name="_839788ad_c501_4b43_a655_cc7e4a324398_3"/>
      <w:bookmarkStart w:id="1394" w:name="_839788ad_c501_4b43_a655_cc7e4a324398_2"/>
      <w:bookmarkStart w:id="1395" w:name="_839788ad_c501_4b43_a655_cc7e4a324398"/>
      <w:bookmarkStart w:id="1396" w:name="_349b750c_fa94_4c60_9c87_084131f7ccf7_4"/>
      <w:bookmarkStart w:id="1397" w:name="_349b750c_fa94_4c60_9c87_084131f7ccf7_3"/>
      <w:bookmarkStart w:id="1398" w:name="_349b750c_fa94_4c60_9c87_084131f7ccf7_2"/>
      <w:bookmarkStart w:id="1399" w:name="_349b750c_fa94_4c60_9c87_084131f7ccf7"/>
      <w:bookmarkStart w:id="1400" w:name="_a2942ca6_f60f_435f_9704_8594af99e835_4"/>
      <w:bookmarkStart w:id="1401" w:name="_a2942ca6_f60f_435f_9704_8594af99e835_3"/>
      <w:bookmarkStart w:id="1402" w:name="_a2942ca6_f60f_435f_9704_8594af99e835_2"/>
      <w:bookmarkStart w:id="1403" w:name="_a2942ca6_f60f_435f_9704_8594af99e835"/>
      <w:bookmarkStart w:id="1404" w:name="Tc_f-FV9y717keVQvr2yDPavA_20_11"/>
      <w:bookmarkStart w:id="1405" w:name="Tc_keWNgVe0kkeKNj1k4l2zWQ_20_8"/>
      <w:bookmarkStart w:id="1406" w:name="Tc_yL56FPWhSkOYjefJw45DAw_20_5"/>
      <w:bookmarkStart w:id="1407" w:name="Tc_a9ad2LcrX0ysJB9IdknAaQ_20_2"/>
      <w:bookmarkStart w:id="1408" w:name="Tc_Nos9ixCDbEa506cg7wZSuQ_20_0"/>
      <w:bookmarkStart w:id="1409" w:name="Tc_Seh0QF6jqUW9cyHji5i_aw_19_0"/>
      <w:bookmarkStart w:id="1410" w:name="Tc_eBuozupGHUSsZ_zaPEJI-g_18_0"/>
      <w:bookmarkStart w:id="1411" w:name="Tc_o1LWLv81bECvHDjEtV9d8Q_17_0"/>
      <w:bookmarkStart w:id="1412" w:name="Tc_pBSDyGDtZ0OpAHUx3WpZ4w_16_0"/>
      <w:bookmarkStart w:id="1413" w:name="Tc_gqXuZ3ynKkCj0S75WcPo_Q_15_0"/>
      <w:bookmarkStart w:id="1414" w:name="Tc_p09Oe9vy7EKZYE7SR6deWA_14_11"/>
      <w:bookmarkStart w:id="1415" w:name="Tc_Me78v2sta0iMNd5Hl0oTqg_14_8"/>
      <w:bookmarkStart w:id="1416" w:name="Tc_nhJPzK5TT0aqkysg5oz6HA_14_5"/>
      <w:bookmarkStart w:id="1417" w:name="Tc_kBHwyTzaO0iiVvCi86oLhQ_14_2"/>
      <w:bookmarkStart w:id="1418" w:name="Tc_Xbx6lNnWK0K6ndc1OV4P8w_14_0"/>
      <w:bookmarkStart w:id="1419" w:name="Tc_J_-I0rDnW0KZChnf0pi0FQ_13_0"/>
      <w:bookmarkStart w:id="1420" w:name="Tc_h_HWO1XhM0emqawns7ZwKw_11_11"/>
      <w:bookmarkStart w:id="1421" w:name="Tc_PSdPT-FZb06d8uzzHN24dA_11_8"/>
      <w:bookmarkStart w:id="1422" w:name="Tc_Rp0LwrW5nUmCw4glpVJPag_11_5"/>
      <w:bookmarkStart w:id="1423" w:name="Tc_UUI0hifyCEm8NVCHbZILWQ_11_2"/>
      <w:bookmarkStart w:id="1424" w:name="Tc_XDxe1GND3ES-3foIde6Wrg_11_0"/>
      <w:bookmarkStart w:id="1425" w:name="Tc_AvwEhFZP00qCrnL_NWtjnQ_10_0"/>
      <w:bookmarkStart w:id="1426" w:name="Tc_o4J6rQHL70ywg4LGGYt6iQ_9_0"/>
      <w:bookmarkStart w:id="1427" w:name="Tc_f0RWOImbfkK0D2g9dd95pw_8_0"/>
      <w:bookmarkStart w:id="1428" w:name="Tc_wgvuK4Y2M0yFOfP0aDayOg_7_0"/>
      <w:bookmarkStart w:id="1429" w:name="Tc_3GaKGWZO1kita1us3vSjvA_6_0"/>
      <w:bookmarkStart w:id="1430" w:name="Tc_fr8IyYq_PUCeInZryVLsoA_5_0"/>
      <w:bookmarkStart w:id="1431" w:name="Tc_RMAKMT_0uUKH6UlV6erSfg_4_0"/>
      <w:bookmarkStart w:id="1432" w:name="Tc_vzijLxeCF0qyVVwuxgtCvQ_3_0"/>
      <w:bookmarkStart w:id="1433" w:name="Tc_nDGABsvPN0-gkDDrW-fNGg_2_11"/>
      <w:bookmarkStart w:id="1434" w:name="Tc_i572JkQ8l02gU0zsYgawiw_2_8"/>
      <w:bookmarkStart w:id="1435" w:name="Tc_spE-XJFzKkKSvaxVOvDaJg_2_5"/>
      <w:bookmarkStart w:id="1436" w:name="Tc_r9SerGIK60WzmpJeQnshxw_2_2"/>
      <w:bookmarkStart w:id="1437" w:name="Tc_VBU9fD-my0GnPuuP5nBtXw_2_0"/>
      <w:bookmarkStart w:id="1438" w:name="Tc_NIbq5HjeJk2P4bxf597XAg_1_11"/>
      <w:bookmarkStart w:id="1439" w:name="Tc_oRBm5_NgLEK4_p36waRlpA_1_8"/>
      <w:bookmarkStart w:id="1440" w:name="Tc_kiaQ9N6pYk2WqmUbFFORQw_1_5"/>
      <w:bookmarkStart w:id="1441" w:name="Tc_gjoLEtPycUC6SmN0-Kwhlg_1_2"/>
      <w:bookmarkStart w:id="1442" w:name="Tc_9qPzkejE50-oIeNIiV9hkA_1_0"/>
      <w:bookmarkStart w:id="1443" w:name="_c899e345_8a9f_4227_b79e_3e69ce4878b9"/>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r>
        <w:rPr/>
        <w:t>​</w:t>
      </w:r>
    </w:p>
    <w:tbl>
      <w:tblPr>
        <w:tblW w:w="8082" w:type="dxa"/>
        <w:jc w:val="left"/>
        <w:tblInd w:w="0" w:type="dxa"/>
        <w:tblLayout w:type="fixed"/>
        <w:tblCellMar>
          <w:top w:w="0" w:type="dxa"/>
          <w:left w:w="0" w:type="dxa"/>
          <w:bottom w:w="0" w:type="dxa"/>
          <w:right w:w="0" w:type="dxa"/>
        </w:tblCellMar>
      </w:tblPr>
      <w:tblGrid>
        <w:gridCol w:w="2446"/>
        <w:gridCol w:w="346"/>
        <w:gridCol w:w="211"/>
        <w:gridCol w:w="931"/>
        <w:gridCol w:w="346"/>
        <w:gridCol w:w="211"/>
        <w:gridCol w:w="931"/>
        <w:gridCol w:w="346"/>
        <w:gridCol w:w="273"/>
        <w:gridCol w:w="448"/>
        <w:gridCol w:w="34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53210" cy="175260"/>
                      <wp:effectExtent l="0" t="0" r="0" b="0"/>
                      <wp:wrapNone/>
                      <wp:docPr id="215" name="Frame21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91185" cy="175260"/>
                      <wp:effectExtent l="0" t="0" r="0" b="0"/>
                      <wp:wrapNone/>
                      <wp:docPr id="218" name="Frame2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21" name="Frame2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3355" cy="175260"/>
                      <wp:effectExtent l="0" t="0" r="0" b="0"/>
                      <wp:wrapNone/>
                      <wp:docPr id="223" name="Frame22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84480" cy="175260"/>
                      <wp:effectExtent l="0" t="0" r="0" b="0"/>
                      <wp:wrapNone/>
                      <wp:docPr id="224" name="Frame22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57860" cy="175260"/>
                      <wp:effectExtent l="0" t="0" r="0" b="0"/>
                      <wp:wrapNone/>
                      <wp:docPr id="227" name="Frame2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1,244,954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787,293</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68,597</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68,597</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749,465</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749,465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309,919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309,919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1,253,996</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3,286,243</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55,870</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2,088,117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677,084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677,084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33,667</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487,329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487,329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1,253,996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3,286,243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 and six</w:t>
      </w:r>
      <w:r>
        <w:rPr>
          <w:rFonts w:ascii="Times New Roman;Times;serif" w:hAnsi="Times New Roman;Times;serif"/>
          <w:color w:val="212529"/>
          <w:sz w:val="20"/>
        </w:rPr>
        <w:t>-months ended June 30, 2026</w:t>
      </w:r>
      <w:r>
        <w:rPr>
          <w:rFonts w:ascii="Times New Roman;Times;serif" w:hAnsi="Times New Roman;Times;serif"/>
          <w:sz w:val="20"/>
        </w:rPr>
        <w:t>, or during the year-ended December 31, 2025, and there were no changes in the Company’s valuation techniques.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44" w:name="Tc_EFJrBZDpHE-J-4KzBGd_Jw_6_5"/>
      <w:bookmarkStart w:id="1445" w:name="Tc_kkaRrRrpNE--vaMGAWYn4g_6_2"/>
      <w:bookmarkStart w:id="1446" w:name="Tc_j4lxcbnKn0encj41HsNH5Q_5_0"/>
      <w:bookmarkStart w:id="1447" w:name="Tc_kCcXiCXY-k2pbv5GagYLwg_4_0"/>
      <w:bookmarkStart w:id="1448" w:name="Tc_FtxoRk_fkEeFG-9ys0oc8w_3_5"/>
      <w:bookmarkStart w:id="1449" w:name="Tc_Y0SRmAymF064hOQiFRAOQA_3_2"/>
      <w:bookmarkStart w:id="1450" w:name="Tc_BmgwU6m00k2Y-_huy4iucA_3_0"/>
      <w:bookmarkStart w:id="1451" w:name="Tc_7ubN7nlxrUCuJmTODPCKtw_2_5"/>
      <w:bookmarkStart w:id="1452" w:name="Tc_rPJvkufYD0q78XzOX6RKTA_2_2"/>
      <w:bookmarkStart w:id="1453" w:name="Tc_Doeb3u9BhU6KTJkqI9nBqA_1_5"/>
      <w:bookmarkStart w:id="1454" w:name="Tc_To7KT4IXTk-OxvdVZkuRiw_1_2"/>
      <w:bookmarkStart w:id="1455" w:name="Tc_EFJrBZDpHE-J-4KzBGd_Jw_6_5"/>
      <w:bookmarkStart w:id="1456" w:name="Tc_kkaRrRrpNE--vaMGAWYn4g_6_2"/>
      <w:bookmarkStart w:id="1457" w:name="Tc_j4lxcbnKn0encj41HsNH5Q_5_0"/>
      <w:bookmarkStart w:id="1458" w:name="Tc_kCcXiCXY-k2pbv5GagYLwg_4_0"/>
      <w:bookmarkStart w:id="1459" w:name="Tc_FtxoRk_fkEeFG-9ys0oc8w_3_5"/>
      <w:bookmarkStart w:id="1460" w:name="Tc_Y0SRmAymF064hOQiFRAOQA_3_2"/>
      <w:bookmarkStart w:id="1461" w:name="Tc_BmgwU6m00k2Y-_huy4iucA_3_0"/>
      <w:bookmarkStart w:id="1462" w:name="Tc_7ubN7nlxrUCuJmTODPCKtw_2_5"/>
      <w:bookmarkStart w:id="1463" w:name="Tc_rPJvkufYD0q78XzOX6RKTA_2_2"/>
      <w:bookmarkStart w:id="1464" w:name="Tc_Doeb3u9BhU6KTJkqI9nBqA_1_5"/>
      <w:bookmarkStart w:id="1465" w:name="Tc_To7KT4IXTk-OxvdVZkuRiw_1_2"/>
      <w:bookmarkEnd w:id="1455"/>
      <w:bookmarkEnd w:id="1456"/>
      <w:bookmarkEnd w:id="1457"/>
      <w:bookmarkEnd w:id="1458"/>
      <w:bookmarkEnd w:id="1459"/>
      <w:bookmarkEnd w:id="1460"/>
      <w:bookmarkEnd w:id="1461"/>
      <w:bookmarkEnd w:id="1462"/>
      <w:bookmarkEnd w:id="1463"/>
      <w:bookmarkEnd w:id="1464"/>
      <w:bookmarkEnd w:id="1465"/>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hanging="0"/>
        <w:jc w:val="left"/>
        <w:rPr/>
      </w:pPr>
      <w:r>
        <w:rPr/>
        <w:t>​</w:t>
      </w:r>
    </w:p>
    <w:tbl>
      <w:tblPr>
        <w:tblW w:w="4415" w:type="dxa"/>
        <w:jc w:val="left"/>
        <w:tblInd w:w="0" w:type="dxa"/>
        <w:tblLayout w:type="fixed"/>
        <w:tblCellMar>
          <w:top w:w="0" w:type="dxa"/>
          <w:left w:w="0" w:type="dxa"/>
          <w:bottom w:w="0" w:type="dxa"/>
          <w:right w:w="0" w:type="dxa"/>
        </w:tblCellMar>
      </w:tblPr>
      <w:tblGrid>
        <w:gridCol w:w="1426"/>
        <w:gridCol w:w="346"/>
        <w:gridCol w:w="211"/>
        <w:gridCol w:w="781"/>
        <w:gridCol w:w="346"/>
        <w:gridCol w:w="250"/>
        <w:gridCol w:w="1055"/>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05510" cy="175260"/>
                      <wp:effectExtent l="0" t="0" r="0" b="0"/>
                      <wp:wrapNone/>
                      <wp:docPr id="228" name="Frame22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8750" cy="175260"/>
                      <wp:effectExtent l="0" t="0" r="0" b="0"/>
                      <wp:wrapNone/>
                      <wp:docPr id="233" name="Frame23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9925" cy="175260"/>
                      <wp:effectExtent l="0" t="0" r="0" b="0"/>
                      <wp:wrapNone/>
                      <wp:docPr id="234" name="Frame234"/>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364,255</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322,604</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502,453</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475,905</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867,674</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799,623</w:t>
            </w:r>
          </w:p>
        </w:tc>
      </w:tr>
    </w:tbl>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66" w:name="Tc_FI85ILnWmEyiQU7hs8g62A_13_5"/>
      <w:bookmarkStart w:id="1467" w:name="Tc_jrG844Z5nUW8R27FcFQ4gg_13_2"/>
      <w:bookmarkStart w:id="1468" w:name="Tc_uGEjyb8it06odYM6371JYg_12_0"/>
      <w:bookmarkStart w:id="1469" w:name="Tc_iyr4naSzKkSIAZRiuTpzhQ_10_0"/>
      <w:bookmarkStart w:id="1470" w:name="Tc_YrivlNo2JUe43Sf_sqgt8A_9_0"/>
      <w:bookmarkStart w:id="1471" w:name="Tc_avLz_kJQgkGzTZHAmz147g_8_0"/>
      <w:bookmarkStart w:id="1472" w:name="Tc_CWWjChVtmUegI2uiFMKq0w_7_0"/>
      <w:bookmarkStart w:id="1473" w:name="Tc_c-6aLSi8oEep2BzIH7v3Pw_6_0"/>
      <w:bookmarkStart w:id="1474" w:name="Tc_YQY2sio2bUaSfXIn_bda3A_5_0"/>
      <w:bookmarkStart w:id="1475" w:name="Tc_fF8TTANGEEay25MYInpTgA_4_0"/>
      <w:bookmarkStart w:id="1476" w:name="Tc_G_SCF5IQOU6WPAgZZOuqcQ_3_5"/>
      <w:bookmarkStart w:id="1477" w:name="Tc_qHjFFqf4rU6GXGpqPY2IJQ_3_2"/>
      <w:bookmarkStart w:id="1478" w:name="Tc_bgiTaF7XiU2GMRxyz-_S9g_3_0"/>
      <w:bookmarkStart w:id="1479" w:name="Tc_Wz_-eWCr-0aUEcdE6wKR_w_2_5"/>
      <w:bookmarkStart w:id="1480" w:name="Tc_YTjbsHkmo0WSuAtET68o8Q_2_2"/>
      <w:bookmarkStart w:id="1481" w:name="Tc_aTQS9ZZvzEuYE3D_tuUA-g_1_5"/>
      <w:bookmarkStart w:id="1482" w:name="Tc_Wa3zL9UrWki0dQ5U_INkDg_1_2"/>
      <w:bookmarkStart w:id="1483" w:name="Tc_FI85ILnWmEyiQU7hs8g62A_13_5"/>
      <w:bookmarkStart w:id="1484" w:name="Tc_jrG844Z5nUW8R27FcFQ4gg_13_2"/>
      <w:bookmarkStart w:id="1485" w:name="Tc_uGEjyb8it06odYM6371JYg_12_0"/>
      <w:bookmarkStart w:id="1486" w:name="Tc_iyr4naSzKkSIAZRiuTpzhQ_10_0"/>
      <w:bookmarkStart w:id="1487" w:name="Tc_YrivlNo2JUe43Sf_sqgt8A_9_0"/>
      <w:bookmarkStart w:id="1488" w:name="Tc_avLz_kJQgkGzTZHAmz147g_8_0"/>
      <w:bookmarkStart w:id="1489" w:name="Tc_CWWjChVtmUegI2uiFMKq0w_7_0"/>
      <w:bookmarkStart w:id="1490" w:name="Tc_c-6aLSi8oEep2BzIH7v3Pw_6_0"/>
      <w:bookmarkStart w:id="1491" w:name="Tc_YQY2sio2bUaSfXIn_bda3A_5_0"/>
      <w:bookmarkStart w:id="1492" w:name="Tc_fF8TTANGEEay25MYInpTgA_4_0"/>
      <w:bookmarkStart w:id="1493" w:name="Tc_G_SCF5IQOU6WPAgZZOuqcQ_3_5"/>
      <w:bookmarkStart w:id="1494" w:name="Tc_qHjFFqf4rU6GXGpqPY2IJQ_3_2"/>
      <w:bookmarkStart w:id="1495" w:name="Tc_bgiTaF7XiU2GMRxyz-_S9g_3_0"/>
      <w:bookmarkStart w:id="1496" w:name="Tc_Wz_-eWCr-0aUEcdE6wKR_w_2_5"/>
      <w:bookmarkStart w:id="1497" w:name="Tc_YTjbsHkmo0WSuAtET68o8Q_2_2"/>
      <w:bookmarkStart w:id="1498" w:name="Tc_aTQS9ZZvzEuYE3D_tuUA-g_1_5"/>
      <w:bookmarkStart w:id="1499" w:name="Tc_Wa3zL9UrWki0dQ5U_INkDg_1_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hanging="0"/>
        <w:jc w:val="left"/>
        <w:rPr/>
      </w:pPr>
      <w:r>
        <w:rPr/>
        <w:t>​</w:t>
      </w:r>
    </w:p>
    <w:tbl>
      <w:tblPr>
        <w:tblW w:w="7250" w:type="dxa"/>
        <w:jc w:val="left"/>
        <w:tblInd w:w="0" w:type="dxa"/>
        <w:tblLayout w:type="fixed"/>
        <w:tblCellMar>
          <w:top w:w="0" w:type="dxa"/>
          <w:left w:w="0" w:type="dxa"/>
          <w:bottom w:w="0" w:type="dxa"/>
          <w:right w:w="0" w:type="dxa"/>
        </w:tblCellMar>
      </w:tblPr>
      <w:tblGrid>
        <w:gridCol w:w="4111"/>
        <w:gridCol w:w="346"/>
        <w:gridCol w:w="211"/>
        <w:gridCol w:w="931"/>
        <w:gridCol w:w="346"/>
        <w:gridCol w:w="220"/>
        <w:gridCol w:w="1085"/>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610485" cy="175260"/>
                      <wp:effectExtent l="0" t="0" r="0" b="0"/>
                      <wp:wrapNone/>
                      <wp:docPr id="235" name="Frame23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9700" cy="175260"/>
                      <wp:effectExtent l="0" t="0" r="0" b="0"/>
                      <wp:wrapNone/>
                      <wp:docPr id="240" name="Frame24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88975" cy="175260"/>
                      <wp:effectExtent l="0" t="0" r="0" b="0"/>
                      <wp:wrapNone/>
                      <wp:docPr id="241" name="Frame24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189,094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188,889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31,354</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25,191</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624,606</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611,269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444,131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118,863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22,252</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55,252</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1,467,519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1,420,575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(371,709)</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(339,031)</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1,095,810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1,081,544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$27.1 million and $23.3 million for the three</w:t>
      </w:r>
      <w:r>
        <w:rPr>
          <w:rFonts w:ascii="Times New Roman;Times;serif" w:hAnsi="Times New Roman;Times;serif"/>
          <w:color w:val="212529"/>
          <w:sz w:val="20"/>
        </w:rPr>
        <w:t>-months ended June 30, 2026 and 2025</w:t>
      </w:r>
      <w:r>
        <w:rPr>
          <w:rFonts w:ascii="Times New Roman;Times;serif" w:hAnsi="Times New Roman;Times;serif"/>
          <w:sz w:val="20"/>
        </w:rPr>
        <w:t>, respectively. Total depreciation and amortization expense was $52.7 million and $43.7 million for the six</w:t>
      </w:r>
      <w:r>
        <w:rPr>
          <w:rFonts w:ascii="Times New Roman;Times;serif" w:hAnsi="Times New Roman;Times;serif"/>
          <w:color w:val="212529"/>
          <w:sz w:val="20"/>
        </w:rPr>
        <w:t>-months ended June 30, 2026 and 2025</w:t>
      </w:r>
      <w:r>
        <w:rPr>
          <w:rFonts w:ascii="Times New Roman;Times;serif" w:hAnsi="Times New Roman;Times;serif"/>
          <w:sz w:val="20"/>
        </w:rPr>
        <w:t>,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500" w:name="Tc_7id_fXRuGUOjZ3u4cH5u3w_6_14"/>
      <w:bookmarkStart w:id="1501" w:name="Tc_w3XiEHRF8ECA1Vp09PGDPA_6_11"/>
      <w:bookmarkStart w:id="1502" w:name="Tc_VaxnMD0eRUSPJ9fDqGYxOA_6_8"/>
      <w:bookmarkStart w:id="1503" w:name="Tc_Zt3ukJiGWE2qz8SAnPaTGA_6_5"/>
      <w:bookmarkStart w:id="1504" w:name="Tc_fcvYQYLRXk-ojfmoYIGKcw_6_2"/>
      <w:bookmarkStart w:id="1505" w:name="Tc_AEkHapdMdEaiDqmiKmoGZw_6_0"/>
      <w:bookmarkStart w:id="1506" w:name="Tc_9FtNSw-0ukKWOHi7raxvxQ_5_0"/>
      <w:bookmarkStart w:id="1507" w:name="Tc_I2qxpw-1PUmzbf1FZyzR5w_4_14"/>
      <w:bookmarkStart w:id="1508" w:name="Tc_oQkq1_sohkCreP2lLJI55Q_4_11"/>
      <w:bookmarkStart w:id="1509" w:name="Tc_BIvoQppABEypVabJgvUv8w_4_8"/>
      <w:bookmarkStart w:id="1510" w:name="Tc_Bj0aBrrJFECwx6mS_oqf-w_4_5"/>
      <w:bookmarkStart w:id="1511" w:name="Tc_nCoa4yDJKUiI7NvchxG_NQ_4_2"/>
      <w:bookmarkStart w:id="1512" w:name="Tc_Fnw0Y61Gqk-q2O3FO-SP3g_4_0"/>
      <w:bookmarkStart w:id="1513" w:name="Tc_RM8dLUJCZkKUag-2hDRCeg_3_14"/>
      <w:bookmarkStart w:id="1514" w:name="Tc_Idb5lBGEkkyCVCyAv8FHBg_3_11"/>
      <w:bookmarkStart w:id="1515" w:name="Tc_TbGbi454kUKDSsZYL-yl4w_3_8"/>
      <w:bookmarkStart w:id="1516" w:name="Tc_0P962kR4-0Sai8hhX3-E6Q_3_5"/>
      <w:bookmarkStart w:id="1517" w:name="Tc_QULMxjqr2EKhSQ9QmW5I6g_3_2"/>
      <w:bookmarkStart w:id="1518" w:name="Tc_bb7TsOHr30GmM0Eam0Ixmw_2_8"/>
      <w:bookmarkStart w:id="1519" w:name="Tc_X8a0LhEWeE-nTi6v46_6RA_2_5"/>
      <w:bookmarkStart w:id="1520" w:name="Tc_UsITj6yd6Ui8zchg1ONBmg_2_2"/>
      <w:bookmarkStart w:id="1521" w:name="Tc_f4m6eZhjL0uuGP1VZaSc4w_1_2"/>
      <w:bookmarkStart w:id="1522" w:name="_aed5bb4a_25e7_4df6_b4bb_6ba46d5c6895"/>
      <w:bookmarkStart w:id="1523" w:name="Tc_6wM2AtjK1UyF9vrfmnUScQ_6_14"/>
      <w:bookmarkStart w:id="1524" w:name="Tc_0GNYx3wF60aiwWqvMJrblQ_6_11"/>
      <w:bookmarkStart w:id="1525" w:name="Tc_vMi7NiaeZ0aegBWGwtM42Q_6_8"/>
      <w:bookmarkStart w:id="1526" w:name="Tc_oC3F3SMpwk29PdXQK6oAJg_6_5"/>
      <w:bookmarkStart w:id="1527" w:name="Tc_kpbeA0MDc0m0-u3ZR0C0XQ_6_2"/>
      <w:bookmarkStart w:id="1528" w:name="Tc_jcLHu8Dev0mFadrJsSw8ag_6_0"/>
      <w:bookmarkStart w:id="1529" w:name="Tc_QR7i2e2C8kOjg5VR8VjCcA_5_0"/>
      <w:bookmarkStart w:id="1530" w:name="Tc_xgktX0k1Fk2OcEMabQRBAg_4_14"/>
      <w:bookmarkStart w:id="1531" w:name="Tc_HCi8Yru4o02h3JNSTt-a5A_4_11"/>
      <w:bookmarkStart w:id="1532" w:name="Tc_MTGSg9dCt0GjvYDrVua2zg_4_8"/>
      <w:bookmarkStart w:id="1533" w:name="Tc_t0oY5GLLakW6v6Z9t-zLfg_4_5"/>
      <w:bookmarkStart w:id="1534" w:name="Tc_moWKxu8KOk6EFW8rYd5L6g_4_2"/>
      <w:bookmarkStart w:id="1535" w:name="Tc_im4TA2mRQ0O68c29uGTsSw_4_0"/>
      <w:bookmarkStart w:id="1536" w:name="Tc_zUCkh38zfk-_FDGkSNI6Mw_3_14"/>
      <w:bookmarkStart w:id="1537" w:name="Tc_GCoGMXRBkECtZgGH1D9ukA_3_11"/>
      <w:bookmarkStart w:id="1538" w:name="Tc_UacrnnaIkk2iGe8idavWng_3_8"/>
      <w:bookmarkStart w:id="1539" w:name="Tc_kAXnJF7QuU6EtsPbxOKnkQ_3_5"/>
      <w:bookmarkStart w:id="1540" w:name="Tc_BFWOfpQxhUSRUbPWYw2DvQ_3_2"/>
      <w:bookmarkStart w:id="1541" w:name="Tc_4UhRy9n28EGcC2qu5Es8jQ_2_8"/>
      <w:bookmarkStart w:id="1542" w:name="Tc_2hF76fj8_UqU8FU_W4UgLg_2_5"/>
      <w:bookmarkStart w:id="1543" w:name="Tc_Ta4nfxrN80GPE7VJkzrGgQ_2_2"/>
      <w:bookmarkStart w:id="1544" w:name="Tc_eCqeuaJsNECWp0gbDY55Sw_1_2"/>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six</w:t>
      </w:r>
      <w:r>
        <w:rPr>
          <w:rFonts w:ascii="Times New Roman;Times;serif" w:hAnsi="Times New Roman;Times;serif"/>
          <w:color w:val="212529"/>
          <w:sz w:val="20"/>
          <w:shd w:fill="FFFFFF" w:val="clear"/>
        </w:rPr>
        <w:t>-months ended June 30, 2026 and 2025</w:t>
      </w:r>
      <w:r>
        <w:rPr>
          <w:rFonts w:ascii="Times New Roman;Times;serif" w:hAnsi="Times New Roman;Times;serif"/>
          <w:sz w:val="20"/>
        </w:rPr>
        <w:t xml:space="preserve"> by reportable segment:</w:t>
      </w:r>
    </w:p>
    <w:p>
      <w:pPr>
        <w:pStyle w:val="TextBody"/>
        <w:bidi w:val="0"/>
        <w:spacing w:before="0" w:after="0"/>
        <w:ind w:left="0" w:right="0" w:firstLine="720"/>
        <w:jc w:val="both"/>
        <w:rPr/>
      </w:pPr>
      <w:r>
        <w:rPr/>
        <w:t>​</w:t>
      </w:r>
    </w:p>
    <w:tbl>
      <w:tblPr>
        <w:tblW w:w="8924"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307"/>
        <w:gridCol w:w="503"/>
        <w:gridCol w:w="346"/>
        <w:gridCol w:w="211"/>
        <w:gridCol w:w="346"/>
        <w:gridCol w:w="34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48460" cy="175260"/>
                      <wp:effectExtent l="0" t="0" r="0" b="0"/>
                      <wp:wrapNone/>
                      <wp:docPr id="242" name="Frame24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94945" cy="175260"/>
                      <wp:effectExtent l="0" t="0" r="0" b="0"/>
                      <wp:wrapNone/>
                      <wp:docPr id="250" name="Frame25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19405" cy="175260"/>
                      <wp:effectExtent l="0" t="0" r="0" b="0"/>
                      <wp:wrapNone/>
                      <wp:docPr id="251" name="Frame25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57860" cy="175260"/>
                      <wp:effectExtent l="0" t="0" r="0" b="0"/>
                      <wp:wrapNone/>
                      <wp:docPr id="257" name="Frame2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tbl>
      <w:tblPr>
        <w:tblW w:w="8924"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307"/>
        <w:gridCol w:w="503"/>
        <w:gridCol w:w="346"/>
        <w:gridCol w:w="211"/>
        <w:gridCol w:w="346"/>
        <w:gridCol w:w="34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48460" cy="175260"/>
                      <wp:effectExtent l="0" t="0" r="0" b="0"/>
                      <wp:wrapNone/>
                      <wp:docPr id="258" name="Frame25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5935" cy="175260"/>
                      <wp:effectExtent l="0" t="0" r="0" b="0"/>
                      <wp:wrapNone/>
                      <wp:docPr id="261" name="Frame2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5935" cy="175260"/>
                      <wp:effectExtent l="0" t="0" r="0" b="0"/>
                      <wp:wrapNone/>
                      <wp:docPr id="264"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94945" cy="175260"/>
                      <wp:effectExtent l="0" t="0" r="0" b="0"/>
                      <wp:wrapNone/>
                      <wp:docPr id="266" name="Frame26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19405" cy="175260"/>
                      <wp:effectExtent l="0" t="0" r="0" b="0"/>
                      <wp:wrapNone/>
                      <wp:docPr id="267" name="Frame267"/>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57860" cy="175260"/>
                      <wp:effectExtent l="0" t="0" r="0" b="0"/>
                      <wp:wrapNone/>
                      <wp:docPr id="273" name="Frame2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*Accumulated goodwill impairment balance was $86.3</w:t>
      </w:r>
      <w:r>
        <w:rPr>
          <w:rFonts w:ascii="Times New Roman;Times;serif" w:hAnsi="Times New Roman;Times;serif"/>
          <w:sz w:val="18"/>
        </w:rPr>
        <w:t xml:space="preserve"> </w:t>
      </w:r>
      <w:r>
        <w:rPr>
          <w:rFonts w:ascii="Times New Roman;Times;serif" w:hAnsi="Times New Roman;Times;serif"/>
          <w:i/>
          <w:sz w:val="18"/>
        </w:rPr>
        <w:t>million related entirely to Alcohol Brands. There were no</w:t>
      </w:r>
      <w:r>
        <w:rPr>
          <w:rFonts w:ascii="Times New Roman;Times;serif" w:hAnsi="Times New Roman;Times;serif"/>
          <w:sz w:val="18"/>
        </w:rPr>
        <w:t xml:space="preserve"> </w:t>
      </w:r>
      <w:r>
        <w:rPr>
          <w:rFonts w:ascii="Times New Roman;Times;serif" w:hAnsi="Times New Roman;Times;serif"/>
          <w:i/>
          <w:sz w:val="18"/>
        </w:rPr>
        <w:t>impairments prior to the year ended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545" w:name="Tc_ocWvA_NIUUeUlfPZlC_bkw_7_2"/>
      <w:bookmarkStart w:id="1546" w:name="Tc_I5G_FxfFgUWvOquXKogyfg_6_0"/>
      <w:bookmarkStart w:id="1547" w:name="Tc_QRiwIIfjcEC8Q6cbaBnVnQ_5_0"/>
      <w:bookmarkStart w:id="1548" w:name="Tc_TbqS8Hnx4kaO2nKrMlchjg_4_0"/>
      <w:bookmarkStart w:id="1549" w:name="Tc_Oy9c4LbgRUGyIILdQH8fFg_3_0"/>
      <w:bookmarkStart w:id="1550" w:name="Tc_bNYB4fSwPUulIkpDR0Q2lg_2_0"/>
      <w:bookmarkStart w:id="1551" w:name="Tc_qZ-Sw4SGGkqcyiwBl7rTqQ_1_2"/>
      <w:bookmarkStart w:id="1552" w:name="Tc_NeYeSO814UinHXktDMJ4zg_1_0"/>
      <w:bookmarkStart w:id="1553" w:name="Tc_HyO354BNzk2k5MyZVp5DqA_7_5"/>
      <w:bookmarkStart w:id="1554" w:name="Tc_VWZEDqoIq0285ci7T4LuTA_7_2"/>
      <w:bookmarkStart w:id="1555" w:name="Tc_vyfPlzvrF0WpX9CzbvpYfw_6_0"/>
      <w:bookmarkStart w:id="1556" w:name="Tc_P94anV4vaEuPhLCsFswLAQ_4_0"/>
      <w:bookmarkStart w:id="1557" w:name="Tc_UEvy7iMKAUeTTeyQL-A2eQ_3_5"/>
      <w:bookmarkStart w:id="1558" w:name="Tc_YF-7dzKHwUuebJ8MjDBshQ_3_2"/>
      <w:bookmarkStart w:id="1559" w:name="Tc_5UQXD_6ytkCSKIvVapH6Kw_3_0"/>
      <w:bookmarkStart w:id="1560" w:name="Tc_vb7-19nrFEaRLfJPBivPBg_2_5"/>
      <w:bookmarkStart w:id="1561" w:name="Tc_rvw7Oj6oaUeC6YOwCwDu7Q_2_2"/>
      <w:bookmarkStart w:id="1562" w:name="Tc__BtRb18bDkKXANryNp_eVA_1_5"/>
      <w:bookmarkStart w:id="1563" w:name="Tc_-VXGW79Ack6mpysvklZzWw_1_2"/>
      <w:bookmarkStart w:id="1564" w:name="_e9768743_e4a2_4b35_bdd8_e8f6ac51ab82"/>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Pr>
          <w:rFonts w:ascii="Times New Roman;Times;serif" w:hAnsi="Times New Roman;Times;serif"/>
          <w:sz w:val="20"/>
        </w:rPr>
        <w:t>Intangible assets consist of the following at:</w:t>
      </w:r>
    </w:p>
    <w:p>
      <w:pPr>
        <w:pStyle w:val="TextBody"/>
        <w:bidi w:val="0"/>
        <w:spacing w:before="0" w:after="0"/>
        <w:ind w:left="0" w:right="0" w:hanging="0"/>
        <w:jc w:val="left"/>
        <w:rPr/>
      </w:pPr>
      <w:r>
        <w:rPr/>
        <w:t>​</w:t>
      </w:r>
    </w:p>
    <w:tbl>
      <w:tblPr>
        <w:tblW w:w="5510" w:type="dxa"/>
        <w:jc w:val="left"/>
        <w:tblInd w:w="0" w:type="dxa"/>
        <w:tblLayout w:type="fixed"/>
        <w:tblCellMar>
          <w:top w:w="0" w:type="dxa"/>
          <w:left w:w="0" w:type="dxa"/>
          <w:bottom w:w="0" w:type="dxa"/>
          <w:right w:w="0" w:type="dxa"/>
        </w:tblCellMar>
      </w:tblPr>
      <w:tblGrid>
        <w:gridCol w:w="2371"/>
        <w:gridCol w:w="346"/>
        <w:gridCol w:w="211"/>
        <w:gridCol w:w="931"/>
        <w:gridCol w:w="346"/>
        <w:gridCol w:w="220"/>
        <w:gridCol w:w="1085"/>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505585" cy="175260"/>
                      <wp:effectExtent l="0" t="0" r="0" b="0"/>
                      <wp:wrapNone/>
                      <wp:docPr id="274" name="Frame27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9700" cy="175260"/>
                      <wp:effectExtent l="0" t="0" r="0" b="0"/>
                      <wp:wrapNone/>
                      <wp:docPr id="279" name="Frame27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88975" cy="175260"/>
                      <wp:effectExtent l="0" t="0" r="0" b="0"/>
                      <wp:wrapNone/>
                      <wp:docPr id="280" name="Frame280"/>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140,553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137,664</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(91,609)</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(86,999)</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50,665</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1,332,883</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1,328,603</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1,381,827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1,379,268</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Amortizing intangibles primarily consist of computer software, tradenames and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ten years. Total amortization expense was $2.7 million and $4.3 million for the three-months ended June 30, 2026 and 2025, respectively. Total amortization expense was $5.5 million and $8.7 million for the six-months ended June 30, 2026 and 2025, respectively. </w:t>
      </w:r>
      <w:r>
        <w:rPr>
          <w:rFonts w:ascii="Times New Roman;Times;serif" w:hAnsi="Times New Roman;Times;serif"/>
          <w:color w:val="212529"/>
          <w:sz w:val="20"/>
          <w:shd w:fill="FFFFFF" w:val="clear"/>
        </w:rPr>
        <w:t>For the three- and six-months ended June 30, 2026</w:t>
      </w:r>
      <w:r>
        <w:rPr>
          <w:rFonts w:ascii="Times New Roman;Times;serif" w:hAnsi="Times New Roman;Times;serif"/>
          <w:sz w:val="20"/>
        </w:rPr>
        <w:t xml:space="preserve"> and</w:t>
      </w:r>
      <w:r>
        <w:rPr>
          <w:rFonts w:ascii="Times New Roman;Times;serif" w:hAnsi="Times New Roman;Times;serif"/>
          <w:color w:val="212529"/>
          <w:sz w:val="20"/>
          <w:shd w:fill="FFFFFF" w:val="clear"/>
        </w:rPr>
        <w:t xml:space="preserve"> 2025</w:t>
      </w:r>
      <w:r>
        <w:rPr>
          <w:rFonts w:ascii="Times New Roman;Times;serif" w:hAnsi="Times New Roman;Times;serif"/>
          <w:sz w:val="20"/>
        </w:rPr>
        <w:t>, no impairment charges were recorded to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June 30, 2026:</w:t>
      </w:r>
    </w:p>
    <w:p>
      <w:pPr>
        <w:pStyle w:val="TextBody"/>
        <w:bidi w:val="0"/>
        <w:spacing w:before="0" w:after="0"/>
        <w:ind w:left="0" w:right="0" w:hanging="0"/>
        <w:jc w:val="left"/>
        <w:rPr/>
      </w:pPr>
      <w:r>
        <w:rPr/>
        <w:t>​</w:t>
      </w:r>
    </w:p>
    <w:tbl>
      <w:tblPr>
        <w:tblW w:w="5299" w:type="dxa"/>
        <w:jc w:val="left"/>
        <w:tblInd w:w="0" w:type="dxa"/>
        <w:tblLayout w:type="fixed"/>
        <w:tblCellMar>
          <w:top w:w="0" w:type="dxa"/>
          <w:left w:w="0" w:type="dxa"/>
          <w:bottom w:w="0" w:type="dxa"/>
          <w:right w:w="0" w:type="dxa"/>
        </w:tblCellMar>
      </w:tblPr>
      <w:tblGrid>
        <w:gridCol w:w="3961"/>
        <w:gridCol w:w="346"/>
        <w:gridCol w:w="211"/>
        <w:gridCol w:w="78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515235" cy="175260"/>
                      <wp:effectExtent l="0" t="0" r="0" b="0"/>
                      <wp:wrapNone/>
                      <wp:docPr id="281" name="Frame281"/>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(from July 1, 2026 to December 31,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8,903</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15,108</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48,944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107" w:type="dxa"/>
        <w:jc w:val="left"/>
        <w:tblInd w:w="0" w:type="dxa"/>
        <w:tblLayout w:type="fixed"/>
        <w:tblCellMar>
          <w:top w:w="0" w:type="dxa"/>
          <w:left w:w="0" w:type="dxa"/>
          <w:bottom w:w="0" w:type="dxa"/>
          <w:right w:w="0" w:type="dxa"/>
        </w:tblCellMar>
      </w:tblPr>
      <w:tblGrid>
        <w:gridCol w:w="271"/>
        <w:gridCol w:w="2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for both the three-months ended June 30, 2026 and 2025. Revenue recognized was $19.9 million for both the six-months ended June 30, 2026 and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tbl>
      <w:tblPr>
        <w:tblW w:w="932" w:type="dxa"/>
        <w:jc w:val="left"/>
        <w:tblInd w:w="0" w:type="dxa"/>
        <w:tblLayout w:type="fixed"/>
        <w:tblCellMar>
          <w:top w:w="0" w:type="dxa"/>
          <w:left w:w="0" w:type="dxa"/>
          <w:bottom w:w="0" w:type="dxa"/>
          <w:right w:w="0" w:type="dxa"/>
        </w:tblCellMar>
      </w:tblPr>
      <w:tblGrid>
        <w:gridCol w:w="271"/>
        <w:gridCol w:w="66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6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June 30, 2026, no borrowings were outstanding under the Credit Facilities, and the Company was in compliance with all covenants under the Amended Credit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As of June 30, 2026, no amount was outstanding on this line of credit.</w:t>
      </w:r>
    </w:p>
    <w:p>
      <w:pPr>
        <w:pStyle w:val="TextBody"/>
        <w:bidi w:val="0"/>
        <w:spacing w:before="0" w:after="0"/>
        <w:ind w:left="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36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$218.9 million at June 30, 2026,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$746.6 million at June 30, 2026, which related primarily to sponsorships and other marketing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Litigation — </w:t>
      </w:r>
      <w:r>
        <w:rPr>
          <w:rFonts w:ascii="Times New Roman;Times;serif" w:hAnsi="Times New Roman;Times;serif"/>
          <w:sz w:val="20"/>
        </w:rPr>
        <w:t xml:space="preserve">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evaluates, on a quarterly basis, developments in legal proceedings and other matters that could cause an increase or decrease in the amount of the liability that is accrued, if any, and any related insurance reimbursements. </w:t>
      </w:r>
      <w:r>
        <w:rPr>
          <w:rFonts w:ascii="Times New Roman;Times;serif" w:hAnsi="Times New Roman;Times;serif"/>
          <w:color w:val="212529"/>
          <w:sz w:val="20"/>
          <w:shd w:fill="FFFFFF" w:val="clear"/>
        </w:rPr>
        <w:t>As of June 30, 2026 and December 31, 2025</w:t>
      </w:r>
      <w:r>
        <w:rPr>
          <w:rFonts w:ascii="Times New Roman;Times;serif" w:hAnsi="Times New Roman;Times;serif"/>
          <w:sz w:val="20"/>
        </w:rPr>
        <w:t>, $30.3 million and $36.2 million, respectively, of loss contingencies were included in the Company’s accompanying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65" w:name="Tc_DdwSwTfuTku5VpYnzUw_cw_9_11"/>
      <w:bookmarkStart w:id="1566" w:name="Tc_jAJStrviJEyurP0ZgqtmOw_9_8"/>
      <w:bookmarkStart w:id="1567" w:name="Tc_mo70sbnD2Ea9BeUS_c79jA_9_5"/>
      <w:bookmarkStart w:id="1568" w:name="Tc_L-r1so4EzkGesoWjK2xgGQ_9_2"/>
      <w:bookmarkStart w:id="1569" w:name="Tc_eLeyQ4GCXkavetXOohUIRg_9_0"/>
      <w:bookmarkStart w:id="1570" w:name="Tc_n0S8Su2NcE2jVFk4oxwLgw_8_0"/>
      <w:bookmarkStart w:id="1571" w:name="Tc_GuVnezIYz02C6T8dvb7OqQ_7_9"/>
      <w:bookmarkStart w:id="1572" w:name="Tc_c-bWtX9ys0WJ6ibBcflQIA_7_6"/>
      <w:bookmarkStart w:id="1573" w:name="Tc_VPXg9gFfl0OmIyHt0l9ftA_7_0"/>
      <w:bookmarkStart w:id="1574" w:name="Tc_NIyUW_186kCwMg-poTGuWA_6_0"/>
      <w:bookmarkStart w:id="1575" w:name="Tc_9l9VA1UIPU64gjSNAP8G1Q_5_11"/>
      <w:bookmarkStart w:id="1576" w:name="Tc_7XXlDuVW4ECtZlcbnOX20A_5_8"/>
      <w:bookmarkStart w:id="1577" w:name="Tc_-CZijrh_1kyqX76rGQtLfQ_5_5"/>
      <w:bookmarkStart w:id="1578" w:name="Tc_pe2-eowJBk65WWUw00A1mA_5_2"/>
      <w:bookmarkStart w:id="1579" w:name="Tc_zLys-cuwlkaEOn8aqpT4FQ_5_0"/>
      <w:bookmarkStart w:id="1580" w:name="Tc_wQG3rLbNvE2O8wTh9YwH7Q_4_11"/>
      <w:bookmarkStart w:id="1581" w:name="Tc_8WHESMfi_0a0siK-FqHksw_4_8"/>
      <w:bookmarkStart w:id="1582" w:name="Tc_A8ECeOTZhEGrg5fd03RKQA_4_5"/>
      <w:bookmarkStart w:id="1583" w:name="Tc_A_LIYcAWnkC9ttGwPbjhDA_4_2"/>
      <w:bookmarkStart w:id="1584" w:name="Tc_-xKFRieHYkyRl4Td38wkEA_3_8"/>
      <w:bookmarkStart w:id="1585" w:name="Tc_q2QO63rpMkmU-NaQGKTFtw_3_5"/>
      <w:bookmarkStart w:id="1586" w:name="Tc_Z2N1Xksc0EKVvRY3X-e-zA_3_2"/>
      <w:bookmarkStart w:id="1587" w:name="Tc__rDuv6zffESlXFRBJ3pzfQ_2_8"/>
      <w:bookmarkStart w:id="1588" w:name="Tc_UKeIWfLIk0WVqe9nKccGug_2_5"/>
      <w:bookmarkStart w:id="1589" w:name="Tc_n1dfNwNz4kOc6KM0LlNV1g_2_2"/>
      <w:bookmarkStart w:id="1590" w:name="Tc_3crE9_PI8kWjH0Lc9RhTMg_1_8"/>
      <w:bookmarkStart w:id="1591" w:name="Tc_p2DUc3_HNUOznoLiYItjFA_1_5"/>
      <w:bookmarkStart w:id="1592" w:name="Tc_EhvZCdJAukygOj18nfZ7Zw_1_2"/>
      <w:bookmarkStart w:id="1593" w:name="_54819f0d_37fa_4553_ae63_2f683f059320"/>
      <w:bookmarkStart w:id="1594" w:name="Tc_O3leLSssykmB_GSwAssSHg_9_11"/>
      <w:bookmarkStart w:id="1595" w:name="Tc_ALS0T_cFoU2mfLL8LMoUng_9_8"/>
      <w:bookmarkStart w:id="1596" w:name="Tc_sCzfDvl43U6k12TatZ5LFg_9_5"/>
      <w:bookmarkStart w:id="1597" w:name="Tc_kcTIE2-8L0iU-nDAo_e4rg_9_2"/>
      <w:bookmarkStart w:id="1598" w:name="Tc_xHgg03LT80Cm4jET_1Vj1g_9_0"/>
      <w:bookmarkStart w:id="1599" w:name="Tc_vt55slvRpUekFDpuudy_Dg_8_0"/>
      <w:bookmarkStart w:id="1600" w:name="Tc_cCFx2v7mLkWnf54AB0eZ0Q_7_9"/>
      <w:bookmarkStart w:id="1601" w:name="Tc_PLCtnhz2nUmCPzWzjeg74w_7_6"/>
      <w:bookmarkStart w:id="1602" w:name="Tc_LoUJRH22Z0KJtTTVh0t2zw_7_0"/>
      <w:bookmarkStart w:id="1603" w:name="Tc_lUEzDLG0e0GhitnDJ2KPoQ_6_0"/>
      <w:bookmarkStart w:id="1604" w:name="Tc_WTUWaUIeN02O94WFDx9-xw_5_11"/>
      <w:bookmarkStart w:id="1605" w:name="Tc_TypL_Ew2TEa0XqPi8kzmnw_5_8"/>
      <w:bookmarkStart w:id="1606" w:name="Tc_yuXd2KCvcECznFR2eriL7A_5_5"/>
      <w:bookmarkStart w:id="1607" w:name="Tc_aFMph0cL30-0ksUnbHPZZQ_5_2"/>
      <w:bookmarkStart w:id="1608" w:name="Tc_PYXqfFRwAkKXOr35aP6LJQ_5_0"/>
      <w:bookmarkStart w:id="1609" w:name="Tc_NJy8qQMM0UyUg8dQyaoEtQ_4_11"/>
      <w:bookmarkStart w:id="1610" w:name="Tc_t886qHdJ6EKIhnzPQEpWsA_4_8"/>
      <w:bookmarkStart w:id="1611" w:name="Tc_gc-Mg-UP_0m-4UWJKkbpJA_4_5"/>
      <w:bookmarkStart w:id="1612" w:name="Tc_HJaC3Z0r0U-5FMMcVdmt2w_4_2"/>
      <w:bookmarkStart w:id="1613" w:name="Tc_TFi_P3Fh4kGxOTLNLdLP7A_3_8"/>
      <w:bookmarkStart w:id="1614" w:name="Tc_X_U13hkVykKxofnXrUkbng_3_5"/>
      <w:bookmarkStart w:id="1615" w:name="Tc_X173VRQiO0CdnPgioviVVQ_3_2"/>
      <w:bookmarkStart w:id="1616" w:name="Tc_h-RpCXs43Ea-yZdg_KbaLQ_2_8"/>
      <w:bookmarkStart w:id="1617" w:name="Tc_pwgsS6hMF0mz0ShrEWecdQ_2_5"/>
      <w:bookmarkStart w:id="1618" w:name="Tc_-zY-5X7cCUCvw-g-76FdwA_2_2"/>
      <w:bookmarkStart w:id="1619" w:name="Tc_Ja3LhPSd8UiS-8xbpS_jdw_1_8"/>
      <w:bookmarkStart w:id="1620" w:name="Tc_ipV8PVr70Uqh37F0EY_A2g_1_5"/>
      <w:bookmarkStart w:id="1621" w:name="Tc_1RLuY8Ek-ESBp8_HItkpMA_1_2"/>
      <w:bookmarkStart w:id="1622" w:name="_ce60d7f1_6680_451d_83ad_c274debf5c64"/>
      <w:bookmarkStart w:id="1623" w:name="Tc_DdwSwTfuTku5VpYnzUw_cw_9_11"/>
      <w:bookmarkStart w:id="1624" w:name="Tc_jAJStrviJEyurP0ZgqtmOw_9_8"/>
      <w:bookmarkStart w:id="1625" w:name="Tc_mo70sbnD2Ea9BeUS_c79jA_9_5"/>
      <w:bookmarkStart w:id="1626" w:name="Tc_L-r1so4EzkGesoWjK2xgGQ_9_2"/>
      <w:bookmarkStart w:id="1627" w:name="Tc_eLeyQ4GCXkavetXOohUIRg_9_0"/>
      <w:bookmarkStart w:id="1628" w:name="Tc_n0S8Su2NcE2jVFk4oxwLgw_8_0"/>
      <w:bookmarkStart w:id="1629" w:name="Tc_GuVnezIYz02C6T8dvb7OqQ_7_9"/>
      <w:bookmarkStart w:id="1630" w:name="Tc_c-bWtX9ys0WJ6ibBcflQIA_7_6"/>
      <w:bookmarkStart w:id="1631" w:name="Tc_VPXg9gFfl0OmIyHt0l9ftA_7_0"/>
      <w:bookmarkStart w:id="1632" w:name="Tc_NIyUW_186kCwMg-poTGuWA_6_0"/>
      <w:bookmarkStart w:id="1633" w:name="Tc_9l9VA1UIPU64gjSNAP8G1Q_5_11"/>
      <w:bookmarkStart w:id="1634" w:name="Tc_7XXlDuVW4ECtZlcbnOX20A_5_8"/>
      <w:bookmarkStart w:id="1635" w:name="Tc_-CZijrh_1kyqX76rGQtLfQ_5_5"/>
      <w:bookmarkStart w:id="1636" w:name="Tc_pe2-eowJBk65WWUw00A1mA_5_2"/>
      <w:bookmarkStart w:id="1637" w:name="Tc_zLys-cuwlkaEOn8aqpT4FQ_5_0"/>
      <w:bookmarkStart w:id="1638" w:name="Tc_wQG3rLbNvE2O8wTh9YwH7Q_4_11"/>
      <w:bookmarkStart w:id="1639" w:name="Tc_8WHESMfi_0a0siK-FqHksw_4_8"/>
      <w:bookmarkStart w:id="1640" w:name="Tc_A8ECeOTZhEGrg5fd03RKQA_4_5"/>
      <w:bookmarkStart w:id="1641" w:name="Tc_A_LIYcAWnkC9ttGwPbjhDA_4_2"/>
      <w:bookmarkStart w:id="1642" w:name="Tc_-xKFRieHYkyRl4Td38wkEA_3_8"/>
      <w:bookmarkStart w:id="1643" w:name="Tc_q2QO63rpMkmU-NaQGKTFtw_3_5"/>
      <w:bookmarkStart w:id="1644" w:name="Tc_Z2N1Xksc0EKVvRY3X-e-zA_3_2"/>
      <w:bookmarkStart w:id="1645" w:name="Tc__rDuv6zffESlXFRBJ3pzfQ_2_8"/>
      <w:bookmarkStart w:id="1646" w:name="Tc_UKeIWfLIk0WVqe9nKccGug_2_5"/>
      <w:bookmarkStart w:id="1647" w:name="Tc_n1dfNwNz4kOc6KM0LlNV1g_2_2"/>
      <w:bookmarkStart w:id="1648" w:name="Tc_3crE9_PI8kWjH0Lc9RhTMg_1_8"/>
      <w:bookmarkStart w:id="1649" w:name="Tc_p2DUc3_HNUOznoLiYItjFA_1_5"/>
      <w:bookmarkStart w:id="1650" w:name="Tc_EhvZCdJAukygOj18nfZ7Zw_1_2"/>
      <w:bookmarkStart w:id="1651" w:name="_54819f0d_37fa_4553_ae63_2f683f059320"/>
      <w:bookmarkStart w:id="1652" w:name="Tc_O3leLSssykmB_GSwAssSHg_9_11"/>
      <w:bookmarkStart w:id="1653" w:name="Tc_ALS0T_cFoU2mfLL8LMoUng_9_8"/>
      <w:bookmarkStart w:id="1654" w:name="Tc_sCzfDvl43U6k12TatZ5LFg_9_5"/>
      <w:bookmarkStart w:id="1655" w:name="Tc_kcTIE2-8L0iU-nDAo_e4rg_9_2"/>
      <w:bookmarkStart w:id="1656" w:name="Tc_xHgg03LT80Cm4jET_1Vj1g_9_0"/>
      <w:bookmarkStart w:id="1657" w:name="Tc_vt55slvRpUekFDpuudy_Dg_8_0"/>
      <w:bookmarkStart w:id="1658" w:name="Tc_cCFx2v7mLkWnf54AB0eZ0Q_7_9"/>
      <w:bookmarkStart w:id="1659" w:name="Tc_PLCtnhz2nUmCPzWzjeg74w_7_6"/>
      <w:bookmarkStart w:id="1660" w:name="Tc_LoUJRH22Z0KJtTTVh0t2zw_7_0"/>
      <w:bookmarkStart w:id="1661" w:name="Tc_lUEzDLG0e0GhitnDJ2KPoQ_6_0"/>
      <w:bookmarkStart w:id="1662" w:name="Tc_WTUWaUIeN02O94WFDx9-xw_5_11"/>
      <w:bookmarkStart w:id="1663" w:name="Tc_TypL_Ew2TEa0XqPi8kzmnw_5_8"/>
      <w:bookmarkStart w:id="1664" w:name="Tc_yuXd2KCvcECznFR2eriL7A_5_5"/>
      <w:bookmarkStart w:id="1665" w:name="Tc_aFMph0cL30-0ksUnbHPZZQ_5_2"/>
      <w:bookmarkStart w:id="1666" w:name="Tc_PYXqfFRwAkKXOr35aP6LJQ_5_0"/>
      <w:bookmarkStart w:id="1667" w:name="Tc_NJy8qQMM0UyUg8dQyaoEtQ_4_11"/>
      <w:bookmarkStart w:id="1668" w:name="Tc_t886qHdJ6EKIhnzPQEpWsA_4_8"/>
      <w:bookmarkStart w:id="1669" w:name="Tc_gc-Mg-UP_0m-4UWJKkbpJA_4_5"/>
      <w:bookmarkStart w:id="1670" w:name="Tc_HJaC3Z0r0U-5FMMcVdmt2w_4_2"/>
      <w:bookmarkStart w:id="1671" w:name="Tc_TFi_P3Fh4kGxOTLNLdLP7A_3_8"/>
      <w:bookmarkStart w:id="1672" w:name="Tc_X_U13hkVykKxofnXrUkbng_3_5"/>
      <w:bookmarkStart w:id="1673" w:name="Tc_X173VRQiO0CdnPgioviVVQ_3_2"/>
      <w:bookmarkStart w:id="1674" w:name="Tc_h-RpCXs43Ea-yZdg_KbaLQ_2_8"/>
      <w:bookmarkStart w:id="1675" w:name="Tc_pwgsS6hMF0mz0ShrEWecdQ_2_5"/>
      <w:bookmarkStart w:id="1676" w:name="Tc_-zY-5X7cCUCvw-g-76FdwA_2_2"/>
      <w:bookmarkStart w:id="1677" w:name="Tc_Ja3LhPSd8UiS-8xbpS_jdw_1_8"/>
      <w:bookmarkStart w:id="1678" w:name="Tc_ipV8PVr70Uqh37F0EY_A2g_1_5"/>
      <w:bookmarkStart w:id="1679" w:name="Tc_1RLuY8Ek-ESBp8_HItkpMA_1_2"/>
      <w:bookmarkStart w:id="1680" w:name="_ce60d7f1_6680_451d_83ad_c274debf5c64"/>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45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Changes in accumulated other comprehensive loss by component, after tax, </w:t>
      </w:r>
      <w:r>
        <w:rPr>
          <w:rFonts w:ascii="Times New Roman;Times;serif" w:hAnsi="Times New Roman;Times;serif"/>
          <w:color w:val="212529"/>
          <w:sz w:val="20"/>
        </w:rPr>
        <w:t xml:space="preserve">for the six-months ended June 30, 2026 and 2025 </w:t>
      </w:r>
      <w:r>
        <w:rPr>
          <w:rFonts w:ascii="Times New Roman;Times;serif" w:hAnsi="Times New Roman;Times;serif"/>
          <w:sz w:val="20"/>
        </w:rPr>
        <w:t>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56"/>
        <w:gridCol w:w="346"/>
        <w:gridCol w:w="306"/>
        <w:gridCol w:w="1070"/>
        <w:gridCol w:w="346"/>
        <w:gridCol w:w="211"/>
        <w:gridCol w:w="875"/>
        <w:gridCol w:w="346"/>
        <w:gridCol w:w="375"/>
        <w:gridCol w:w="993"/>
        <w:gridCol w:w="346"/>
        <w:gridCol w:w="211"/>
        <w:gridCol w:w="924"/>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448560" cy="175260"/>
                      <wp:effectExtent l="0" t="0" r="0" b="0"/>
                      <wp:wrapNone/>
                      <wp:docPr id="285" name="Frame28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94310" cy="175260"/>
                      <wp:effectExtent l="0" t="0" r="0" b="0"/>
                      <wp:wrapNone/>
                      <wp:docPr id="286" name="Frame28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79450" cy="175260"/>
                      <wp:effectExtent l="0" t="0" r="0" b="0"/>
                      <wp:wrapNone/>
                      <wp:docPr id="287" name="Frame287"/>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55625" cy="175260"/>
                      <wp:effectExtent l="0" t="0" r="0" b="0"/>
                      <wp:wrapNone/>
                      <wp:docPr id="290" name="Frame290"/>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38125" cy="175260"/>
                      <wp:effectExtent l="0" t="0" r="0" b="0"/>
                      <wp:wrapNone/>
                      <wp:docPr id="292" name="Frame29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30555" cy="175260"/>
                      <wp:effectExtent l="0" t="0" r="0" b="0"/>
                      <wp:wrapNone/>
                      <wp:docPr id="293" name="Frame29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86740" cy="175260"/>
                      <wp:effectExtent l="0" t="0" r="0" b="0"/>
                      <wp:wrapNone/>
                      <wp:docPr id="296" name="Frame296"/>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46" w:type="dxa"/>
            <w:tcBorders/>
            <w:vAlign w:val="center"/>
          </w:tcPr>
          <w:p>
            <w:pPr>
              <w:pStyle w:val="TableContents"/>
              <w:bidi w:val="0"/>
              <w:spacing w:before="0" w:after="0"/>
              <w:ind w:left="0" w:right="0" w:hanging="0"/>
              <w:jc w:val="left"/>
              <w:rPr/>
            </w:pPr>
            <w:r>
              <w:rPr/>
              <w:t>  ​ ​ ​</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46" w:type="dxa"/>
            <w:tcBorders/>
            <w:vAlign w:val="center"/>
          </w:tcPr>
          <w:p>
            <w:pPr>
              <w:pStyle w:val="TableContents"/>
              <w:bidi w:val="0"/>
              <w:spacing w:before="0" w:after="0"/>
              <w:ind w:left="0" w:right="0" w:hanging="0"/>
              <w:jc w:val="left"/>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46" w:type="dxa"/>
            <w:tcBorders/>
            <w:vAlign w:val="center"/>
          </w:tcPr>
          <w:p>
            <w:pPr>
              <w:pStyle w:val="TableContents"/>
              <w:bidi w:val="0"/>
              <w:spacing w:before="0" w:after="0"/>
              <w:ind w:left="0" w:right="0" w:hanging="0"/>
              <w:jc w:val="left"/>
              <w:rPr/>
            </w:pPr>
            <w:r>
              <w:rPr/>
              <w:t>​</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46" w:type="dxa"/>
            <w:tcBorders/>
            <w:vAlign w:val="center"/>
          </w:tcPr>
          <w:p>
            <w:pPr>
              <w:pStyle w:val="TableContents"/>
              <w:bidi w:val="0"/>
              <w:spacing w:before="0" w:after="0"/>
              <w:ind w:left="0" w:right="0" w:hanging="0"/>
              <w:jc w:val="left"/>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46" w:type="dxa"/>
            <w:tcBorders/>
            <w:vAlign w:val="center"/>
          </w:tcPr>
          <w:p>
            <w:pPr>
              <w:pStyle w:val="TableContents"/>
              <w:bidi w:val="0"/>
              <w:spacing w:before="0" w:after="0"/>
              <w:ind w:left="0" w:right="0" w:hanging="0"/>
              <w:jc w:val="center"/>
              <w:rPr/>
            </w:pPr>
            <w:r>
              <w:rPr/>
              <w:t>​</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46" w:type="dxa"/>
            <w:tcBorders/>
            <w:vAlign w:val="center"/>
          </w:tcPr>
          <w:p>
            <w:pPr>
              <w:pStyle w:val="TableContents"/>
              <w:bidi w:val="0"/>
              <w:spacing w:before="0" w:after="0"/>
              <w:ind w:left="0" w:right="0" w:hanging="0"/>
              <w:jc w:val="left"/>
              <w:rPr/>
            </w:pPr>
            <w:r>
              <w:rPr/>
              <w:t>  ​ ​ ​</w:t>
            </w:r>
          </w:p>
        </w:tc>
        <w:tc>
          <w:tcPr>
            <w:tcW w:w="13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46"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(108,059)</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(60,841)</w:t>
            </w:r>
          </w:p>
        </w:tc>
      </w:tr>
      <w:tr>
        <w:trPr/>
        <w:tc>
          <w:tcPr>
            <w:tcW w:w="38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(36,839)</w:t>
            </w:r>
          </w:p>
        </w:tc>
        <w:tc>
          <w:tcPr>
            <w:tcW w:w="346"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(25,872)</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(26,133)</w:t>
            </w:r>
          </w:p>
        </w:tc>
      </w:tr>
      <w:tr>
        <w:trPr/>
        <w:tc>
          <w:tcPr>
            <w:tcW w:w="38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(36,839)</w:t>
            </w:r>
          </w:p>
        </w:tc>
        <w:tc>
          <w:tcPr>
            <w:tcW w:w="346" w:type="dxa"/>
            <w:tcBorders/>
            <w:vAlign w:val="center"/>
          </w:tcPr>
          <w:p>
            <w:pPr>
              <w:pStyle w:val="TableContents"/>
              <w:bidi w:val="0"/>
              <w:spacing w:before="0" w:after="0"/>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(52,005)</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(144,898)</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56"/>
        <w:gridCol w:w="346"/>
        <w:gridCol w:w="327"/>
        <w:gridCol w:w="1049"/>
        <w:gridCol w:w="346"/>
        <w:gridCol w:w="211"/>
        <w:gridCol w:w="875"/>
        <w:gridCol w:w="346"/>
        <w:gridCol w:w="499"/>
        <w:gridCol w:w="869"/>
        <w:gridCol w:w="346"/>
        <w:gridCol w:w="211"/>
        <w:gridCol w:w="924"/>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448560" cy="175260"/>
                      <wp:effectExtent l="0" t="0" r="0" b="0"/>
                      <wp:wrapNone/>
                      <wp:docPr id="297" name="Frame297"/>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645" cy="175260"/>
                      <wp:effectExtent l="0" t="0" r="0" b="0"/>
                      <wp:wrapNone/>
                      <wp:docPr id="299" name="Frame29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66115" cy="175260"/>
                      <wp:effectExtent l="0" t="0" r="0" b="0"/>
                      <wp:wrapNone/>
                      <wp:docPr id="300" name="Frame300"/>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55625" cy="175260"/>
                      <wp:effectExtent l="0" t="0" r="0" b="0"/>
                      <wp:wrapNone/>
                      <wp:docPr id="303" name="Frame30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16865" cy="175260"/>
                      <wp:effectExtent l="0" t="0" r="0" b="0"/>
                      <wp:wrapNone/>
                      <wp:docPr id="305" name="Frame305"/>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51815" cy="175260"/>
                      <wp:effectExtent l="0" t="0" r="0" b="0"/>
                      <wp:wrapNone/>
                      <wp:docPr id="306" name="Frame30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86740" cy="175260"/>
                      <wp:effectExtent l="0" t="0" r="0" b="0"/>
                      <wp:wrapNone/>
                      <wp:docPr id="309" name="Frame309"/>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46" w:type="dxa"/>
            <w:tcBorders/>
            <w:vAlign w:val="center"/>
          </w:tcPr>
          <w:p>
            <w:pPr>
              <w:pStyle w:val="TableContents"/>
              <w:bidi w:val="0"/>
              <w:spacing w:before="0" w:after="0"/>
              <w:ind w:left="0" w:right="0" w:hanging="0"/>
              <w:jc w:val="center"/>
              <w:rPr/>
            </w:pPr>
            <w:r>
              <w:rPr/>
              <w:t>​</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46" w:type="dxa"/>
            <w:tcBorders/>
            <w:vAlign w:val="center"/>
          </w:tcPr>
          <w:p>
            <w:pPr>
              <w:pStyle w:val="TableContents"/>
              <w:bidi w:val="0"/>
              <w:spacing w:before="0" w:after="0"/>
              <w:ind w:left="0" w:right="0" w:hanging="0"/>
              <w:jc w:val="left"/>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46" w:type="dxa"/>
            <w:tcBorders/>
            <w:vAlign w:val="center"/>
          </w:tcPr>
          <w:p>
            <w:pPr>
              <w:pStyle w:val="TableContents"/>
              <w:bidi w:val="0"/>
              <w:spacing w:before="0" w:after="0"/>
              <w:ind w:left="0" w:right="0" w:hanging="0"/>
              <w:jc w:val="center"/>
              <w:rPr/>
            </w:pPr>
            <w:r>
              <w:rPr/>
              <w:t>​</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46" w:type="dxa"/>
            <w:tcBorders/>
            <w:vAlign w:val="center"/>
          </w:tcPr>
          <w:p>
            <w:pPr>
              <w:pStyle w:val="TableContents"/>
              <w:bidi w:val="0"/>
              <w:spacing w:before="0" w:after="0"/>
              <w:ind w:left="0" w:right="0" w:hanging="0"/>
              <w:jc w:val="left"/>
              <w:rPr/>
            </w:pPr>
            <w:r>
              <w:rPr/>
              <w:t>  ​ ​ ​</w:t>
            </w:r>
          </w:p>
        </w:tc>
        <w:tc>
          <w:tcPr>
            <w:tcW w:w="136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46" w:type="dxa"/>
            <w:tcBorders/>
            <w:vAlign w:val="center"/>
          </w:tcPr>
          <w:p>
            <w:pPr>
              <w:pStyle w:val="TableContents"/>
              <w:bidi w:val="0"/>
              <w:spacing w:before="0" w:after="0"/>
              <w:ind w:left="0" w:right="0" w:hanging="0"/>
              <w:jc w:val="left"/>
              <w:rPr/>
            </w:pPr>
            <w:r>
              <w:rPr/>
              <w:t>  ​ ​ ​</w:t>
            </w:r>
          </w:p>
        </w:tc>
        <w:tc>
          <w:tcPr>
            <w:tcW w:w="13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46"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c>
          <w:tcPr>
            <w:tcW w:w="346"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r>
      <w:tr>
        <w:trPr/>
        <w:tc>
          <w:tcPr>
            <w:tcW w:w="38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46"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181,132</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38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4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46" w:type="dxa"/>
            <w:tcBorders/>
            <w:vAlign w:val="center"/>
          </w:tcPr>
          <w:p>
            <w:pPr>
              <w:pStyle w:val="TableContents"/>
              <w:bidi w:val="0"/>
              <w:spacing w:before="0" w:after="0"/>
              <w:ind w:left="0" w:right="0" w:hanging="0"/>
              <w:jc w:val="righ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178,179</w:t>
            </w:r>
          </w:p>
        </w:tc>
      </w:tr>
      <w:tr>
        <w:trPr/>
        <w:tc>
          <w:tcPr>
            <w:tcW w:w="38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(105,200)</w:t>
            </w:r>
          </w:p>
        </w:tc>
        <w:tc>
          <w:tcPr>
            <w:tcW w:w="346" w:type="dxa"/>
            <w:tcBorders/>
            <w:shd w:fill="CCEEFF" w:val="clear"/>
            <w:vAlign w:val="center"/>
          </w:tcPr>
          <w:p>
            <w:pPr>
              <w:pStyle w:val="TableContents"/>
              <w:bidi w:val="0"/>
              <w:spacing w:before="0" w:after="0"/>
              <w:ind w:left="0" w:right="0" w:hanging="0"/>
              <w:jc w:val="right"/>
              <w:rPr/>
            </w:pPr>
            <w:r>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(91,308)</w:t>
            </w:r>
          </w:p>
        </w:tc>
      </w:tr>
    </w:tbl>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18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June 30, 2026, no shares were repurchased under the August 2024 Repurchase Plan. As of August 5, 2026, approximately $400.0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14, 2026, the Company’s Board of Directors authorized a share repurchase program for the purchase of up to an additional $500.0 million of the Company’s outstanding common stock (the “May 2026 Repurchase Plan”). During the three-months ended June 30, 2026, no shares were repurchased under the May 2026 Repurchase Plan. As of August 5, 2026, approximately $500.0 million remained available for repurchase under the May 2026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approximately $900.0 million as of August 5, 2026.</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2026, 1,358 shares of common stock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81" w:name="Tc_tx6aEYqHIkeHc5cA6l0iMw_6_9"/>
      <w:bookmarkStart w:id="1682" w:name="Tc_WIiXhCyk_0CgFyqfMGcyzQ_6_7"/>
      <w:bookmarkStart w:id="1683" w:name="Tc_m40eQ25uc0KD7lonXLvPQg_6_5"/>
      <w:bookmarkStart w:id="1684" w:name="Tc_28kTGsMn3kK8ORcCQq_zQw_6_3"/>
      <w:bookmarkStart w:id="1685" w:name="Tc_92PAe-aoWky3-WcGa6LEDA_6_0"/>
      <w:bookmarkStart w:id="1686" w:name="Tc_qgG-VBlFVEuvfS925ydclw_5_9"/>
      <w:bookmarkStart w:id="1687" w:name="Tc__oTfnD280EeABIGsDJRVyg_5_7"/>
      <w:bookmarkStart w:id="1688" w:name="Tc_PrQwHTOPLUmBHx0-0Fzdqw_5_5"/>
      <w:bookmarkStart w:id="1689" w:name="Tc_ZJ2ymXE1V0e44OGvD4fXFA_5_3"/>
      <w:bookmarkStart w:id="1690" w:name="Tc_-Gilw6v4tUid-7E3kwkIwA_5_0"/>
      <w:bookmarkStart w:id="1691" w:name="Tc_5WcfnRC5mkiGL6Db-heuOA_4_9"/>
      <w:bookmarkStart w:id="1692" w:name="Tc_A3PSisB6kE6uXPrSCB0kPw_4_7"/>
      <w:bookmarkStart w:id="1693" w:name="Tc_qsJYFoClBEeEw_TRdLdA4g_4_5"/>
      <w:bookmarkStart w:id="1694" w:name="Tc_ElR7xeW2Z0el0HA6DWZmaA_4_3"/>
      <w:bookmarkStart w:id="1695" w:name="Tc_41q1Rbf6K06p2AAd5jlFSQ_4_0"/>
      <w:bookmarkStart w:id="1696" w:name="Tc_JKdTQG8790WCyaHrf-t4EA_3_9"/>
      <w:bookmarkStart w:id="1697" w:name="Tc_2jINoNipKESCBVafoUukVg_3_7"/>
      <w:bookmarkStart w:id="1698" w:name="Tc_Q_NScurGakCiSYou2Yn6Ng_3_5"/>
      <w:bookmarkStart w:id="1699" w:name="Tc_rkHcRAKc70iuF4lptEwWRg_3_3"/>
      <w:bookmarkStart w:id="1700" w:name="Tc_HLib2quK1EefidE1_54Ebg_3_0"/>
      <w:bookmarkStart w:id="1701" w:name="Tc_dfgCWakoG0mJdOnv9I_BqA_2_8"/>
      <w:bookmarkStart w:id="1702" w:name="Tc_Q41N_nxLTEmJ1CZn3agspw_2_6"/>
      <w:bookmarkStart w:id="1703" w:name="Tc_kA2m6xPAiEGe5B0JeiaEDg_2_4"/>
      <w:bookmarkStart w:id="1704" w:name="Tc_1xk7t7QahUu1vBOSj55R5w_2_2"/>
      <w:bookmarkStart w:id="1705" w:name="Tc_o9YWWgZiAUGRh3CaVW3yMg_1_6"/>
      <w:bookmarkStart w:id="1706" w:name="Tc_90VaFzNf6kyOHNnSdiAoqQ_1_2"/>
      <w:bookmarkStart w:id="1707" w:name="Tc_tx6aEYqHIkeHc5cA6l0iMw_6_9"/>
      <w:bookmarkStart w:id="1708" w:name="Tc_WIiXhCyk_0CgFyqfMGcyzQ_6_7"/>
      <w:bookmarkStart w:id="1709" w:name="Tc_m40eQ25uc0KD7lonXLvPQg_6_5"/>
      <w:bookmarkStart w:id="1710" w:name="Tc_28kTGsMn3kK8ORcCQq_zQw_6_3"/>
      <w:bookmarkStart w:id="1711" w:name="Tc_92PAe-aoWky3-WcGa6LEDA_6_0"/>
      <w:bookmarkStart w:id="1712" w:name="Tc_qgG-VBlFVEuvfS925ydclw_5_9"/>
      <w:bookmarkStart w:id="1713" w:name="Tc__oTfnD280EeABIGsDJRVyg_5_7"/>
      <w:bookmarkStart w:id="1714" w:name="Tc_PrQwHTOPLUmBHx0-0Fzdqw_5_5"/>
      <w:bookmarkStart w:id="1715" w:name="Tc_ZJ2ymXE1V0e44OGvD4fXFA_5_3"/>
      <w:bookmarkStart w:id="1716" w:name="Tc_-Gilw6v4tUid-7E3kwkIwA_5_0"/>
      <w:bookmarkStart w:id="1717" w:name="Tc_5WcfnRC5mkiGL6Db-heuOA_4_9"/>
      <w:bookmarkStart w:id="1718" w:name="Tc_A3PSisB6kE6uXPrSCB0kPw_4_7"/>
      <w:bookmarkStart w:id="1719" w:name="Tc_qsJYFoClBEeEw_TRdLdA4g_4_5"/>
      <w:bookmarkStart w:id="1720" w:name="Tc_ElR7xeW2Z0el0HA6DWZmaA_4_3"/>
      <w:bookmarkStart w:id="1721" w:name="Tc_41q1Rbf6K06p2AAd5jlFSQ_4_0"/>
      <w:bookmarkStart w:id="1722" w:name="Tc_JKdTQG8790WCyaHrf-t4EA_3_9"/>
      <w:bookmarkStart w:id="1723" w:name="Tc_2jINoNipKESCBVafoUukVg_3_7"/>
      <w:bookmarkStart w:id="1724" w:name="Tc_Q_NScurGakCiSYou2Yn6Ng_3_5"/>
      <w:bookmarkStart w:id="1725" w:name="Tc_rkHcRAKc70iuF4lptEwWRg_3_3"/>
      <w:bookmarkStart w:id="1726" w:name="Tc_HLib2quK1EefidE1_54Ebg_3_0"/>
      <w:bookmarkStart w:id="1727" w:name="Tc_dfgCWakoG0mJdOnv9I_BqA_2_8"/>
      <w:bookmarkStart w:id="1728" w:name="Tc_Q41N_nxLTEmJ1CZn3agspw_2_6"/>
      <w:bookmarkStart w:id="1729" w:name="Tc_kA2m6xPAiEGe5B0JeiaEDg_2_4"/>
      <w:bookmarkStart w:id="1730" w:name="Tc_1xk7t7QahUu1vBOSj55R5w_2_2"/>
      <w:bookmarkStart w:id="1731" w:name="Tc_o9YWWgZiAUGRh3CaVW3yMg_1_6"/>
      <w:bookmarkStart w:id="1732" w:name="Tc_90VaFzNf6kyOHNnSdiAoqQ_1_2"/>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3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June 30, 2026: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recorded $35.7 million and $33.2 million of compensation expense relating to outstanding options, restricted stock units, performance share units and other share-based awards during the three-months ended June 30, 2026 and 2025, respectively. The Company recorded $64.0 million and $53.9 million of compensation expense relating to outstanding options, restricted stock units, performance share units and other share-based awards during the six-months ended June 30, 2026 and 2025,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June 30, 2026 and 2025 was $10.7 million and $6.4 million, respectively. The tax benefit for tax deductions from non-qualified stock option exercises, disqualifying dispositions of incentive stock options and vesting of restricted stock units and performance share units for the six-months ended June 30, 2026 and 2025 was $16.2 million and $13.6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June 30, 2026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hanging="0"/>
        <w:jc w:val="left"/>
        <w:rPr/>
      </w:pPr>
      <w:r>
        <w:rPr/>
        <w:t>​</w:t>
      </w:r>
    </w:p>
    <w:tbl>
      <w:tblPr>
        <w:tblW w:w="8284" w:type="dxa"/>
        <w:jc w:val="left"/>
        <w:tblInd w:w="0" w:type="dxa"/>
        <w:tblLayout w:type="fixed"/>
        <w:tblCellMar>
          <w:top w:w="0" w:type="dxa"/>
          <w:left w:w="0" w:type="dxa"/>
          <w:bottom w:w="0" w:type="dxa"/>
          <w:right w:w="0" w:type="dxa"/>
        </w:tblCellMar>
      </w:tblPr>
      <w:tblGrid>
        <w:gridCol w:w="1846"/>
        <w:gridCol w:w="346"/>
        <w:gridCol w:w="865"/>
        <w:gridCol w:w="865"/>
        <w:gridCol w:w="865"/>
        <w:gridCol w:w="526"/>
        <w:gridCol w:w="800"/>
        <w:gridCol w:w="800"/>
        <w:gridCol w:w="800"/>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172210" cy="175260"/>
                      <wp:effectExtent l="0" t="0" r="0" b="0"/>
                      <wp:wrapNone/>
                      <wp:docPr id="310" name="Frame31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49275" cy="175260"/>
                      <wp:effectExtent l="0" t="0" r="0" b="0"/>
                      <wp:wrapNone/>
                      <wp:docPr id="312" name="Frame31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49275" cy="175260"/>
                      <wp:effectExtent l="0" t="0" r="0" b="0"/>
                      <wp:wrapNone/>
                      <wp:docPr id="313" name="Frame31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49275" cy="175260"/>
                      <wp:effectExtent l="0" t="0" r="0" b="0"/>
                      <wp:wrapNone/>
                      <wp:docPr id="314" name="Frame314"/>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34010" cy="175260"/>
                      <wp:effectExtent l="0" t="0" r="0" b="0"/>
                      <wp:wrapNone/>
                      <wp:docPr id="315" name="Frame31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8000" cy="175260"/>
                      <wp:effectExtent l="0" t="0" r="0" b="0"/>
                      <wp:wrapNone/>
                      <wp:docPr id="316" name="Frame316"/>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08000" cy="175260"/>
                      <wp:effectExtent l="0" t="0" r="0" b="0"/>
                      <wp:wrapNone/>
                      <wp:docPr id="317" name="Frame31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08000" cy="175260"/>
                      <wp:effectExtent l="0" t="0" r="0" b="0"/>
                      <wp:wrapNone/>
                      <wp:docPr id="318" name="Frame31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62585" cy="175260"/>
                      <wp:effectExtent l="0" t="0" r="0" b="0"/>
                      <wp:wrapNone/>
                      <wp:docPr id="319" name="Frame3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w:t>
            </w:r>
          </w:p>
        </w:tc>
        <w:tc>
          <w:tcPr>
            <w:tcW w:w="526" w:type="dxa"/>
            <w:tcBorders/>
            <w:vAlign w:val="center"/>
          </w:tcPr>
          <w:p>
            <w:pPr>
              <w:pStyle w:val="TableContents"/>
              <w:bidi w:val="0"/>
              <w:spacing w:before="0" w:after="0"/>
              <w:ind w:left="0" w:right="0" w:hanging="0"/>
              <w:jc w:val="left"/>
              <w:rPr/>
            </w:pPr>
            <w:r>
              <w:rPr/>
              <w:t>​</w:t>
            </w:r>
          </w:p>
        </w:tc>
        <w:tc>
          <w:tcPr>
            <w:tcW w:w="24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865" w:type="dxa"/>
            <w:tcBorders/>
            <w:vAlign w:val="center"/>
          </w:tcPr>
          <w:p>
            <w:pPr>
              <w:pStyle w:val="TableContents"/>
              <w:bidi w:val="0"/>
              <w:spacing w:before="0" w:after="0"/>
              <w:ind w:left="0" w:right="0" w:hanging="0"/>
              <w:jc w:val="left"/>
              <w:rPr/>
            </w:pPr>
            <w:r>
              <w:rPr/>
              <w:t>  ​ ​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526" w:type="dxa"/>
            <w:tcBorders/>
            <w:vAlign w:val="center"/>
          </w:tcPr>
          <w:p>
            <w:pPr>
              <w:pStyle w:val="TableContents"/>
              <w:bidi w:val="0"/>
              <w:spacing w:before="0" w:after="0"/>
              <w:ind w:left="0" w:right="0" w:hanging="0"/>
              <w:jc w:val="left"/>
              <w:rPr/>
            </w:pPr>
            <w:r>
              <w:rPr/>
              <w:t>  ​ ​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800" w:type="dxa"/>
            <w:tcBorders/>
            <w:vAlign w:val="center"/>
          </w:tcPr>
          <w:p>
            <w:pPr>
              <w:pStyle w:val="TableContents"/>
              <w:bidi w:val="0"/>
              <w:spacing w:before="0" w:after="0"/>
              <w:ind w:left="0" w:right="0" w:hanging="0"/>
              <w:jc w:val="left"/>
              <w:rPr/>
            </w:pPr>
            <w:r>
              <w:rPr/>
              <w:t>  ​ ​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733" w:name="Tc_Gc416cgozUCHIkYbYuVknw_14_9"/>
      <w:bookmarkStart w:id="1734" w:name="Tc_kRXJOlB6ck2_bU3JEbbulA_14_4"/>
      <w:bookmarkStart w:id="1735" w:name="Tc_XnqR7MXAAEayrjsEs4lyTw_14_0"/>
      <w:bookmarkStart w:id="1736" w:name="Tc_j5aNHWVM-U20QYALcLQ36w_13_9"/>
      <w:bookmarkStart w:id="1737" w:name="Tc_r91TgQRsqkSP8OvF_S2XCw_13_4"/>
      <w:bookmarkStart w:id="1738" w:name="Tc_WCiN1yhijk-OjA6IczDomQ_13_0"/>
      <w:bookmarkStart w:id="1739" w:name="Tc_Gn6x_DgyakWjRMTbUk-L9w_12_9"/>
      <w:bookmarkStart w:id="1740" w:name="Tc_RGtIIcNGrESkLfVhDHM7MQ_12_4"/>
      <w:bookmarkStart w:id="1741" w:name="Tc_28EiY-LI40CwPOtktYrs1w_12_0"/>
      <w:bookmarkStart w:id="1742" w:name="Tc_WCFgVxypy0-JtUiDIDddmQ_11_4"/>
      <w:bookmarkStart w:id="1743" w:name="Tc_Zpla6oCoo02vrZOAis4kqg_11_0"/>
      <w:bookmarkStart w:id="1744" w:name="Tc_Njweb992-UCXg5mLEVtNAA_10_4"/>
      <w:bookmarkStart w:id="1745" w:name="Tc_Wi6ozo_6qEOylQG_02OL0A_10_0"/>
      <w:bookmarkStart w:id="1746" w:name="Tc_hNgM2cCxx0a11GxF8Y9ZaA_9_4"/>
      <w:bookmarkStart w:id="1747" w:name="Tc_x005F_xc5a2_pEo0WbOyzVaA5lWA_9_0"/>
      <w:bookmarkStart w:id="1748" w:name="Tc_s_Ppb2x8uECpY5zeLJkvrg_8_4"/>
      <w:bookmarkStart w:id="1749" w:name="Tc_XdvP8C71_Ui63vabgH8DJw_8_0"/>
      <w:bookmarkStart w:id="1750" w:name="Tc_xmOlrDM2QUWpGBh5qknoUg_7_9"/>
      <w:bookmarkStart w:id="1751" w:name="Tc_1Z2PH3Opk0Wdl-d9Nb-CpQ_7_4"/>
      <w:bookmarkStart w:id="1752" w:name="Tc_6dtDsv2EykKln3xAvYnGUQ_7_0"/>
      <w:bookmarkStart w:id="1753" w:name="Tc_2-aeecyJ0UK93ov8PfkWww_6_9"/>
      <w:bookmarkStart w:id="1754" w:name="Tc_ZTo4f5iDVkSziNZZpC2Uzw_6_7"/>
      <w:bookmarkStart w:id="1755" w:name="Tc_tCqd26yvs0Wyvob-o7dOdA_6_4"/>
      <w:bookmarkStart w:id="1756" w:name="Tc_dRZKm2Z6FEO5hhiU3LhAVg_6_2"/>
      <w:bookmarkStart w:id="1757" w:name="Tc_vojyCY_jMU-DM0R9r75U7w_6_0"/>
      <w:bookmarkStart w:id="1758" w:name="Tc_wCDKMBnXeUeu2guxoG5cbQ_5_9"/>
      <w:bookmarkStart w:id="1759" w:name="Tc_LcLMUKFJ5k-WXqD0VSDfKw_5_7"/>
      <w:bookmarkStart w:id="1760" w:name="Tc_ziZT2gYEJ0S4EkJ-VMlPdw_5_4"/>
      <w:bookmarkStart w:id="1761" w:name="Tc_kVZ200jRtESusHrsqy-nDg_5_2"/>
      <w:bookmarkStart w:id="1762" w:name="Tc_-FiMS_LTy0ixKSf4gKCA8Q_4_9"/>
      <w:bookmarkStart w:id="1763" w:name="Tc_WUAGKGDaLEaC8vVzt1adtw_4_7"/>
      <w:bookmarkStart w:id="1764" w:name="Tc_pdzDlJtSI0eYIRyQCs0oXA_4_4"/>
      <w:bookmarkStart w:id="1765" w:name="Tc_noTmr6Dh5Umq7elWFHgqmQ_4_2"/>
      <w:bookmarkStart w:id="1766" w:name="Tc_m67LUUbm50eaGa4GjfP8WA_3_7"/>
      <w:bookmarkStart w:id="1767" w:name="Tc_yunmRBhaGU6dN7tQWYsOyA_3_4"/>
      <w:bookmarkStart w:id="1768" w:name="Tc_tAiMnA5yIE-hJIMwGyLBPg_2_7"/>
      <w:bookmarkStart w:id="1769" w:name="Tc_CTsHm4P29k2Q2BPjoVrKHg_1_7"/>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80"/>
        <w:gridCol w:w="346"/>
        <w:gridCol w:w="1203"/>
        <w:gridCol w:w="346"/>
        <w:gridCol w:w="319"/>
        <w:gridCol w:w="864"/>
        <w:gridCol w:w="346"/>
        <w:gridCol w:w="1066"/>
        <w:gridCol w:w="346"/>
        <w:gridCol w:w="211"/>
        <w:gridCol w:w="978"/>
      </w:tblGrid>
      <w:tr>
        <w:trPr/>
        <w:tc>
          <w:tcPr>
            <w:tcW w:w="4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654300" cy="175260"/>
                      <wp:effectExtent l="0" t="0" r="0" b="0"/>
                      <wp:wrapNone/>
                      <wp:docPr id="320" name="Frame320"/>
                      <a:graphic xmlns:a="http://schemas.openxmlformats.org/drawingml/2006/main">
                        <a:graphicData uri="http://schemas.microsoft.com/office/word/2010/wordprocessingShape">
                          <wps:wsp>
                            <wps:cNvSpPr txBox="1"/>
                            <wps:spPr>
                              <a:xfrm>
                                <a:off x="0" y="0"/>
                                <a:ext cx="2654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63905" cy="175260"/>
                      <wp:effectExtent l="0" t="0" r="0" b="0"/>
                      <wp:wrapNone/>
                      <wp:docPr id="322" name="Frame322"/>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2565" cy="175260"/>
                      <wp:effectExtent l="0" t="0" r="0" b="0"/>
                      <wp:wrapNone/>
                      <wp:docPr id="324" name="Frame32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48640" cy="175260"/>
                      <wp:effectExtent l="0" t="0" r="0" b="0"/>
                      <wp:wrapNone/>
                      <wp:docPr id="325" name="Frame32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76910" cy="175260"/>
                      <wp:effectExtent l="0" t="0" r="0" b="0"/>
                      <wp:wrapNone/>
                      <wp:docPr id="327" name="Frame32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21030" cy="175260"/>
                      <wp:effectExtent l="0" t="0" r="0" b="0"/>
                      <wp:wrapNone/>
                      <wp:docPr id="330" name="Frame330"/>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center"/>
              <w:rPr/>
            </w:pPr>
            <w:r>
              <w:rPr/>
              <w:t>​</w:t>
            </w:r>
          </w:p>
        </w:tc>
      </w:tr>
      <w:tr>
        <w:trPr/>
        <w:tc>
          <w:tcPr>
            <w:tcW w:w="4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center"/>
              <w:rPr/>
            </w:pPr>
            <w:r>
              <w:rPr/>
              <w:t>​</w:t>
            </w:r>
          </w:p>
        </w:tc>
      </w:tr>
      <w:tr>
        <w:trPr/>
        <w:tc>
          <w:tcPr>
            <w:tcW w:w="4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center"/>
              <w:rPr/>
            </w:pPr>
            <w:r>
              <w:rPr/>
              <w:t>​</w:t>
            </w:r>
          </w:p>
        </w:tc>
      </w:tr>
      <w:tr>
        <w:trPr/>
        <w:tc>
          <w:tcPr>
            <w:tcW w:w="4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4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46" w:type="dxa"/>
            <w:tcBorders/>
            <w:vAlign w:val="center"/>
          </w:tcPr>
          <w:p>
            <w:pPr>
              <w:pStyle w:val="TableContents"/>
              <w:bidi w:val="0"/>
              <w:spacing w:before="0" w:after="0"/>
              <w:ind w:left="0" w:right="0" w:hanging="0"/>
              <w:jc w:val="left"/>
              <w:rPr/>
            </w:pPr>
            <w:r>
              <w:rPr/>
              <w:t>​</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4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w:t>
            </w:r>
          </w:p>
        </w:tc>
      </w:tr>
      <w:tr>
        <w:trPr/>
        <w:tc>
          <w:tcPr>
            <w:tcW w:w="4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46" w:type="dxa"/>
            <w:tcBorders/>
            <w:vAlign w:val="center"/>
          </w:tcPr>
          <w:p>
            <w:pPr>
              <w:pStyle w:val="TableContents"/>
              <w:bidi w:val="0"/>
              <w:spacing w:before="0" w:after="0"/>
              <w:ind w:left="0" w:right="0" w:hanging="0"/>
              <w:jc w:val="left"/>
              <w:rPr/>
            </w:pPr>
            <w:r>
              <w:rPr/>
              <w:t>  ​ ​ ​</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0"/>
              <w:ind w:left="0" w:right="0" w:hanging="0"/>
              <w:jc w:val="left"/>
              <w:rPr/>
            </w:pPr>
            <w:r>
              <w:rPr/>
              <w:t>  ​ ​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years)</w:t>
            </w:r>
          </w:p>
        </w:tc>
        <w:tc>
          <w:tcPr>
            <w:tcW w:w="346" w:type="dxa"/>
            <w:tcBorders/>
            <w:vAlign w:val="center"/>
          </w:tcPr>
          <w:p>
            <w:pPr>
              <w:pStyle w:val="TableContents"/>
              <w:bidi w:val="0"/>
              <w:spacing w:before="0" w:after="0"/>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750,594</w:t>
            </w:r>
          </w:p>
        </w:tc>
      </w:tr>
      <w:tr>
        <w:trPr/>
        <w:tc>
          <w:tcPr>
            <w:tcW w:w="4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01/01/26 - 03/31/26</w:t>
            </w:r>
          </w:p>
        </w:tc>
        <w:tc>
          <w:tcPr>
            <w:tcW w:w="346"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77.11</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04/01/26 - 06/30/26</w:t>
            </w:r>
          </w:p>
        </w:tc>
        <w:tc>
          <w:tcPr>
            <w:tcW w:w="346" w:type="dxa"/>
            <w:tcBorders/>
            <w:shd w:fill="CCEEFF" w:val="clear"/>
            <w:vAlign w:val="center"/>
          </w:tcPr>
          <w:p>
            <w:pPr>
              <w:pStyle w:val="TableContents"/>
              <w:bidi w:val="0"/>
              <w:spacing w:before="0" w:after="0"/>
              <w:ind w:left="0" w:right="0" w:hanging="0"/>
              <w:jc w:val="left"/>
              <w:rPr/>
            </w:pPr>
            <w:r>
              <w:rPr/>
              <w:t> </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4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44.97</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1,062,459</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20,158</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1,038,580</w:t>
            </w:r>
          </w:p>
        </w:tc>
      </w:tr>
      <w:tr>
        <w:trPr/>
        <w:tc>
          <w:tcPr>
            <w:tcW w:w="4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12,144</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709,422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June 30, 2026 and 2025 was $29.51 per share and $21.20 per share, respectively. The weighted-average grant-date fair value of options granted during the six-months ended June 30, 2026 and 2025 was $26.59 per share and $19.85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June 30, 2026 and 2025 was $75.0 million and $38.0 million, respectively. The total intrinsic value of options exercised during the six-months ended June 30, 2026 and 2025 was $105.4 million and $86.1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Cash received from option exercises under all plans for the three-months ended June 30, 2026 and 2025 was $60.9 million and $39.6 million, respectively. Cash received from option exercises under all plans for the six-months ended June 30, 2026 and 2025 was $78.9 million and $87.7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there was $106.9 million of total unrecognized compensation expense related to non-vested options granted to employees under the Company’s stock-based compensation plans. That cost is expected to be recognized over a weighted-average period of 2.2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770" w:name="Tc_kWJXQEozBkySVGh3B9QEpQ_8_4"/>
      <w:bookmarkStart w:id="1771" w:name="Tc_fzJ-u7F-6ESGvIh3Sdya0w_8_0"/>
      <w:bookmarkStart w:id="1772" w:name="Tc_jRTbPWUExUaLdujDpOeUfw_7_4"/>
      <w:bookmarkStart w:id="1773" w:name="Tc_KkVCmCROSU-vpAiiaLSkJw_7_0"/>
      <w:bookmarkStart w:id="1774" w:name="Tc_TEtmxUWTyUKtTDbt4EN-jg_6_4"/>
      <w:bookmarkStart w:id="1775" w:name="Tc_ovamB4sTDkWCy3FBuf7JGg_6_0"/>
      <w:bookmarkStart w:id="1776" w:name="Tc_1Z8NPevKrU2jiBgJBaEdAA_5_4"/>
      <w:bookmarkStart w:id="1777" w:name="Tc_WXC8yNmhqk61PRsDw7pWTA_5_0"/>
      <w:bookmarkStart w:id="1778" w:name="Tc_-Wnu-T_bM0uRIzLFYwK4pg_4_4"/>
      <w:bookmarkStart w:id="1779" w:name="Tc_g0KZ75xBxUOpMUukV02kQA_4_0"/>
      <w:bookmarkStart w:id="1780" w:name="Tc_B4hyCXaYoUalkghNQSf5-A_3_4"/>
      <w:bookmarkStart w:id="1781" w:name="Tc_c-xj5_noKkqw7mh5ycNqHw_3_0"/>
      <w:bookmarkStart w:id="1782" w:name="Tc_s4sB_vbIDEGgi5GBjGPX3Q_2_4"/>
      <w:bookmarkStart w:id="1783" w:name="Tc_Pt8TwoUKFUiBIoV8EuwwqA_2_2"/>
      <w:bookmarkStart w:id="1784" w:name="Tc_aj7eTE0K0k2akp2fOjCV4A_1_4"/>
      <w:bookmarkStart w:id="1785" w:name="Tc_KpUUJMu4b0WuUP0hkZqZJQ_1_2"/>
      <w:bookmarkStart w:id="1786" w:name="_ca0314b6_f814_41ad_8c96_66c4002846ac"/>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7414" w:type="dxa"/>
        <w:jc w:val="left"/>
        <w:tblInd w:w="0" w:type="dxa"/>
        <w:tblLayout w:type="fixed"/>
        <w:tblCellMar>
          <w:top w:w="0" w:type="dxa"/>
          <w:left w:w="0" w:type="dxa"/>
          <w:bottom w:w="0" w:type="dxa"/>
          <w:right w:w="0" w:type="dxa"/>
        </w:tblCellMar>
      </w:tblPr>
      <w:tblGrid>
        <w:gridCol w:w="2581"/>
        <w:gridCol w:w="346"/>
        <w:gridCol w:w="1531"/>
        <w:gridCol w:w="346"/>
        <w:gridCol w:w="619"/>
        <w:gridCol w:w="199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638935" cy="175260"/>
                      <wp:effectExtent l="0" t="0" r="0" b="0"/>
                      <wp:wrapNone/>
                      <wp:docPr id="331" name="Frame33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72185" cy="175260"/>
                      <wp:effectExtent l="0" t="0" r="0" b="0"/>
                      <wp:wrapNone/>
                      <wp:docPr id="333" name="Frame33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93065" cy="175260"/>
                      <wp:effectExtent l="0" t="0" r="0" b="0"/>
                      <wp:wrapNone/>
                      <wp:docPr id="335" name="Frame335"/>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64285" cy="175260"/>
                      <wp:effectExtent l="0" t="0" r="0" b="0"/>
                      <wp:wrapNone/>
                      <wp:docPr id="336" name="Frame336"/>
                      <a:graphic xmlns:a="http://schemas.openxmlformats.org/drawingml/2006/main">
                        <a:graphicData uri="http://schemas.microsoft.com/office/word/2010/wordprocessingShape">
                          <wps:wsp>
                            <wps:cNvSpPr txBox="1"/>
                            <wps:spPr>
                              <a:xfrm>
                                <a:off x="0" y="0"/>
                                <a:ext cx="126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tc>
        <w:tc>
          <w:tcPr>
            <w:tcW w:w="34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 Grant-Date</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0"/>
              <w:ind w:left="0" w:right="0" w:hanging="0"/>
              <w:jc w:val="left"/>
              <w:rPr/>
            </w:pPr>
            <w:r>
              <w:rPr/>
              <w:t>  ​ ​ ​</w:t>
            </w:r>
          </w:p>
        </w:tc>
        <w:tc>
          <w:tcPr>
            <w:tcW w:w="2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w:t>
            </w:r>
          </w:p>
        </w:tc>
        <w:tc>
          <w:tcPr>
            <w:tcW w:w="34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53.15</w:t>
            </w:r>
          </w:p>
        </w:tc>
      </w:tr>
      <w:tr>
        <w:trPr/>
        <w:tc>
          <w:tcPr>
            <w:tcW w:w="25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01/01/26 - 03/31/26</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04/01/26 - 06/30/26</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4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vAlign w:val="center"/>
          </w:tcPr>
          <w:p>
            <w:pPr>
              <w:pStyle w:val="TableContents"/>
              <w:bidi w:val="0"/>
              <w:spacing w:before="0" w:after="0"/>
              <w:ind w:left="0" w:right="0" w:hanging="0"/>
              <w:jc w:val="left"/>
              <w:rPr/>
            </w:pPr>
            <w:r>
              <w:rPr/>
              <w:t>​</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62.13</w:t>
            </w:r>
          </w:p>
        </w:tc>
      </w:tr>
    </w:tbl>
    <w:p>
      <w:pPr>
        <w:pStyle w:val="TextBody"/>
        <w:bidi w:val="0"/>
        <w:spacing w:lineRule="auto" w:line="240" w:before="0" w:after="240"/>
        <w:ind w:left="1080" w:right="108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June 30, 2026 and 2025 was $86.94 and $62.68 per share, respectively. The weighted-average grant-date fair value of restricted stock units and/or performance share units granted during the six-months ended June 30, 2026 and 2025 was $77.48 and $55.32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1.9 million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2026, total unrecognized compensation expense relating to non-vested restricted stock units and performance share units was $87.3 million, which is expected to be recognized over a weighted-average period of 2.2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the date of settlement. At June 30, 2026, other share-based awards outstanding included grants that vest over three years payable in the first quarters of 2027, 2028 and 2029.</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June 30, 2026, there was $2.9 million of unrecognized compensation expense related to non-vested other share-based awards granted to employees under the Company’s stock-based compensation plans. That cost is expected to be recognized over a weighted-average period of 1.7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87" w:name="Tc_wbiNy6FIK02NIIb2oQGq0w_7_2"/>
      <w:bookmarkStart w:id="1788" w:name="Tc_Q16nEqE6g0uw4r14xadaRw_7_0"/>
      <w:bookmarkStart w:id="1789" w:name="Tc_JLfPwdie70-3yOz3IYpTtw_6_0"/>
      <w:bookmarkStart w:id="1790" w:name="Tc_g-mJjfOmw0KwrhHjVDSR-Q_5_0"/>
      <w:bookmarkStart w:id="1791" w:name="Tc_3lA3PzZD5Um_uBBeX0RNeg_4_0"/>
      <w:bookmarkStart w:id="1792" w:name="Tc_Qvz62mbH1EmJZ49ZeZreCA_3_2"/>
      <w:bookmarkStart w:id="1793" w:name="Tc_qmZkCpPGKEGado2JnhMwng_3_0"/>
      <w:bookmarkStart w:id="1794" w:name="Tc_rwqWOaoyUUyYNTVY_csJUg_2_2"/>
      <w:bookmarkStart w:id="1795" w:name="Tc_ZV5-F93y7kuPuCWZTwNrjg_1_2"/>
      <w:bookmarkStart w:id="1796" w:name="Tc_wbiNy6FIK02NIIb2oQGq0w_7_2"/>
      <w:bookmarkStart w:id="1797" w:name="Tc_Q16nEqE6g0uw4r14xadaRw_7_0"/>
      <w:bookmarkStart w:id="1798" w:name="Tc_JLfPwdie70-3yOz3IYpTtw_6_0"/>
      <w:bookmarkStart w:id="1799" w:name="Tc_g-mJjfOmw0KwrhHjVDSR-Q_5_0"/>
      <w:bookmarkStart w:id="1800" w:name="Tc_3lA3PzZD5Um_uBBeX0RNeg_4_0"/>
      <w:bookmarkStart w:id="1801" w:name="Tc_Qvz62mbH1EmJZ49ZeZreCA_3_2"/>
      <w:bookmarkStart w:id="1802" w:name="Tc_qmZkCpPGKEGado2JnhMwng_3_0"/>
      <w:bookmarkStart w:id="1803" w:name="Tc_rwqWOaoyUUyYNTVY_csJUg_2_2"/>
      <w:bookmarkStart w:id="1804" w:name="Tc_ZV5-F93y7kuPuCWZTwNrjg_1_2"/>
      <w:bookmarkEnd w:id="1796"/>
      <w:bookmarkEnd w:id="1797"/>
      <w:bookmarkEnd w:id="1798"/>
      <w:bookmarkEnd w:id="1799"/>
      <w:bookmarkEnd w:id="1800"/>
      <w:bookmarkEnd w:id="1801"/>
      <w:bookmarkEnd w:id="1802"/>
      <w:bookmarkEnd w:id="1803"/>
      <w:bookmarkEnd w:id="1804"/>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1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six-months ended June 30, 2026:</w:t>
      </w:r>
    </w:p>
    <w:p>
      <w:pPr>
        <w:pStyle w:val="TextBody"/>
        <w:bidi w:val="0"/>
        <w:spacing w:before="0" w:after="0"/>
        <w:ind w:left="0" w:right="0" w:hanging="0"/>
        <w:jc w:val="left"/>
        <w:rPr/>
      </w:pPr>
      <w:r>
        <w:rPr/>
        <w:t>​</w:t>
      </w:r>
    </w:p>
    <w:tbl>
      <w:tblPr>
        <w:tblW w:w="6903" w:type="dxa"/>
        <w:jc w:val="left"/>
        <w:tblInd w:w="0" w:type="dxa"/>
        <w:tblLayout w:type="fixed"/>
        <w:tblCellMar>
          <w:top w:w="0" w:type="dxa"/>
          <w:left w:w="0" w:type="dxa"/>
          <w:bottom w:w="0" w:type="dxa"/>
          <w:right w:w="0" w:type="dxa"/>
        </w:tblCellMar>
      </w:tblPr>
      <w:tblGrid>
        <w:gridCol w:w="4411"/>
        <w:gridCol w:w="346"/>
        <w:gridCol w:w="510"/>
        <w:gridCol w:w="16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800985" cy="175260"/>
                      <wp:effectExtent l="0" t="0" r="0" b="0"/>
                      <wp:wrapNone/>
                      <wp:docPr id="337" name="Frame337"/>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23850" cy="175260"/>
                      <wp:effectExtent l="0" t="0" r="0" b="0"/>
                      <wp:wrapNone/>
                      <wp:docPr id="339" name="Frame339"/>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038860" cy="175260"/>
                      <wp:effectExtent l="0" t="0" r="0" b="0"/>
                      <wp:wrapNone/>
                      <wp:docPr id="340" name="Frame34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Tax</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4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3,578</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June 30, 2026, the Company had approximately $1.1 million in accrued interest and penalties related to unrecognized tax benefits. If the Company were to prevail on all uncertain tax positions, the resultant impact on the Company’s effective tax rate would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2022 through 2025 U.S. federal income tax returns are subject to examination by the IRS. The Company’s state income tax returns are generally subject to examination for the 2021 through 2025 tax years. The United Kingdom and Ireland income tax returns are subject to examination for the 2021 through 2025 tax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05" w:name="Tc_Xi9A6Mf5gEyWTqdzeQiclQ_7_0"/>
      <w:bookmarkStart w:id="1806" w:name="Tc_ydT8ur1QJU6W7w8g6PWG6Q_6_0"/>
      <w:bookmarkStart w:id="1807" w:name="Tc_DtSkh3rciUG6rLCiiIiXHg_5_0"/>
      <w:bookmarkStart w:id="1808" w:name="Tc_-MxP9zkGekyFrGuTADDPRQ_4_0"/>
      <w:bookmarkStart w:id="1809" w:name="Tc_94bDDPSYGUiTUOGKoKTEdA_3_8"/>
      <w:bookmarkStart w:id="1810" w:name="Tc_sgEPK0-KO0Kuw2sCMYGJsQ_3_6"/>
      <w:bookmarkStart w:id="1811" w:name="Tc_xtWub2EoCE2F-ewCoAXSYw_3_4"/>
      <w:bookmarkStart w:id="1812" w:name="Tc_6OMRdKNosUinN8pgVS8GUQ_3_2"/>
      <w:bookmarkStart w:id="1813" w:name="Tc__C3kJDwI-ESCxUCivQ3aWw_2_6"/>
      <w:bookmarkStart w:id="1814" w:name="Tc_7kikQdY2_0a0njmVTXhTWw_2_2"/>
      <w:bookmarkStart w:id="1815" w:name="Tc_XqZ3xd22MUGUwfy8ZevHqQ_1_6"/>
      <w:bookmarkStart w:id="1816" w:name="Tc_7IJFgCMeNkWOxUzeTw_5zg_1_2"/>
      <w:bookmarkStart w:id="1817" w:name="_eddd514f_331a_4132_8b29_0f5b0858f646"/>
      <w:bookmarkStart w:id="1818" w:name="Tc_Xi9A6Mf5gEyWTqdzeQiclQ_7_0"/>
      <w:bookmarkStart w:id="1819" w:name="Tc_ydT8ur1QJU6W7w8g6PWG6Q_6_0"/>
      <w:bookmarkStart w:id="1820" w:name="Tc_DtSkh3rciUG6rLCiiIiXHg_5_0"/>
      <w:bookmarkStart w:id="1821" w:name="Tc_-MxP9zkGekyFrGuTADDPRQ_4_0"/>
      <w:bookmarkStart w:id="1822" w:name="Tc_94bDDPSYGUiTUOGKoKTEdA_3_8"/>
      <w:bookmarkStart w:id="1823" w:name="Tc_sgEPK0-KO0Kuw2sCMYGJsQ_3_6"/>
      <w:bookmarkStart w:id="1824" w:name="Tc_xtWub2EoCE2F-ewCoAXSYw_3_4"/>
      <w:bookmarkStart w:id="1825" w:name="Tc_6OMRdKNosUinN8pgVS8GUQ_3_2"/>
      <w:bookmarkStart w:id="1826" w:name="Tc__C3kJDwI-ESCxUCivQ3aWw_2_6"/>
      <w:bookmarkStart w:id="1827" w:name="Tc_7kikQdY2_0a0njmVTXhTWw_2_2"/>
      <w:bookmarkStart w:id="1828" w:name="Tc_XqZ3xd22MUGUwfy8ZevHqQ_1_6"/>
      <w:bookmarkStart w:id="1829" w:name="Tc_7IJFgCMeNkWOxUzeTw_5zg_1_2"/>
      <w:bookmarkStart w:id="1830" w:name="_eddd514f_331a_4132_8b29_0f5b0858f646"/>
      <w:bookmarkEnd w:id="1818"/>
      <w:bookmarkEnd w:id="1819"/>
      <w:bookmarkEnd w:id="1820"/>
      <w:bookmarkEnd w:id="1821"/>
      <w:bookmarkEnd w:id="1822"/>
      <w:bookmarkEnd w:id="1823"/>
      <w:bookmarkEnd w:id="1824"/>
      <w:bookmarkEnd w:id="1825"/>
      <w:bookmarkEnd w:id="1826"/>
      <w:bookmarkEnd w:id="1827"/>
      <w:bookmarkEnd w:id="1828"/>
      <w:bookmarkEnd w:id="1829"/>
      <w:bookmarkEnd w:id="1830"/>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2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tbl>
      <w:tblPr>
        <w:tblW w:w="7839" w:type="dxa"/>
        <w:jc w:val="left"/>
        <w:tblInd w:w="0" w:type="dxa"/>
        <w:tblLayout w:type="fixed"/>
        <w:tblCellMar>
          <w:top w:w="0" w:type="dxa"/>
          <w:left w:w="0" w:type="dxa"/>
          <w:bottom w:w="0" w:type="dxa"/>
          <w:right w:w="0" w:type="dxa"/>
        </w:tblCellMar>
      </w:tblPr>
      <w:tblGrid>
        <w:gridCol w:w="3226"/>
        <w:gridCol w:w="346"/>
        <w:gridCol w:w="781"/>
        <w:gridCol w:w="346"/>
        <w:gridCol w:w="781"/>
        <w:gridCol w:w="346"/>
        <w:gridCol w:w="781"/>
        <w:gridCol w:w="346"/>
        <w:gridCol w:w="88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48510" cy="175260"/>
                      <wp:effectExtent l="0" t="0" r="0" b="0"/>
                      <wp:wrapNone/>
                      <wp:docPr id="341" name="Frame341"/>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5935" cy="175260"/>
                      <wp:effectExtent l="0" t="0" r="0" b="0"/>
                      <wp:wrapNone/>
                      <wp:docPr id="343" name="Frame3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95935" cy="175260"/>
                      <wp:effectExtent l="0" t="0" r="0" b="0"/>
                      <wp:wrapNone/>
                      <wp:docPr id="347"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62610" cy="175260"/>
                      <wp:effectExtent l="0" t="0" r="0" b="0"/>
                      <wp:wrapNone/>
                      <wp:docPr id="349" name="Frame3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0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46" w:type="dxa"/>
            <w:tcBorders/>
            <w:vAlign w:val="center"/>
          </w:tcPr>
          <w:p>
            <w:pPr>
              <w:pStyle w:val="TableContents"/>
              <w:bidi w:val="0"/>
              <w:spacing w:before="0" w:after="0"/>
              <w:ind w:left="0" w:right="0" w:hanging="0"/>
              <w:jc w:val="center"/>
              <w:rPr/>
            </w:pPr>
            <w:r>
              <w:rPr/>
              <w:t>​</w:t>
            </w:r>
          </w:p>
        </w:tc>
        <w:tc>
          <w:tcPr>
            <w:tcW w:w="20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978,662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975,749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978,487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974,691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988,479</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983,997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988,456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982,748</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three-months ended June 30, 2026 and 2025, options and awards outstanding totaling 0.9 million shares and 7.2 million shares, respectively, were excluded from the calculations as their effect would have been antidilutive. For the six-months ended June 30, 2026 and 2025, options and awards outstanding totaling 0.6 million shares and 9.9 million shares, respectively, were excluded from the calculations as their effect would have been antidilutive.</w:t>
      </w:r>
    </w:p>
    <w:p>
      <w:pPr>
        <w:pStyle w:val="TextBody"/>
        <w:bidi w:val="0"/>
        <w:spacing w:before="0" w:after="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Bang Energy® drinks, Storm</w:t>
      </w:r>
      <w:r>
        <w:rPr>
          <w:rFonts w:ascii="Times New Roman;Times;serif" w:hAnsi="Times New Roman;Times;serif"/>
          <w:sz w:val="15"/>
        </w:rPr>
        <w:t>TM</w:t>
      </w:r>
      <w:r>
        <w:rPr>
          <w:rFonts w:ascii="Times New Roman;Times;serif" w:hAnsi="Times New Roman;Times;serif"/>
          <w:sz w:val="20"/>
        </w:rPr>
        <w:t xml:space="preserve"> and Reign Storm® total wellness energy drinks and FLRT</w:t>
      </w:r>
      <w:r>
        <w:rPr>
          <w:rFonts w:ascii="Times New Roman;Times;serif" w:hAnsi="Times New Roman;Times;serif"/>
          <w:sz w:val="15"/>
        </w:rPr>
        <w:t>TM</w:t>
      </w:r>
      <w:r>
        <w:rPr>
          <w:rFonts w:ascii="Times New Roman;Times;serif" w:hAnsi="Times New Roman;Times;serif"/>
          <w:sz w:val="20"/>
        </w:rPr>
        <w:t xml:space="preserve"> total wellness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831" w:name="Tc_phGW6pbcCUiIyudz8NdIow_25_14"/>
      <w:bookmarkStart w:id="1832" w:name="Tc_AEIwDNb7jEWT6LCYM1X2bg_25_0"/>
      <w:bookmarkStart w:id="1833" w:name="Tc_gpSjzcvoR0uqM9XE9v5YSg_24_0"/>
      <w:bookmarkStart w:id="1834" w:name="Tc_YXOoLT4rCEqnd4xQTw8u5Q_23_14"/>
      <w:bookmarkStart w:id="1835" w:name="Tc_wd56mi7V_UKI76Zq3hUyiA_23_11"/>
      <w:bookmarkStart w:id="1836" w:name="Tc_76caPl387U2YTN4_UWIQsA_23_8"/>
      <w:bookmarkStart w:id="1837" w:name="Tc_GYW1WiBDdES2EL2JrvVMAg_23_5"/>
      <w:bookmarkStart w:id="1838" w:name="Tc_770U8wZL90qJ2RLhLzoATg_23_2"/>
      <w:bookmarkStart w:id="1839" w:name="Tc_LY4vr0v54UmDapNxkpl5YA_23_0"/>
      <w:bookmarkStart w:id="1840" w:name="Tc_V3PK-Dp79EKRAOzWthQXYA_21_14"/>
      <w:bookmarkStart w:id="1841" w:name="Tc_SVXORxW1T0e_1qFkm9gmAg_21_0"/>
      <w:bookmarkStart w:id="1842" w:name="Tc_7FRBMl69CEKQRaYGcko_wg_19_0"/>
      <w:bookmarkStart w:id="1843" w:name="Tc_Oy0PrxltDE2cCPeKrEClmA_18_0"/>
      <w:bookmarkStart w:id="1844" w:name="Tc_g5QUM8iybEOGZJiaVzgugA_17_0"/>
      <w:bookmarkStart w:id="1845" w:name="Tc_T2ZBjWWIk0697_ny3TZbkw_16_0"/>
      <w:bookmarkStart w:id="1846" w:name="Tc_bUdAJZvBAky3Iu6fXTPsIg_15_0"/>
      <w:bookmarkStart w:id="1847" w:name="Tc_Be-7ZCg4HUWMpTmrtMlX7A_13_0"/>
      <w:bookmarkStart w:id="1848" w:name="Tc_9B6oPu94ikaf4kInBN4ZOw_12_0"/>
      <w:bookmarkStart w:id="1849" w:name="Tc_jJ7eAfAsu0Gn-nhICa6y5A_11_0"/>
      <w:bookmarkStart w:id="1850" w:name="Tc_4iXz64Zb5kmAENuPH6buWA_10_0"/>
      <w:bookmarkStart w:id="1851" w:name="Tc_xwS3w2sgf0SqLmbyIvLLgA_9_0"/>
      <w:bookmarkStart w:id="1852" w:name="Tc_capbtviQPUaqxNrFtwO50g_7_0"/>
      <w:bookmarkStart w:id="1853" w:name="Tc_eAFVLETjeE6M1AXOOhq7XA_6_0"/>
      <w:bookmarkStart w:id="1854" w:name="Tc_qeDnBVBYzEegn3clKS_m2Q_4_14"/>
      <w:bookmarkStart w:id="1855" w:name="Tc_jvtRMhScs06HHJsZEDznxQ_4_11"/>
      <w:bookmarkStart w:id="1856" w:name="Tc_YHzhws_LiEK8KANV_8GXNg_4_8"/>
      <w:bookmarkStart w:id="1857" w:name="Tc_8rz14lBLW0u_zExv29BRAg_4_5"/>
      <w:bookmarkStart w:id="1858" w:name="Tc_-4l64D11nEKMrIIAyR5cYQ_4_2"/>
      <w:bookmarkStart w:id="1859" w:name="Tc_wlt0P87WaEylxZCTJZQvyA_4_0"/>
      <w:bookmarkStart w:id="1860" w:name="Tc_vfQ4ugIeDkCGYUbO1LaO-Q_3_14"/>
      <w:bookmarkStart w:id="1861" w:name="Tc_OL6JbAThk02Eo90OvHLL8g_3_11"/>
      <w:bookmarkStart w:id="1862" w:name="Tc__wx0IhPAmk2YconREdOnNw_3_8"/>
      <w:bookmarkStart w:id="1863" w:name="Tc_ijtoULihiE6e05dbODeKsQ_3_5"/>
      <w:bookmarkStart w:id="1864" w:name="Tc_HeWJ74W3_kml7Nq7MMJGaw_3_2"/>
      <w:bookmarkStart w:id="1865" w:name="Tc_0g-Hs30EC0OGUBTa22IMGw_2_8"/>
      <w:bookmarkStart w:id="1866" w:name="Tc_V9kE-CFbxkGeRYkExXKs1Q_2_5"/>
      <w:bookmarkStart w:id="1867" w:name="Tc_uGNM3GOufkqWKBOyVjfqHQ_2_2"/>
      <w:bookmarkStart w:id="1868" w:name="Tc_epMho9X49UW0_9h0Hq48ng_1_2"/>
      <w:bookmarkStart w:id="1869" w:name="_dde2e7e6_9afc_434f_913b_af5a2c3abdeb"/>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chief operating decision maker is the chief executive officer (the “CEO”). The CEO assesses segments’ performance by using each segment’s operating income and considers budget-to-actual variances on a periodic basis (at least quarterly) when making decisions about operational planning, including resource allocation. Further, the CEO uses segments’ operating income when comparing the results of each segment with one another.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Three-Months Ended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73"/>
        <w:gridCol w:w="346"/>
        <w:gridCol w:w="211"/>
        <w:gridCol w:w="931"/>
        <w:gridCol w:w="346"/>
        <w:gridCol w:w="211"/>
        <w:gridCol w:w="781"/>
        <w:gridCol w:w="346"/>
        <w:gridCol w:w="211"/>
        <w:gridCol w:w="687"/>
        <w:gridCol w:w="346"/>
        <w:gridCol w:w="211"/>
        <w:gridCol w:w="571"/>
        <w:gridCol w:w="346"/>
        <w:gridCol w:w="211"/>
        <w:gridCol w:w="977"/>
      </w:tblGrid>
      <w:tr>
        <w:trPr/>
        <w:tc>
          <w:tcPr>
            <w:tcW w:w="3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205355" cy="175260"/>
                      <wp:effectExtent l="0" t="0" r="0" b="0"/>
                      <wp:wrapNone/>
                      <wp:docPr id="350" name="Frame350"/>
                      <a:graphic xmlns:a="http://schemas.openxmlformats.org/drawingml/2006/main">
                        <a:graphicData uri="http://schemas.microsoft.com/office/word/2010/wordprocessingShape">
                          <wps:wsp>
                            <wps:cNvSpPr txBox="1"/>
                            <wps:spPr>
                              <a:xfrm>
                                <a:off x="0" y="0"/>
                                <a:ext cx="220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91185" cy="175260"/>
                      <wp:effectExtent l="0" t="0" r="0" b="0"/>
                      <wp:wrapNone/>
                      <wp:docPr id="353" name="Frame3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95935" cy="175260"/>
                      <wp:effectExtent l="0" t="0" r="0" b="0"/>
                      <wp:wrapNone/>
                      <wp:docPr id="356" name="Frame3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6245" cy="175260"/>
                      <wp:effectExtent l="0" t="0" r="0" b="0"/>
                      <wp:wrapNone/>
                      <wp:docPr id="359" name="Frame35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62585" cy="175260"/>
                      <wp:effectExtent l="0" t="0" r="0" b="0"/>
                      <wp:wrapNone/>
                      <wp:docPr id="362" name="Frame3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20395" cy="175260"/>
                      <wp:effectExtent l="0" t="0" r="0" b="0"/>
                      <wp:wrapNone/>
                      <wp:docPr id="365" name="Frame36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4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4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7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2,356,131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c>
          <w:tcPr>
            <w:tcW w:w="346" w:type="dxa"/>
            <w:tcBorders/>
            <w:shd w:fill="CCEEFF" w:val="clear"/>
            <w:vAlign w:val="center"/>
          </w:tcPr>
          <w:p>
            <w:pPr>
              <w:pStyle w:val="TableContents"/>
              <w:bidi w:val="0"/>
              <w:spacing w:before="0" w:after="0"/>
              <w:ind w:left="0" w:right="0" w:hanging="0"/>
              <w:jc w:val="center"/>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2,537,473</w:t>
            </w:r>
          </w:p>
        </w:tc>
      </w:tr>
      <w:tr>
        <w:trPr/>
        <w:tc>
          <w:tcPr>
            <w:tcW w:w="34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1,038,248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1,317,883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1,419,634</w:t>
            </w:r>
          </w:p>
        </w:tc>
      </w:tr>
      <w:tr>
        <w:trPr/>
        <w:tc>
          <w:tcPr>
            <w:tcW w:w="34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112,516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246,554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51,173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934,548</w:t>
            </w:r>
          </w:p>
        </w:tc>
      </w:tr>
      <w:tr>
        <w:trPr/>
        <w:tc>
          <w:tcPr>
            <w:tcW w:w="34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27,827</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(66,505)</w:t>
            </w:r>
          </w:p>
        </w:tc>
      </w:tr>
      <w:tr>
        <w:trPr/>
        <w:tc>
          <w:tcPr>
            <w:tcW w:w="34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768,269</w:t>
            </w:r>
          </w:p>
        </w:tc>
      </w:tr>
      <w:tr>
        <w:trPr/>
        <w:tc>
          <w:tcPr>
            <w:tcW w:w="34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w:t>
            </w:r>
          </w:p>
        </w:tc>
      </w:tr>
      <w:tr>
        <w:trPr/>
        <w:tc>
          <w:tcPr>
            <w:tcW w:w="34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w:t>
            </w:r>
          </w:p>
        </w:tc>
      </w:tr>
      <w:tr>
        <w:trPr/>
        <w:tc>
          <w:tcPr>
            <w:tcW w:w="3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29,784</w:t>
            </w:r>
          </w:p>
        </w:tc>
      </w:tr>
    </w:tbl>
    <w:p>
      <w:pPr>
        <w:pStyle w:val="TextBody"/>
        <w:bidi w:val="0"/>
        <w:spacing w:lineRule="auto" w:line="240" w:before="0" w:after="1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pBdr/>
        <w:bidi w:val="0"/>
        <w:spacing w:before="0" w:after="0"/>
        <w:ind w:left="360" w:right="0" w:hanging="360"/>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pBdr/>
        <w:bidi w:val="0"/>
        <w:spacing w:before="0" w:after="0"/>
        <w:ind w:left="360" w:right="0" w:hanging="360"/>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18"/>
        </w:rPr>
      </w:pPr>
      <w:bookmarkStart w:id="1870" w:name="Tc_Vs0qhBPAqUSRCSglaOi25Q_25_14"/>
      <w:bookmarkStart w:id="1871" w:name="Tc_boQoAwalzkWLhgZfbJKT_w_25_0"/>
      <w:bookmarkStart w:id="1872" w:name="Tc_QazgsxHTDES3L7_axiEEqA_24_0"/>
      <w:bookmarkStart w:id="1873" w:name="Tc_rwafyQWV8k2YWfotGMgZ7w_23_14"/>
      <w:bookmarkStart w:id="1874" w:name="Tc_LzY71lapb0KaZwvwstWSSA_23_11"/>
      <w:bookmarkStart w:id="1875" w:name="Tc_9fqJy3kjc0ejzFk2AWqnCA_23_8"/>
      <w:bookmarkStart w:id="1876" w:name="Tc_4hKKIS-B_kWJVtsZGKdIqg_23_5"/>
      <w:bookmarkStart w:id="1877" w:name="Tc_ZMQQrkLB0k6IfKneoOQqIg_23_2"/>
      <w:bookmarkStart w:id="1878" w:name="Tc_kQxJfg1BXkWXJmHgOGA1SQ_23_0"/>
      <w:bookmarkStart w:id="1879" w:name="Tc_ywJzu9K2-U64I4NPVm4w9Q_21_14"/>
      <w:bookmarkStart w:id="1880" w:name="Tc_eZYNBS5AREu-4sdp3-_FdQ_21_0"/>
      <w:bookmarkStart w:id="1881" w:name="Tc_Bo9yAi8cKUqHKihMGmpwsQ_19_0"/>
      <w:bookmarkStart w:id="1882" w:name="Tc_qP66ITKIrkqgo3ZlIpRGrQ_18_0"/>
      <w:bookmarkStart w:id="1883" w:name="Tc_aSBlNLQ9V02t552AkKL_YQ_17_0"/>
      <w:bookmarkStart w:id="1884" w:name="Tc_qRkC_0JtO0yA960Ie_i3gA_16_0"/>
      <w:bookmarkStart w:id="1885" w:name="Tc_V3NU3vFUM0aMW-tkh94BXQ_15_0"/>
      <w:bookmarkStart w:id="1886" w:name="Tc_aLwq0E2XXEGrEogCygEqgw_13_0"/>
      <w:bookmarkStart w:id="1887" w:name="Tc_TZwcR5sf70SLxqVr0Uva7A_12_0"/>
      <w:bookmarkStart w:id="1888" w:name="Tc_Gil64cUeHkC37jLMkV830g_11_0"/>
      <w:bookmarkStart w:id="1889" w:name="Tc_JNYt1scewUen6Zz7Lq6hVg_10_0"/>
      <w:bookmarkStart w:id="1890" w:name="Tc_-90MuAEKRk-DMpDrxs1tOg_9_0"/>
      <w:bookmarkStart w:id="1891" w:name="Tc_nQRDFSCLk0ONHPIeJD7Yug_7_0"/>
      <w:bookmarkStart w:id="1892" w:name="Tc_RzW2hIL5AEK1R3gen8rMgQ_6_0"/>
      <w:bookmarkStart w:id="1893" w:name="Tc_ZQFAYRbUGU-6UiPHatn0Sg_4_14"/>
      <w:bookmarkStart w:id="1894" w:name="Tc_Pr-DWqtodEaCakKy5B5RGQ_4_11"/>
      <w:bookmarkStart w:id="1895" w:name="Tc_bGH3cKdo4ky94kZZ6gfPpg_4_8"/>
      <w:bookmarkStart w:id="1896" w:name="Tc_Mmg-lPSQkkCr1P278u-jDg_4_5"/>
      <w:bookmarkStart w:id="1897" w:name="Tc_5yFfprgAM0il2zsNYWYzkg_4_2"/>
      <w:bookmarkStart w:id="1898" w:name="Tc_pBqwnKNOI0CPfWoCVbusEA_4_0"/>
      <w:bookmarkStart w:id="1899" w:name="Tc_s3uiA8oCi0WazMoAiekZaA_3_14"/>
      <w:bookmarkStart w:id="1900" w:name="Tc_HTq4G5ZTQUmD9fP0pL6LUg_3_11"/>
      <w:bookmarkStart w:id="1901" w:name="Tc_1gkApRFG4kWbKYsnvbw5pA_3_8"/>
      <w:bookmarkStart w:id="1902" w:name="Tc_JY0mhFHIcUG1EWIfTSIpOQ_3_5"/>
      <w:bookmarkStart w:id="1903" w:name="Tc_iJ2f7ohoWkCmpGwTkn6mEQ_3_2"/>
      <w:bookmarkStart w:id="1904" w:name="Tc_TSzKHkJD40OxREDqPOUsGQ_2_8"/>
      <w:bookmarkStart w:id="1905" w:name="Tc_PtC271EVJE6loQJcCxv2_A_2_5"/>
      <w:bookmarkStart w:id="1906" w:name="Tc_BmdjKbjdq0evePBKi5h9mQ_2_2"/>
      <w:bookmarkStart w:id="1907" w:name="Tc_R02CIH7h9kKhPVY6wDzgxQ_1_2"/>
      <w:bookmarkStart w:id="1908" w:name="_9d172c6c_b8f5_43a0_8c87_cd4315f3b884"/>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r>
        <w:rPr>
          <w:rFonts w:ascii="Times New Roman;Times;serif" w:hAnsi="Times New Roman;Times;serif"/>
          <w:i/>
          <w:sz w:val="18"/>
        </w:rPr>
        <w:t>Alcohol Brands - travel and entertainment expense, professional services expense, depreciation and amortization expense, and certain overhead expenses</w:t>
      </w:r>
    </w:p>
    <w:p>
      <w:pPr>
        <w:pStyle w:val="TextBody"/>
        <w:pBdr/>
        <w:bidi w:val="0"/>
        <w:spacing w:before="0" w:after="240"/>
        <w:ind w:left="360" w:right="0" w:hanging="360"/>
        <w:jc w:val="both"/>
        <w:rPr>
          <w:rFonts w:ascii="Times New Roman;Times;serif" w:hAnsi="Times New Roman;Times;serif"/>
          <w:i/>
          <w:sz w:val="18"/>
        </w:rPr>
      </w:pPr>
      <w:r>
        <w:rPr>
          <w:rFonts w:ascii="Times New Roman;Times;serif" w:hAnsi="Times New Roman;Times;serif"/>
          <w:i/>
          <w:sz w:val="18"/>
        </w:rPr>
        <w:t>Other - professional services expense, and certain overhead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Three-Months Ended June 30, 2025</w:t>
      </w:r>
    </w:p>
    <w:tbl>
      <w:tblPr>
        <w:tblW w:w="10205" w:type="dxa"/>
        <w:jc w:val="left"/>
        <w:tblInd w:w="0" w:type="dxa"/>
        <w:tblLayout w:type="fixed"/>
        <w:tblCellMar>
          <w:top w:w="0" w:type="dxa"/>
          <w:left w:w="0" w:type="dxa"/>
          <w:bottom w:w="0" w:type="dxa"/>
          <w:right w:w="0" w:type="dxa"/>
        </w:tblCellMar>
      </w:tblPr>
      <w:tblGrid>
        <w:gridCol w:w="3381"/>
        <w:gridCol w:w="346"/>
        <w:gridCol w:w="211"/>
        <w:gridCol w:w="931"/>
        <w:gridCol w:w="346"/>
        <w:gridCol w:w="211"/>
        <w:gridCol w:w="781"/>
        <w:gridCol w:w="346"/>
        <w:gridCol w:w="211"/>
        <w:gridCol w:w="779"/>
        <w:gridCol w:w="346"/>
        <w:gridCol w:w="211"/>
        <w:gridCol w:w="571"/>
        <w:gridCol w:w="346"/>
        <w:gridCol w:w="211"/>
        <w:gridCol w:w="977"/>
      </w:tblGrid>
      <w:tr>
        <w:trPr/>
        <w:tc>
          <w:tcPr>
            <w:tcW w:w="3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46935" cy="175260"/>
                      <wp:effectExtent l="0" t="0" r="0" b="0"/>
                      <wp:wrapNone/>
                      <wp:docPr id="366" name="Frame366"/>
                      <a:graphic xmlns:a="http://schemas.openxmlformats.org/drawingml/2006/main">
                        <a:graphicData uri="http://schemas.microsoft.com/office/word/2010/wordprocessingShape">
                          <wps:wsp>
                            <wps:cNvSpPr txBox="1"/>
                            <wps:spPr>
                              <a:xfrm>
                                <a:off x="0" y="0"/>
                                <a:ext cx="214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91185" cy="175260"/>
                      <wp:effectExtent l="0" t="0" r="0" b="0"/>
                      <wp:wrapNone/>
                      <wp:docPr id="369" name="Frame3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4665" cy="175260"/>
                      <wp:effectExtent l="0" t="0" r="0" b="0"/>
                      <wp:wrapNone/>
                      <wp:docPr id="375" name="Frame37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62585" cy="175260"/>
                      <wp:effectExtent l="0" t="0" r="0" b="0"/>
                      <wp:wrapNone/>
                      <wp:docPr id="378" name="Frame3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20395" cy="175260"/>
                      <wp:effectExtent l="0" t="0" r="0" b="0"/>
                      <wp:wrapNone/>
                      <wp:docPr id="381" name="Frame38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Monster </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center"/>
              <w:rPr/>
            </w:pPr>
            <w:r>
              <w:rPr/>
              <w:t>​</w:t>
            </w:r>
          </w:p>
        </w:tc>
      </w:tr>
      <w:tr>
        <w:trPr/>
        <w:tc>
          <w:tcPr>
            <w:tcW w:w="3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3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r>
      <w:tr>
        <w:trPr/>
        <w:tc>
          <w:tcPr>
            <w:tcW w:w="3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3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861,518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1,075,803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87,962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1,176,413</w:t>
            </w:r>
          </w:p>
        </w:tc>
      </w:tr>
      <w:tr>
        <w:trPr/>
        <w:tc>
          <w:tcPr>
            <w:tcW w:w="3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3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811,994</w:t>
            </w:r>
          </w:p>
        </w:tc>
      </w:tr>
      <w:tr>
        <w:trPr/>
        <w:tc>
          <w:tcPr>
            <w:tcW w:w="3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(115,232)</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(65,140)</w:t>
            </w:r>
          </w:p>
        </w:tc>
      </w:tr>
      <w:tr>
        <w:trPr/>
        <w:tc>
          <w:tcPr>
            <w:tcW w:w="3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646,687</w:t>
            </w:r>
          </w:p>
        </w:tc>
      </w:tr>
      <w:tr>
        <w:trPr/>
        <w:tc>
          <w:tcPr>
            <w:tcW w:w="3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24,591</w:t>
            </w:r>
          </w:p>
        </w:tc>
      </w:tr>
      <w:tr>
        <w:trPr/>
        <w:tc>
          <w:tcPr>
            <w:tcW w:w="3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w:t>
            </w:r>
          </w:p>
        </w:tc>
      </w:tr>
      <w:tr>
        <w:trPr/>
        <w:tc>
          <w:tcPr>
            <w:tcW w:w="3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27,557</w:t>
            </w:r>
          </w:p>
        </w:tc>
      </w:tr>
    </w:tbl>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and certain overhead expenses</w:t>
      </w:r>
    </w:p>
    <w:p>
      <w:pPr>
        <w:pStyle w:val="TextBody"/>
        <w:bidi w:val="0"/>
        <w:spacing w:before="0" w:after="200"/>
        <w:ind w:left="360" w:right="0" w:hanging="0"/>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909" w:name="Tc_oj2ODKbEbEeT2IBUcCvoZQ_25_14"/>
      <w:bookmarkStart w:id="1910" w:name="Tc_135FSTem20GmPE4JN-jG1w_25_0"/>
      <w:bookmarkStart w:id="1911" w:name="Tc_Xvx_L-5BJk2GTplINsOcdg_24_0"/>
      <w:bookmarkStart w:id="1912" w:name="Tc_lap_OujKEkKK9fR28jBPNQ_23_14"/>
      <w:bookmarkStart w:id="1913" w:name="Tc_HaDn7P6tPUyO0hzZKfiviA_23_11"/>
      <w:bookmarkStart w:id="1914" w:name="Tc_oi-OrOp160S1fWuZqwTJmg_23_8"/>
      <w:bookmarkStart w:id="1915" w:name="Tc_p-o01U86JkSFG0udG-FurA_23_5"/>
      <w:bookmarkStart w:id="1916" w:name="Tc_4unkGFeeG0CGa9NCqjkHqA_23_2"/>
      <w:bookmarkStart w:id="1917" w:name="Tc_WQmRTrdxGkOj0RO8xB_oHg_23_0"/>
      <w:bookmarkStart w:id="1918" w:name="Tc_aIYq4mAj40STGd5LYGQcmA_21_14"/>
      <w:bookmarkStart w:id="1919" w:name="Tc_pDXFMuCcMEK03Oh0iLcaEw_21_0"/>
      <w:bookmarkStart w:id="1920" w:name="Tc_Fu7Y99pB20Or-O0gvudJpg_19_0"/>
      <w:bookmarkStart w:id="1921" w:name="Tc_ua_Haht6s0-L14rmOAHNBQ_18_0"/>
      <w:bookmarkStart w:id="1922" w:name="Tc_AV6swiZtR0irYhc-60FgZg_17_0"/>
      <w:bookmarkStart w:id="1923" w:name="Tc_8tD5T7loMkKRNzo_03qD6A_16_0"/>
      <w:bookmarkStart w:id="1924" w:name="Tc_vJ8qgd5_rkeQQqyI5p6LUw_15_0"/>
      <w:bookmarkStart w:id="1925" w:name="Tc_GDFP2TXbmES804d_zYVLig_13_0"/>
      <w:bookmarkStart w:id="1926" w:name="Tc_RFL06HzdukKMoghWYP5Apg_12_0"/>
      <w:bookmarkStart w:id="1927" w:name="Tc_vuc_mwdplk-CGCf1S40IUw_11_0"/>
      <w:bookmarkStart w:id="1928" w:name="Tc_LHLvpiP8Dky_MvLrZLujNw_10_0"/>
      <w:bookmarkStart w:id="1929" w:name="Tc_jVQQGq2LW0eAVp6nHBwBlw_9_0"/>
      <w:bookmarkStart w:id="1930" w:name="Tc_HKOTG4QsrEisfhG9B5DCWw_7_0"/>
      <w:bookmarkStart w:id="1931" w:name="Tc_47ZBhBVXBEuX5uvQNqtGeg_6_0"/>
      <w:bookmarkStart w:id="1932" w:name="Tc_Y6vG6d3bwUqz85AYzl5lLQ_4_14"/>
      <w:bookmarkStart w:id="1933" w:name="Tc_ZN9SuahJi0mh2Jq68XKrtA_4_11"/>
      <w:bookmarkStart w:id="1934" w:name="Tc_MJVSA4FyfE2O5Vyr3ggavA_4_8"/>
      <w:bookmarkStart w:id="1935" w:name="Tc_pt0ZMQMIoUCLTdwb7oGOsg_4_5"/>
      <w:bookmarkStart w:id="1936" w:name="Tc_3xeYUy8UaU-pCvjLgcknzg_4_2"/>
      <w:bookmarkStart w:id="1937" w:name="Tc_DhAbYRjhu0KdvPwpRMs3FQ_4_0"/>
      <w:bookmarkStart w:id="1938" w:name="Tc__O4RJXysqkC9sFMs0b5hbA_3_14"/>
      <w:bookmarkStart w:id="1939" w:name="Tc_muO1grZi1kmeXJqAVbjudw_3_11"/>
      <w:bookmarkStart w:id="1940" w:name="Tc_m760d5P9b0-Gju2MyCtGLg_3_8"/>
      <w:bookmarkStart w:id="1941" w:name="Tc_oyYHuKdj4Uiy6W6YK698IA_3_5"/>
      <w:bookmarkStart w:id="1942" w:name="Tc_sXiFccsGNUmikFgk9Zf9FA_3_2"/>
      <w:bookmarkStart w:id="1943" w:name="Tc_J_vpYikKi0SC5SwnatmtFg_2_8"/>
      <w:bookmarkStart w:id="1944" w:name="Tc_NBkV54q_SkOIgD6ZvHvLoA_2_5"/>
      <w:bookmarkStart w:id="1945" w:name="Tc_JqLHXTcB1kixFsTh-C8J1g_2_2"/>
      <w:bookmarkStart w:id="1946" w:name="Tc_ifcxzZUcI06Ajn0T8jAVGw_1_2"/>
      <w:bookmarkStart w:id="1947" w:name="_602ad5c6_0368_4437_9344_7a98c080673b"/>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r>
        <w:rPr>
          <w:rFonts w:ascii="Times New Roman;Times;serif" w:hAnsi="Times New Roman;Times;serif"/>
          <w:sz w:val="20"/>
        </w:rPr>
        <w:t>Six-Months Ended June 30, 2026</w:t>
      </w:r>
    </w:p>
    <w:tbl>
      <w:tblPr>
        <w:tblW w:w="10205" w:type="dxa"/>
        <w:jc w:val="left"/>
        <w:tblInd w:w="0" w:type="dxa"/>
        <w:tblLayout w:type="fixed"/>
        <w:tblCellMar>
          <w:top w:w="0" w:type="dxa"/>
          <w:left w:w="0" w:type="dxa"/>
          <w:bottom w:w="0" w:type="dxa"/>
          <w:right w:w="0" w:type="dxa"/>
        </w:tblCellMar>
      </w:tblPr>
      <w:tblGrid>
        <w:gridCol w:w="3279"/>
        <w:gridCol w:w="346"/>
        <w:gridCol w:w="211"/>
        <w:gridCol w:w="931"/>
        <w:gridCol w:w="346"/>
        <w:gridCol w:w="211"/>
        <w:gridCol w:w="781"/>
        <w:gridCol w:w="346"/>
        <w:gridCol w:w="211"/>
        <w:gridCol w:w="776"/>
        <w:gridCol w:w="346"/>
        <w:gridCol w:w="211"/>
        <w:gridCol w:w="676"/>
        <w:gridCol w:w="346"/>
        <w:gridCol w:w="211"/>
        <w:gridCol w:w="977"/>
      </w:tblGrid>
      <w:tr>
        <w:trPr/>
        <w:tc>
          <w:tcPr>
            <w:tcW w:w="3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82165" cy="175260"/>
                      <wp:effectExtent l="0" t="0" r="0" b="0"/>
                      <wp:wrapNone/>
                      <wp:docPr id="382" name="Frame382"/>
                      <a:graphic xmlns:a="http://schemas.openxmlformats.org/drawingml/2006/main">
                        <a:graphicData uri="http://schemas.microsoft.com/office/word/2010/wordprocessingShape">
                          <wps:wsp>
                            <wps:cNvSpPr txBox="1"/>
                            <wps:spPr>
                              <a:xfrm>
                                <a:off x="0" y="0"/>
                                <a:ext cx="208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91185" cy="175260"/>
                      <wp:effectExtent l="0" t="0" r="0" b="0"/>
                      <wp:wrapNone/>
                      <wp:docPr id="385" name="Frame3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95935" cy="175260"/>
                      <wp:effectExtent l="0" t="0" r="0" b="0"/>
                      <wp:wrapNone/>
                      <wp:docPr id="388"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2760" cy="175260"/>
                      <wp:effectExtent l="0" t="0" r="0" b="0"/>
                      <wp:wrapNone/>
                      <wp:docPr id="391" name="Frame391"/>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29260" cy="175260"/>
                      <wp:effectExtent l="0" t="0" r="0" b="0"/>
                      <wp:wrapNone/>
                      <wp:docPr id="394" name="Frame3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20395" cy="175260"/>
                      <wp:effectExtent l="0" t="0" r="0" b="0"/>
                      <wp:wrapNone/>
                      <wp:docPr id="397" name="Frame39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center"/>
              <w:rPr/>
            </w:pPr>
            <w:r>
              <w:rPr/>
              <w:t>​</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9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4,890,764</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2,028,904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2,515,881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175,204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2,712,983</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210,404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424,479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1,724,564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1,838,045</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47,997</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(245,259)</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1,518,398</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48,800</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58,184</w:t>
            </w:r>
          </w:p>
        </w:tc>
      </w:tr>
    </w:tbl>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$19.9</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Alcohol Brands - travel and entertainment expense, professional services expense, depreciation and amortization expense, and certain overhead expenses</w:t>
      </w:r>
    </w:p>
    <w:p>
      <w:pPr>
        <w:pStyle w:val="TextBody"/>
        <w:bidi w:val="0"/>
        <w:spacing w:before="0" w:after="200"/>
        <w:ind w:left="360" w:right="0" w:hanging="0"/>
        <w:jc w:val="both"/>
        <w:rPr>
          <w:rFonts w:ascii="Times New Roman;Times;serif" w:hAnsi="Times New Roman;Times;serif"/>
          <w:i/>
          <w:sz w:val="18"/>
        </w:rPr>
      </w:pPr>
      <w:r>
        <w:rPr>
          <w:rFonts w:ascii="Times New Roman;Times;serif" w:hAnsi="Times New Roman;Times;serif"/>
          <w:i/>
          <w:sz w:val="18"/>
        </w:rPr>
        <w:t>Other - professional services expense, and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948" w:name="Tc_Hbc96WMj9U2bf2Dx9gbbEA_25_14"/>
      <w:bookmarkStart w:id="1949" w:name="Tc_QS9eTjMc4EaDzIGS25VB0w_25_0"/>
      <w:bookmarkStart w:id="1950" w:name="Tc_t2dN1XHHp0qp-FofZQobXA_24_0"/>
      <w:bookmarkStart w:id="1951" w:name="Tc_YIgLSZpak0uCDQ7Tb4Y_3g_23_14"/>
      <w:bookmarkStart w:id="1952" w:name="Tc_cyHC9IMHV02uzM2eAyVWPQ_23_11"/>
      <w:bookmarkStart w:id="1953" w:name="Tc_gNJ9jEaeu0i2VkSvdPYkdQ_23_8"/>
      <w:bookmarkStart w:id="1954" w:name="Tc_Xsvg0BqFHECLCoHmfUIDsw_23_5"/>
      <w:bookmarkStart w:id="1955" w:name="Tc_eaY2Ted820mBHp0RPKVtXA_23_2"/>
      <w:bookmarkStart w:id="1956" w:name="Tc_Y-CQI6uSC0OFZILmS_pfyw_23_0"/>
      <w:bookmarkStart w:id="1957" w:name="Tc_p1dPnUwDq02LVAoUr9q5Xg_21_14"/>
      <w:bookmarkStart w:id="1958" w:name="Tc_haUOZDLQbEqPN1PmV1o-9Q_21_0"/>
      <w:bookmarkStart w:id="1959" w:name="Tc_HnauIsEB_0KC_nlK0gjx6A_19_0"/>
      <w:bookmarkStart w:id="1960" w:name="Tc_0Sns4mAhRk2QbVRyVxy7hw_18_0"/>
      <w:bookmarkStart w:id="1961" w:name="Tc_KSQfdgfnqkOCh3cCZ3W7wA_17_0"/>
      <w:bookmarkStart w:id="1962" w:name="Tc_5yN0CseiPEio1uPDnH-2Sg_16_0"/>
      <w:bookmarkStart w:id="1963" w:name="Tc_7PYi-9vF30moM_2R_LHU6A_15_0"/>
      <w:bookmarkStart w:id="1964" w:name="Tc_auouvEwju0WRMTjpu0s_rA_13_0"/>
      <w:bookmarkStart w:id="1965" w:name="Tc_kydMQi8wnUWLhhutEl4NTg_12_0"/>
      <w:bookmarkStart w:id="1966" w:name="Tc_gEiC4mOvy0qvUJBNxN6xIg_11_0"/>
      <w:bookmarkStart w:id="1967" w:name="Tc_fRFc_9qmLk-q0Es2hnntFg_10_0"/>
      <w:bookmarkStart w:id="1968" w:name="Tc_1qCDsV2pQkitgttVlUUUbA_9_0"/>
      <w:bookmarkStart w:id="1969" w:name="Tc_ZN_ixP2XIUypqO6agblfbQ_7_0"/>
      <w:bookmarkStart w:id="1970" w:name="Tc_VP3X653O0kiwZJjT78YVRw_6_0"/>
      <w:bookmarkStart w:id="1971" w:name="Tc_NfbEvjmCx0uduHIYXQLvZw_4_14"/>
      <w:bookmarkStart w:id="1972" w:name="Tc_om8wkUHbsEu4qGGi2y5n6Q_4_11"/>
      <w:bookmarkStart w:id="1973" w:name="Tc_8p0iqUT3pUiT7lihyAMrHA_4_8"/>
      <w:bookmarkStart w:id="1974" w:name="Tc_rXBUsYuZdES3JK2Boon72Q_4_5"/>
      <w:bookmarkStart w:id="1975" w:name="Tc_PDL6XHJ6JUmqZKfTbZvVbw_4_2"/>
      <w:bookmarkStart w:id="1976" w:name="Tc_8KMWSVLj6kOfno59EtxdjQ_4_0"/>
      <w:bookmarkStart w:id="1977" w:name="Tc_am_jlQ6b1E2uLmoZs2LwpA_3_14"/>
      <w:bookmarkStart w:id="1978" w:name="Tc_m8QSTeo_RUaqP5xduC2b-g_3_11"/>
      <w:bookmarkStart w:id="1979" w:name="Tc_Lbzjous_ckG0De8hlLkWnA_3_8"/>
      <w:bookmarkStart w:id="1980" w:name="Tc_GLx9LtUKQ0eFlxyfFK_GsQ_3_5"/>
      <w:bookmarkStart w:id="1981" w:name="Tc__AF_XUsY7kuykYi8lpZwwQ_3_2"/>
      <w:bookmarkStart w:id="1982" w:name="Tc_eiNjcxHZaEy-r0PhnD6tVA_2_8"/>
      <w:bookmarkStart w:id="1983" w:name="Tc_vwdweD1MAk2pIVHFUuAIIg_2_5"/>
      <w:bookmarkStart w:id="1984" w:name="Tc_sM9NdLF_KU2VfHRotnTeVw_2_2"/>
      <w:bookmarkStart w:id="1985" w:name="Tc_934afMC05UaNgRMUgYxtLA_1_2"/>
      <w:bookmarkStart w:id="1986" w:name="_54264308_f994_480b_ad89_acd268257b43"/>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r>
        <w:rPr>
          <w:rFonts w:ascii="Times New Roman;Times;serif" w:hAnsi="Times New Roman;Times;serif"/>
          <w:sz w:val="20"/>
        </w:rPr>
        <w:t>Six-Months Ended June 30, 2025</w:t>
      </w:r>
    </w:p>
    <w:tbl>
      <w:tblPr>
        <w:tblW w:w="10205" w:type="dxa"/>
        <w:jc w:val="left"/>
        <w:tblInd w:w="0" w:type="dxa"/>
        <w:tblLayout w:type="fixed"/>
        <w:tblCellMar>
          <w:top w:w="0" w:type="dxa"/>
          <w:left w:w="0" w:type="dxa"/>
          <w:bottom w:w="0" w:type="dxa"/>
          <w:right w:w="0" w:type="dxa"/>
        </w:tblCellMar>
      </w:tblPr>
      <w:tblGrid>
        <w:gridCol w:w="3279"/>
        <w:gridCol w:w="346"/>
        <w:gridCol w:w="211"/>
        <w:gridCol w:w="931"/>
        <w:gridCol w:w="346"/>
        <w:gridCol w:w="211"/>
        <w:gridCol w:w="781"/>
        <w:gridCol w:w="346"/>
        <w:gridCol w:w="211"/>
        <w:gridCol w:w="776"/>
        <w:gridCol w:w="346"/>
        <w:gridCol w:w="211"/>
        <w:gridCol w:w="676"/>
        <w:gridCol w:w="346"/>
        <w:gridCol w:w="211"/>
        <w:gridCol w:w="977"/>
      </w:tblGrid>
      <w:tr>
        <w:trPr/>
        <w:tc>
          <w:tcPr>
            <w:tcW w:w="3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82165" cy="175260"/>
                      <wp:effectExtent l="0" t="0" r="0" b="0"/>
                      <wp:wrapNone/>
                      <wp:docPr id="398" name="Frame398"/>
                      <a:graphic xmlns:a="http://schemas.openxmlformats.org/drawingml/2006/main">
                        <a:graphicData uri="http://schemas.microsoft.com/office/word/2010/wordprocessingShape">
                          <wps:wsp>
                            <wps:cNvSpPr txBox="1"/>
                            <wps:spPr>
                              <a:xfrm>
                                <a:off x="0" y="0"/>
                                <a:ext cx="208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91185" cy="175260"/>
                      <wp:effectExtent l="0" t="0" r="0" b="0"/>
                      <wp:wrapNone/>
                      <wp:docPr id="401" name="Frame4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4" name="Frame4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2760" cy="175260"/>
                      <wp:effectExtent l="0" t="0" r="0" b="0"/>
                      <wp:wrapNone/>
                      <wp:docPr id="407" name="Frame407"/>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29260" cy="175260"/>
                      <wp:effectExtent l="0" t="0" r="0" b="0"/>
                      <wp:wrapNone/>
                      <wp:docPr id="410" name="Frame4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20395" cy="175260"/>
                      <wp:effectExtent l="0" t="0" r="0" b="0"/>
                      <wp:wrapNone/>
                      <wp:docPr id="413" name="Frame41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center"/>
              <w:rPr/>
            </w:pPr>
            <w:r>
              <w:rPr/>
              <w:t>​</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9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3,966,150</w:t>
            </w:r>
          </w:p>
        </w:tc>
      </w:tr>
      <w:tr>
        <w:trPr/>
        <w:tc>
          <w:tcPr>
            <w:tcW w:w="3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1,607,215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2,045,654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2,224,375</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151,257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86,880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1,437,852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1,522,988</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23,337</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(212,333)</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(109,288)</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1,224,704</w:t>
            </w:r>
          </w:p>
        </w:tc>
      </w:tr>
      <w:tr>
        <w:trPr/>
        <w:tc>
          <w:tcPr>
            <w:tcW w:w="32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46,693</w:t>
            </w:r>
          </w:p>
        </w:tc>
      </w:tr>
      <w:tr>
        <w:trPr/>
        <w:tc>
          <w:tcPr>
            <w:tcW w:w="3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r>
      <w:tr>
        <w:trPr/>
        <w:tc>
          <w:tcPr>
            <w:tcW w:w="3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52,405</w:t>
            </w:r>
          </w:p>
        </w:tc>
      </w:tr>
    </w:tbl>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$19.9</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property and equipment impairment, and certain overhead expenses</w:t>
      </w:r>
    </w:p>
    <w:p>
      <w:pPr>
        <w:pStyle w:val="TextBody"/>
        <w:bidi w:val="0"/>
        <w:spacing w:before="0" w:after="200"/>
        <w:ind w:left="360" w:right="0" w:hanging="0"/>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Europacific Partners accounted for approximately 16% and 15% of the Company’s net sales for the three-months ended June 30, 2026 and 2025, respectively. Coca-Cola Europacific Partners accounted for approximately 16% and 14% of the Company’s net sales for the six-months ended June 30, 2026 and 2025,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Consolidated, Inc. accounted for approximately 9% and </w:t>
      </w:r>
      <w:r>
        <w:rPr>
          <w:rFonts w:ascii="Times New Roman;Times;serif" w:hAnsi="Times New Roman;Times;serif"/>
          <w:color w:val="212529"/>
          <w:sz w:val="20"/>
          <w:shd w:fill="FFFFFF" w:val="clear"/>
        </w:rPr>
        <w:t xml:space="preserve">11% </w:t>
      </w:r>
      <w:r>
        <w:rPr>
          <w:rFonts w:ascii="Times New Roman;Times;serif" w:hAnsi="Times New Roman;Times;serif"/>
          <w:sz w:val="20"/>
        </w:rPr>
        <w:t xml:space="preserve">of the Company’s net sales for the three-months ended June 30, 2026 and 2025, respectively. Coca-Cola Consolidated, Inc. accounted for approximately 9% and 10% of the Company’s net sales for the six-months ended June 30, 2026 and 2025,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$1.16 billion and $864.2 million for the three-months ended June 30, 2026 and 2025, respectively. Such sales were approximately 46% and 41% of net sales for the three-months ended June 30, 2026 and 2025, respectively. Net sales to customers outside the United States amounted to $2.23 billion and $1.60 billion for the six-months ended June 30, 2026 and 2025, respectively. Such sales were approximately 46% and 40% of net sales for the six-months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987" w:name="Tc_mtJXJWRKN0CNyly7ld65Dw_8_5"/>
      <w:bookmarkStart w:id="1988" w:name="Tc_dY6ycDOyMkCNezH91Q4kdQ_8_2"/>
      <w:bookmarkStart w:id="1989" w:name="Tc_Ox88PB8sRkGVW30OW55moA_7_6"/>
      <w:bookmarkStart w:id="1990" w:name="Tc_1omPt3hfP0OaK11oTATEng_7_3"/>
      <w:bookmarkStart w:id="1991" w:name="Tc_DxH0oPTuSECG0oTs6Z7W6Q_7_0"/>
      <w:bookmarkStart w:id="1992" w:name="Tc_-kl4EQXEVUO4rks9yP6Ktg_6_0"/>
      <w:bookmarkStart w:id="1993" w:name="Tc_fkKx0ojd7kCeJamAPEbPLA_5_0"/>
      <w:bookmarkStart w:id="1994" w:name="Tc_9W7WShkaSk2fXJDhxM5wsg_4_5"/>
      <w:bookmarkStart w:id="1995" w:name="Tc_Mq26SWcRAkeIQnU7MLXgFw_4_2"/>
      <w:bookmarkStart w:id="1996" w:name="Tc__t-43O9ls0Ki_To3ntK9rw_4_0"/>
      <w:bookmarkStart w:id="1997" w:name="Tc_6HasD0OM-kSGNMzK6MHa8A_3_0"/>
      <w:bookmarkStart w:id="1998" w:name="Tc_Wgr1NKJ0dUy08xsX1nDaXA_2_5"/>
      <w:bookmarkStart w:id="1999" w:name="Tc_SsNTdjniUkSekdigUflCDA_2_2"/>
      <w:bookmarkStart w:id="2000" w:name="Tc_HM2a2Rwh70qHPislOwHLyA_1_5"/>
      <w:bookmarkStart w:id="2001" w:name="Tc_cJTYbqSMUUSMcgXbmqlBhA_1_2"/>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r>
        <w:rPr>
          <w:rFonts w:ascii="Times New Roman;Times;serif" w:hAnsi="Times New Roman;Times;serif"/>
          <w:sz w:val="20"/>
        </w:rPr>
        <w:t>Goodwill and other intangible assets for the Company’s reportable segments were as follows at:</w:t>
      </w:r>
    </w:p>
    <w:p>
      <w:pPr>
        <w:pStyle w:val="TextBody"/>
        <w:bidi w:val="0"/>
        <w:spacing w:before="0" w:after="0"/>
        <w:ind w:left="0" w:right="0" w:hanging="0"/>
        <w:jc w:val="left"/>
        <w:rPr/>
      </w:pPr>
      <w:r>
        <w:rPr/>
        <w:t>​</w:t>
      </w:r>
    </w:p>
    <w:tbl>
      <w:tblPr>
        <w:tblW w:w="6290" w:type="dxa"/>
        <w:jc w:val="left"/>
        <w:tblInd w:w="0" w:type="dxa"/>
        <w:tblLayout w:type="fixed"/>
        <w:tblCellMar>
          <w:top w:w="0" w:type="dxa"/>
          <w:left w:w="0" w:type="dxa"/>
          <w:bottom w:w="0" w:type="dxa"/>
          <w:right w:w="0" w:type="dxa"/>
        </w:tblCellMar>
      </w:tblPr>
      <w:tblGrid>
        <w:gridCol w:w="3151"/>
        <w:gridCol w:w="346"/>
        <w:gridCol w:w="211"/>
        <w:gridCol w:w="931"/>
        <w:gridCol w:w="346"/>
        <w:gridCol w:w="220"/>
        <w:gridCol w:w="108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00885" cy="175260"/>
                      <wp:effectExtent l="0" t="0" r="0" b="0"/>
                      <wp:wrapNone/>
                      <wp:docPr id="414" name="Frame414"/>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91185" cy="175260"/>
                      <wp:effectExtent l="0" t="0" r="0" b="0"/>
                      <wp:wrapNone/>
                      <wp:docPr id="417" name="Frame4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9700" cy="175260"/>
                      <wp:effectExtent l="0" t="0" r="0" b="0"/>
                      <wp:wrapNone/>
                      <wp:docPr id="419" name="Frame41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88975" cy="175260"/>
                      <wp:effectExtent l="0" t="0" r="0" b="0"/>
                      <wp:wrapNone/>
                      <wp:docPr id="420" name="Frame420"/>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1,720,047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1,716,824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2,713,470</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2,710,911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02" w:name="Tc_9Eb9DD4Ky02bqIMcAVHxYA_6_5"/>
      <w:bookmarkStart w:id="2003" w:name="Tc_8tKf8bq9f02THHLqhHhmbw_6_2"/>
      <w:bookmarkStart w:id="2004" w:name="Tc_KA9cb86ZfkqwVBhn3_9MBw_6_0"/>
      <w:bookmarkStart w:id="2005" w:name="Tc_bcyxtFvI7UGLpROkE_AKwQ_5_5"/>
      <w:bookmarkStart w:id="2006" w:name="Tc_7EXQb30V1EWc8Bq6N2ryrg_5_2"/>
      <w:bookmarkStart w:id="2007" w:name="Tc_v_e3pw55AkGXz8DsmbJu2w_5_0"/>
      <w:bookmarkStart w:id="2008" w:name="Tc_VuCzWZ6KCEaPAjeuqId8Qw_4_5"/>
      <w:bookmarkStart w:id="2009" w:name="Tc_1dS3JyvCdUCbhF0AwWLyjg_4_2"/>
      <w:bookmarkStart w:id="2010" w:name="Tc_chM-ogvi_kaFDde_E228Qg_4_0"/>
      <w:bookmarkStart w:id="2011" w:name="Tc_AOvHbheiR0CnD3IocybAyA_3_5"/>
      <w:bookmarkStart w:id="2012" w:name="Tc_QWw_tmGE4UKmag8hohBXXQ_3_2"/>
      <w:bookmarkStart w:id="2013" w:name="Tc_MiU0Vb909E-B5LIr762HRA_3_0"/>
      <w:bookmarkStart w:id="2014" w:name="Tc_Vrpfxi_cg0aFF-IdKfhEIQ_2_5"/>
      <w:bookmarkStart w:id="2015" w:name="Tc_vYx36017eECHxTCtQylg8Q_2_2"/>
      <w:bookmarkStart w:id="2016" w:name="Tc_G9RlrRjeBEytJ6tAYRqh_Q_1_5"/>
      <w:bookmarkStart w:id="2017" w:name="Tc_QnyzGk14oU6dfDKsx0Hs2A_1_2"/>
      <w:bookmarkStart w:id="2018" w:name="Tc_9Eb9DD4Ky02bqIMcAVHxYA_6_5"/>
      <w:bookmarkStart w:id="2019" w:name="Tc_8tKf8bq9f02THHLqhHhmbw_6_2"/>
      <w:bookmarkStart w:id="2020" w:name="Tc_KA9cb86ZfkqwVBhn3_9MBw_6_0"/>
      <w:bookmarkStart w:id="2021" w:name="Tc_bcyxtFvI7UGLpROkE_AKwQ_5_5"/>
      <w:bookmarkStart w:id="2022" w:name="Tc_7EXQb30V1EWc8Bq6N2ryrg_5_2"/>
      <w:bookmarkStart w:id="2023" w:name="Tc_v_e3pw55AkGXz8DsmbJu2w_5_0"/>
      <w:bookmarkStart w:id="2024" w:name="Tc_VuCzWZ6KCEaPAjeuqId8Qw_4_5"/>
      <w:bookmarkStart w:id="2025" w:name="Tc_1dS3JyvCdUCbhF0AwWLyjg_4_2"/>
      <w:bookmarkStart w:id="2026" w:name="Tc_chM-ogvi_kaFDde_E228Qg_4_0"/>
      <w:bookmarkStart w:id="2027" w:name="Tc_AOvHbheiR0CnD3IocybAyA_3_5"/>
      <w:bookmarkStart w:id="2028" w:name="Tc_QWw_tmGE4UKmag8hohBXXQ_3_2"/>
      <w:bookmarkStart w:id="2029" w:name="Tc_MiU0Vb909E-B5LIr762HRA_3_0"/>
      <w:bookmarkStart w:id="2030" w:name="Tc_Vrpfxi_cg0aFF-IdKfhEIQ_2_5"/>
      <w:bookmarkStart w:id="2031" w:name="Tc_vYx36017eECHxTCtQylg8Q_2_2"/>
      <w:bookmarkStart w:id="2032" w:name="Tc_G9RlrRjeBEytJ6tAYRqh_Q_1_5"/>
      <w:bookmarkStart w:id="2033" w:name="Tc_QnyzGk14oU6dfDKsx0Hs2A_1_2"/>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$34.6 million and $29.6 million for the three-months ended June 30, 2026 and 2025, respectively, and are included as a reduction to net sales. TCCC commissions, based on sales to the TCCC Subsidiaries and the TCCC Related Parties, were $71.0 million and $55.4 million for the six-months ended June 30, 2026 and 2025, respectively, and are included as a reduction to net sales.</w:t>
      </w:r>
      <w:r>
        <w:rPr>
          <w:rFonts w:ascii="Times New Roman;Times;serif" w:hAnsi="Times New Roman;Times;serif"/>
          <w:color w:val="212529"/>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 were $16.8 million and $12.0 million for the three-months ended June 30, 2026 and 2025, respectively, and are included in operating expenses. TCCC commissions, based on sales to TCCC independent bottlers, were $33.1 million and $21.4 million for the six-months ended June 30, 2026 and 2025, respectively, and are included in operating expenses.</w:t>
      </w:r>
      <w:r>
        <w:rPr>
          <w:rFonts w:ascii="Times New Roman;Times;serif" w:hAnsi="Times New Roman;Times;serif"/>
          <w:color w:val="212529"/>
          <w:sz w:val="20"/>
          <w:shd w:fill="FFFFFF" w:val="clear"/>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June 30, 2026 and 2025 were $68.4 million and $61.1 million, respectively.</w:t>
      </w:r>
      <w:r>
        <w:rPr>
          <w:rFonts w:ascii="Times New Roman;Times;serif" w:hAnsi="Times New Roman;Times;serif"/>
          <w:color w:val="212529"/>
          <w:sz w:val="20"/>
          <w:shd w:fill="FFFFFF" w:val="clear"/>
        </w:rPr>
        <w:t xml:space="preserve"> </w:t>
      </w:r>
      <w:r>
        <w:rPr>
          <w:rFonts w:ascii="Times New Roman;Times;serif" w:hAnsi="Times New Roman;Times;serif"/>
          <w:sz w:val="20"/>
        </w:rPr>
        <w:t>Net sales to the TCCC Subsidiaries for the six-months ended June 30, 2026 and 2025 were $133.5 million and $119.2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also purchases concentrates from TCCC which are then sold to certain of the Company’s bottlers/distributors. Concentrate purchases from TCCC were $6.5 million and $6.8 million for the three-months ended June 30, 2026 and 2025, respectively. Concentrate purchases from TCCC were $12.4 million and $13.2 million for the six-months ended June 30, 2026 and 2025,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$14.3 million and $12.9 million for the three-months ended June 30, 2026 and 2025, respectively. Such contract manufacturing expenses were $27.4 million and $24.6 million for the six-months ended June 30, 2026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hanging="0"/>
        <w:jc w:val="left"/>
        <w:rPr/>
      </w:pPr>
      <w:r>
        <w:rPr/>
        <w:t>​</w:t>
      </w:r>
    </w:p>
    <w:tbl>
      <w:tblPr>
        <w:tblW w:w="5795" w:type="dxa"/>
        <w:jc w:val="left"/>
        <w:tblInd w:w="0" w:type="dxa"/>
        <w:tblLayout w:type="fixed"/>
        <w:tblCellMar>
          <w:top w:w="0" w:type="dxa"/>
          <w:left w:w="0" w:type="dxa"/>
          <w:bottom w:w="0" w:type="dxa"/>
          <w:right w:w="0" w:type="dxa"/>
        </w:tblCellMar>
      </w:tblPr>
      <w:tblGrid>
        <w:gridCol w:w="2791"/>
        <w:gridCol w:w="346"/>
        <w:gridCol w:w="211"/>
        <w:gridCol w:w="796"/>
        <w:gridCol w:w="346"/>
        <w:gridCol w:w="265"/>
        <w:gridCol w:w="1040"/>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772285" cy="175260"/>
                      <wp:effectExtent l="0" t="0" r="0" b="0"/>
                      <wp:wrapNone/>
                      <wp:docPr id="421" name="Frame421"/>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05460" cy="175260"/>
                      <wp:effectExtent l="0" t="0" r="0" b="0"/>
                      <wp:wrapNone/>
                      <wp:docPr id="424" name="Frame4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68275" cy="175260"/>
                      <wp:effectExtent l="0" t="0" r="0" b="0"/>
                      <wp:wrapNone/>
                      <wp:docPr id="426" name="Frame42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60400" cy="175260"/>
                      <wp:effectExtent l="0" t="0" r="0" b="0"/>
                      <wp:wrapNone/>
                      <wp:docPr id="427" name="Frame427"/>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196,513</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166,618</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(30,836)</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(22,943)</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(24,898)</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(39,802)</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(28,458)</w:t>
            </w:r>
          </w:p>
        </w:tc>
      </w:tr>
    </w:tbl>
    <w:p>
      <w:pPr>
        <w:pStyle w:val="TextBody"/>
        <w:pBdr/>
        <w:bidi w:val="0"/>
        <w:spacing w:before="0" w:after="0"/>
        <w:ind w:left="0" w:right="0" w:hanging="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have ownership interests in a company that provides promotional materials to the Company. Expenses incurred with such company in connection with promotional materials purchased during the three-months ended June 30, 2026 and 2025 were $2.3 million and $1.9 million, respectively. Expenses incurred with such company in connection with promotional materials purchased during the six-months ended June 30, 2026 and 2025 were $3.6 million and $3.5 million, respectively.</w:t>
      </w:r>
      <w:r>
        <w:rPr>
          <w:rFonts w:ascii="Times New Roman;Times;serif" w:hAnsi="Times New Roman;Times;serif"/>
          <w:color w:val="212529"/>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Chairman of the Board of Directors. On certain occasions, Mr. Sacks is accompanied by guests and other Company personnel when using such aircraft for business travel. During the three- and six-months ended June 30, 2026, the Company incurred no expenses in relation to the aircraft. During the three- and six-months ended June 30, 2025, the Company incurred expenses of $0.01 million and $0.06 million, respectively, in relation to the aircraft.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34" w:name="Tc_4cg5-hB4UUO9vvXyY6mRNQ_17_11"/>
      <w:bookmarkStart w:id="2035" w:name="Tc_8DmBFSeUS0OQgOb40dPs5A_17_8"/>
      <w:bookmarkStart w:id="2036" w:name="Tc_3dYhKrWlTka3I0qH1elgKw_17_5"/>
      <w:bookmarkStart w:id="2037" w:name="Tc_Xrat_Tln10mexBlThVhOcA_17_2"/>
      <w:bookmarkStart w:id="2038" w:name="Tc_31b8rzclkUe5i1pH0xyrJA_17_0"/>
      <w:bookmarkStart w:id="2039" w:name="Tc_DXX9QBH4S0OyZYgelNmdqA_16_11"/>
      <w:bookmarkStart w:id="2040" w:name="Tc_i3BcoYvhIke5xFiFK1usxQ_16_8"/>
      <w:bookmarkStart w:id="2041" w:name="Tc_TyEP_XVnU0GZmdoAGAlpXw_16_5"/>
      <w:bookmarkStart w:id="2042" w:name="Tc_YajE8_iT0EK9BpTWdv9MSQ_16_2"/>
      <w:bookmarkStart w:id="2043" w:name="Tc_WvYOW-aTwUqSjDYRdQ21Ow_16_0"/>
      <w:bookmarkStart w:id="2044" w:name="Tc_RtsZnVnt6Ei3Q7Yoy1A8gQ_15_0"/>
      <w:bookmarkStart w:id="2045" w:name="Tc_XgcSN_KC2EGeRRYJPqfvTQ_13_0"/>
      <w:bookmarkStart w:id="2046" w:name="Tc_bzIcjWMnD0GWzRzB4ulGTg_12_0"/>
      <w:bookmarkStart w:id="2047" w:name="Tc_Gr6W57pb_UaMy2rubdN9Ow_11_0"/>
      <w:bookmarkStart w:id="2048" w:name="Tc_RgUuqJQsf0WAwWhXACCbeg_10_0"/>
      <w:bookmarkStart w:id="2049" w:name="Tc_TnwwXxDWxUmZ2tMhJSFkhw_9_0"/>
      <w:bookmarkStart w:id="2050" w:name="Tc_0lxRhIeTuUCxMGoMQ9enqg_7_11"/>
      <w:bookmarkStart w:id="2051" w:name="Tc_2y3EXyTaKUqbvZSUiviVrQ_7_8"/>
      <w:bookmarkStart w:id="2052" w:name="Tc_w7jULfU6yEiBNifHMgR0hQ_7_5"/>
      <w:bookmarkStart w:id="2053" w:name="Tc_SqMoJSDlO0O5OSnGQBx2Ow_7_2"/>
      <w:bookmarkStart w:id="2054" w:name="Tc_cpnOJIaL8EeKnMZtopjQFA_7_0"/>
      <w:bookmarkStart w:id="2055" w:name="Tc_t3xAunCCA0CMaL9FvE4byw_6_0"/>
      <w:bookmarkStart w:id="2056" w:name="Tc_evQToCxb4EuNG7oRZ-LQYg_5_11"/>
      <w:bookmarkStart w:id="2057" w:name="Tc_dbBSl1Uy30Cc4_5OO0UBbg_5_8"/>
      <w:bookmarkStart w:id="2058" w:name="Tc_Zvj3ea9x70y57gKr43rHHA_5_5"/>
      <w:bookmarkStart w:id="2059" w:name="Tc_8ddMS_0Tb0WD_mS81Ukexg_5_2"/>
      <w:bookmarkStart w:id="2060" w:name="Tc_cN72kCwB6EeEkuC2RIUSqQ_4_8"/>
      <w:bookmarkStart w:id="2061" w:name="Tc_iNMl98BPKkmuxIa4Ew3g9w_4_2"/>
      <w:bookmarkStart w:id="2062" w:name="Tc_Qid3LVedTUGCGgQaxSvfog_3_8"/>
      <w:bookmarkStart w:id="2063" w:name="Tc_KMp1yG-7sUyvhxpzF4TVMg_3_2"/>
      <w:bookmarkStart w:id="2064" w:name="Tc_HmBUPyCpHEOq4wYGY8kkTg_2_2"/>
      <w:bookmarkStart w:id="2065" w:name="Tc_8BFh28kUhU6NEs02_5Zw_A_1_2"/>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r>
        <w:rPr>
          <w:rFonts w:ascii="Times New Roman;Times;serif" w:hAnsi="Times New Roman;Times;serif"/>
          <w:b w:val="false"/>
          <w:i w:val="false"/>
          <w:caps w:val="false"/>
          <w:smallCaps w:val="false"/>
          <w:sz w:val="20"/>
        </w:rPr>
        <w:t>18.</w:t>
      </w:r>
      <w:r>
        <w:rPr>
          <w:rFonts w:ascii="Times New Roman;Times;serif" w:hAnsi="Times New Roman;Times;serif"/>
          <w:sz w:val="20"/>
        </w:rPr>
        <w:t>SUBSEQUENT EVENT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previously announced, the Company’s Board of Directors has approved and declared a two-for-one stock split of its common stock to be effected in the form of a 100% stock dividend. The stock dividend will be distributed after close of trading on August 10, 2026. The Company anticipates its common stock to begin trading at the split-adjusted price on August 11, 2026.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reflects basic and diluted weighted-average shares outstanding and net income per common share on an unaudited pro forma basis giving effect to the stock split as if it had been effective for all periods presented.</w:t>
      </w:r>
    </w:p>
    <w:p>
      <w:pPr>
        <w:pStyle w:val="TextBody"/>
        <w:bidi w:val="0"/>
        <w:spacing w:before="0" w:after="0"/>
        <w:ind w:left="0" w:right="0" w:hanging="0"/>
        <w:jc w:val="left"/>
        <w:rPr/>
      </w:pPr>
      <w:r>
        <w:rPr/>
        <w:t>​</w:t>
      </w:r>
    </w:p>
    <w:tbl>
      <w:tblPr>
        <w:tblW w:w="9223" w:type="dxa"/>
        <w:jc w:val="left"/>
        <w:tblInd w:w="0" w:type="dxa"/>
        <w:tblLayout w:type="fixed"/>
        <w:tblCellMar>
          <w:top w:w="0" w:type="dxa"/>
          <w:left w:w="0" w:type="dxa"/>
          <w:bottom w:w="0" w:type="dxa"/>
          <w:right w:w="0" w:type="dxa"/>
        </w:tblCellMar>
      </w:tblPr>
      <w:tblGrid>
        <w:gridCol w:w="3226"/>
        <w:gridCol w:w="346"/>
        <w:gridCol w:w="211"/>
        <w:gridCol w:w="931"/>
        <w:gridCol w:w="346"/>
        <w:gridCol w:w="211"/>
        <w:gridCol w:w="931"/>
        <w:gridCol w:w="346"/>
        <w:gridCol w:w="211"/>
        <w:gridCol w:w="931"/>
        <w:gridCol w:w="346"/>
        <w:gridCol w:w="211"/>
        <w:gridCol w:w="97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48510" cy="175260"/>
                      <wp:effectExtent l="0" t="0" r="0" b="0"/>
                      <wp:wrapNone/>
                      <wp:docPr id="428" name="Frame42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91185" cy="175260"/>
                      <wp:effectExtent l="0" t="0" r="0" b="0"/>
                      <wp:wrapNone/>
                      <wp:docPr id="431" name="Frame4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91185" cy="175260"/>
                      <wp:effectExtent l="0" t="0" r="0" b="0"/>
                      <wp:wrapNone/>
                      <wp:docPr id="434" name="Frame4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91185" cy="175260"/>
                      <wp:effectExtent l="0" t="0" r="0" b="0"/>
                      <wp:wrapNone/>
                      <wp:docPr id="437" name="Frame4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19760" cy="175260"/>
                      <wp:effectExtent l="0" t="0" r="0" b="0"/>
                      <wp:wrapNone/>
                      <wp:docPr id="440" name="Frame44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51" w:type="dxa"/>
            <w:gridSpan w:val="11"/>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 forma Weighted-Average Shares Outstanding and</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5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 Income per Common Share</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931,787</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1,957,325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1,951,499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1,949,383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Dilutive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1,976,957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1,967,995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1,965,496</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066" w:name="ITEM2MANAGEMENTSDISCUSSIONANDANALYSIS_40"/>
      <w:bookmarkStart w:id="2067" w:name="_355844bc_cc9f_4de1_8a05_bc5dac45ea85"/>
      <w:bookmarkEnd w:id="2066"/>
      <w:bookmarkEnd w:id="2067"/>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flavored malt beverages (“FMBs”) and hard seltzers.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in the fourth quarter of 2025 (for core brands and packages) in the United States and at various times in certain international markets during 2025 (collectively, the “Pricing Actions”). The Pricing Actions positively impacted gross profit margins in 2026 as compared to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5057" w:type="dxa"/>
        <w:jc w:val="left"/>
        <w:tblInd w:w="0" w:type="dxa"/>
        <w:tblLayout w:type="fixed"/>
        <w:tblCellMar>
          <w:top w:w="0" w:type="dxa"/>
          <w:left w:w="0" w:type="dxa"/>
          <w:bottom w:w="0" w:type="dxa"/>
          <w:right w:w="0" w:type="dxa"/>
        </w:tblCellMar>
      </w:tblPr>
      <w:tblGrid>
        <w:gridCol w:w="2146"/>
        <w:gridCol w:w="2911"/>
      </w:tblGrid>
      <w:tr>
        <w:trPr/>
        <w:tc>
          <w:tcPr>
            <w:tcW w:w="21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Throttle®</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Rehab Monster®</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Nitro</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Java Monster®</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Punch Monster®</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 and Power Play® (stylized)</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Juice Monster®</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BPM®</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w:t>
            </w:r>
          </w:p>
        </w:tc>
      </w:tr>
      <w:tr>
        <w:trPr/>
        <w:tc>
          <w:tcPr>
            <w:tcW w:w="2146" w:type="dxa"/>
            <w:tcBorders/>
            <w:vAlign w:val="center"/>
          </w:tcPr>
          <w:p>
            <w:pPr>
              <w:pStyle w:val="TableContents"/>
              <w:bidi w:val="0"/>
              <w:spacing w:before="0" w:after="0"/>
              <w:jc w:val="left"/>
              <w:rPr/>
            </w:pPr>
            <w:r>
              <w:rPr/>
              <w:t>●</w:t>
            </w:r>
          </w:p>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Storm</w:t>
            </w:r>
            <w:r>
              <w:rPr>
                <w:rFonts w:ascii="Times New Roman;Times;serif" w:hAnsi="Times New Roman;Times;serif"/>
                <w:b w:val="false"/>
                <w:i w:val="false"/>
                <w:caps w:val="false"/>
                <w:smallCaps w:val="false"/>
                <w:sz w:val="17"/>
              </w:rPr>
              <w:t>TM</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Samurai®</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w:t>
            </w:r>
          </w:p>
        </w:tc>
      </w:tr>
      <w:tr>
        <w:trPr/>
        <w:tc>
          <w:tcPr>
            <w:tcW w:w="2146" w:type="dxa"/>
            <w:tcBorders/>
            <w:vAlign w:val="center"/>
          </w:tcPr>
          <w:p>
            <w:pPr>
              <w:pStyle w:val="TableContents"/>
              <w:bidi w:val="0"/>
              <w:spacing w:before="0" w:after="0"/>
              <w:jc w:val="left"/>
              <w:rPr/>
            </w:pPr>
            <w:r>
              <w:rPr/>
              <w:t>●</w:t>
            </w:r>
          </w:p>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FLRT</w:t>
            </w:r>
            <w:r>
              <w:rPr>
                <w:rFonts w:ascii="Times New Roman;Times;serif" w:hAnsi="Times New Roman;Times;serif"/>
                <w:b w:val="false"/>
                <w:i w:val="false"/>
                <w:caps w:val="false"/>
                <w:smallCaps w:val="false"/>
                <w:sz w:val="17"/>
              </w:rPr>
              <w:t>TM</w:t>
            </w:r>
          </w:p>
        </w:tc>
        <w:tc>
          <w:tcPr>
            <w:tcW w:w="291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Predator®</w:t>
            </w:r>
          </w:p>
        </w:tc>
      </w:tr>
      <w:tr>
        <w:trPr/>
        <w:tc>
          <w:tcPr>
            <w:tcW w:w="2146"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NOS®</w:t>
            </w:r>
          </w:p>
        </w:tc>
        <w:tc>
          <w:tcPr>
            <w:tcW w:w="2911"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Blind Lemon®, Blinder Lemon</w:t>
      </w:r>
      <w:r>
        <w:rPr>
          <w:rFonts w:ascii="Times New Roman;Times;serif" w:hAnsi="Times New Roman;Times;serif"/>
          <w:sz w:val="15"/>
        </w:rPr>
        <w:t>TM</w:t>
      </w:r>
      <w:r>
        <w:rPr>
          <w:rFonts w:ascii="Times New Roman;Times;serif" w:hAnsi="Times New Roman;Times;serif"/>
          <w:sz w:val="20"/>
        </w:rPr>
        <w:t xml:space="preserve"> and other brands.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Bang Energy® drinks, Storm</w:t>
      </w:r>
      <w:r>
        <w:rPr>
          <w:rFonts w:ascii="Times New Roman;Times;serif" w:hAnsi="Times New Roman;Times;serif"/>
          <w:sz w:val="15"/>
        </w:rPr>
        <w:t>TM</w:t>
      </w:r>
      <w:r>
        <w:rPr>
          <w:rFonts w:ascii="Times New Roman;Times;serif" w:hAnsi="Times New Roman;Times;serif"/>
          <w:sz w:val="20"/>
        </w:rPr>
        <w:t xml:space="preserve"> and Reign Storm® total wellness energy drinks and FLRT</w:t>
      </w:r>
      <w:r>
        <w:rPr>
          <w:rFonts w:ascii="Times New Roman;Times;serif" w:hAnsi="Times New Roman;Times;serif"/>
          <w:sz w:val="15"/>
        </w:rPr>
        <w:t>TM</w:t>
      </w:r>
      <w:r>
        <w:rPr>
          <w:rFonts w:ascii="Times New Roman;Times;serif" w:hAnsi="Times New Roman;Times;serif"/>
          <w:sz w:val="20"/>
        </w:rPr>
        <w:t xml:space="preserve"> total wellness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2026, we continued to expand our existing drink portfolio by adding products to our portfolio in a number of countries and further developed our distribution markets. During the three-months ended June 30, 2026, we sold the following new products to our customers:</w:t>
      </w:r>
    </w:p>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American Berry</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White Gummy Bear</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White Gummy Bear</w:t>
            </w:r>
          </w:p>
        </w:tc>
      </w:tr>
    </w:tbl>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 Wild Berry</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Nitro Blue Flash</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Reign Total Body Fuel® Liberty &amp; Justice for Apple</w:t>
            </w:r>
            <w:r>
              <w:rPr>
                <w:rFonts w:ascii="Times New Roman;Times;serif" w:hAnsi="Times New Roman;Times;serif"/>
                <w:b w:val="false"/>
                <w:i w:val="false"/>
                <w:caps w:val="false"/>
                <w:smallCaps w:val="false"/>
                <w:sz w:val="15"/>
              </w:rPr>
              <w:t>TM</w:t>
            </w:r>
          </w:p>
        </w:tc>
      </w:tr>
    </w:tbl>
    <w:p>
      <w:pPr>
        <w:pStyle w:val="TextBody"/>
        <w:bidi w:val="0"/>
        <w:spacing w:before="0" w:after="0"/>
        <w:ind w:left="72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June 30, 2026,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were $2.54 billion for the three-months ended June 30, 2026. Net changes in foreign currency exchange rates had a favorable impact on net sales of approximately $48.5 million for the three-months ended June 30, 2026. Net sales on a foreign currency adjusted basis increased 17.9% for the three-months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vast majority of our net sales are derived from our Monster Energy® Drinks segment. Net sales of our Monster Energy® Drinks segment were $2.36 billion for the three-months ended June 30, 2026. Net sales of our Strategic Brands segment were $143.7 million for the three-months ended June 30, 2026. Net sales of our Alcohol Brands segment were $32.2 million for the three-months ended June 30, 2026. Net sales of our Other segment were $5.4 million for the three-months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92.8% and 91.7% of our net sales for the three-months ended June 30, 2026 and 2025, respectively. Our Strategic Brands segment represented 5.7% and 6.2% of our net sales for the three-months ended June 30, 2026 and 2025, respectively. Our Alcohol Brands segment represented 1.3% and 1.8% of our net sales for the three-months ended June 30, 2026 and 2025, respectively. Our Other segment represented 0.2% and 0.3% of our net sales for the three-months ended June 30, 2026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and expanding our international business. Net sales to customers outside the United States were $1.16 billion for the three-months ended June 30, 2026, an increase of approximately $298.9 million, or 34.6% higher than net sales to customers outside of the United States of $864.2 million for the three-months ended June 30, 2025. Such sales were approximately 46% and 41% of net sales for the three-months ended June 30, 2026 and 2025, respectively. Net changes in foreign currency exchange rates had a favorable impact on net sales to customers outside of the United States of approximately $48.5 million for the three-months ended June 30, 2026. Net sales to customers outside the United States, on a foreign currency adjusted basis, increased 29.0% for the three-months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three- and six-months ended June 30, 2026 and 2025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10205" w:type="dxa"/>
        <w:jc w:val="left"/>
        <w:tblInd w:w="0" w:type="dxa"/>
        <w:tblLayout w:type="fixed"/>
        <w:tblCellMar>
          <w:top w:w="0" w:type="dxa"/>
          <w:left w:w="0" w:type="dxa"/>
          <w:bottom w:w="0" w:type="dxa"/>
          <w:right w:w="0" w:type="dxa"/>
        </w:tblCellMar>
      </w:tblPr>
      <w:tblGrid>
        <w:gridCol w:w="5629"/>
        <w:gridCol w:w="346"/>
        <w:gridCol w:w="697"/>
        <w:gridCol w:w="478"/>
        <w:gridCol w:w="697"/>
        <w:gridCol w:w="361"/>
        <w:gridCol w:w="624"/>
        <w:gridCol w:w="428"/>
        <w:gridCol w:w="624"/>
        <w:gridCol w:w="321"/>
      </w:tblGrid>
      <w:tr>
        <w:trPr/>
        <w:tc>
          <w:tcPr>
            <w:tcW w:w="5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574415" cy="175260"/>
                      <wp:effectExtent l="0" t="0" r="0" b="0"/>
                      <wp:wrapNone/>
                      <wp:docPr id="441" name="Frame441"/>
                      <a:graphic xmlns:a="http://schemas.openxmlformats.org/drawingml/2006/main">
                        <a:graphicData uri="http://schemas.microsoft.com/office/word/2010/wordprocessingShape">
                          <wps:wsp>
                            <wps:cNvSpPr txBox="1"/>
                            <wps:spPr>
                              <a:xfrm>
                                <a:off x="0" y="0"/>
                                <a:ext cx="3574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42595" cy="175260"/>
                      <wp:effectExtent l="0" t="0" r="0" b="0"/>
                      <wp:wrapNone/>
                      <wp:docPr id="443" name="Frame443"/>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03530" cy="175260"/>
                      <wp:effectExtent l="0" t="0" r="0" b="0"/>
                      <wp:wrapNone/>
                      <wp:docPr id="444" name="Frame444"/>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42595" cy="175260"/>
                      <wp:effectExtent l="0" t="0" r="0" b="0"/>
                      <wp:wrapNone/>
                      <wp:docPr id="445" name="Frame445"/>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29235" cy="175260"/>
                      <wp:effectExtent l="0" t="0" r="0" b="0"/>
                      <wp:wrapNone/>
                      <wp:docPr id="446" name="Frame4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96240" cy="175260"/>
                      <wp:effectExtent l="0" t="0" r="0" b="0"/>
                      <wp:wrapNone/>
                      <wp:docPr id="447" name="Frame44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71780" cy="175260"/>
                      <wp:effectExtent l="0" t="0" r="0" b="0"/>
                      <wp:wrapNone/>
                      <wp:docPr id="448" name="Frame448"/>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96240" cy="175260"/>
                      <wp:effectExtent l="0" t="0" r="0" b="0"/>
                      <wp:wrapNone/>
                      <wp:docPr id="449" name="Frame449"/>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3835" cy="175260"/>
                      <wp:effectExtent l="0" t="0" r="0" b="0"/>
                      <wp:wrapNone/>
                      <wp:docPr id="450" name="Frame45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2"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61" w:type="dxa"/>
            <w:tcBorders/>
            <w:vAlign w:val="center"/>
          </w:tcPr>
          <w:p>
            <w:pPr>
              <w:pStyle w:val="TableContents"/>
              <w:bidi w:val="0"/>
              <w:spacing w:before="0" w:after="0"/>
              <w:ind w:left="0" w:right="0" w:hanging="0"/>
              <w:jc w:val="left"/>
              <w:rPr/>
            </w:pPr>
            <w:r>
              <w:rPr/>
              <w:t>​</w:t>
            </w:r>
          </w:p>
        </w:tc>
        <w:tc>
          <w:tcPr>
            <w:tcW w:w="16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c>
          <w:tcPr>
            <w:tcW w:w="321" w:type="dxa"/>
            <w:tcBorders/>
            <w:vAlign w:val="center"/>
          </w:tcPr>
          <w:p>
            <w:pPr>
              <w:pStyle w:val="TableContents"/>
              <w:bidi w:val="0"/>
              <w:spacing w:before="0" w:after="0"/>
              <w:ind w:left="0" w:right="0" w:hanging="0"/>
              <w:jc w:val="left"/>
              <w:rPr/>
            </w:pPr>
            <w:r>
              <w:rPr/>
              <w:t>​</w:t>
            </w:r>
          </w:p>
        </w:tc>
      </w:tr>
      <w:tr>
        <w:trPr/>
        <w:tc>
          <w:tcPr>
            <w:tcW w:w="5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61" w:type="dxa"/>
            <w:tcBorders/>
            <w:vAlign w:val="center"/>
          </w:tcPr>
          <w:p>
            <w:pPr>
              <w:pStyle w:val="TableContents"/>
              <w:bidi w:val="0"/>
              <w:spacing w:before="0" w:after="0"/>
              <w:ind w:left="0" w:right="0" w:hanging="0"/>
              <w:jc w:val="left"/>
              <w:rPr/>
            </w:pPr>
            <w:r>
              <w:rPr/>
              <w:t>​</w:t>
            </w:r>
          </w:p>
        </w:tc>
        <w:tc>
          <w:tcPr>
            <w:tcW w:w="16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1" w:type="dxa"/>
            <w:tcBorders/>
            <w:vAlign w:val="center"/>
          </w:tcPr>
          <w:p>
            <w:pPr>
              <w:pStyle w:val="TableContents"/>
              <w:bidi w:val="0"/>
              <w:spacing w:before="0" w:after="0"/>
              <w:ind w:left="0" w:right="0" w:hanging="0"/>
              <w:jc w:val="left"/>
              <w:rPr/>
            </w:pPr>
            <w:r>
              <w:rPr/>
              <w:t>​</w:t>
            </w:r>
          </w:p>
        </w:tc>
      </w:tr>
      <w:tr>
        <w:trPr/>
        <w:tc>
          <w:tcPr>
            <w:tcW w:w="5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478" w:type="dxa"/>
            <w:tcBorders/>
            <w:vAlign w:val="center"/>
          </w:tcPr>
          <w:p>
            <w:pPr>
              <w:pStyle w:val="TableContents"/>
              <w:bidi w:val="0"/>
              <w:spacing w:before="0" w:after="0"/>
              <w:ind w:left="0" w:right="0" w:hanging="0"/>
              <w:jc w:val="left"/>
              <w:rPr/>
            </w:pPr>
            <w:r>
              <w:rPr/>
              <w:t>  ​ ​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61" w:type="dxa"/>
            <w:tcBorders/>
            <w:vAlign w:val="center"/>
          </w:tcPr>
          <w:p>
            <w:pPr>
              <w:pStyle w:val="TableContents"/>
              <w:bidi w:val="0"/>
              <w:spacing w:before="0" w:after="0"/>
              <w:ind w:left="0" w:right="0" w:hanging="0"/>
              <w:jc w:val="left"/>
              <w:rPr/>
            </w:pPr>
            <w:r>
              <w:rPr/>
              <w:t>  ​ ​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428" w:type="dxa"/>
            <w:tcBorders/>
            <w:vAlign w:val="center"/>
          </w:tcPr>
          <w:p>
            <w:pPr>
              <w:pStyle w:val="TableContents"/>
              <w:bidi w:val="0"/>
              <w:spacing w:before="0" w:after="0"/>
              <w:ind w:left="0" w:right="0" w:hanging="0"/>
              <w:jc w:val="left"/>
              <w:rPr/>
            </w:pPr>
            <w:r>
              <w:rPr/>
              <w:t>  ​ ​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1" w:type="dxa"/>
            <w:tcBorders/>
            <w:vAlign w:val="center"/>
          </w:tcPr>
          <w:p>
            <w:pPr>
              <w:pStyle w:val="TableContents"/>
              <w:bidi w:val="0"/>
              <w:spacing w:before="0" w:after="0"/>
              <w:ind w:left="0" w:right="0" w:hanging="0"/>
              <w:jc w:val="left"/>
              <w:rPr/>
            </w:pPr>
            <w:r>
              <w:rPr/>
              <w:t>​</w:t>
            </w:r>
          </w:p>
        </w:tc>
      </w:tr>
      <w:tr>
        <w:trPr/>
        <w:tc>
          <w:tcPr>
            <w:tcW w:w="5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4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4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4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4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customers include Reyes Beverage Group, Ben E. Keith Company, J.J. Taylor Distributing and Admiral Beverage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16% and 15% of the Company’s net sales for the three-months ended June 30, 2026 and 2025, respectively. Coca-Cola Europacific Partners accounted for approximately 16% and 14% of the Company’s net sales for the six-months ended June 30, 2026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9% and 11% of the Company’s net sales for the three-months ended June 30, 2026 and 2025, respectively. Coca-Cola Consolidated, Inc. accounted for approximately 9% and 10% of the Company’s net sales for the six-months ended June 30, 2026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 and six-months ended June 30, 2026 and 2025.</w:t>
      </w:r>
    </w:p>
    <w:tbl>
      <w:tblPr>
        <w:tblW w:w="10205" w:type="dxa"/>
        <w:jc w:val="left"/>
        <w:tblInd w:w="0" w:type="dxa"/>
        <w:tblLayout w:type="fixed"/>
        <w:tblCellMar>
          <w:top w:w="0" w:type="dxa"/>
          <w:left w:w="0" w:type="dxa"/>
          <w:bottom w:w="0" w:type="dxa"/>
          <w:right w:w="0" w:type="dxa"/>
        </w:tblCellMar>
      </w:tblPr>
      <w:tblGrid>
        <w:gridCol w:w="1908"/>
        <w:gridCol w:w="346"/>
        <w:gridCol w:w="196"/>
        <w:gridCol w:w="826"/>
        <w:gridCol w:w="346"/>
        <w:gridCol w:w="196"/>
        <w:gridCol w:w="826"/>
        <w:gridCol w:w="346"/>
        <w:gridCol w:w="871"/>
        <w:gridCol w:w="346"/>
        <w:gridCol w:w="196"/>
        <w:gridCol w:w="826"/>
        <w:gridCol w:w="346"/>
        <w:gridCol w:w="196"/>
        <w:gridCol w:w="826"/>
        <w:gridCol w:w="346"/>
        <w:gridCol w:w="871"/>
        <w:gridCol w:w="391"/>
      </w:tblGrid>
      <w:tr>
        <w:trPr/>
        <w:tc>
          <w:tcPr>
            <w:tcW w:w="1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211580" cy="175260"/>
                      <wp:effectExtent l="0" t="0" r="0" b="0"/>
                      <wp:wrapNone/>
                      <wp:docPr id="451" name="Frame451"/>
                      <a:graphic xmlns:a="http://schemas.openxmlformats.org/drawingml/2006/main">
                        <a:graphicData uri="http://schemas.microsoft.com/office/word/2010/wordprocessingShape">
                          <wps:wsp>
                            <wps:cNvSpPr txBox="1"/>
                            <wps:spPr>
                              <a:xfrm>
                                <a:off x="0" y="0"/>
                                <a:ext cx="1211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24460" cy="175260"/>
                      <wp:effectExtent l="0" t="0" r="0" b="0"/>
                      <wp:wrapNone/>
                      <wp:docPr id="453" name="Frame4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24510" cy="175260"/>
                      <wp:effectExtent l="0" t="0" r="0" b="0"/>
                      <wp:wrapNone/>
                      <wp:docPr id="454" name="Frame4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4460" cy="175260"/>
                      <wp:effectExtent l="0" t="0" r="0" b="0"/>
                      <wp:wrapNone/>
                      <wp:docPr id="456"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24510" cy="175260"/>
                      <wp:effectExtent l="0" t="0" r="0" b="0"/>
                      <wp:wrapNone/>
                      <wp:docPr id="457" name="Frame4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53085" cy="175260"/>
                      <wp:effectExtent l="0" t="0" r="0" b="0"/>
                      <wp:wrapNone/>
                      <wp:docPr id="459" name="Frame45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24510" cy="175260"/>
                      <wp:effectExtent l="0" t="0" r="0" b="0"/>
                      <wp:wrapNone/>
                      <wp:docPr id="462" name="Frame4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64" name="Frame4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4510" cy="175260"/>
                      <wp:effectExtent l="0" t="0" r="0" b="0"/>
                      <wp:wrapNone/>
                      <wp:docPr id="465" name="Frame46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53085" cy="175260"/>
                      <wp:effectExtent l="0" t="0" r="0" b="0"/>
                      <wp:wrapNone/>
                      <wp:docPr id="467" name="Frame4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48285" cy="175260"/>
                      <wp:effectExtent l="0" t="0" r="0" b="0"/>
                      <wp:wrapNone/>
                      <wp:docPr id="468" name="Frame4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Three-Months Ended </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Percentage</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Six-Months Ended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Percentage</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thousands, except per share amounts)</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June 30, </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Change</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June 30, </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Change</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26 vs. 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26 vs. 25</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Net sales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2,111,593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4,890,764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3,966,150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1,117,839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935,180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2,177,781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1,741,775</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Gross profit*</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1,419,634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1,176,413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2,712,983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2,224,375</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as a percentage of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679,192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544,791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1,242,582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1,023,008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 as a percentage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740,442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631,622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1,470,401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1,201,367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as a percentage of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23,337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768,269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646,687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1,518,398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1,224,704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157,893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292,917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as a percentage of income before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584,540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1,154,025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931,787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as a percentage of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9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Energy drink case sales (in thousands) (in 192</w:t>
              <w:noBreakHyphen/>
              <w:t>ounce case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304,944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249,336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579,404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462,436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Includes $10.0 million for both the three-months ended June 30, 2026 and 2025, related to the recognition of deferred revenue. Includes $19.9 million for both the six-months ended June 30, 2026 and 2025, related to the recognition of deferred revenue.</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Three-Months Ended June 30, 2026 Compared to the Three-Months Ended June 30, 2025</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$2.54 billion for the three-months ended June 30, 2026, an increase of approximately $425.9 million, or 20.2% higher than net sales of $2.11 billion for the three-months ended June 30, 2025. Net sales increased primarily due to increased worldwide sales of our Monster Energy® brand energy drinks as a result of increased consumer demand. Net changes in foreign currency exchange rates had a favorable impact on net sales of approximately $48.5 million for the three-months ended June 30, 2026. Net sales on a foreign currency adjusted basis increased 17.9% for the three-months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$2.36 billion for the three-months ended June 30, 2026, an increase of approximately $418.8 million, or 21.6% higher than net sales of $1.94 billion for the three-months ended June 30, 2025. Net sales increased primarily due to increased worldwide sales of our Monster Energy® brand energy drinks as a result of increased consumer demand. Net changes in foreign currency exchange rates had a favorable impact on net sales for the Monster Energy® Drinks segment of approximately $45.3 million for the three-months ended June 30, 2026. Net sales for the Monster Energy® Drinks segment on a foreign currency adjusted basis increased 19.3% for the three-months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$143.7 million for the three-months ended June 30, 2026, an increase of approximately $13.8 million, or 10.6% higher than net sales of $129.9 million for the three-months ended June 30, 2025. Net sales for the Strategic Brands segment increased primarily due to increased sales of our Fury®, Predator® and Burn® brand energy drinks, partially offset by decreased sales of NOS® energy drinks. Net changes in foreign currency exchange rates had a favorable impact on net sales of approximately $3.3 million for the Strategic Brands segment for the three-months ended June 30, 2026. Net sales for the Strategic Brands segment on a foreign currency adjusted basis increased 8.1% for the three-months ended June 30, 2026.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$32.2 million for the three-months ended June 30, 2026, a decrease of approximately $5.8 million, or 15.2% lower than net sales of $38.0 million for the three-months ended June 30, 2025. The decrease in net sales for the three-months ended June 30, 2026 was primarily due to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$5.4 million for the three-months ended June 30, 2026, a decrease of approximately $1.0 million, or 15.3% lower than net sales of $6.4 million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304.9 million cases for the three-months ended June 30, 2026, an increase of approximately 55.6 million cases or 22.3% higher than case sales of 249.3 million cases for the three-months ended June 30, 2025. The overall average net sales per case for our energy drink products (excluding net sales of Alcohol Brands and Other segments) decreased marginally to $8.20 for the three-months ended June 30, 2026 from $8.29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craft beers, FMBs and hard seltzers, in 192-ounce equivalents, were 2.3 million cases for the three-months ended June 30, 2026, a decrease of approximately 0.5 million cases or 16.1% lower than case sales of 2.8 million cases for the three-months ended June 30, 2025. Barrel sales for our craft beers, FMBs and hard seltzers, in 31 U.S. gallon equivalents, were 0.11 million barrels for the three-months ended June 30, 2026, a decrease of approximately 0.03 million barrels or 16.1% lower than barrel sales of 0.14 million barrels for the three-months ended June 30, 2025.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$1.42 billion for the three-months ended June 30, 2026, an increase of approximately $243.2 million, or 20.7% higher than the gross profit of $1.18 billion for the three-months ended June 30, 2025. The increase in gross profit dollars was primarily the result of the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slightly to 55.9% for the three-months ended June 30, 2026 from 55.7% for the three-months ended June 30, 2025. The increase in gross profit as a percentage of net sales for the three-months ended June 30, 2026 was primarily the result of the Pricing Actions and product sales mix, partially offset by increased aluminum can costs, geographical sales mix and increased freight-in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$679.2 million for the three-months ended June 30, 2026, an increase of approximately $134.4 million, or 24.7% higher than total operating expenses of $544.8 million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$72.3 million, distribution expenses of $36.8 million and payroll expenses of $18.0 million. The increase in selling and marketing expenses was primarily due to increased social, digital, media and other marketing expenses, including sponsorships and endorsements, in order to reach a broader consumer audience and increase household penetration. Operating expenses as a percentage of net sales for the three-months ended June 30, 2026 and 2025 were 26.8% and 25.8%,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$740.4 million for the three-months ended June 30, 2026, an increase of approximately $108.8 million, or 17.2% higher than operating income of $631.6 million for the three-months ended June 30, 2025. Operating income as a percentage of net sales decreased to 29.2% for the three-months ended June 30, 2026 from 29.9%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$247.5 million and $164.1 million for the three-months ended June 30, 2026 and 2025, respectively, for our international operations, exclusive of Canada.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$875.7 million for the three-months ended June 30, 2026, an increase of approximately $118.2 million, or 15.6% higher than operating income of $757.5 million for the three-months ended June 30, 2025. The increase in operating income for the Monster Energy® Drinks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$66.3 million for the three-months ended June 30, 2026, a decrease of approximately $1.5 million, or 2.2% lower than operating income of $67.9 million for the three-months ended June 30, 2025. The decrease in operating income for the Strategic Brands segment was primarily the result of an increase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$7.3 million for the three-months ended June 30, 2026, a decrease of approximately $7.3 million, or 49.9% lower than the operating loss of $14.6 million for the three-months ended June 30, 2025. The decrease in operating loss for the three-months ended June 30, 2026 was primarily due to decreased general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Other segment, exclusive of corporate and unallocated expenses, was $0.2 million for the three-months ended June 30, 2026, as compared to operating income of $1.3 million for the three-months ended June 30,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net, was $27.8 million for the three-months ended June 30, 2026, as compared to interest and other income, net, of $15.1 million for the three-months ended June 30, 2025. Interest income was $36.0 million and $18.1 million for the three-months ended June 30, 2026 and 2025, respectively. Interest expense was $0.8 million and $1.8 million for the three-months ended June 30, 2026 and 2025, respectively. Foreign currency transaction losses were $6.0 million and $2.1 million for the three-months ended June 30, 2026 and 2025,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$183.7 million for the three-months ended June 30, 2026, an increase of $25.8 million from the provision for income taxes of $157.9 million for the three-months ended June 30, 2025. The effective combined federal, state and foreign tax rate decreased to 23.9% from 24.4% for the three-months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was $584.5 million for the three-months ended June 30, 2026, an increase of $95.7 million, or 19.6% higher than net income of $488.8 million for the three-months ended June 30, 2025.</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Six-Months Ended June 30, 2026 Compared to the Six-Months Ended June 30, 2025</w:t>
      </w:r>
      <w:r>
        <w:rPr>
          <w:rFonts w:ascii="Times New Roman;Times;serif" w:hAnsi="Times New Roman;Times;serif"/>
          <w:b/>
          <w:sz w:val="20"/>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sales were $4.89 billion for the six-months ended June 30, 2026, an increase of approximately $924.6 million, or 23.3% higher than net sales of $3.97 billion for the six-months ended June 30, 2025. Net sales increased primarily due to increased worldwide sales of our Monster Energy® brand energy drinks as a result of increased consumer demand. Net changes in foreign currency exchange rates had a favorable impact on net sales of approximately $137.8 million for the six-months ended June 30, 2026. Net sales on a foreign currency adjusted basis increased 19.8% for the six-months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$4.54 billion for the six-months ended June 30, 2026, an increase of approximately $891.9 million, or 24.4% higher than net sales of $3.65 billion for the six-months ended June 30, 2025. Net sales increased primarily due to increased worldwide sales of our Monster Energy® brand energy drinks as a result of increased consumer demand. Net changes in foreign currency exchange rates had a favorable impact on net sales for the Monster Energy® Drinks segment of approximately $127.2 million for the six-months ended June 30, 2026. Net sales for the Monster Energy® Drinks segment on a foreign currency adjusted basis increased 20.9% for the six-months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$270.4 million for the six-months ended June 30, 2026, an increase of approximately $42.2 million, or 18.5% higher than net sales of $228.2 million for the six-months ended June 30, 2025. Net sales for the Strategic Brands segment increased primarily due to increased sales of our Fury®, Predator® and Burn® brand energy drinks. Net changes in foreign currency exchange rates had a favorable impact on net sales of approximately $10.6 million for the Strategic Brands segment for the six-months ended June 30, 2026. Net sales for the Strategic Brands segment on a foreign currency adjusted basis increased 13.9% for the six-months ended June 30, 2026.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pBdr/>
        <w:shd w:fill="FFFFFF" w:val="clear"/>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$64.9 million for the six-months ended June 30, 2026, a decrease of approximately $7.8 million, or 10.8% lower than net sales of $72.7 million for the six-months ended June 30, 2025. The decrease in net sales for the six-months ended June 30, 2026 was primarily due to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$10.7 million for the six-months ended June 30, 2026, a decrease of approximately $1.7 million, or 13.7% lower than net sales of $12.4 million for the six-months ended June 30, 2025.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579.4 million cases for the six-months ended June 30, 2026, an increase of approximately 117.0 million cases or 25.3% higher than case sales of 462.4 million cases for the six-months ended June 30, 2025. The overall average net sales per case for our energy drink products (excluding net sales of Alcohol Brands and Other segments) decreased marginally to $8.31 for the six-months ended June 30, 2026 from $8.39 for the six-months ended June 30, 2025.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4.6 million cases for the six-months ended June 30, 2026, a decrease of approximately 0.6 million cases or 11.3% lower than case sales of 5.2 million cases for the six-months ended June 30, 2025. Barrel sales for our craft beers, FMBs and hard seltzers, in 31 U.S. gallon equivalents, were 0.22 million barrels for the six-months ended June 30, 2026, a decrease of approximately 0.03 million barrels or 11.3% lower than barrel sales of 0.25 million barrels for the six-months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was $2.71 billion for the six-months ended June 30, 2026, an increase of approximately $488.6 million, or 22.0% higher than the gross profit of $2.22 billion for the six-months ended June 30, 2025. The increase in gross profit dollars was primarily the result of the increase in net sales.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decreased to 55.5% for the six-months ended June 30, 2026 from 56.1% for the six-months ended June 30, 2025. The decrease in gross profit as a percentage of net sales for the six-months ended June 30, 2026 was primarily the result of geographical sales mix, increased aluminum can costs and increased freight-in costs, partially offset by the Pricing Actions and product sales mix.</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were $1.24 billion for the six-months ended June 30, 2026, an increase of approximately $219.6 million, or 21.5% higher than total operating expenses of $1.02 billion for the six-months ended June 30, 2025.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$95.0 million, distribution expenses of $62.0 million and payroll expenses of $46.4 million. Operating expenses as a percentage of net sales for the six-months ended June 30, 2026 and 2025 were 25.4% and 25.8%, respectively.</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was $1.47 billion for the six-months ended June 30, 2026, an increase of approximately $269.0 million, or 22.4% higher than operating income of $1.20 billion for the six-months ended June 30, 2025. Operating income as a percentage of net sales decreased to 30.1% for the six-months ended June 30, 2026 from 30.3% for the six-months ended June 30, 2025.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was $481.3 million and $306.7 million for the six-months ended June 30, 2026 and 2025, respectively, for our international operations, exclusive of Canada.</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$1.72 billion for the six-months ended June 30, 2026, an increase of approximately $286.7 million, or 19.9% higher than operating income of $1.44 billion for the six-months ended June 30, 2025. The increase in operating income for the Monster Energy® Drinks segment was primarily the result of an increase in net sales.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$130.2 million for the six-months ended June 30, 2026, an increase of approximately $10.5 million, or 8.7% higher than operating income of $119.8 million for the six-months ended June 30, 2025. The increase in operating income for the Strategic Brands segment was primarily the result of an increase in net sales.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$17.0 million for the six-months ended June 30, 2026, a decrease of approximately $19.1 million, or 53.0% lower than the operating loss of $36.1 million for the six-months ended June 30, 2025. The decrease in operating loss for the six-months ended June 30, 2026 was primarily due to decreased general administrative expenses.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$0.2 million for the six-months ended June 30, 2026, as compared to operating income of $1.5 million for the six-months ended June 30, 2025.</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and other income, net, was $48.0 million for the six-months ended June 30, 2026, as compared to interest and other income, net, of $23.3 million for the six-months ended June 30, 2025. Interest income was $64.6 million and $35.0 million for the six-months ended June 30, 2026 and 2025, respectively. Interest expense was $1.3 million and $5.8 million for the six-months ended June 30, 2026 and 2025, respectively. Foreign currency transaction losses were $12.8 million and $5.8 million for the six-months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Provision for income taxes was $364.4 million for the six-months ended June 30, 2026, an increase of $71.5 million from the provision for income taxes of $292.9 million for the six-months ended June 30, 2025. The effective combined federal, state and foreign tax rate increased to 24.0% from 23.9% for the six-months ended June 30, 2026 and 2025, respectively.</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was $1.15 billion for the six-months ended June 30, 2026, an increase of $222.2 million, or 23.9% higher than net income of $931.8 million for the six-months ended June 30, 2025.</w:t>
      </w:r>
    </w:p>
    <w:p>
      <w:pPr>
        <w:pStyle w:val="TextBody"/>
        <w:shd w:fill="FFFFFF" w:val="clea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Billings**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Three-Months Ended June 30, 2026 Compared to the Three-Months Ended June 30, 2025</w:t>
      </w:r>
      <w:r>
        <w:rPr>
          <w:rFonts w:ascii="Times New Roman;Times;serif" w:hAnsi="Times New Roman;Times;serif"/>
          <w:b/>
          <w:sz w:val="20"/>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were $2.99 billion for the three-months ended June 30, 2026, an increase of approximately $491.7 million, or 19.7% higher than gross billings of $2.50 billion for the three-months ended June 30, 2025. Gross billings increased primarily due to increased worldwide sales of our Monster Energy® brand energy drinks as a result of increased consumer demand. Net changes in foreign currency exchange rates had a favorable impact on gross billings of approximately $55.2 million for the three-months ended June 30, 2026. Gross billings on a foreign currency adjusted basis increased 17.5% for the three-months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$2.78 billion for the three-months ended June 30, 2026, an increase of approximately $480.5 million, or 20.9% higher than gross billings of $2.30 billion for the three-months ended June 30, 2025. Gross billings increased primarily due to increased worldwide sales of our Monster Energy® brand energy drinks as a result of increased consumer demand. Net changes in foreign currency exchange rates had a favorable impact on gross billings for the Monster Energy® Drinks segment of approximately $52.1 million for the three-months ended June 30, 2026. Gross billings for the Monster Energy® Drinks segment on a foreign currency adjusted basis increased 18.6% for the three-months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$170.1 million for the three-months ended June 30, 2026, an increase of $18.1 million, or 11.9% higher than gross billings of $152.0 million for the three-months ended June 30, 2025. Gross billings for the Strategic Brands segment increased primarily due to increased sales of our Fury®, Predator® and Burn® brand energy drinks. Net changes in foreign currency exchange rates had a favorable impact on gross billings in the Strategic Brands segment of approximately $3.1 million for the three-months ended June 30, 2026. Gross billings for the Strategic Brands segment on a foreign currency adjusted basis increased 9.8% for the three-months ended June 30, 2026.</w:t>
      </w:r>
    </w:p>
    <w:p>
      <w:pPr>
        <w:pStyle w:val="TextBody"/>
        <w:pBdr/>
        <w:shd w:fill="FFFFFF" w:val="clear"/>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$33.8 million for the three-months ended June 30, 2026, a decrease of approximately $6.0 million, or 15.1% lower than gross billings of $39.8 million for the three-months ended June 30, 2025. The decrease in gross billings for the three-months ended June 30, 2026 was primarily due to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$5.5 million for the three-months ended June 30, 2026, a decrease of $0.9 million, or 13.9% lower than gross billings of $6.4 million for the three-months ended June 30, 2025.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$464.9 million for the three-months ended June 30, 2026, an increase of $65.9 million, or 16.5% higher than promotional allowances, commissions and other expenses of $399.1 million for the three-months ended June 30, 2025. Promotional allowances, commissions and other expenses as a percentage of gross billings decreased to 15.5% from 16.0% for the three-months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Six-Months Ended June 30, 2026 Compared to the Six-Months Ended June 30, 2025</w:t>
      </w:r>
      <w:r>
        <w:rPr>
          <w:rFonts w:ascii="Times New Roman;Times;serif" w:hAnsi="Times New Roman;Times;serif"/>
          <w:b/>
          <w:sz w:val="20"/>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were $5.76 billion for the six-months ended June 30, 2026, an increase of approximately $1.10 billion, or 23.5% higher than gross billings of $4.66 billion for the six-months ended June 30, 2025. Gross billings increased primarily due to increased worldwide sales of our Monster Energy® brand energy drinks as a result of increased consumer demand. Net changes in foreign currency exchange rates had a favorable impact on gross billings of approximately $163.2 million for the six-months ended June 30, 2026. Gross billings on a foreign currency adjusted basis increased 20.0% for the six-months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$5.36 billion for the six-months ended June 30, 2026, an increase of approximately $1.05 billion, or 24.4% higher than gross billings of $4.31 billion for the six-months ended June 30, 2025. Gross billings increased primarily due to increased worldwide sales of our Monster Energy® brand energy drinks as a result of increased consumer demand. Net changes in foreign currency exchange rates had a favorable impact on gross billings for the Monster Energy® Drinks segment of approximately $152.8 million for the six-months ended June 30, 2026. Gross billings for the Monster Energy® Drinks segment on a foreign currency adjusted basis increased 20.9% for the six-months ended June 30, 2026.</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$319.4 million for the six-months ended June 30, 2026, an increase of $53.6 million, or 20.1% higher than gross billings of $265.8 million for the six-months ended June 30, 2025. Gross billings for the Strategic Brands segment increased primarily due to increased sales of our Fury®, Predator® and Burn® brand energy drinks. Net changes in foreign currency exchange rates had a favorable impact on gross billings in the Strategic Brands segment of approximately $10.4 million for the six-months ended June 30, 2026. Gross billings for the Strategic Brands segment on a foreign currency adjusted basis increased 16.2% for the six-months ended June 30, 2026.</w:t>
      </w:r>
    </w:p>
    <w:p>
      <w:pPr>
        <w:pStyle w:val="TextBody"/>
        <w:pBdr/>
        <w:shd w:fill="FFFFFF" w:val="clear"/>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$67.3 million for the six-months ended June 30, 2026, a decrease of approximately $8.7 million, or 11.5% lower than gross billings of $76.0 million for the six-months ended June 30, 2025. The decrease in gross billings for the six-months ended June 30, 2026 was primarily due to decreased sales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$10.9 million for the six-months ended June 30, 2026, a decrease of $1.7 million, or 13.4% lower than gross billings of $12.5 million for the six-months ended June 30, 2025.</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$887.5 million for the six-months ended June 30, 2026, an increase of $170.8 million, or 23.8% higher than promotional allowances, commissions and other expenses of $716.6 million for the six-months ended June 30, 2025. Promotional allowances, commissions and other expenses as a percentage of gross billings were 15.4% for both the six-months ended June 30, 2026 and 2025.</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2043"/>
        <w:gridCol w:w="346"/>
        <w:gridCol w:w="196"/>
        <w:gridCol w:w="826"/>
        <w:gridCol w:w="346"/>
        <w:gridCol w:w="196"/>
        <w:gridCol w:w="826"/>
        <w:gridCol w:w="346"/>
        <w:gridCol w:w="856"/>
        <w:gridCol w:w="346"/>
        <w:gridCol w:w="196"/>
        <w:gridCol w:w="826"/>
        <w:gridCol w:w="346"/>
        <w:gridCol w:w="196"/>
        <w:gridCol w:w="826"/>
        <w:gridCol w:w="346"/>
        <w:gridCol w:w="856"/>
        <w:gridCol w:w="286"/>
      </w:tblGrid>
      <w:tr>
        <w:trPr/>
        <w:tc>
          <w:tcPr>
            <w:tcW w:w="20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24460" cy="175260"/>
                      <wp:effectExtent l="0" t="0" r="0" b="0"/>
                      <wp:wrapNone/>
                      <wp:docPr id="470" name="Frame4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24510" cy="175260"/>
                      <wp:effectExtent l="0" t="0" r="0" b="0"/>
                      <wp:wrapNone/>
                      <wp:docPr id="471" name="Frame4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24460" cy="175260"/>
                      <wp:effectExtent l="0" t="0" r="0" b="0"/>
                      <wp:wrapNone/>
                      <wp:docPr id="473" name="Frame4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24510" cy="175260"/>
                      <wp:effectExtent l="0" t="0" r="0" b="0"/>
                      <wp:wrapNone/>
                      <wp:docPr id="474" name="Frame4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43560" cy="175260"/>
                      <wp:effectExtent l="0" t="0" r="0" b="0"/>
                      <wp:wrapNone/>
                      <wp:docPr id="476" name="Frame47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24460" cy="175260"/>
                      <wp:effectExtent l="0" t="0" r="0" b="0"/>
                      <wp:wrapNone/>
                      <wp:docPr id="478" name="Frame4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24510" cy="175260"/>
                      <wp:effectExtent l="0" t="0" r="0" b="0"/>
                      <wp:wrapNone/>
                      <wp:docPr id="479" name="Frame4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24460" cy="175260"/>
                      <wp:effectExtent l="0" t="0" r="0" b="0"/>
                      <wp:wrapNone/>
                      <wp:docPr id="481" name="Frame4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24510" cy="175260"/>
                      <wp:effectExtent l="0" t="0" r="0" b="0"/>
                      <wp:wrapNone/>
                      <wp:docPr id="482" name="Frame48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43560" cy="175260"/>
                      <wp:effectExtent l="0" t="0" r="0" b="0"/>
                      <wp:wrapNone/>
                      <wp:docPr id="484" name="Frame4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81610" cy="175260"/>
                      <wp:effectExtent l="0" t="0" r="0" b="0"/>
                      <wp:wrapNone/>
                      <wp:docPr id="485" name="Frame4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46" w:type="dxa"/>
            <w:tcBorders/>
            <w:vAlign w:val="center"/>
          </w:tcPr>
          <w:p>
            <w:pPr>
              <w:pStyle w:val="TableContents"/>
              <w:bidi w:val="0"/>
              <w:spacing w:before="0" w:after="0"/>
              <w:ind w:left="0" w:right="0" w:hanging="0"/>
              <w:jc w:val="left"/>
              <w:rPr/>
            </w:pPr>
            <w:r>
              <w:rPr/>
              <w:t>  ​ ​ ​</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Six-Months Ended</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286" w:type="dxa"/>
            <w:tcBorders/>
            <w:vAlign w:val="center"/>
          </w:tcPr>
          <w:p>
            <w:pPr>
              <w:pStyle w:val="TableContents"/>
              <w:bidi w:val="0"/>
              <w:spacing w:before="0" w:after="0"/>
              <w:ind w:left="0" w:right="0" w:hanging="0"/>
              <w:jc w:val="left"/>
              <w:rPr/>
            </w:pPr>
            <w:r>
              <w:rPr/>
              <w:t>​</w:t>
            </w:r>
          </w:p>
        </w:tc>
      </w:tr>
      <w:tr>
        <w:trPr/>
        <w:tc>
          <w:tcPr>
            <w:tcW w:w="20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46" w:type="dxa"/>
            <w:tcBorders/>
            <w:vAlign w:val="center"/>
          </w:tcPr>
          <w:p>
            <w:pPr>
              <w:pStyle w:val="TableContents"/>
              <w:bidi w:val="0"/>
              <w:spacing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286" w:type="dxa"/>
            <w:tcBorders/>
            <w:vAlign w:val="center"/>
          </w:tcPr>
          <w:p>
            <w:pPr>
              <w:pStyle w:val="TableContents"/>
              <w:bidi w:val="0"/>
              <w:spacing w:before="0" w:after="0"/>
              <w:ind w:left="0" w:right="0" w:hanging="0"/>
              <w:jc w:val="left"/>
              <w:rPr/>
            </w:pPr>
            <w:r>
              <w:rPr/>
              <w:t>​</w:t>
            </w:r>
          </w:p>
        </w:tc>
      </w:tr>
      <w:tr>
        <w:trPr/>
        <w:tc>
          <w:tcPr>
            <w:tcW w:w="20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26 vs. 25</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26 vs. 25</w:t>
            </w:r>
          </w:p>
        </w:tc>
        <w:tc>
          <w:tcPr>
            <w:tcW w:w="286" w:type="dxa"/>
            <w:tcBorders/>
            <w:vAlign w:val="center"/>
          </w:tcPr>
          <w:p>
            <w:pPr>
              <w:pStyle w:val="TableContents"/>
              <w:bidi w:val="0"/>
              <w:spacing w:before="0" w:after="0"/>
              <w:ind w:left="0" w:right="0" w:hanging="0"/>
              <w:jc w:val="left"/>
              <w:rPr/>
            </w:pPr>
            <w:r>
              <w:rPr/>
              <w:t>​</w:t>
            </w:r>
          </w:p>
        </w:tc>
      </w:tr>
      <w:tr>
        <w:trPr/>
        <w:tc>
          <w:tcPr>
            <w:tcW w:w="20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Billings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2,992,358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2,500,676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5,758,287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4,662,866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9,981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19,891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Promotional allowances, commissions and 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399,064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887,455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716,607</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2,537,473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2,111,593</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4,890,764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3,966,150</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and/or free products or cash rebates;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six-months ended June 30, 2026 and 2025,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tbl>
      <w:tblPr>
        <w:tblW w:w="10003"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931"/>
        <w:gridCol w:w="346"/>
        <w:gridCol w:w="211"/>
        <w:gridCol w:w="931"/>
        <w:gridCol w:w="34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91185" cy="175260"/>
                      <wp:effectExtent l="0" t="0" r="0" b="0"/>
                      <wp:wrapNone/>
                      <wp:docPr id="488" name="Frame4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91185" cy="175260"/>
                      <wp:effectExtent l="0" t="0" r="0" b="0"/>
                      <wp:wrapNone/>
                      <wp:docPr id="491" name="Frame4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91185" cy="175260"/>
                      <wp:effectExtent l="0" t="0" r="0" b="0"/>
                      <wp:wrapNone/>
                      <wp:docPr id="494" name="Frame4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19760" cy="175260"/>
                      <wp:effectExtent l="0" t="0" r="0" b="0"/>
                      <wp:wrapNone/>
                      <wp:docPr id="497" name="Frame4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4,890,764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3,966,150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2,499,852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2,067,214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3,881,094</w:t>
            </w:r>
          </w:p>
        </w:tc>
      </w:tr>
      <w:tr>
        <w:trPr/>
        <w:tc>
          <w:tcPr>
            <w:tcW w:w="40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361,085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101,351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462,436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8.39</w:t>
            </w:r>
          </w:p>
        </w:tc>
      </w:tr>
    </w:tbl>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 favorable impact on the overall average net sales per case for the three - and six-months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w:t>
      </w:r>
    </w:p>
    <w:tbl>
      <w:tblPr>
        <w:tblW w:w="8983" w:type="dxa"/>
        <w:jc w:val="left"/>
        <w:tblInd w:w="0" w:type="dxa"/>
        <w:tblLayout w:type="fixed"/>
        <w:tblCellMar>
          <w:top w:w="0" w:type="dxa"/>
          <w:left w:w="0" w:type="dxa"/>
          <w:bottom w:w="0" w:type="dxa"/>
          <w:right w:w="0" w:type="dxa"/>
        </w:tblCellMar>
      </w:tblPr>
      <w:tblGrid>
        <w:gridCol w:w="4006"/>
        <w:gridCol w:w="346"/>
        <w:gridCol w:w="211"/>
        <w:gridCol w:w="676"/>
        <w:gridCol w:w="346"/>
        <w:gridCol w:w="211"/>
        <w:gridCol w:w="676"/>
        <w:gridCol w:w="346"/>
        <w:gridCol w:w="211"/>
        <w:gridCol w:w="676"/>
        <w:gridCol w:w="346"/>
        <w:gridCol w:w="211"/>
        <w:gridCol w:w="72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543810" cy="175260"/>
                      <wp:effectExtent l="0" t="0" r="0" b="0"/>
                      <wp:wrapNone/>
                      <wp:docPr id="498" name="Frame498"/>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29260" cy="175260"/>
                      <wp:effectExtent l="0" t="0" r="0" b="0"/>
                      <wp:wrapNone/>
                      <wp:docPr id="501" name="Frame5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29260" cy="175260"/>
                      <wp:effectExtent l="0" t="0" r="0" b="0"/>
                      <wp:wrapNone/>
                      <wp:docPr id="504" name="Frame5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9260" cy="175260"/>
                      <wp:effectExtent l="0" t="0" r="0" b="0"/>
                      <wp:wrapNone/>
                      <wp:docPr id="507" name="Frame5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57835" cy="175260"/>
                      <wp:effectExtent l="0" t="0" r="0" b="0"/>
                      <wp:wrapNone/>
                      <wp:docPr id="510" name="Frame5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46" w:type="dxa"/>
            <w:tcBorders/>
            <w:vAlign w:val="center"/>
          </w:tcPr>
          <w:p>
            <w:pPr>
              <w:pStyle w:val="TableContents"/>
              <w:bidi w:val="0"/>
              <w:spacing w:before="0" w:after="0"/>
              <w:ind w:left="0" w:right="0" w:hanging="0"/>
              <w:jc w:val="center"/>
              <w:rPr/>
            </w:pPr>
            <w:r>
              <w:rPr/>
              <w:t>​</w:t>
            </w:r>
          </w:p>
        </w:tc>
        <w:tc>
          <w:tcPr>
            <w:tcW w:w="216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6" w:type="dxa"/>
            <w:tcBorders/>
            <w:vAlign w:val="center"/>
          </w:tcPr>
          <w:p>
            <w:pPr>
              <w:pStyle w:val="TableContents"/>
              <w:bidi w:val="0"/>
              <w:spacing w:before="0" w:after="0"/>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righ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At June 30, 2026, we had $2.19 billion in cash and cash equivalents, $1.23 billion in short-term investments, and $781.3 million in long-term investments, including commercial paper, municipal securities, U.S. government agency securities, U.S. treasuries and corporate bonds.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the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 our $2.19 billion of cash and cash equivalents held at June 30, 2026, $912.8 million was held by our foreign subsidiaries. No short-term or long-term investments were held by our foreign subsidiaries at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June 30, 2026, no borrowings were outstanding under the Credit Facilities, and the Company was in compliance with all covenants under the Amended Credit Agreement. As of August 5, 2026, the Revolving Credit Facility had remaining availability of $500.0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we estimate that capital expenditures (exclusive of common stock repurchases) are likely to be less than $250.0 million through June 30, 2027. However, future business opportunities may cause a change in this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six-months ended June 30, 2026 and 2025 (in thousands):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(used in):</w:t>
      </w:r>
    </w:p>
    <w:tbl>
      <w:tblPr>
        <w:tblW w:w="4732" w:type="dxa"/>
        <w:jc w:val="left"/>
        <w:tblInd w:w="0" w:type="dxa"/>
        <w:tblLayout w:type="fixed"/>
        <w:tblCellMar>
          <w:top w:w="0" w:type="dxa"/>
          <w:left w:w="0" w:type="dxa"/>
          <w:bottom w:w="0" w:type="dxa"/>
          <w:right w:w="0" w:type="dxa"/>
        </w:tblCellMar>
      </w:tblPr>
      <w:tblGrid>
        <w:gridCol w:w="1741"/>
        <w:gridCol w:w="346"/>
        <w:gridCol w:w="211"/>
        <w:gridCol w:w="931"/>
        <w:gridCol w:w="346"/>
        <w:gridCol w:w="211"/>
        <w:gridCol w:w="946"/>
      </w:tblGrid>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1185" cy="175260"/>
                      <wp:effectExtent l="0" t="0" r="0" b="0"/>
                      <wp:wrapNone/>
                      <wp:docPr id="513" name="Frame5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5"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00710" cy="175260"/>
                      <wp:effectExtent l="0" t="0" r="0" b="0"/>
                      <wp:wrapNone/>
                      <wp:docPr id="516" name="Frame51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973,616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(357,729)</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(308,972)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$1.11 billion for the six-months ended June 30, 2026, as compared with cash provided by operating activities of $973.6 million for the six-months ended June 30, 2025.</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2026, cash provided by operating activities was primarily attributable to net income earned of $1.15 billion and adjustments for certain non-cash expenses, consisting primarily of $65.9 million of depreciation and amortization and non-cash lease expense and $64.0 million of stock-based compensation. For the six-months ended June 30, 2026, cash provided by operating activities also increased due to a $192.2 million increase in accounts payable, a $56.5 million increase in accrued promotional allowances, a $25.8 million increase in income taxes payable, and an $18.4 million increase in accrued liabilities. For the six-months ended June 30, 2026, cash used in operating activities was primarily attributable to a $290.4 million increase in accounts receivable, a $73.8 million increase in inventories, a $62.3 million increase in prepaid expenses and other assets, and a $27.1 million decrease in accrued compensation.</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2025, cash provided by operating activities was primarily attributable to net income earned of $931.8 million and adjustments for certain non-cash expenses, consisting primarily of $59.4 million of depreciation and amortization and non-cash lease expense and $53.9 million of stock-based compensation. For the six-months ended June 30, 2025, cash provided by operating activities also increased due to a $104.6 million decrease in inventories, a $71.5 million increase in accrued promotional allowances, a $28.5 million increase in accrued liabilities, a $21.1 million increase in income taxes payable, and a $14.5 million decrease in prepaid income taxes. For the six-months ended June 30, 2025, cash used in operating activities was primarily attributable to a $222.2 million increase in accounts receivable, a $63.7 million increase in prepaid expenses and other assets, a $22.1 million decrease in accrued compensation, and an $8.6 million decrease in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investing activities. </w:t>
      </w:r>
      <w:r>
        <w:rPr>
          <w:rFonts w:ascii="Times New Roman;Times;serif" w:hAnsi="Times New Roman;Times;serif"/>
          <w:sz w:val="20"/>
        </w:rPr>
        <w:t>Cash used in investing activities was $929.3 million for the six-months ended June 30, 2026, as compared to cash used in investing activities of $357.7 million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2026 and 2025, cash used in investing activities was primarily attributable to purchases of available-for-sale investments. To a lesser extent, for both the six-months ended June 30, 2026 and 2025,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equipment used for sales and administrative activities, certain leasehold improvements, as well as construction of and/or improvements to real property. For the six-months ended June 30, 2026, cash provided by investing activities was primarily attributable to sales and maturities of available-for-sale investments. We expect to continue to use a portion of our cash in excess of our requirements for operations to purchase short-term and long-term investments, leasehold improvements, and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financing activities. </w:t>
      </w:r>
      <w:r>
        <w:rPr>
          <w:rFonts w:ascii="Times New Roman;Times;serif" w:hAnsi="Times New Roman;Times;serif"/>
          <w:sz w:val="20"/>
        </w:rPr>
        <w:t>Cash used in financing activities was $58.7 million for the six-months ended June 30, 2026, as compared to cash used in financing activities of $309.0 million for the six-months ended June 30, 2025. The cash used in financing activities for the six-months ended June 30, 2026 was primarily attributable to repurchases of our common stock. The cash used in financing activities for the six-months ended June 30, 2025 was primarily due to repayments on the Credit Facilities and, to a lesser extent, repurchases of our common stock. The cash provided by financing activities for both the six-months ended June 30, 2026 and 2025 was primarily attributable to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June 30, 2026:</w:t>
      </w:r>
    </w:p>
    <w:tbl>
      <w:tblPr>
        <w:tblW w:w="8895"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781"/>
        <w:gridCol w:w="346"/>
        <w:gridCol w:w="211"/>
        <w:gridCol w:w="781"/>
        <w:gridCol w:w="346"/>
        <w:gridCol w:w="211"/>
        <w:gridCol w:w="676"/>
        <w:gridCol w:w="346"/>
        <w:gridCol w:w="235"/>
        <w:gridCol w:w="75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72235" cy="175260"/>
                      <wp:effectExtent l="0" t="0" r="0" b="0"/>
                      <wp:wrapNone/>
                      <wp:docPr id="517" name="Frame51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91185" cy="175260"/>
                      <wp:effectExtent l="0" t="0" r="0" b="0"/>
                      <wp:wrapNone/>
                      <wp:docPr id="520" name="Frame5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95935" cy="175260"/>
                      <wp:effectExtent l="0" t="0" r="0" b="0"/>
                      <wp:wrapNone/>
                      <wp:docPr id="523"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4"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95935" cy="175260"/>
                      <wp:effectExtent l="0" t="0" r="0" b="0"/>
                      <wp:wrapNone/>
                      <wp:docPr id="526" name="Frame5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29260" cy="175260"/>
                      <wp:effectExtent l="0" t="0" r="0" b="0"/>
                      <wp:wrapNone/>
                      <wp:docPr id="529" name="Frame5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9710" cy="175260"/>
                      <wp:effectExtent l="0" t="0" r="0" b="0"/>
                      <wp:wrapNone/>
                      <wp:docPr id="530"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49225" cy="175260"/>
                      <wp:effectExtent l="0" t="0" r="0" b="0"/>
                      <wp:wrapNone/>
                      <wp:docPr id="531" name="Frame53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80060" cy="175260"/>
                      <wp:effectExtent l="0" t="0" r="0" b="0"/>
                      <wp:wrapNone/>
                      <wp:docPr id="532" name="Frame53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5,554</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87,364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5,776</w:t>
            </w:r>
          </w:p>
        </w:tc>
      </w:tr>
    </w:tbl>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pBdr/>
        <w:bidi w:val="0"/>
        <w:spacing w:lineRule="auto" w:line="240" w:before="0" w:after="240"/>
        <w:ind w:left="0" w:right="0" w:hanging="72"/>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approximately $3.6 million of unrecognized tax benefits have been recorded as liabilities as of June 30, 2026. As of June 30, 2026, we had $1.1 million of accrued interest and penalties related to unrecognized tax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2025 (“Form 10-K”).</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 Recent Accounting Pronouncements, in Part I, Item 1, of this Quarterly Report on Form 10-Q.</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 and six-months ended June 30, 2026.</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and adequacy of funds from operations and the Revolving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and/or surpass the current level of sales of our products, to adapt to changing consumer preferences, and to effectively respond to competitive products and pricing pressures;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and achieving profitability within our Alcohol Brands segment;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 and e-commerce websites;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reduce or pass on to our bottlers/distributors increases in costs and expenses, including, but not limited to, increases to the cost of aluminum and other raw materials, the Midwest Premium, and freight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U.S. presidential administration’s policies on our energy drinks due to concerns about sugar-sweetened beverages, particular ingredients, such as food dyes, and the “generally recognized as safe” (GRAS)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in U.S. trade policies, including the imposition of additional tariffs;</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adverse changes in our costs, supply chain, inflation or consumer demand for our products;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new and/or increased excise sales and/or other taxes on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extensive commercial arrangements with The Coca-Cola Company (TCCC) and, as a result, our future performance’s substantial dependence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allocation of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price and/or availability of raw materials and other supply chain issues, such as the availability of products, suitable production facilities and/or co-packing arrangements;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recalls of our products and/or the consequences and costs of defective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manufacturing facilities and operations related to climate, labor, production difficulties, capacity limitations, regulations or other causes;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and/or lack of effectiveness of our information technology systems, including internal and external cybersecurity threats and breaches;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resulting from legal or regulatory proceedings, government investigations, and/or injunctions;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including the abuse or misuse of our products, presented by the alcoholic beverage industry and/or related claims that may not be adequately covered by insurance or may lead to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uncertainty and volatility in the national and global economy and changes in demand due to such economic conditions, including a slowdown in consumer spending generally;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military and geopolitical conflicts, including supply chain disruptions, volatility in commodity prices, increased economic uncertainty and escalating geopolitical tensions; and</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completion of the Company’s two-for-one stock split.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1152"/>
        <w:jc w:val="both"/>
        <w:rPr>
          <w:rFonts w:ascii="Times New Roman;Times;serif" w:hAnsi="Times New Roman;Times;serif"/>
          <w:b/>
          <w:sz w:val="20"/>
        </w:rPr>
      </w:pPr>
      <w:bookmarkStart w:id="2068" w:name="ITEM3QUANTITATIVEANDQUALITATIVEDISCLOSUR"/>
      <w:bookmarkStart w:id="2069" w:name="_2ca6a4da_a6cf_44c5_8a81_7d145e44368d"/>
      <w:bookmarkEnd w:id="2068"/>
      <w:bookmarkEnd w:id="2069"/>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 and six-months ended June 30, 2026 compared with the disclosures in Part II, Item 7A of our Form 10-K.</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2070" w:name="ITEM4CONTROLSANDPROCEDURES_270637"/>
      <w:bookmarkStart w:id="2071" w:name="_34d150b9_7319_4558_a82c_3eae3a2e11fa"/>
      <w:bookmarkEnd w:id="2070"/>
      <w:bookmarkEnd w:id="2071"/>
      <w:r>
        <w:rPr>
          <w:rFonts w:ascii="Times New Roman;Times;serif" w:hAnsi="Times New Roman;Times;serif"/>
          <w:b/>
          <w:sz w:val="20"/>
        </w:rPr>
        <w:t>ITEM 4.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072" w:name="PARTIIOTHERINFORMATION_669833"/>
      <w:bookmarkStart w:id="2073" w:name="_78a0dadd_5c5e_4c3c_826a_902277aa7964"/>
      <w:bookmarkEnd w:id="2072"/>
      <w:bookmarkEnd w:id="2073"/>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2074" w:name="ITEM1LEGALPROCEEDINGS_448899"/>
      <w:bookmarkEnd w:id="2074"/>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10.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2075" w:name="ITEM1ARISKFACTORS_609704"/>
      <w:bookmarkStart w:id="2076" w:name="_bee173e9_625b_4b2b_be26_041edf76caa1"/>
      <w:bookmarkEnd w:id="2075"/>
      <w:bookmarkEnd w:id="2076"/>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77" w:name="ITEM2UNREGISTEREDSALESOFEQUITY_417570"/>
      <w:bookmarkStart w:id="2078" w:name="_ae208a23_f862_4bda_9a3b_bf9d3c37a048"/>
      <w:bookmarkStart w:id="2079" w:name="ITEM2UNREGISTEREDSALESOFEQUITY_417570"/>
      <w:bookmarkStart w:id="2080" w:name="_ae208a23_f862_4bda_9a3b_bf9d3c37a048"/>
      <w:bookmarkEnd w:id="2079"/>
      <w:bookmarkEnd w:id="2080"/>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June 30, 2026, no shares were repurchased under the August 2024 Repurchase Plan. As of August 5, 2026, approximately $400.0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14, 2026, the Company’s Board of Directors authorized a share repurchase program for the purchase of up to an additional $500.0 million of the Company’s outstanding common stock (the “May 2026 Repurchase Plan”). During the three-months ended June 30, 2026, no shares were repurchased under the May 2026 Repurchase Plan. As of August 5, 2026, approximately $500.0 million remained available for repurchase under the May 2026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approximately $900.0 million as of August 5,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2026, 1,358 shares of common stock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June 30, 2026.</w:t>
      </w:r>
    </w:p>
    <w:tbl>
      <w:tblPr>
        <w:tblW w:w="9862" w:type="dxa"/>
        <w:jc w:val="left"/>
        <w:tblInd w:w="0" w:type="dxa"/>
        <w:tblLayout w:type="fixed"/>
        <w:tblCellMar>
          <w:top w:w="0" w:type="dxa"/>
          <w:left w:w="0" w:type="dxa"/>
          <w:bottom w:w="0" w:type="dxa"/>
          <w:right w:w="0" w:type="dxa"/>
        </w:tblCellMar>
      </w:tblPr>
      <w:tblGrid>
        <w:gridCol w:w="2446"/>
        <w:gridCol w:w="346"/>
        <w:gridCol w:w="1231"/>
        <w:gridCol w:w="346"/>
        <w:gridCol w:w="332"/>
        <w:gridCol w:w="898"/>
        <w:gridCol w:w="346"/>
        <w:gridCol w:w="1576"/>
        <w:gridCol w:w="346"/>
        <w:gridCol w:w="383"/>
        <w:gridCol w:w="1612"/>
      </w:tblGrid>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3"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81685" cy="175260"/>
                      <wp:effectExtent l="0" t="0" r="0" b="0"/>
                      <wp:wrapNone/>
                      <wp:docPr id="534" name="Frame53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0820" cy="175260"/>
                      <wp:effectExtent l="0" t="0" r="0" b="0"/>
                      <wp:wrapNone/>
                      <wp:docPr id="536" name="Frame53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70230" cy="175260"/>
                      <wp:effectExtent l="0" t="0" r="0" b="0"/>
                      <wp:wrapNone/>
                      <wp:docPr id="537" name="Frame53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000760" cy="175260"/>
                      <wp:effectExtent l="0" t="0" r="0" b="0"/>
                      <wp:wrapNone/>
                      <wp:docPr id="539" name="Frame53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43205" cy="175260"/>
                      <wp:effectExtent l="0" t="0" r="0" b="0"/>
                      <wp:wrapNone/>
                      <wp:docPr id="541" name="Frame54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023620" cy="175260"/>
                      <wp:effectExtent l="0" t="0" r="0" b="0"/>
                      <wp:wrapNone/>
                      <wp:docPr id="542" name="Frame542"/>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4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4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4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4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4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46" w:type="dxa"/>
            <w:tcBorders/>
            <w:vAlign w:val="center"/>
          </w:tcPr>
          <w:p>
            <w:pPr>
              <w:pStyle w:val="TableContents"/>
              <w:bidi w:val="0"/>
              <w:spacing w:before="0" w:after="0"/>
              <w:ind w:left="0" w:right="0" w:hanging="0"/>
              <w:jc w:val="center"/>
              <w:rPr/>
            </w:pPr>
            <w:r>
              <w:rPr/>
              <w:t>  ​ ​ ​</w:t>
            </w:r>
          </w:p>
        </w:tc>
        <w:tc>
          <w:tcPr>
            <w:tcW w:w="12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Purchased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center"/>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46" w:type="dxa"/>
            <w:tcBorders/>
            <w:vAlign w:val="center"/>
          </w:tcPr>
          <w:p>
            <w:pPr>
              <w:pStyle w:val="TableContents"/>
              <w:bidi w:val="0"/>
              <w:spacing w:before="0" w:after="0"/>
              <w:ind w:left="0" w:right="0" w:hanging="0"/>
              <w:jc w:val="center"/>
              <w:rPr/>
            </w:pPr>
            <w:r>
              <w:rPr/>
              <w:t>  ​ ​ ​</w:t>
            </w:r>
          </w:p>
        </w:tc>
        <w:tc>
          <w:tcPr>
            <w:tcW w:w="15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center"/>
              <w:rPr/>
            </w:pPr>
            <w:r>
              <w:rPr/>
              <w:t>  ​ ​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 1 – Apr 30, 2026</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0"/>
              <w:ind w:left="0" w:right="0" w:hanging="0"/>
              <w:jc w:val="center"/>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75.17</w:t>
            </w:r>
          </w:p>
        </w:tc>
        <w:tc>
          <w:tcPr>
            <w:tcW w:w="346"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14, 2026 Authorization</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77.12</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 1 – Jun 30, 2026</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88.24</w:t>
            </w:r>
          </w:p>
        </w:tc>
        <w:tc>
          <w:tcPr>
            <w:tcW w:w="346" w:type="dxa"/>
            <w:tcBorders/>
            <w:vAlign w:val="center"/>
          </w:tcPr>
          <w:p>
            <w:pPr>
              <w:pStyle w:val="TableContents"/>
              <w:bidi w:val="0"/>
              <w:spacing w:before="0" w:after="0"/>
              <w:ind w:left="0" w:right="0" w:hanging="0"/>
              <w:jc w:val="left"/>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shd w:fill="CCEEFF" w:val="clear"/>
            <w:vAlign w:val="center"/>
          </w:tcPr>
          <w:p>
            <w:pPr>
              <w:pStyle w:val="TableContents"/>
              <w:bidi w:val="0"/>
              <w:spacing w:before="0" w:after="0"/>
              <w:ind w:left="0" w:right="0" w:hanging="0"/>
              <w:jc w:val="righ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81.09</w:t>
            </w:r>
          </w:p>
        </w:tc>
        <w:tc>
          <w:tcPr>
            <w:tcW w:w="346" w:type="dxa"/>
            <w:tcBorders/>
            <w:shd w:fill="CCEEFF" w:val="clear"/>
            <w:vAlign w:val="center"/>
          </w:tcPr>
          <w:p>
            <w:pPr>
              <w:pStyle w:val="TableContents"/>
              <w:bidi w:val="0"/>
              <w:spacing w:before="0" w:after="0"/>
              <w:ind w:left="0" w:right="0" w:hanging="0"/>
              <w:jc w:val="right"/>
              <w:rPr/>
            </w:pPr>
            <w:r>
              <w:rPr/>
              <w:t> </w:t>
            </w:r>
          </w:p>
        </w:tc>
        <w:tc>
          <w:tcPr>
            <w:tcW w:w="1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900,000</w:t>
            </w:r>
          </w:p>
        </w:tc>
      </w:tr>
    </w:tbl>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total number of shares purchased includes (1) shares repurchased, if any, pursuant to the August 2024 Repurchase Plan and the May 2026 Repurchase Plan, and (2) shares repurchased, if any, to satisfy exercise price and/or tax withholding obligations in connection with exercises of employee stock options and/or the vesting of restricted stock issued to employees.</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5"/>
        </w:rPr>
        <w:t>2</w:t>
      </w:r>
      <w:r>
        <w:rPr>
          <w:rFonts w:ascii="Times New Roman;Times;serif" w:hAnsi="Times New Roman;Times;serif"/>
          <w:i/>
          <w:sz w:val="18"/>
        </w:rPr>
        <w:t>On August 19, 2024, the Company’s Board of Directors authorized the August 2024 Repurchase Plan. On May 14, 2026, the Company’s Board of Directors authorized the May 2026 Repurchase Plan. Board authorization of the repurchase plans remains in effect until shares in the amount authorized thereunder have been repurchased.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81" w:name="ITEM3DEFAULTSUPONSENIORSECURITIES_753663"/>
      <w:bookmarkStart w:id="2082" w:name="_838a0081_ad6f_4a19_864f_5237f620bed7"/>
      <w:bookmarkEnd w:id="2081"/>
      <w:bookmarkEnd w:id="2082"/>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83" w:name="ITEM4MINESAFETYDISCLOSURES_417702"/>
      <w:bookmarkStart w:id="2084" w:name="_d17525c6_950f_48f5_a49f_61b2069d0624"/>
      <w:bookmarkEnd w:id="2083"/>
      <w:bookmarkEnd w:id="2084"/>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2085" w:name="ITEM5OTHERINFORMATION_353440"/>
      <w:bookmarkStart w:id="2086" w:name="_91f08a58_8976_4f4a_85f2_0318c4a93eae"/>
      <w:bookmarkEnd w:id="2085"/>
      <w:bookmarkEnd w:id="2086"/>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June 30, 2026,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087" w:name="ITEM6EXHIBITS_20622"/>
      <w:bookmarkStart w:id="2088" w:name="_c61cad43_07b2_40a1_b17d_29f4c78ab240"/>
      <w:bookmarkEnd w:id="2087"/>
      <w:bookmarkEnd w:id="2088"/>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505"/>
        <w:gridCol w:w="346"/>
        <w:gridCol w:w="9354"/>
      </w:tblGrid>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54" w:type="dxa"/>
            <w:tcBorders/>
            <w:vAlign w:val="center"/>
          </w:tcPr>
          <w:p>
            <w:pPr>
              <w:pStyle w:val="TableContents"/>
              <w:bidi w:val="0"/>
              <w:spacing w:before="0" w:after="0"/>
              <w:ind w:left="0" w:right="0" w:hanging="0"/>
              <w:jc w:val="left"/>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both"/>
              <w:rPr/>
            </w:pPr>
            <w:r>
              <w:rPr/>
              <w:t>  ​ ​ ​</w:t>
            </w:r>
          </w:p>
        </w:tc>
        <w:tc>
          <w:tcPr>
            <w:tcW w:w="935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505"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p>
        </w:tc>
      </w:tr>
      <w:tr>
        <w:trPr/>
        <w:tc>
          <w:tcPr>
            <w:tcW w:w="505"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hyperlink w:anchor="mnst-20260630xex10d1.htm">
              <w:r>
                <w:rPr>
                  <w:rStyle w:val="InternetLink"/>
                  <w:rFonts w:ascii="Times New Roman;Times;serif" w:hAnsi="Times New Roman;Times;serif"/>
                  <w:b w:val="false"/>
                  <w:i w:val="false"/>
                  <w:caps w:val="false"/>
                  <w:smallCaps w:val="false"/>
                  <w:sz w:val="20"/>
                </w:rPr>
                <w:t>Amendment to Stock Option Agreements between Monster Beverage Corporation and Rodney C. Sacks.</w:t>
              </w:r>
            </w:hyperlink>
          </w:p>
        </w:tc>
      </w:tr>
      <w:tr>
        <w:trPr/>
        <w:tc>
          <w:tcPr>
            <w:tcW w:w="505"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both"/>
              <w:rPr/>
            </w:pPr>
            <w:r>
              <w:rPr/>
              <w:t>  ​ ​</w:t>
            </w:r>
          </w:p>
        </w:tc>
        <w:tc>
          <w:tcPr>
            <w:tcW w:w="9354" w:type="dxa"/>
            <w:tcBorders/>
            <w:vAlign w:val="center"/>
          </w:tcPr>
          <w:p>
            <w:pPr>
              <w:pStyle w:val="TableContents"/>
              <w:bidi w:val="0"/>
              <w:spacing w:before="0" w:after="0"/>
              <w:ind w:left="0" w:right="0" w:hanging="0"/>
              <w:jc w:val="both"/>
              <w:rPr/>
            </w:pPr>
            <w:hyperlink w:anchor="mnst-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354" w:type="dxa"/>
            <w:tcBorders/>
            <w:vAlign w:val="center"/>
          </w:tcPr>
          <w:p>
            <w:pPr>
              <w:pStyle w:val="TableContents"/>
              <w:bidi w:val="0"/>
              <w:spacing w:before="0" w:after="0"/>
              <w:ind w:left="0" w:right="0" w:hanging="0"/>
              <w:jc w:val="left"/>
              <w:rPr/>
            </w:pPr>
            <w:hyperlink w:anchor="mnst-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hyperlink w:anchor="mnst-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hyperlink w:anchor="mnst-20260630xex32d2.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June 30, 2026, formatted in iXBRL (Inline eXtensible Business Reporting Language): (i) Condensed Consolidated Balance Sheets as of June 30, 2026 and December 31, 2025, (ii) Condensed Consolidated Statements of Income for the three - and six-months ended June 30, 2026 and 2025, (iii) Condensed Consolidated Statements of Comprehensive Income for the three- and six-months ended June 30, 2026 and 2025, (iv) Condensed Consolidated Statements of Stockholders’ Equity for the three- and six-months ended June 30, 2026 and 2025, (v) Condensed Consolidated Statements of Cash Flows for the six-months ended June 30, 2026 and 2025, and (vi) the Notes to Condensed Consolidated Financial Statements.</w:t>
            </w:r>
          </w:p>
        </w:tc>
      </w:tr>
      <w:tr>
        <w:trPr/>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pPr>
            <w:r>
              <w:rPr/>
              <w:t>​</w:t>
            </w:r>
          </w:p>
        </w:tc>
      </w:tr>
      <w:tr>
        <w:trPr/>
        <w:tc>
          <w:tcPr>
            <w:tcW w:w="5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both"/>
              <w:rPr/>
            </w:pPr>
            <w:r>
              <w:rPr/>
              <w:t>​</w:t>
            </w:r>
          </w:p>
        </w:tc>
        <w:tc>
          <w:tcPr>
            <w:tcW w:w="93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June 30, 2026, formatted in iXBRL (Inline eXtensible Business Reporting Language) and contained in Exhibit 101.</w:t>
            </w:r>
          </w:p>
        </w:tc>
      </w:tr>
    </w:tbl>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b/>
          <w:sz w:val="15"/>
        </w:rPr>
        <w:t>*</w:t>
      </w:r>
      <w:r>
        <w:rPr>
          <w:rFonts w:ascii="Times New Roman;Times;serif" w:hAnsi="Times New Roman;Times;serif"/>
          <w:sz w:val="20"/>
        </w:rPr>
        <w:t>Filed herewith.</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w:t>
      </w:r>
      <w:r>
        <w:rPr>
          <w:rFonts w:ascii="Times New Roman;Times;serif" w:hAnsi="Times New Roman;Times;serif"/>
          <w:sz w:val="20"/>
        </w:rPr>
        <w:t>Management contract or compensatory plan or arrangements.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89" w:name="SIGNATURES_652864"/>
      <w:bookmarkStart w:id="2090" w:name="_cd0a53e4_e1ab_4e68_90f4_548e1e3ca447"/>
      <w:bookmarkEnd w:id="2089"/>
      <w:bookmarkEnd w:id="2090"/>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17" w:type="dxa"/>
        <w:jc w:val="left"/>
        <w:tblInd w:w="0" w:type="dxa"/>
        <w:tblLayout w:type="fixed"/>
        <w:tblCellMar>
          <w:top w:w="0" w:type="dxa"/>
          <w:left w:w="0" w:type="dxa"/>
          <w:bottom w:w="0" w:type="dxa"/>
          <w:right w:w="0" w:type="dxa"/>
        </w:tblCellMar>
      </w:tblPr>
      <w:tblGrid>
        <w:gridCol w:w="1846"/>
        <w:gridCol w:w="3571"/>
      </w:tblGrid>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bookmarkStart w:id="2091" w:name="mnst-20260630xex10d1.htm"/>
      <w:bookmarkStart w:id="2092" w:name="ksmnst20260630xex10d1"/>
      <w:bookmarkEnd w:id="2091"/>
      <w:bookmarkEnd w:id="209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STOCK OPTION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THIS AMENDMENT TO STOCK OPTION AGREEMENTS </w:t>
      </w:r>
      <w:r>
        <w:rPr>
          <w:rFonts w:ascii="Times New Roman;Times;serif" w:hAnsi="Times New Roman;Times;serif"/>
          <w:sz w:val="20"/>
        </w:rPr>
        <w:t>(this “</w:t>
      </w:r>
      <w:r>
        <w:rPr>
          <w:rFonts w:ascii="Times New Roman;Times;serif" w:hAnsi="Times New Roman;Times;serif"/>
          <w:b/>
          <w:i/>
          <w:sz w:val="20"/>
        </w:rPr>
        <w:t>Amendment</w:t>
      </w:r>
      <w:r>
        <w:rPr>
          <w:rFonts w:ascii="Times New Roman;Times;serif" w:hAnsi="Times New Roman;Times;serif"/>
          <w:sz w:val="20"/>
        </w:rPr>
        <w:t>”), dated as of May 14, 2026, is made by and between Monster Beverage Corporation, a Delaware corporation (the “</w:t>
      </w:r>
      <w:r>
        <w:rPr>
          <w:rFonts w:ascii="Times New Roman;Times;serif" w:hAnsi="Times New Roman;Times;serif"/>
          <w:b/>
          <w:i/>
          <w:sz w:val="20"/>
        </w:rPr>
        <w:t>Company</w:t>
      </w:r>
      <w:r>
        <w:rPr>
          <w:rFonts w:ascii="Times New Roman;Times;serif" w:hAnsi="Times New Roman;Times;serif"/>
          <w:sz w:val="20"/>
        </w:rPr>
        <w:t>”), and Rodney C. Sacks (the “</w:t>
      </w:r>
      <w:r>
        <w:rPr>
          <w:rFonts w:ascii="Times New Roman;Times;serif" w:hAnsi="Times New Roman;Times;serif"/>
          <w:b/>
          <w:i/>
          <w:sz w:val="20"/>
        </w:rPr>
        <w:t>Participant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previously adopted (i) the Monster Beverage Corporation 2011 Omnibus Incentive Plan (as amended, restated or supplemented from time to time, the “</w:t>
      </w:r>
      <w:r>
        <w:rPr>
          <w:rFonts w:ascii="Times New Roman;Times;serif" w:hAnsi="Times New Roman;Times;serif"/>
          <w:b/>
          <w:i/>
          <w:sz w:val="20"/>
        </w:rPr>
        <w:t>2011 Plan</w:t>
      </w:r>
      <w:r>
        <w:rPr>
          <w:rFonts w:ascii="Times New Roman;Times;serif" w:hAnsi="Times New Roman;Times;serif"/>
          <w:sz w:val="20"/>
        </w:rPr>
        <w:t>”) and (ii) the Monster Beverage Corporation 2020 Omnibus Incentive Plan (as amended, restated or supplemented from time to time, the “</w:t>
      </w:r>
      <w:r>
        <w:rPr>
          <w:rFonts w:ascii="Times New Roman;Times;serif" w:hAnsi="Times New Roman;Times;serif"/>
          <w:b/>
          <w:i/>
          <w:sz w:val="20"/>
        </w:rPr>
        <w:t>2020 Plan</w:t>
      </w:r>
      <w:r>
        <w:rPr>
          <w:rFonts w:ascii="Times New Roman;Times;serif" w:hAnsi="Times New Roman;Times;serif"/>
          <w:sz w:val="20"/>
        </w:rPr>
        <w:t>” and together with the 2011 Plan, the “</w:t>
      </w:r>
      <w:r>
        <w:rPr>
          <w:rFonts w:ascii="Times New Roman;Times;serif" w:hAnsi="Times New Roman;Times;serif"/>
          <w:b/>
          <w:i/>
          <w:sz w:val="20"/>
        </w:rPr>
        <w:t>Plans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pursuant to the terms and conditions of the Plans (as applicable), the Company previously granted the Participant an option to purchase shares of common stock of the Company pursuant to the (i) Stock Option Agreement, dated as of March 14, 2018 (the “</w:t>
      </w:r>
      <w:r>
        <w:rPr>
          <w:rFonts w:ascii="Times New Roman;Times;serif" w:hAnsi="Times New Roman;Times;serif"/>
          <w:b/>
          <w:i/>
          <w:sz w:val="20"/>
        </w:rPr>
        <w:t>2018 Stock Option Agreement</w:t>
      </w:r>
      <w:r>
        <w:rPr>
          <w:rFonts w:ascii="Times New Roman;Times;serif" w:hAnsi="Times New Roman;Times;serif"/>
          <w:sz w:val="20"/>
        </w:rPr>
        <w:t>”), (ii) Stock Option Agreement, dated as of March 14, 2019 (the “</w:t>
      </w:r>
      <w:r>
        <w:rPr>
          <w:rFonts w:ascii="Times New Roman;Times;serif" w:hAnsi="Times New Roman;Times;serif"/>
          <w:b/>
          <w:i/>
          <w:sz w:val="20"/>
        </w:rPr>
        <w:t>2019 Stock Option Agreement</w:t>
      </w:r>
      <w:r>
        <w:rPr>
          <w:rFonts w:ascii="Times New Roman;Times;serif" w:hAnsi="Times New Roman;Times;serif"/>
          <w:sz w:val="20"/>
        </w:rPr>
        <w:t>”), (iii) Stock Option Agreement, dated as of March 13, 2020 (the “</w:t>
      </w:r>
      <w:r>
        <w:rPr>
          <w:rFonts w:ascii="Times New Roman;Times;serif" w:hAnsi="Times New Roman;Times;serif"/>
          <w:b/>
          <w:i/>
          <w:sz w:val="20"/>
        </w:rPr>
        <w:t>2020 Stock Option Agreement</w:t>
      </w:r>
      <w:r>
        <w:rPr>
          <w:rFonts w:ascii="Times New Roman;Times;serif" w:hAnsi="Times New Roman;Times;serif"/>
          <w:sz w:val="20"/>
        </w:rPr>
        <w:t>”), (iv) Stock Option Agreement, dated as of March 12, 2021 (the “</w:t>
      </w:r>
      <w:r>
        <w:rPr>
          <w:rFonts w:ascii="Times New Roman;Times;serif" w:hAnsi="Times New Roman;Times;serif"/>
          <w:b/>
          <w:i/>
          <w:sz w:val="20"/>
        </w:rPr>
        <w:t>2021 Stock Option Agreement</w:t>
      </w:r>
      <w:r>
        <w:rPr>
          <w:rFonts w:ascii="Times New Roman;Times;serif" w:hAnsi="Times New Roman;Times;serif"/>
          <w:sz w:val="20"/>
        </w:rPr>
        <w:t>”), (v) Stock Option Agreement, dated as of March 14, 2022 (the “</w:t>
      </w:r>
      <w:r>
        <w:rPr>
          <w:rFonts w:ascii="Times New Roman;Times;serif" w:hAnsi="Times New Roman;Times;serif"/>
          <w:b/>
          <w:i/>
          <w:sz w:val="20"/>
        </w:rPr>
        <w:t>2022 Stock Option Agreement</w:t>
      </w:r>
      <w:r>
        <w:rPr>
          <w:rFonts w:ascii="Times New Roman;Times;serif" w:hAnsi="Times New Roman;Times;serif"/>
          <w:sz w:val="20"/>
        </w:rPr>
        <w:t>”), (vi) Stock Option Agreement, dated as of March 14, 2023 (the “</w:t>
      </w:r>
      <w:r>
        <w:rPr>
          <w:rFonts w:ascii="Times New Roman;Times;serif" w:hAnsi="Times New Roman;Times;serif"/>
          <w:b/>
          <w:i/>
          <w:sz w:val="20"/>
        </w:rPr>
        <w:t>2023 Stock Option Agreement</w:t>
      </w:r>
      <w:r>
        <w:rPr>
          <w:rFonts w:ascii="Times New Roman;Times;serif" w:hAnsi="Times New Roman;Times;serif"/>
          <w:sz w:val="20"/>
        </w:rPr>
        <w:t>”), and (vii) Stock Option Agreement, dated as of March 14, 2024 (the “</w:t>
      </w:r>
      <w:r>
        <w:rPr>
          <w:rFonts w:ascii="Times New Roman;Times;serif" w:hAnsi="Times New Roman;Times;serif"/>
          <w:b/>
          <w:i/>
          <w:sz w:val="20"/>
        </w:rPr>
        <w:t>2024 Stock Option Agreement</w:t>
      </w:r>
      <w:r>
        <w:rPr>
          <w:rFonts w:ascii="Times New Roman;Times;serif" w:hAnsi="Times New Roman;Times;serif"/>
          <w:sz w:val="20"/>
        </w:rPr>
        <w:t>”, and together with the 2018 Stock Option Agreement, 2019 Stock Option Agreement, 2020 Stock Option Agreement, 2021 Stock Option Agreement, 2022 Stock Option Agreement, and 2023 Stock Option Agreement, the “</w:t>
      </w:r>
      <w:r>
        <w:rPr>
          <w:rFonts w:ascii="Times New Roman;Times;serif" w:hAnsi="Times New Roman;Times;serif"/>
          <w:b/>
          <w:i/>
          <w:sz w:val="20"/>
        </w:rPr>
        <w:t>Stock Option Agreements</w:t>
      </w:r>
      <w:r>
        <w:rPr>
          <w:rFonts w:ascii="Times New Roman;Times;serif" w:hAnsi="Times New Roman;Times;serif"/>
          <w:sz w:val="20"/>
        </w:rPr>
        <w:t>”), in each case, by and between the Company and the Participant;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Participant desire to amend the Stock Option Agreements as provided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w:t>
      </w:r>
      <w:r>
        <w:rPr>
          <w:rFonts w:ascii="Times New Roman;Times;serif" w:hAnsi="Times New Roman;Times;serif"/>
          <w:sz w:val="20"/>
        </w:rPr>
        <w:t xml:space="preserve">, </w:t>
      </w:r>
      <w:r>
        <w:rPr>
          <w:rFonts w:ascii="Times New Roman;Times;serif" w:hAnsi="Times New Roman;Times;serif"/>
          <w:b/>
          <w:sz w:val="20"/>
        </w:rPr>
        <w:t>THEREFORE</w:t>
      </w:r>
      <w:r>
        <w:rPr>
          <w:rFonts w:ascii="Times New Roman;Times;serif" w:hAnsi="Times New Roman;Times;serif"/>
          <w:sz w:val="20"/>
        </w:rPr>
        <w:t>, effective as of the date of this Amendment,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Each of the 2018 Stock Option Agreement, the 2019 Stock Option Agreement and the 2020 Stock Option Agreement is hereby amended by replacing Section 2 therein with the following new Section 2:</w:t>
      </w:r>
    </w:p>
    <w:p>
      <w:pPr>
        <w:pStyle w:val="TextBody"/>
        <w:bidi w:val="0"/>
        <w:spacing w:before="0" w:after="240"/>
        <w:ind w:left="720" w:right="720" w:hanging="0"/>
        <w:jc w:val="left"/>
        <w:rPr/>
      </w:pPr>
      <w:r>
        <w:rPr>
          <w:caps w:val="false"/>
          <w:smallCaps w:val="false"/>
        </w:rPr>
        <w:t>“</w:t>
      </w: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Exercise Period</w:t>
      </w:r>
      <w:r>
        <w:rPr>
          <w:rFonts w:ascii="Times New Roman;Times;serif" w:hAnsi="Times New Roman;Times;serif"/>
          <w:sz w:val="20"/>
        </w:rPr>
        <w:t>. The Option shall expire on the earlier of (a) three years from the termination of the Participant’s employment with the Company or its Subsidiaries and (b) the expiration date specified in Section 3(d) below, unless the employment is terminated by the Company or its Subsidiaries for Cause (as defined below) or unless the employment is terminated by reason of the death or Total Disability (as defined below) of Participant. If the Participant’s employment is terminated by the Company or its Subsidiaries for Cause, the Option shall expire as of the date employment terminates. If the Participant’s employment terminates due to his death or Total Disability, then the Option may be exercised</w:t>
      </w:r>
    </w:p>
    <w:p>
      <w:pPr>
        <w:pStyle w:val="TextBody"/>
        <w:bidi w:val="0"/>
        <w:spacing w:before="0" w:after="240"/>
        <w:ind w:left="72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by Participant or the person or persons to which Participant’s rights under this Agreement pass by will, or if no such person has such right, by his executors or administrators, within six months after the date of death or Total Disability, but no later than the expiration date specified in Section 3(d) below. “Cause” means the Participant’s act(s) of fraud or dishonesty, knowing and material failure to comply with applicable laws or regulations, or drug or alcohol abuse, in any case as determined by the Committee. “Total Disability” means the complete and permanent inability of the Participant to perform all of his or her duties under the terms of his or her employment with the Company or its Subsidiaries, as determined by the Committee upon the basis of such evidence, including independent medical reports and data, the Committee deems appropriate or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Each of the 2021 Stock Option Agreement, the 2022 Stock Option Agreement, the 2023 Stock Option Agreement and the 2024 Stock Option Agreement is hereby amended by replacing Section 2 therein with the following new Section 2:</w:t>
      </w:r>
    </w:p>
    <w:p>
      <w:pPr>
        <w:pStyle w:val="TextBody"/>
        <w:bidi w:val="0"/>
        <w:spacing w:before="0" w:after="240"/>
        <w:ind w:left="720" w:right="720" w:hanging="0"/>
        <w:jc w:val="left"/>
        <w:rPr/>
      </w:pPr>
      <w:r>
        <w:rPr>
          <w:caps w:val="false"/>
          <w:smallCaps w:val="false"/>
        </w:rPr>
        <w:t>“</w:t>
      </w: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Exercise Period</w:t>
      </w:r>
      <w:r>
        <w:rPr>
          <w:rFonts w:ascii="Times New Roman;Times;serif" w:hAnsi="Times New Roman;Times;serif"/>
          <w:sz w:val="20"/>
        </w:rPr>
        <w:t>. The unvested portion of the Option Award shall expire upon the termination of Participant’s employment with, or services to, the Company or its Subsidiaries as an Employee or a Director (the “Services”) without consideration therefor, and the vested portion of the Option Award shall remain exercisable for (i) six (6) months following the termination of the Services by reason of death or Disability or (ii) three (3) years following termination of the Services for any reason other than by reason of death or Disability, and other than a termination of the Services by the Company for Cause (as defined below); provided that, in each of the foregoing cases, the Option Award shall not remain exercisable any later than the expiration date specified in Section 3(b) below. If the Services are terminated by the Company for Cause, then both the unvested and the vested portion of the Option Award shall automatically expire upon the termination of the Services by the Company for Cause without consideration therefor. “Cause” means (a) the Company or an Affiliate having “cause” to terminate the Services, as defined in any employment or consulting agreement or similar services agreement between Participant and the Company or an Affiliate in effect at the time of such termination, or (b) in the absence of any such employment, consulting or similar services agreement (or the absence of any definition of “Cause” contained therein), means, as determined by the Committee, Participant’s (i) act(s) of fraud or dishonesty, (ii) knowing and material failure to comply with applicable laws or regulations or satisfactorily perform Participant’s services with the Company or its Affiliates, (iii) insubordination or (iv) drug or alcohol abuse. 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Service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Except as specifically set forth herein, the Stock Option Agreements remain unchanged and in full force and effect. In the event of inconsistency between the terms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 Option Agreements and this Amendment, this Amendment shall take precedence and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is intentionally left blank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Company has caused this Amendment to be executed by a duly authorized officer and the Participant has executed this Amendment both as of the day and year first above written.</w:t>
      </w:r>
    </w:p>
    <w:p>
      <w:pPr>
        <w:pStyle w:val="TextBody"/>
        <w:bidi w:val="0"/>
        <w:spacing w:before="0" w:after="0"/>
        <w:ind w:left="0" w:right="0" w:firstLine="720"/>
        <w:jc w:val="both"/>
        <w:rPr/>
      </w:pPr>
      <w:r>
        <w:rPr/>
        <w:t>​</w:t>
      </w:r>
    </w:p>
    <w:tbl>
      <w:tblPr>
        <w:tblW w:w="5657" w:type="dxa"/>
        <w:jc w:val="center"/>
        <w:tblInd w:w="0" w:type="dxa"/>
        <w:tblLayout w:type="fixed"/>
        <w:tblCellMar>
          <w:top w:w="0" w:type="dxa"/>
          <w:left w:w="0" w:type="dxa"/>
          <w:bottom w:w="0" w:type="dxa"/>
          <w:right w:w="0" w:type="dxa"/>
        </w:tblCellMar>
      </w:tblPr>
      <w:tblGrid>
        <w:gridCol w:w="1741"/>
        <w:gridCol w:w="346"/>
        <w:gridCol w:w="487"/>
        <w:gridCol w:w="308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105535" cy="175260"/>
                      <wp:effectExtent l="0" t="0" r="0" b="0"/>
                      <wp:wrapNone/>
                      <wp:docPr id="543" name="Frame54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309245" cy="175260"/>
                      <wp:effectExtent l="0" t="0" r="0" b="0"/>
                      <wp:wrapNone/>
                      <wp:docPr id="544" name="Frame544"/>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957705" cy="175260"/>
                      <wp:effectExtent l="0" t="0" r="0" b="0"/>
                      <wp:wrapNone/>
                      <wp:docPr id="545" name="Frame545"/>
                      <a:graphic xmlns:a="http://schemas.openxmlformats.org/drawingml/2006/main">
                        <a:graphicData uri="http://schemas.microsoft.com/office/word/2010/wordprocessingShape">
                          <wps:wsp>
                            <wps:cNvSpPr txBox="1"/>
                            <wps:spPr>
                              <a:xfrm>
                                <a:off x="0" y="0"/>
                                <a:ext cx="195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c>
          <w:tcPr>
            <w:tcW w:w="346" w:type="dxa"/>
            <w:tcBorders/>
            <w:vAlign w:val="center"/>
          </w:tcPr>
          <w:p>
            <w:pPr>
              <w:pStyle w:val="TableContents"/>
              <w:bidi w:val="0"/>
              <w:spacing w:before="0" w:after="0"/>
              <w:ind w:left="0" w:right="0" w:hanging="0"/>
              <w:jc w:val="left"/>
              <w:rPr/>
            </w:pPr>
            <w:r>
              <w:rPr/>
              <w:t>  ​ ​ ​</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c>
          <w:tcPr>
            <w:tcW w:w="3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Hilton H. Schlosberg</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c>
          <w:tcPr>
            <w:tcW w:w="30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p>
      <w:pPr>
        <w:pStyle w:val="TextBody"/>
        <w:bidi w:val="0"/>
        <w:spacing w:before="0" w:after="122"/>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Amendment to Stock Option Agreements</w:t>
      </w:r>
      <w:r>
        <w:rPr>
          <w:rFonts w:ascii="Times New Roman;Times;serif" w:hAnsi="Times New Roman;Times;serif"/>
          <w:sz w:val="20"/>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93" w:name="mnst-20260630xex31d1.htm"/>
      <w:bookmarkStart w:id="2094" w:name="ksmnst20260630xex31d1"/>
      <w:bookmarkEnd w:id="2093"/>
      <w:bookmarkEnd w:id="2094"/>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642" w:type="dxa"/>
        <w:jc w:val="center"/>
        <w:tblInd w:w="0" w:type="dxa"/>
        <w:tblLayout w:type="fixed"/>
        <w:tblCellMar>
          <w:top w:w="0" w:type="dxa"/>
          <w:left w:w="0" w:type="dxa"/>
          <w:bottom w:w="0" w:type="dxa"/>
          <w:right w:w="0" w:type="dxa"/>
        </w:tblCellMar>
      </w:tblPr>
      <w:tblGrid>
        <w:gridCol w:w="1846"/>
        <w:gridCol w:w="3796"/>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846" w:type="dxa"/>
            <w:tcBorders/>
            <w:vAlign w:val="center"/>
          </w:tcPr>
          <w:p>
            <w:pPr>
              <w:pStyle w:val="TableContents"/>
              <w:bidi w:val="0"/>
              <w:spacing w:before="0" w:after="0"/>
              <w:ind w:left="0" w:right="0" w:hanging="0"/>
              <w:jc w:val="left"/>
              <w:rPr/>
            </w:pPr>
            <w:r>
              <w:rPr/>
              <w:t>​</w:t>
            </w:r>
          </w:p>
        </w:tc>
        <w:tc>
          <w:tcPr>
            <w:tcW w:w="37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846"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of Directors and </w:t>
              <w:b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95" w:name="mnst-20260630xex31d2.htm"/>
      <w:bookmarkStart w:id="2096" w:name="ksmnst20260630xex31d2"/>
      <w:bookmarkEnd w:id="2095"/>
      <w:bookmarkEnd w:id="2096"/>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Thomas Kelly,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857" w:type="dxa"/>
        <w:jc w:val="center"/>
        <w:tblInd w:w="0" w:type="dxa"/>
        <w:tblLayout w:type="fixed"/>
        <w:tblCellMar>
          <w:top w:w="0" w:type="dxa"/>
          <w:left w:w="0" w:type="dxa"/>
          <w:bottom w:w="0" w:type="dxa"/>
          <w:right w:w="0" w:type="dxa"/>
        </w:tblCellMar>
      </w:tblPr>
      <w:tblGrid>
        <w:gridCol w:w="1846"/>
        <w:gridCol w:w="20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846"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8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97" w:name="mnst-20260630xex32d1.htm"/>
      <w:bookmarkStart w:id="2098" w:name="ksmnst20260630xex32d1"/>
      <w:bookmarkEnd w:id="2097"/>
      <w:bookmarkEnd w:id="209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2026 as filed with the Securities and Exchange Commission (the “Report”), the undersigned, Hilton H. Schlosberg, Vice Chairman of the Board of Directors and Chief Executive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687" w:type="dxa"/>
        <w:jc w:val="center"/>
        <w:tblInd w:w="0" w:type="dxa"/>
        <w:tblLayout w:type="fixed"/>
        <w:tblCellMar>
          <w:top w:w="0" w:type="dxa"/>
          <w:left w:w="0" w:type="dxa"/>
          <w:bottom w:w="0" w:type="dxa"/>
          <w:right w:w="0" w:type="dxa"/>
        </w:tblCellMar>
      </w:tblPr>
      <w:tblGrid>
        <w:gridCol w:w="1936"/>
        <w:gridCol w:w="3751"/>
      </w:tblGrid>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936" w:type="dxa"/>
            <w:tcBorders/>
            <w:vAlign w:val="center"/>
          </w:tcPr>
          <w:p>
            <w:pPr>
              <w:pStyle w:val="TableContents"/>
              <w:bidi w:val="0"/>
              <w:spacing w:before="0" w:after="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93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b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99" w:name="mnst-20260630xex32d2.htm"/>
      <w:bookmarkStart w:id="2100" w:name="ksmnst20260630xex32d2"/>
      <w:bookmarkEnd w:id="2099"/>
      <w:bookmarkEnd w:id="210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2026 as filed with the Securities and Exchange Commission (the “Report”), the undersigned, Thomas J. Kelly, Chief Financial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857" w:type="dxa"/>
        <w:jc w:val="center"/>
        <w:tblInd w:w="0" w:type="dxa"/>
        <w:tblLayout w:type="fixed"/>
        <w:tblCellMar>
          <w:top w:w="0" w:type="dxa"/>
          <w:left w:w="0" w:type="dxa"/>
          <w:bottom w:w="0" w:type="dxa"/>
          <w:right w:w="0" w:type="dxa"/>
        </w:tblCellMar>
      </w:tblPr>
      <w:tblGrid>
        <w:gridCol w:w="1846"/>
        <w:gridCol w:w="20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846"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8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4115332/tm242778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23948</Words>
  <Characters>135706</Characters>
  <CharactersWithSpaces>163792</CharactersWithSpaces>
  <Paragraphs>9584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