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383540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426720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4" w:lineRule="exact"/>
        <w:rPr>
          <w:sz w:val="24"/>
          <w:szCs w:val="24"/>
          <w:color w:val="auto"/>
        </w:rPr>
      </w:pPr>
    </w:p>
    <w:p>
      <w:pPr>
        <w:spacing w:after="0"/>
        <w:tabs>
          <w:tab w:leader="none" w:pos="6780" w:val="left"/>
        </w:tabs>
        <w:rPr>
          <w:sz w:val="20"/>
          <w:szCs w:val="20"/>
          <w:color w:val="auto"/>
        </w:rPr>
      </w:pPr>
      <w:r>
        <w:rPr>
          <w:rFonts w:ascii="Arial" w:cs="Arial" w:eastAsia="Arial" w:hAnsi="Arial"/>
          <w:sz w:val="18"/>
          <w:szCs w:val="18"/>
          <w:color w:val="auto"/>
        </w:rPr>
        <w:t>For the quarterly period ended June 30, 2019</w:t>
      </w:r>
      <w:r>
        <w:rPr>
          <w:sz w:val="20"/>
          <w:szCs w:val="20"/>
          <w:color w:val="auto"/>
        </w:rPr>
        <w:tab/>
      </w:r>
      <w:r>
        <w:rPr>
          <w:rFonts w:ascii="Arial" w:cs="Arial" w:eastAsia="Arial" w:hAnsi="Arial"/>
          <w:sz w:val="16"/>
          <w:szCs w:val="16"/>
          <w:color w:val="auto"/>
        </w:rPr>
        <w:t>Commission File Number 001-18761</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Delaware</w:t>
            </w:r>
          </w:p>
        </w:tc>
        <w:tc>
          <w:tcPr>
            <w:tcW w:w="4000" w:type="dxa"/>
            <w:vAlign w:val="bottom"/>
            <w:gridSpan w:val="3"/>
          </w:tcPr>
          <w:p>
            <w:pPr>
              <w:ind w:left="100"/>
              <w:spacing w:after="0"/>
              <w:rPr>
                <w:sz w:val="20"/>
                <w:szCs w:val="20"/>
                <w:color w:val="auto"/>
              </w:rPr>
            </w:pPr>
            <w:r>
              <w:rPr>
                <w:rFonts w:ascii="Arial" w:cs="Arial" w:eastAsia="Arial" w:hAnsi="Arial"/>
                <w:sz w:val="18"/>
                <w:szCs w:val="18"/>
                <w:color w:val="auto"/>
              </w:rPr>
              <w:t>47-1809393</w:t>
            </w:r>
          </w:p>
        </w:tc>
      </w:tr>
      <w:tr>
        <w:trPr>
          <w:trHeight w:val="191"/>
        </w:trPr>
        <w:tc>
          <w:tcPr>
            <w:tcW w:w="2360" w:type="dxa"/>
            <w:vAlign w:val="bottom"/>
          </w:tcPr>
          <w:p>
            <w:pPr>
              <w:spacing w:after="0"/>
              <w:rPr>
                <w:sz w:val="16"/>
                <w:szCs w:val="16"/>
                <w:color w:val="auto"/>
              </w:rPr>
            </w:pPr>
          </w:p>
        </w:tc>
        <w:tc>
          <w:tcPr>
            <w:tcW w:w="3700" w:type="dxa"/>
            <w:vAlign w:val="bottom"/>
            <w:gridSpan w:val="3"/>
          </w:tcPr>
          <w:p>
            <w:pPr>
              <w:ind w:left="220"/>
              <w:spacing w:after="0"/>
              <w:rPr>
                <w:sz w:val="20"/>
                <w:szCs w:val="20"/>
                <w:color w:val="auto"/>
              </w:rPr>
            </w:pPr>
            <w:r>
              <w:rPr>
                <w:rFonts w:ascii="Arial" w:cs="Arial" w:eastAsia="Arial" w:hAnsi="Arial"/>
                <w:sz w:val="14"/>
                <w:szCs w:val="14"/>
                <w:color w:val="auto"/>
              </w:rPr>
              <w:t>(State or other jurisdiction of</w:t>
            </w:r>
          </w:p>
        </w:tc>
        <w:tc>
          <w:tcPr>
            <w:tcW w:w="4000" w:type="dxa"/>
            <w:vAlign w:val="bottom"/>
            <w:gridSpan w:val="3"/>
          </w:tcPr>
          <w:p>
            <w:pPr>
              <w:ind w:left="100"/>
              <w:spacing w:after="0"/>
              <w:rPr>
                <w:sz w:val="20"/>
                <w:szCs w:val="20"/>
                <w:color w:val="auto"/>
              </w:rPr>
            </w:pPr>
            <w:r>
              <w:rPr>
                <w:rFonts w:ascii="Arial" w:cs="Arial" w:eastAsia="Arial" w:hAnsi="Arial"/>
                <w:sz w:val="14"/>
                <w:szCs w:val="14"/>
                <w:color w:val="auto"/>
              </w:rPr>
              <w:t>(I.R.S. Employer</w:t>
            </w:r>
          </w:p>
        </w:tc>
      </w:tr>
      <w:tr>
        <w:trPr>
          <w:trHeight w:val="189"/>
        </w:trPr>
        <w:tc>
          <w:tcPr>
            <w:tcW w:w="2360" w:type="dxa"/>
            <w:vAlign w:val="bottom"/>
          </w:tcPr>
          <w:p>
            <w:pPr>
              <w:spacing w:after="0"/>
              <w:rPr>
                <w:sz w:val="16"/>
                <w:szCs w:val="16"/>
                <w:color w:val="auto"/>
              </w:rPr>
            </w:pPr>
          </w:p>
        </w:tc>
        <w:tc>
          <w:tcPr>
            <w:tcW w:w="3700" w:type="dxa"/>
            <w:vAlign w:val="bottom"/>
            <w:gridSpan w:val="3"/>
          </w:tcPr>
          <w:p>
            <w:pPr>
              <w:ind w:left="220"/>
              <w:spacing w:after="0"/>
              <w:rPr>
                <w:sz w:val="20"/>
                <w:szCs w:val="20"/>
                <w:color w:val="auto"/>
              </w:rPr>
            </w:pPr>
            <w:r>
              <w:rPr>
                <w:rFonts w:ascii="Arial" w:cs="Arial" w:eastAsia="Arial" w:hAnsi="Arial"/>
                <w:sz w:val="14"/>
                <w:szCs w:val="14"/>
                <w:color w:val="auto"/>
              </w:rPr>
              <w:t>incorporation or organization)</w:t>
            </w:r>
          </w:p>
        </w:tc>
        <w:tc>
          <w:tcPr>
            <w:tcW w:w="4000" w:type="dxa"/>
            <w:vAlign w:val="bottom"/>
            <w:gridSpan w:val="3"/>
          </w:tcPr>
          <w:p>
            <w:pPr>
              <w:ind w:left="100"/>
              <w:spacing w:after="0"/>
              <w:rPr>
                <w:sz w:val="20"/>
                <w:szCs w:val="20"/>
                <w:color w:val="auto"/>
              </w:rPr>
            </w:pPr>
            <w:r>
              <w:rPr>
                <w:rFonts w:ascii="Arial" w:cs="Arial" w:eastAsia="Arial" w:hAnsi="Arial"/>
                <w:sz w:val="14"/>
                <w:szCs w:val="14"/>
                <w:color w:val="auto"/>
              </w:rPr>
              <w:t>Identification No.)</w:t>
            </w:r>
          </w:p>
        </w:tc>
      </w:tr>
      <w:tr>
        <w:trPr>
          <w:trHeight w:val="362"/>
        </w:trPr>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tcPr>
          <w:p>
            <w:pPr>
              <w:jc w:val="center"/>
              <w:ind w:left="696"/>
              <w:spacing w:after="0"/>
              <w:rPr>
                <w:sz w:val="20"/>
                <w:szCs w:val="20"/>
                <w:color w:val="auto"/>
              </w:rPr>
            </w:pPr>
            <w:r>
              <w:rPr>
                <w:rFonts w:ascii="Arial" w:cs="Arial" w:eastAsia="Arial" w:hAnsi="Arial"/>
                <w:sz w:val="18"/>
                <w:szCs w:val="18"/>
                <w:color w:val="auto"/>
                <w:w w:val="90"/>
              </w:rPr>
              <w:t>1 Monster Way</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2"/>
        </w:trPr>
        <w:tc>
          <w:tcPr>
            <w:tcW w:w="2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tcPr>
          <w:p>
            <w:pPr>
              <w:jc w:val="center"/>
              <w:ind w:left="716"/>
              <w:spacing w:after="0"/>
              <w:rPr>
                <w:sz w:val="20"/>
                <w:szCs w:val="20"/>
                <w:color w:val="auto"/>
              </w:rPr>
            </w:pPr>
            <w:r>
              <w:rPr>
                <w:rFonts w:ascii="Arial" w:cs="Arial" w:eastAsia="Arial" w:hAnsi="Arial"/>
                <w:sz w:val="18"/>
                <w:szCs w:val="18"/>
                <w:color w:val="auto"/>
                <w:w w:val="91"/>
              </w:rPr>
              <w:t>Corona, California 92879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82"/>
        </w:trPr>
        <w:tc>
          <w:tcPr>
            <w:tcW w:w="2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gridSpan w:val="4"/>
          </w:tcPr>
          <w:p>
            <w:pPr>
              <w:jc w:val="center"/>
              <w:ind w:right="3110"/>
              <w:spacing w:after="0"/>
              <w:rPr>
                <w:sz w:val="20"/>
                <w:szCs w:val="20"/>
                <w:color w:val="auto"/>
              </w:rPr>
            </w:pPr>
            <w:r>
              <w:rPr>
                <w:rFonts w:ascii="Arial" w:cs="Arial" w:eastAsia="Arial" w:hAnsi="Arial"/>
                <w:sz w:val="14"/>
                <w:szCs w:val="14"/>
                <w:color w:val="auto"/>
                <w:w w:val="95"/>
              </w:rPr>
              <w:t>(Address of principal executive offices) (Zip code)</w:t>
            </w:r>
          </w:p>
        </w:tc>
      </w:tr>
      <w:tr>
        <w:trPr>
          <w:trHeight w:val="317"/>
        </w:trPr>
        <w:tc>
          <w:tcPr>
            <w:tcW w:w="2360" w:type="dxa"/>
            <w:vAlign w:val="bottom"/>
          </w:tcPr>
          <w:p>
            <w:pPr>
              <w:spacing w:after="0"/>
              <w:rPr>
                <w:sz w:val="24"/>
                <w:szCs w:val="24"/>
                <w:color w:val="auto"/>
              </w:rPr>
            </w:pPr>
          </w:p>
        </w:tc>
        <w:tc>
          <w:tcPr>
            <w:tcW w:w="3700" w:type="dxa"/>
            <w:vAlign w:val="bottom"/>
            <w:gridSpan w:val="3"/>
          </w:tcPr>
          <w:p>
            <w:pPr>
              <w:jc w:val="center"/>
              <w:ind w:left="1559"/>
              <w:spacing w:after="0"/>
              <w:rPr>
                <w:sz w:val="20"/>
                <w:szCs w:val="20"/>
                <w:color w:val="auto"/>
              </w:rPr>
            </w:pPr>
            <w:r>
              <w:rPr>
                <w:rFonts w:ascii="Arial" w:cs="Arial" w:eastAsia="Arial" w:hAnsi="Arial"/>
                <w:sz w:val="18"/>
                <w:szCs w:val="18"/>
                <w:color w:val="auto"/>
                <w:w w:val="91"/>
              </w:rPr>
              <w:t>(951) 739 - 6200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82"/>
        </w:trPr>
        <w:tc>
          <w:tcPr>
            <w:tcW w:w="2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40" w:type="dxa"/>
            <w:vAlign w:val="bottom"/>
            <w:gridSpan w:val="4"/>
          </w:tcPr>
          <w:p>
            <w:pPr>
              <w:jc w:val="center"/>
              <w:ind w:right="3110"/>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336"/>
        </w:trPr>
        <w:tc>
          <w:tcPr>
            <w:tcW w:w="6060" w:type="dxa"/>
            <w:vAlign w:val="bottom"/>
            <w:gridSpan w:val="4"/>
          </w:tcPr>
          <w:p>
            <w:pPr>
              <w:ind w:left="640"/>
              <w:spacing w:after="0"/>
              <w:rPr>
                <w:sz w:val="20"/>
                <w:szCs w:val="20"/>
                <w:color w:val="auto"/>
              </w:rPr>
            </w:pPr>
            <w:r>
              <w:rPr>
                <w:rFonts w:ascii="Arial" w:cs="Arial" w:eastAsia="Arial" w:hAnsi="Arial"/>
                <w:sz w:val="18"/>
                <w:szCs w:val="18"/>
                <w:color w:val="auto"/>
              </w:rPr>
              <w:t>Securities registered pursuant to Section 12(b) of the Act: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51"/>
        </w:trPr>
        <w:tc>
          <w:tcPr>
            <w:tcW w:w="236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0"/>
              </w:rPr>
              <w:t>Title of each class</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color w:val="auto"/>
                <w:w w:val="91"/>
              </w:rPr>
              <w:t>Trading Symbol(s)</w:t>
            </w:r>
          </w:p>
        </w:tc>
        <w:tc>
          <w:tcPr>
            <w:tcW w:w="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360" w:type="dxa"/>
            <w:vAlign w:val="bottom"/>
          </w:tcPr>
          <w:p>
            <w:pPr>
              <w:jc w:val="center"/>
              <w:ind w:left="570"/>
              <w:spacing w:after="0"/>
              <w:rPr>
                <w:sz w:val="20"/>
                <w:szCs w:val="20"/>
                <w:color w:val="auto"/>
              </w:rPr>
            </w:pPr>
            <w:r>
              <w:rPr>
                <w:rFonts w:ascii="Arial" w:cs="Arial" w:eastAsia="Arial" w:hAnsi="Arial"/>
                <w:sz w:val="18"/>
                <w:szCs w:val="18"/>
                <w:color w:val="auto"/>
                <w:w w:val="92"/>
              </w:rPr>
              <w:t>Common Stock</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tcPr>
          <w:p>
            <w:pPr>
              <w:jc w:val="center"/>
              <w:ind w:left="96"/>
              <w:spacing w:after="0"/>
              <w:rPr>
                <w:sz w:val="20"/>
                <w:szCs w:val="20"/>
                <w:color w:val="auto"/>
              </w:rPr>
            </w:pPr>
            <w:r>
              <w:rPr>
                <w:rFonts w:ascii="Arial" w:cs="Arial" w:eastAsia="Arial" w:hAnsi="Arial"/>
                <w:sz w:val="18"/>
                <w:szCs w:val="18"/>
                <w:color w:val="auto"/>
                <w:w w:val="97"/>
              </w:rPr>
              <w:t>MNST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06"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0" w:lineRule="exact"/>
        <w:rPr>
          <w:sz w:val="24"/>
          <w:szCs w:val="24"/>
          <w:color w:val="auto"/>
        </w:rPr>
      </w:pPr>
    </w:p>
    <w:p>
      <w:pPr>
        <w:ind w:left="4440"/>
        <w:spacing w:after="0"/>
        <w:tabs>
          <w:tab w:leader="none" w:pos="508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___</w:t>
      </w:r>
    </w:p>
    <w:p>
      <w:pPr>
        <w:spacing w:after="0" w:line="14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0"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___</w:t>
      </w:r>
    </w:p>
    <w:p>
      <w:pPr>
        <w:spacing w:after="0" w:line="14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1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1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62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01" w:lineRule="exact"/>
        <w:rPr>
          <w:sz w:val="24"/>
          <w:szCs w:val="24"/>
          <w:color w:val="auto"/>
        </w:rPr>
      </w:pPr>
    </w:p>
    <w:p>
      <w:pPr>
        <w:ind w:firstLine="648"/>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1"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1" w:lineRule="exact"/>
        <w:rPr>
          <w:sz w:val="24"/>
          <w:szCs w:val="24"/>
          <w:color w:val="auto"/>
        </w:rPr>
      </w:pPr>
    </w:p>
    <w:p>
      <w:pPr>
        <w:jc w:val="center"/>
        <w:ind w:right="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u w:val="single" w:color="auto"/>
          <w:color w:val="auto"/>
        </w:rPr>
        <w:t>☐</w:t>
      </w:r>
      <w:r>
        <w:rPr>
          <w:rFonts w:ascii="Arial" w:cs="Arial" w:eastAsia="Arial" w:hAnsi="Arial"/>
          <w:sz w:val="18"/>
          <w:szCs w:val="18"/>
          <w:color w:val="auto"/>
        </w:rPr>
        <w:t xml:space="preserve">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3373755</wp:posOffset>
            </wp:positionH>
            <wp:positionV relativeFrom="paragraph">
              <wp:posOffset>10160</wp:posOffset>
            </wp:positionV>
            <wp:extent cx="168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spacing w:after="0" w:line="17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registrant had 544,879,342 shares of common stock, par value $0.005 per share, outstanding as of July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701040</wp:posOffset>
            </wp:positionV>
            <wp:extent cx="63887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638873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118110</wp:posOffset>
            </wp:positionV>
            <wp:extent cx="6388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ectPr>
          <w:pgSz w:w="11900" w:h="16838" w:orient="portrait"/>
          <w:cols w:equalWidth="0" w:num="1">
            <w:col w:w="10060"/>
          </w:cols>
          <w:pgMar w:left="920" w:top="665" w:right="91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MONSTER BEVERAGE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30,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140" w:type="dxa"/>
            <w:vAlign w:val="bottom"/>
            <w:gridSpan w:val="9"/>
          </w:tcPr>
          <w:p>
            <w:pPr>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17"/>
                <w:szCs w:val="17"/>
                <w:color w:val="auto"/>
              </w:rPr>
            </w:pPr>
          </w:p>
        </w:tc>
      </w:tr>
      <w:tr>
        <w:trPr>
          <w:trHeight w:val="412"/>
        </w:trPr>
        <w:tc>
          <w:tcPr>
            <w:tcW w:w="102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220" w:type="dxa"/>
            <w:vAlign w:val="bottom"/>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80" w:type="dxa"/>
            <w:vAlign w:val="bottom"/>
            <w:tcBorders>
              <w:top w:val="single" w:sz="8" w:color="auto"/>
            </w:tcBorders>
          </w:tcPr>
          <w:p>
            <w:pPr>
              <w:spacing w:after="0"/>
              <w:rPr>
                <w:sz w:val="24"/>
                <w:szCs w:val="24"/>
                <w:color w:val="auto"/>
              </w:rPr>
            </w:pPr>
          </w:p>
        </w:tc>
        <w:tc>
          <w:tcPr>
            <w:tcW w:w="356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5"/>
              </w:rPr>
              <w:t>Page No.</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412"/>
        </w:trPr>
        <w:tc>
          <w:tcPr>
            <w:tcW w:w="500" w:type="dxa"/>
            <w:vAlign w:val="bottom"/>
          </w:tcPr>
          <w:p>
            <w:pPr>
              <w:spacing w:after="0"/>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520" w:type="dxa"/>
            <w:vAlign w:val="bottom"/>
            <w:gridSpan w:val="3"/>
          </w:tcPr>
          <w:p>
            <w:pPr>
              <w:spacing w:after="0"/>
              <w:rPr>
                <w:sz w:val="24"/>
                <w:szCs w:val="24"/>
                <w:color w:val="auto"/>
              </w:rPr>
            </w:pPr>
          </w:p>
        </w:tc>
        <w:tc>
          <w:tcPr>
            <w:tcW w:w="736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6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2019 and December 31, 2018</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60" w:type="dxa"/>
            <w:vAlign w:val="bottom"/>
            <w:gridSpan w:val="2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Income for the Three- and Six-Months Ended June 30, 2019</w:t>
              </w:r>
            </w:hyperlink>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3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2018</w:t>
              </w:r>
            </w:hyperlink>
          </w:p>
        </w:tc>
        <w:tc>
          <w:tcPr>
            <w:tcW w:w="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60" w:type="dxa"/>
            <w:vAlign w:val="bottom"/>
            <w:gridSpan w:val="22"/>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Comprehensive Income for the Three- and Six-Months</w:t>
              </w:r>
            </w:hyperlink>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3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June 30, 2019 and 2018</w:t>
              </w:r>
            </w:hyperlink>
          </w:p>
        </w:tc>
        <w:tc>
          <w:tcPr>
            <w:tcW w:w="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60" w:type="dxa"/>
            <w:vAlign w:val="bottom"/>
            <w:gridSpan w:val="2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Stockholders’ Equity for the Three- and Six-Months Ended</w:t>
              </w:r>
            </w:hyperlink>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June 30, 2019 and 2018</w:t>
              </w:r>
            </w:hyperlink>
          </w:p>
        </w:tc>
        <w:tc>
          <w:tcPr>
            <w:tcW w:w="5580" w:type="dxa"/>
            <w:vAlign w:val="bottom"/>
            <w:tcBorders>
              <w:top w:val="single" w:sz="8" w:color="0000EE"/>
            </w:tcBorders>
            <w:gridSpan w:val="14"/>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60" w:type="dxa"/>
            <w:vAlign w:val="bottom"/>
            <w:gridSpan w:val="22"/>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Cash Flows for the Six-Months Ended June 30, 2019 and</w:t>
              </w:r>
            </w:hyperlink>
          </w:p>
        </w:tc>
        <w:tc>
          <w:tcPr>
            <w:tcW w:w="68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33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500" w:type="dxa"/>
            <w:vAlign w:val="bottom"/>
          </w:tcPr>
          <w:p>
            <w:pPr>
              <w:spacing w:after="0"/>
              <w:rPr>
                <w:rFonts w:ascii="Arial" w:cs="Arial" w:eastAsia="Arial" w:hAnsi="Arial"/>
                <w:sz w:val="18"/>
                <w:szCs w:val="18"/>
                <w:color w:val="0000EE"/>
                <w:w w:val="83"/>
              </w:rPr>
            </w:pPr>
            <w:hyperlink w:anchor="page32">
              <w:r>
                <w:rPr>
                  <w:rFonts w:ascii="Arial" w:cs="Arial" w:eastAsia="Arial" w:hAnsi="Arial"/>
                  <w:sz w:val="18"/>
                  <w:szCs w:val="18"/>
                  <w:color w:val="0000EE"/>
                  <w:w w:val="83"/>
                </w:rPr>
                <w:t>Item 2.</w:t>
              </w:r>
            </w:hyperlink>
          </w:p>
        </w:tc>
        <w:tc>
          <w:tcPr>
            <w:tcW w:w="520" w:type="dxa"/>
            <w:vAlign w:val="bottom"/>
            <w:gridSpan w:val="3"/>
          </w:tcPr>
          <w:p>
            <w:pPr>
              <w:spacing w:after="0"/>
              <w:rPr>
                <w:sz w:val="24"/>
                <w:szCs w:val="24"/>
                <w:color w:val="auto"/>
              </w:rPr>
            </w:pPr>
          </w:p>
        </w:tc>
        <w:tc>
          <w:tcPr>
            <w:tcW w:w="7360" w:type="dxa"/>
            <w:vAlign w:val="bottom"/>
            <w:gridSpan w:val="2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Item 3.</w:t>
              </w:r>
            </w:hyperlink>
          </w:p>
        </w:tc>
        <w:tc>
          <w:tcPr>
            <w:tcW w:w="520" w:type="dxa"/>
            <w:vAlign w:val="bottom"/>
            <w:gridSpan w:val="3"/>
          </w:tcPr>
          <w:p>
            <w:pPr>
              <w:spacing w:after="0"/>
              <w:rPr>
                <w:sz w:val="24"/>
                <w:szCs w:val="24"/>
                <w:color w:val="auto"/>
              </w:rPr>
            </w:pPr>
          </w:p>
        </w:tc>
        <w:tc>
          <w:tcPr>
            <w:tcW w:w="43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90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Item 4.</w:t>
              </w:r>
            </w:hyperlink>
          </w:p>
        </w:tc>
        <w:tc>
          <w:tcPr>
            <w:tcW w:w="52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Controls and Procedures</w:t>
              </w:r>
            </w:hyperlink>
          </w:p>
        </w:tc>
        <w:tc>
          <w:tcPr>
            <w:tcW w:w="558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580" w:type="dxa"/>
            <w:vAlign w:val="bottom"/>
            <w:gridSpan w:val="2"/>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w:t>
              </w:r>
            </w:hyperlink>
          </w:p>
        </w:tc>
        <w:tc>
          <w:tcPr>
            <w:tcW w:w="440" w:type="dxa"/>
            <w:vAlign w:val="bottom"/>
            <w:gridSpan w:val="2"/>
          </w:tcPr>
          <w:p>
            <w:pPr>
              <w:spacing w:after="0"/>
              <w:rPr>
                <w:sz w:val="24"/>
                <w:szCs w:val="24"/>
                <w:color w:val="auto"/>
              </w:rPr>
            </w:pPr>
          </w:p>
        </w:tc>
        <w:tc>
          <w:tcPr>
            <w:tcW w:w="7360" w:type="dxa"/>
            <w:vAlign w:val="bottom"/>
            <w:gridSpan w:val="22"/>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OTHER INFORMATION</w:t>
              </w:r>
            </w:hyperlink>
          </w:p>
        </w:tc>
        <w:tc>
          <w:tcPr>
            <w:tcW w:w="680" w:type="dxa"/>
            <w:vAlign w:val="bottom"/>
          </w:tcPr>
          <w:p>
            <w:pPr>
              <w:spacing w:after="0"/>
              <w:rPr>
                <w:sz w:val="24"/>
                <w:szCs w:val="24"/>
                <w:color w:val="auto"/>
              </w:rPr>
            </w:pPr>
          </w:p>
        </w:tc>
      </w:tr>
      <w:tr>
        <w:trPr>
          <w:trHeight w:val="412"/>
        </w:trPr>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534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102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1A.</w:t>
              </w:r>
            </w:hyperlink>
          </w:p>
        </w:tc>
        <w:tc>
          <w:tcPr>
            <w:tcW w:w="736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Item 2.</w:t>
              </w:r>
            </w:hyperlink>
          </w:p>
        </w:tc>
        <w:tc>
          <w:tcPr>
            <w:tcW w:w="1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Unregistered Sales of Equity Securities and Use of Proceeds</w:t>
              </w:r>
            </w:hyperlink>
          </w:p>
        </w:tc>
        <w:tc>
          <w:tcPr>
            <w:tcW w:w="30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500" w:type="dxa"/>
            <w:vAlign w:val="bottom"/>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Item 3.</w:t>
              </w:r>
            </w:hyperlink>
          </w:p>
        </w:tc>
        <w:tc>
          <w:tcPr>
            <w:tcW w:w="520" w:type="dxa"/>
            <w:vAlign w:val="bottom"/>
            <w:gridSpan w:val="3"/>
          </w:tcPr>
          <w:p>
            <w:pPr>
              <w:spacing w:after="0"/>
              <w:rPr>
                <w:sz w:val="24"/>
                <w:szCs w:val="24"/>
                <w:color w:val="auto"/>
              </w:rPr>
            </w:pPr>
          </w:p>
        </w:tc>
        <w:tc>
          <w:tcPr>
            <w:tcW w:w="736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Item 4.</w:t>
              </w:r>
            </w:hyperlink>
          </w:p>
        </w:tc>
        <w:tc>
          <w:tcPr>
            <w:tcW w:w="52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24"/>
                <w:szCs w:val="24"/>
                <w:color w:val="auto"/>
              </w:rPr>
            </w:pPr>
          </w:p>
        </w:tc>
        <w:tc>
          <w:tcPr>
            <w:tcW w:w="504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Item 5.</w:t>
              </w:r>
            </w:hyperlink>
          </w:p>
        </w:tc>
        <w:tc>
          <w:tcPr>
            <w:tcW w:w="520" w:type="dxa"/>
            <w:vAlign w:val="bottom"/>
            <w:gridSpan w:val="3"/>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Other Information</w:t>
              </w:r>
            </w:hyperlink>
          </w:p>
        </w:tc>
        <w:tc>
          <w:tcPr>
            <w:tcW w:w="6040" w:type="dxa"/>
            <w:vAlign w:val="bottom"/>
            <w:gridSpan w:val="1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500" w:type="dxa"/>
            <w:vAlign w:val="bottom"/>
          </w:tcPr>
          <w:p>
            <w:pPr>
              <w:spacing w:after="0"/>
              <w:rPr>
                <w:rFonts w:ascii="Arial" w:cs="Arial" w:eastAsia="Arial" w:hAnsi="Arial"/>
                <w:sz w:val="18"/>
                <w:szCs w:val="18"/>
                <w:color w:val="0000EE"/>
                <w:w w:val="83"/>
              </w:rPr>
            </w:pPr>
            <w:hyperlink w:anchor="page47">
              <w:r>
                <w:rPr>
                  <w:rFonts w:ascii="Arial" w:cs="Arial" w:eastAsia="Arial" w:hAnsi="Arial"/>
                  <w:sz w:val="18"/>
                  <w:szCs w:val="18"/>
                  <w:color w:val="0000EE"/>
                  <w:w w:val="83"/>
                </w:rPr>
                <w:t>Item 6.</w:t>
              </w:r>
            </w:hyperlink>
          </w:p>
        </w:tc>
        <w:tc>
          <w:tcPr>
            <w:tcW w:w="520" w:type="dxa"/>
            <w:vAlign w:val="bottom"/>
            <w:gridSpan w:val="3"/>
          </w:tcPr>
          <w:p>
            <w:pPr>
              <w:spacing w:after="0"/>
              <w:rPr>
                <w:sz w:val="24"/>
                <w:szCs w:val="24"/>
                <w:color w:val="auto"/>
              </w:rPr>
            </w:pPr>
          </w:p>
        </w:tc>
        <w:tc>
          <w:tcPr>
            <w:tcW w:w="736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60" w:type="dxa"/>
            <w:vAlign w:val="bottom"/>
            <w:gridSpan w:val="2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90" w:lineRule="exact"/>
        <w:rPr>
          <w:sz w:val="20"/>
          <w:szCs w:val="20"/>
          <w:color w:val="auto"/>
        </w:rPr>
      </w:pPr>
    </w:p>
    <w:p>
      <w:pPr>
        <w:ind w:right="3940"/>
        <w:spacing w:after="0" w:line="257" w:lineRule="auto"/>
        <w:rPr>
          <w:sz w:val="20"/>
          <w:szCs w:val="20"/>
          <w:color w:val="auto"/>
        </w:rPr>
      </w:pPr>
      <w:r>
        <w:rPr>
          <w:rFonts w:ascii="Arial" w:cs="Arial" w:eastAsia="Arial" w:hAnsi="Arial"/>
          <w:sz w:val="18"/>
          <w:szCs w:val="18"/>
          <w:b w:val="1"/>
          <w:bCs w:val="1"/>
          <w:color w:val="auto"/>
        </w:rPr>
        <w:t>MONSTER BEVERAGE CORPORATION AND SUBSIDIARIES CONDENSED CONSOLIDATED BALANCE SHEETS AS OF JUNE 30, 2019 AND DECEMBER 31, 2018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5754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980" w:type="dxa"/>
            <w:vAlign w:val="bottom"/>
            <w:gridSpan w:val="2"/>
            <w:vMerge w:val="restart"/>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74"/>
        </w:trPr>
        <w:tc>
          <w:tcPr>
            <w:tcW w:w="1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60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888,247</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637,513</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357,988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320,650</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688,197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484,562</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299,529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277,705</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44,909</w:t>
            </w:r>
          </w:p>
        </w:tc>
        <w:tc>
          <w:tcPr>
            <w:tcW w:w="0" w:type="dxa"/>
            <w:vAlign w:val="bottom"/>
          </w:tcPr>
          <w:p>
            <w:pPr>
              <w:spacing w:after="0"/>
              <w:rPr>
                <w:sz w:val="1"/>
                <w:szCs w:val="1"/>
                <w:color w:val="auto"/>
              </w:rPr>
            </w:pPr>
          </w:p>
        </w:tc>
      </w:tr>
      <w:tr>
        <w:trPr>
          <w:trHeight w:val="230"/>
        </w:trPr>
        <w:tc>
          <w:tcPr>
            <w:tcW w:w="6600" w:type="dxa"/>
            <w:vAlign w:val="bottom"/>
            <w:gridSpan w:val="5"/>
          </w:tcPr>
          <w:p>
            <w:pPr>
              <w:spacing w:after="0"/>
              <w:rPr>
                <w:sz w:val="20"/>
                <w:szCs w:val="20"/>
                <w:color w:val="auto"/>
              </w:rPr>
            </w:pPr>
            <w:r>
              <w:rPr>
                <w:rFonts w:ascii="Arial" w:cs="Arial" w:eastAsia="Arial" w:hAnsi="Arial"/>
                <w:sz w:val="18"/>
                <w:szCs w:val="18"/>
                <w:color w:val="auto"/>
              </w:rPr>
              <w:t>Prepaid income taxes</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38,831</w:t>
            </w:r>
          </w:p>
        </w:tc>
        <w:tc>
          <w:tcPr>
            <w:tcW w:w="0" w:type="dxa"/>
            <w:vAlign w:val="bottom"/>
          </w:tcPr>
          <w:p>
            <w:pPr>
              <w:spacing w:after="0"/>
              <w:rPr>
                <w:sz w:val="1"/>
                <w:szCs w:val="1"/>
                <w:color w:val="auto"/>
              </w:rPr>
            </w:pPr>
          </w:p>
        </w:tc>
      </w:tr>
      <w:tr>
        <w:trPr>
          <w:trHeight w:val="224"/>
        </w:trPr>
        <w:tc>
          <w:tcPr>
            <w:tcW w:w="6600" w:type="dxa"/>
            <w:vAlign w:val="bottom"/>
            <w:gridSpan w:val="5"/>
          </w:tcPr>
          <w:p>
            <w:pPr>
              <w:ind w:left="1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2,326,768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1,804,170</w:t>
            </w:r>
          </w:p>
        </w:tc>
        <w:tc>
          <w:tcPr>
            <w:tcW w:w="0" w:type="dxa"/>
            <w:vAlign w:val="bottom"/>
          </w:tcPr>
          <w:p>
            <w:pPr>
              <w:spacing w:after="0"/>
              <w:rPr>
                <w:sz w:val="1"/>
                <w:szCs w:val="1"/>
                <w:color w:val="auto"/>
              </w:rPr>
            </w:pPr>
          </w:p>
        </w:tc>
      </w:tr>
      <w:tr>
        <w:trPr>
          <w:trHeight w:val="404"/>
        </w:trPr>
        <w:tc>
          <w:tcPr>
            <w:tcW w:w="6600" w:type="dxa"/>
            <w:vAlign w:val="bottom"/>
            <w:gridSpan w:val="5"/>
          </w:tcPr>
          <w:p>
            <w:pPr>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240,165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243,051</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85,148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85,687</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1,331,643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1,331,643</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1,045,810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1,045,878</w:t>
            </w:r>
          </w:p>
        </w:tc>
        <w:tc>
          <w:tcPr>
            <w:tcW w:w="0" w:type="dxa"/>
            <w:vAlign w:val="bottom"/>
          </w:tcPr>
          <w:p>
            <w:pPr>
              <w:spacing w:after="0"/>
              <w:rPr>
                <w:sz w:val="1"/>
                <w:szCs w:val="1"/>
                <w:color w:val="auto"/>
              </w:rPr>
            </w:pPr>
          </w:p>
        </w:tc>
      </w:tr>
      <w:tr>
        <w:trPr>
          <w:trHeight w:val="230"/>
        </w:trPr>
        <w:tc>
          <w:tcPr>
            <w:tcW w:w="660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16,462</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280" w:type="dxa"/>
            <w:vAlign w:val="bottom"/>
            <w:gridSpan w:val="4"/>
          </w:tcPr>
          <w:p>
            <w:pPr>
              <w:jc w:val="center"/>
              <w:ind w:right="1360"/>
              <w:spacing w:after="0"/>
              <w:rPr>
                <w:sz w:val="20"/>
                <w:szCs w:val="20"/>
                <w:color w:val="auto"/>
              </w:rPr>
            </w:pPr>
            <w:r>
              <w:rPr>
                <w:rFonts w:ascii="Arial" w:cs="Arial" w:eastAsia="Arial" w:hAnsi="Arial"/>
                <w:sz w:val="18"/>
                <w:szCs w:val="18"/>
                <w:b w:val="1"/>
                <w:bCs w:val="1"/>
                <w:color w:val="auto"/>
                <w:w w:val="85"/>
              </w:rPr>
              <w:t>Total Assets</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5,084,332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4,526,891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80" w:type="dxa"/>
            <w:vAlign w:val="bottom"/>
            <w:gridSpan w:val="4"/>
            <w:vMerge w:val="restart"/>
          </w:tcPr>
          <w:p>
            <w:pPr>
              <w:jc w:val="center"/>
              <w:ind w:right="13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20" w:type="dxa"/>
            <w:vAlign w:val="bottom"/>
          </w:tcPr>
          <w:p>
            <w:pPr>
              <w:spacing w:after="0"/>
              <w:rPr>
                <w:sz w:val="24"/>
                <w:szCs w:val="24"/>
                <w:color w:val="auto"/>
              </w:rPr>
            </w:pPr>
          </w:p>
        </w:tc>
        <w:tc>
          <w:tcPr>
            <w:tcW w:w="52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900" w:type="dxa"/>
            <w:vAlign w:val="bottom"/>
            <w:gridSpan w:val="3"/>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292,627</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248,760</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124,659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112,507</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Accrued promotional allowances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199,324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145,741</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Accrued distributor terminations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44,045</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39,903</w:t>
            </w:r>
          </w:p>
        </w:tc>
        <w:tc>
          <w:tcPr>
            <w:tcW w:w="0" w:type="dxa"/>
            <w:vAlign w:val="bottom"/>
          </w:tcPr>
          <w:p>
            <w:pPr>
              <w:spacing w:after="0"/>
              <w:rPr>
                <w:sz w:val="1"/>
                <w:szCs w:val="1"/>
                <w:color w:val="auto"/>
              </w:rPr>
            </w:pPr>
          </w:p>
        </w:tc>
      </w:tr>
      <w:tr>
        <w:trPr>
          <w:trHeight w:val="230"/>
        </w:trPr>
        <w:tc>
          <w:tcPr>
            <w:tcW w:w="6600" w:type="dxa"/>
            <w:vAlign w:val="bottom"/>
            <w:gridSpan w:val="5"/>
          </w:tcPr>
          <w:p>
            <w:pPr>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0" w:type="dxa"/>
            <w:vAlign w:val="bottom"/>
          </w:tcPr>
          <w:p>
            <w:pPr>
              <w:spacing w:after="0"/>
              <w:rPr>
                <w:sz w:val="1"/>
                <w:szCs w:val="1"/>
                <w:color w:val="auto"/>
              </w:rPr>
            </w:pPr>
          </w:p>
        </w:tc>
      </w:tr>
      <w:tr>
        <w:trPr>
          <w:trHeight w:val="224"/>
        </w:trPr>
        <w:tc>
          <w:tcPr>
            <w:tcW w:w="6600" w:type="dxa"/>
            <w:vAlign w:val="bottom"/>
            <w:gridSpan w:val="5"/>
          </w:tcPr>
          <w:p>
            <w:pPr>
              <w:ind w:left="1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705,500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601,145</w:t>
            </w:r>
          </w:p>
        </w:tc>
        <w:tc>
          <w:tcPr>
            <w:tcW w:w="0" w:type="dxa"/>
            <w:vAlign w:val="bottom"/>
          </w:tcPr>
          <w:p>
            <w:pPr>
              <w:spacing w:after="0"/>
              <w:rPr>
                <w:sz w:val="1"/>
                <w:szCs w:val="1"/>
                <w:color w:val="auto"/>
              </w:rPr>
            </w:pPr>
          </w:p>
        </w:tc>
      </w:tr>
      <w:tr>
        <w:trPr>
          <w:trHeight w:val="418"/>
        </w:trPr>
        <w:tc>
          <w:tcPr>
            <w:tcW w:w="6600" w:type="dxa"/>
            <w:vAlign w:val="bottom"/>
            <w:gridSpan w:val="5"/>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298,375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312,224</w:t>
            </w:r>
          </w:p>
        </w:tc>
        <w:tc>
          <w:tcPr>
            <w:tcW w:w="0" w:type="dxa"/>
            <w:vAlign w:val="bottom"/>
          </w:tcPr>
          <w:p>
            <w:pPr>
              <w:spacing w:after="0"/>
              <w:rPr>
                <w:sz w:val="1"/>
                <w:szCs w:val="1"/>
                <w:color w:val="auto"/>
              </w:rPr>
            </w:pPr>
          </w:p>
        </w:tc>
      </w:tr>
      <w:tr>
        <w:trPr>
          <w:trHeight w:val="432"/>
        </w:trPr>
        <w:tc>
          <w:tcPr>
            <w:tcW w:w="660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22,871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432"/>
        </w:trPr>
        <w:tc>
          <w:tcPr>
            <w:tcW w:w="6600" w:type="dxa"/>
            <w:vAlign w:val="bottom"/>
            <w:gridSpan w:val="5"/>
          </w:tcPr>
          <w:p>
            <w:pPr>
              <w:spacing w:after="0"/>
              <w:rPr>
                <w:sz w:val="20"/>
                <w:szCs w:val="20"/>
                <w:color w:val="auto"/>
              </w:rPr>
            </w:pPr>
            <w:r>
              <w:rPr>
                <w:rFonts w:ascii="Arial" w:cs="Arial" w:eastAsia="Arial" w:hAnsi="Arial"/>
                <w:sz w:val="18"/>
                <w:szCs w:val="18"/>
                <w:color w:val="auto"/>
              </w:rPr>
              <w:t>COMMITMENTS AND CONTINGENCIES (Note 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600" w:type="dxa"/>
            <w:vAlign w:val="bottom"/>
            <w:gridSpan w:val="5"/>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w w:val="94"/>
              </w:rPr>
              <w:t>Common stock - $0.005 par value; 1,250,000 shares authorized; 636,129 shares issued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5"/>
          </w:tcPr>
          <w:p>
            <w:pPr>
              <w:ind w:left="140"/>
              <w:spacing w:after="0"/>
              <w:rPr>
                <w:sz w:val="20"/>
                <w:szCs w:val="20"/>
                <w:color w:val="auto"/>
              </w:rPr>
            </w:pPr>
            <w:r>
              <w:rPr>
                <w:rFonts w:ascii="Arial" w:cs="Arial" w:eastAsia="Arial" w:hAnsi="Arial"/>
                <w:sz w:val="18"/>
                <w:szCs w:val="18"/>
                <w:color w:val="auto"/>
                <w:w w:val="89"/>
              </w:rPr>
              <w:t>and 544,825 shares outstanding as of June 30, 2019; 630,970 shares issued and 543,676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5"/>
          </w:tcPr>
          <w:p>
            <w:pPr>
              <w:ind w:left="140"/>
              <w:spacing w:after="0"/>
              <w:rPr>
                <w:sz w:val="20"/>
                <w:szCs w:val="20"/>
                <w:color w:val="auto"/>
              </w:rPr>
            </w:pPr>
            <w:r>
              <w:rPr>
                <w:rFonts w:ascii="Arial" w:cs="Arial" w:eastAsia="Arial" w:hAnsi="Arial"/>
                <w:sz w:val="18"/>
                <w:szCs w:val="18"/>
                <w:color w:val="auto"/>
              </w:rPr>
              <w:t>shares outstanding as of December 31, 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4,350,177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4,238,170</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4,468,603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3,914,645</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(32,864)</w:t>
            </w:r>
          </w:p>
        </w:tc>
        <w:tc>
          <w:tcPr>
            <w:tcW w:w="0" w:type="dxa"/>
            <w:vAlign w:val="bottom"/>
          </w:tcPr>
          <w:p>
            <w:pPr>
              <w:spacing w:after="0"/>
              <w:rPr>
                <w:sz w:val="1"/>
                <w:szCs w:val="1"/>
                <w:color w:val="auto"/>
              </w:rPr>
            </w:pPr>
          </w:p>
        </w:tc>
      </w:tr>
      <w:tr>
        <w:trPr>
          <w:trHeight w:val="216"/>
        </w:trPr>
        <w:tc>
          <w:tcPr>
            <w:tcW w:w="6600" w:type="dxa"/>
            <w:vAlign w:val="bottom"/>
            <w:gridSpan w:val="5"/>
          </w:tcPr>
          <w:p>
            <w:pPr>
              <w:spacing w:after="0"/>
              <w:rPr>
                <w:sz w:val="20"/>
                <w:szCs w:val="20"/>
                <w:color w:val="auto"/>
              </w:rPr>
            </w:pPr>
            <w:r>
              <w:rPr>
                <w:rFonts w:ascii="Arial" w:cs="Arial" w:eastAsia="Arial" w:hAnsi="Arial"/>
                <w:sz w:val="18"/>
                <w:szCs w:val="18"/>
                <w:color w:val="auto"/>
                <w:w w:val="92"/>
              </w:rPr>
              <w:t>Common stock in treasury, at cost; 91,304 shares and 87,294 shares as of June 30, 2019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5"/>
          </w:tcPr>
          <w:p>
            <w:pPr>
              <w:ind w:left="140"/>
              <w:spacing w:after="0"/>
              <w:rPr>
                <w:sz w:val="20"/>
                <w:szCs w:val="20"/>
                <w:color w:val="auto"/>
              </w:rPr>
            </w:pPr>
            <w:r>
              <w:rPr>
                <w:rFonts w:ascii="Arial" w:cs="Arial" w:eastAsia="Arial" w:hAnsi="Arial"/>
                <w:sz w:val="18"/>
                <w:szCs w:val="18"/>
                <w:color w:val="auto"/>
              </w:rPr>
              <w:t>and December 31, 2018, respectively</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(4,735,618)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(4,512,205)</w:t>
            </w:r>
          </w:p>
        </w:tc>
        <w:tc>
          <w:tcPr>
            <w:tcW w:w="0" w:type="dxa"/>
            <w:vAlign w:val="bottom"/>
          </w:tcPr>
          <w:p>
            <w:pPr>
              <w:spacing w:after="0"/>
              <w:rPr>
                <w:sz w:val="1"/>
                <w:szCs w:val="1"/>
                <w:color w:val="auto"/>
              </w:rPr>
            </w:pPr>
          </w:p>
        </w:tc>
      </w:tr>
      <w:tr>
        <w:trPr>
          <w:trHeight w:val="210"/>
        </w:trPr>
        <w:tc>
          <w:tcPr>
            <w:tcW w:w="6600" w:type="dxa"/>
            <w:vAlign w:val="bottom"/>
            <w:gridSpan w:val="5"/>
          </w:tcPr>
          <w:p>
            <w:pPr>
              <w:ind w:left="120"/>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4,057,586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3,610,901</w:t>
            </w: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280" w:type="dxa"/>
            <w:vAlign w:val="bottom"/>
            <w:gridSpan w:val="4"/>
          </w:tcPr>
          <w:p>
            <w:pPr>
              <w:jc w:val="center"/>
              <w:ind w:right="1360"/>
              <w:spacing w:after="0"/>
              <w:rPr>
                <w:sz w:val="20"/>
                <w:szCs w:val="20"/>
                <w:color w:val="auto"/>
              </w:rPr>
            </w:pPr>
            <w:r>
              <w:rPr>
                <w:rFonts w:ascii="Arial" w:cs="Arial" w:eastAsia="Arial" w:hAnsi="Arial"/>
                <w:sz w:val="18"/>
                <w:szCs w:val="18"/>
                <w:b w:val="1"/>
                <w:bCs w:val="1"/>
                <w:color w:val="auto"/>
                <w:w w:val="90"/>
              </w:rPr>
              <w:t>Total Liabilities and Stockholders’ Equity</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5,084,332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4,526,891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940"/>
        <w:spacing w:after="0" w:line="276" w:lineRule="auto"/>
        <w:rPr>
          <w:sz w:val="20"/>
          <w:szCs w:val="20"/>
          <w:color w:val="auto"/>
        </w:rPr>
      </w:pPr>
      <w:r>
        <w:rPr>
          <w:rFonts w:ascii="Arial" w:cs="Arial" w:eastAsia="Arial" w:hAnsi="Arial"/>
          <w:sz w:val="17"/>
          <w:szCs w:val="17"/>
          <w:b w:val="1"/>
          <w:bCs w:val="1"/>
          <w:color w:val="auto"/>
        </w:rPr>
        <w:t>MONSTER BEVERAGE CORPORATION AND SUBSIDIARIES CONDENSED CONSOLIDATED STATEMENTS OF INCOME</w:t>
      </w:r>
    </w:p>
    <w:p>
      <w:pPr>
        <w:spacing w:after="0" w:line="1" w:lineRule="exact"/>
        <w:rPr>
          <w:sz w:val="20"/>
          <w:szCs w:val="20"/>
          <w:color w:val="auto"/>
        </w:rPr>
      </w:pPr>
    </w:p>
    <w:p>
      <w:pPr>
        <w:ind w:right="3160"/>
        <w:spacing w:after="0" w:line="261" w:lineRule="auto"/>
        <w:rPr>
          <w:sz w:val="20"/>
          <w:szCs w:val="20"/>
          <w:color w:val="auto"/>
        </w:rPr>
      </w:pPr>
      <w:r>
        <w:rPr>
          <w:rFonts w:ascii="Arial" w:cs="Arial" w:eastAsia="Arial" w:hAnsi="Arial"/>
          <w:sz w:val="18"/>
          <w:szCs w:val="18"/>
          <w:b w:val="1"/>
          <w:bCs w:val="1"/>
          <w:color w:val="auto"/>
        </w:rPr>
        <w:t>FOR THE THREE- AND SIX-MONTHS ENDED JUNE 30, 2019 AND 2018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4"/>
              </w:rPr>
              <w:t>Three-Months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Six-Months Ended</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448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4"/>
        </w:trPr>
        <w:tc>
          <w:tcPr>
            <w:tcW w:w="44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1,104,045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1,015,873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2,050,037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1,866,793</w:t>
            </w:r>
          </w:p>
        </w:tc>
        <w:tc>
          <w:tcPr>
            <w:tcW w:w="0" w:type="dxa"/>
            <w:vAlign w:val="bottom"/>
          </w:tcPr>
          <w:p>
            <w:pPr>
              <w:spacing w:after="0"/>
              <w:rPr>
                <w:sz w:val="1"/>
                <w:szCs w:val="1"/>
                <w:color w:val="auto"/>
              </w:rPr>
            </w:pPr>
          </w:p>
        </w:tc>
      </w:tr>
      <w:tr>
        <w:trPr>
          <w:trHeight w:val="418"/>
        </w:trPr>
        <w:tc>
          <w:tcPr>
            <w:tcW w:w="448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442,762</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395,615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815,221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731,279</w:t>
            </w:r>
          </w:p>
        </w:tc>
        <w:tc>
          <w:tcPr>
            <w:tcW w:w="0" w:type="dxa"/>
            <w:vAlign w:val="bottom"/>
          </w:tcPr>
          <w:p>
            <w:pPr>
              <w:spacing w:after="0"/>
              <w:rPr>
                <w:sz w:val="1"/>
                <w:szCs w:val="1"/>
                <w:color w:val="auto"/>
              </w:rPr>
            </w:pPr>
          </w:p>
        </w:tc>
      </w:tr>
      <w:tr>
        <w:trPr>
          <w:trHeight w:val="426"/>
        </w:trPr>
        <w:tc>
          <w:tcPr>
            <w:tcW w:w="4480" w:type="dxa"/>
            <w:vAlign w:val="bottom"/>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661,283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620,258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1,234,816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1,135,514</w:t>
            </w:r>
          </w:p>
        </w:tc>
        <w:tc>
          <w:tcPr>
            <w:tcW w:w="0" w:type="dxa"/>
            <w:vAlign w:val="bottom"/>
          </w:tcPr>
          <w:p>
            <w:pPr>
              <w:spacing w:after="0"/>
              <w:rPr>
                <w:sz w:val="1"/>
                <w:szCs w:val="1"/>
                <w:color w:val="auto"/>
              </w:rPr>
            </w:pP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282,293</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262,637</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544,364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497,979</w:t>
            </w:r>
          </w:p>
        </w:tc>
        <w:tc>
          <w:tcPr>
            <w:tcW w:w="0" w:type="dxa"/>
            <w:vAlign w:val="bottom"/>
          </w:tcPr>
          <w:p>
            <w:pPr>
              <w:spacing w:after="0"/>
              <w:rPr>
                <w:sz w:val="1"/>
                <w:szCs w:val="1"/>
                <w:color w:val="auto"/>
              </w:rPr>
            </w:pPr>
          </w:p>
        </w:tc>
      </w:tr>
      <w:tr>
        <w:trPr>
          <w:trHeight w:val="426"/>
        </w:trPr>
        <w:tc>
          <w:tcPr>
            <w:tcW w:w="448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378,990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357,621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690,452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637,535</w:t>
            </w:r>
          </w:p>
        </w:tc>
        <w:tc>
          <w:tcPr>
            <w:tcW w:w="0" w:type="dxa"/>
            <w:vAlign w:val="bottom"/>
          </w:tcPr>
          <w:p>
            <w:pPr>
              <w:spacing w:after="0"/>
              <w:rPr>
                <w:sz w:val="1"/>
                <w:szCs w:val="1"/>
                <w:color w:val="auto"/>
              </w:rPr>
            </w:pP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426"/>
        </w:trPr>
        <w:tc>
          <w:tcPr>
            <w:tcW w:w="44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381,963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358,097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696,166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639,816</w:t>
            </w:r>
          </w:p>
        </w:tc>
        <w:tc>
          <w:tcPr>
            <w:tcW w:w="0" w:type="dxa"/>
            <w:vAlign w:val="bottom"/>
          </w:tcPr>
          <w:p>
            <w:pPr>
              <w:spacing w:after="0"/>
              <w:rPr>
                <w:sz w:val="1"/>
                <w:szCs w:val="1"/>
                <w:color w:val="auto"/>
              </w:rPr>
            </w:pPr>
          </w:p>
        </w:tc>
      </w:tr>
      <w:tr>
        <w:trPr>
          <w:trHeight w:val="432"/>
        </w:trPr>
        <w:tc>
          <w:tcPr>
            <w:tcW w:w="4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89,490</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87,981</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142,208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153,651</w:t>
            </w:r>
          </w:p>
        </w:tc>
        <w:tc>
          <w:tcPr>
            <w:tcW w:w="0" w:type="dxa"/>
            <w:vAlign w:val="bottom"/>
          </w:tcPr>
          <w:p>
            <w:pPr>
              <w:spacing w:after="0"/>
              <w:rPr>
                <w:sz w:val="1"/>
                <w:szCs w:val="1"/>
                <w:color w:val="auto"/>
              </w:rPr>
            </w:pPr>
          </w:p>
        </w:tc>
      </w:tr>
      <w:tr>
        <w:trPr>
          <w:trHeight w:val="426"/>
        </w:trPr>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292,473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270,116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553,958</w:t>
            </w:r>
          </w:p>
        </w:tc>
        <w:tc>
          <w:tcPr>
            <w:tcW w:w="1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486,165</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80" w:type="dxa"/>
            <w:vAlign w:val="bottom"/>
            <w:vMerge w:val="continue"/>
          </w:tcPr>
          <w:p>
            <w:pPr>
              <w:spacing w:after="0"/>
              <w:rPr>
                <w:sz w:val="24"/>
                <w:szCs w:val="24"/>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0.54</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0.48</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7"/>
        </w:trPr>
        <w:tc>
          <w:tcPr>
            <w:tcW w:w="4480" w:type="dxa"/>
            <w:vAlign w:val="bottom"/>
          </w:tcPr>
          <w:p>
            <w:pPr>
              <w:ind w:left="220"/>
              <w:spacing w:after="0"/>
              <w:rPr>
                <w:sz w:val="20"/>
                <w:szCs w:val="20"/>
                <w:color w:val="auto"/>
              </w:rPr>
            </w:pPr>
            <w:r>
              <w:rPr>
                <w:rFonts w:ascii="Arial" w:cs="Arial" w:eastAsia="Arial" w:hAnsi="Arial"/>
                <w:sz w:val="18"/>
                <w:szCs w:val="18"/>
                <w:color w:val="auto"/>
              </w:rPr>
              <w:t>Basic</w:t>
            </w:r>
          </w:p>
        </w:tc>
        <w:tc>
          <w:tcPr>
            <w:tcW w:w="4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0.53</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2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WEIGHTED AVERAGE NUMBER OF SHARES OF COMMON STOCK AND COMMON STOCK EQUIVALENTS:</w:t>
      </w:r>
    </w:p>
    <w:p>
      <w:pPr>
        <w:ind w:left="220"/>
        <w:spacing w:after="0"/>
        <w:rPr>
          <w:sz w:val="20"/>
          <w:szCs w:val="20"/>
          <w:color w:val="auto"/>
        </w:rPr>
      </w:pPr>
      <w:r>
        <w:rPr>
          <w:rFonts w:ascii="Arial" w:cs="Arial" w:eastAsia="Arial" w:hAnsi="Arial"/>
          <w:sz w:val="18"/>
          <w:szCs w:val="18"/>
          <w:color w:val="auto"/>
        </w:rPr>
        <w:t>Basic</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544,156</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559,867</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543,466</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562,917</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548,218</w:t>
            </w:r>
          </w:p>
        </w:tc>
        <w:tc>
          <w:tcPr>
            <w:tcW w:w="20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566,352</w:t>
            </w:r>
          </w:p>
        </w:tc>
        <w:tc>
          <w:tcPr>
            <w:tcW w:w="20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548,299</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570,231</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040" w:space="720"/>
            <w:col w:w="4300"/>
          </w:cols>
          <w:pgMar w:left="1420" w:top="517" w:right="141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7" w:lineRule="exact"/>
        <w:rPr>
          <w:sz w:val="20"/>
          <w:szCs w:val="20"/>
          <w:color w:val="auto"/>
        </w:rPr>
      </w:pPr>
    </w:p>
    <w:p>
      <w:pPr>
        <w:ind w:right="2420"/>
        <w:spacing w:after="0" w:line="255" w:lineRule="auto"/>
        <w:rPr>
          <w:sz w:val="20"/>
          <w:szCs w:val="20"/>
          <w:color w:val="auto"/>
        </w:rPr>
      </w:pPr>
      <w:r>
        <w:rPr>
          <w:rFonts w:ascii="Arial" w:cs="Arial" w:eastAsia="Arial" w:hAnsi="Arial"/>
          <w:sz w:val="18"/>
          <w:szCs w:val="18"/>
          <w:b w:val="1"/>
          <w:bCs w:val="1"/>
          <w:color w:val="auto"/>
        </w:rPr>
        <w:t>CONDENSED CONSOLIDATED STATEMENTS OF COMPREHENSIVE INCOME FOR THE THREE- AND SIX-MONTHS ENDED JUNE 30, 2019 AND 2018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57543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Three-Months Ended</w:t>
            </w:r>
          </w:p>
        </w:tc>
        <w:tc>
          <w:tcPr>
            <w:tcW w:w="180" w:type="dxa"/>
            <w:vAlign w:val="bottom"/>
          </w:tcPr>
          <w:p>
            <w:pPr>
              <w:spacing w:after="0"/>
              <w:rPr>
                <w:sz w:val="18"/>
                <w:szCs w:val="18"/>
                <w:color w:val="auto"/>
              </w:rPr>
            </w:pPr>
          </w:p>
        </w:tc>
        <w:tc>
          <w:tcPr>
            <w:tcW w:w="17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Six-Months Ended</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7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5080" w:type="dxa"/>
            <w:vAlign w:val="bottom"/>
            <w:vMerge w:val="restart"/>
          </w:tcPr>
          <w:p>
            <w:pPr>
              <w:spacing w:after="0"/>
              <w:rPr>
                <w:sz w:val="20"/>
                <w:szCs w:val="20"/>
                <w:color w:val="auto"/>
              </w:rPr>
            </w:pPr>
            <w:r>
              <w:rPr>
                <w:rFonts w:ascii="Arial" w:cs="Arial" w:eastAsia="Arial" w:hAnsi="Arial"/>
                <w:sz w:val="18"/>
                <w:szCs w:val="18"/>
                <w:color w:val="auto"/>
              </w:rPr>
              <w:t>Net income, as reported</w:t>
            </w:r>
          </w:p>
        </w:tc>
        <w:tc>
          <w:tcPr>
            <w:tcW w:w="24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95"/>
        </w:trPr>
        <w:tc>
          <w:tcPr>
            <w:tcW w:w="5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$ 292,473</w:t>
            </w:r>
          </w:p>
        </w:tc>
        <w:tc>
          <w:tcPr>
            <w:tcW w:w="20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$ 270,116</w:t>
            </w:r>
          </w:p>
        </w:tc>
        <w:tc>
          <w:tcPr>
            <w:tcW w:w="18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$ 553,958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$ 486,165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Change in foreign currency translation adjustment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(11,988)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3,773</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(9,265)</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color w:val="auto"/>
              </w:rPr>
              <w:t>Available-for-sale investments: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Change in net unrealized gains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w w:val="95"/>
              </w:rPr>
              <w:t>Reclassification adjustment for net gains included in net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80" w:type="dxa"/>
            <w:vAlign w:val="bottom"/>
          </w:tcPr>
          <w:p>
            <w:pPr>
              <w:ind w:left="220"/>
              <w:spacing w:after="0"/>
              <w:rPr>
                <w:sz w:val="20"/>
                <w:szCs w:val="20"/>
                <w:color w:val="auto"/>
              </w:rPr>
            </w:pPr>
            <w:r>
              <w:rPr>
                <w:rFonts w:ascii="Arial" w:cs="Arial" w:eastAsia="Arial" w:hAnsi="Arial"/>
                <w:sz w:val="18"/>
                <w:szCs w:val="18"/>
                <w:color w:val="auto"/>
              </w:rPr>
              <w:t>Net change in available-for-sale investments</w:t>
            </w: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(11,475)</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$ 297,842</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$ 258,641</w:t>
            </w: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$ 558,066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$ 477,628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21" w:lineRule="auto"/>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SIX-MONTHS ENDED JUNE 30, 2019 AND 2018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Other</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4"/>
              </w:rPr>
              <w:t>Retained</w:t>
            </w:r>
          </w:p>
        </w:tc>
        <w:tc>
          <w:tcPr>
            <w:tcW w:w="9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7"/>
              </w:rPr>
              <w:t>Comprehensive</w:t>
            </w:r>
          </w:p>
        </w:tc>
        <w:tc>
          <w:tcPr>
            <w:tcW w:w="1560" w:type="dxa"/>
            <w:vAlign w:val="bottom"/>
            <w:gridSpan w:val="5"/>
          </w:tcPr>
          <w:p>
            <w:pPr>
              <w:jc w:val="right"/>
              <w:ind w:right="500"/>
              <w:spacing w:after="0"/>
              <w:rPr>
                <w:sz w:val="20"/>
                <w:szCs w:val="20"/>
                <w:color w:val="auto"/>
              </w:rPr>
            </w:pPr>
            <w:r>
              <w:rPr>
                <w:rFonts w:ascii="Arial" w:cs="Arial" w:eastAsia="Arial" w:hAnsi="Arial"/>
                <w:sz w:val="11"/>
                <w:szCs w:val="11"/>
                <w:b w:val="1"/>
                <w:bCs w:val="1"/>
                <w:color w:val="auto"/>
              </w:rPr>
              <w:t>Treasury stock</w:t>
            </w: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15"/>
        </w:trPr>
        <w:tc>
          <w:tcPr>
            <w:tcW w:w="2660" w:type="dxa"/>
            <w:vAlign w:val="bottom"/>
            <w:vMerge w:val="restart"/>
          </w:tcPr>
          <w:p>
            <w:pPr>
              <w:spacing w:after="0"/>
              <w:rPr>
                <w:sz w:val="20"/>
                <w:szCs w:val="20"/>
                <w:color w:val="auto"/>
              </w:rPr>
            </w:pPr>
            <w:r>
              <w:rPr>
                <w:rFonts w:ascii="Arial" w:cs="Arial" w:eastAsia="Arial" w:hAnsi="Arial"/>
                <w:sz w:val="11"/>
                <w:szCs w:val="11"/>
                <w:b w:val="1"/>
                <w:bCs w:val="1"/>
                <w:color w:val="auto"/>
              </w:rPr>
              <w:t>Balance, December 31, 2018</w:t>
            </w: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6"/>
              </w:rPr>
              <w:t>Amount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120"/>
              <w:spacing w:after="0" w:line="115" w:lineRule="exact"/>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0"/>
                <w:szCs w:val="10"/>
                <w:color w:val="auto"/>
              </w:rPr>
            </w:pPr>
          </w:p>
        </w:tc>
        <w:tc>
          <w:tcPr>
            <w:tcW w:w="72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auto"/>
                <w:w w:val="93"/>
              </w:rPr>
              <w:t>Earnings</w:t>
            </w:r>
          </w:p>
        </w:tc>
        <w:tc>
          <w:tcPr>
            <w:tcW w:w="80" w:type="dxa"/>
            <w:vAlign w:val="bottom"/>
          </w:tcPr>
          <w:p>
            <w:pPr>
              <w:spacing w:after="0"/>
              <w:rPr>
                <w:sz w:val="10"/>
                <w:szCs w:val="10"/>
                <w:color w:val="auto"/>
              </w:rPr>
            </w:pPr>
          </w:p>
        </w:tc>
        <w:tc>
          <w:tcPr>
            <w:tcW w:w="840" w:type="dxa"/>
            <w:vAlign w:val="bottom"/>
            <w:gridSpan w:val="2"/>
          </w:tcPr>
          <w:p>
            <w:pPr>
              <w:jc w:val="center"/>
              <w:ind w:right="220"/>
              <w:spacing w:after="0" w:line="115" w:lineRule="exact"/>
              <w:rPr>
                <w:sz w:val="20"/>
                <w:szCs w:val="20"/>
                <w:color w:val="auto"/>
              </w:rPr>
            </w:pPr>
            <w:r>
              <w:rPr>
                <w:rFonts w:ascii="Arial" w:cs="Arial" w:eastAsia="Arial" w:hAnsi="Arial"/>
                <w:sz w:val="11"/>
                <w:szCs w:val="11"/>
                <w:b w:val="1"/>
                <w:bCs w:val="1"/>
                <w:color w:val="auto"/>
                <w:w w:val="85"/>
              </w:rPr>
              <w:t>Loss</w:t>
            </w:r>
          </w:p>
        </w:tc>
        <w:tc>
          <w:tcPr>
            <w:tcW w:w="720" w:type="dxa"/>
            <w:vAlign w:val="bottom"/>
            <w:tcBorders>
              <w:top w:val="single" w:sz="8" w:color="auto"/>
            </w:tcBorders>
            <w:gridSpan w:val="2"/>
          </w:tcPr>
          <w:p>
            <w:pPr>
              <w:jc w:val="right"/>
              <w:ind w:right="280"/>
              <w:spacing w:after="0" w:line="115" w:lineRule="exact"/>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ind w:right="66"/>
              <w:spacing w:after="0" w:line="115"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30"/>
        </w:trPr>
        <w:tc>
          <w:tcPr>
            <w:tcW w:w="2660" w:type="dxa"/>
            <w:vAlign w:val="bottom"/>
            <w:vMerge w:val="continue"/>
          </w:tcPr>
          <w:p>
            <w:pPr>
              <w:spacing w:after="0"/>
              <w:rPr>
                <w:sz w:val="11"/>
                <w:szCs w:val="11"/>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630,970</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3,155</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4,238,170</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3,914,645</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(32,864)</w:t>
            </w:r>
          </w:p>
        </w:tc>
        <w:tc>
          <w:tcPr>
            <w:tcW w:w="16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(87,294)</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9"/>
              </w:rPr>
              <w:t>(4,512,205)</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3,610,901</w:t>
            </w:r>
          </w:p>
        </w:tc>
        <w:tc>
          <w:tcPr>
            <w:tcW w:w="0" w:type="dxa"/>
            <w:vAlign w:val="bottom"/>
          </w:tcPr>
          <w:p>
            <w:pPr>
              <w:spacing w:after="0"/>
              <w:rPr>
                <w:sz w:val="1"/>
                <w:szCs w:val="1"/>
                <w:color w:val="auto"/>
              </w:rPr>
            </w:pPr>
          </w:p>
        </w:tc>
      </w:tr>
      <w:tr>
        <w:trPr>
          <w:trHeight w:val="233"/>
        </w:trPr>
        <w:tc>
          <w:tcPr>
            <w:tcW w:w="266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15,324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15,324</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3,871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35,144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35,163</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Unrealized gain on available-for-sale securities</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120</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(4,000)</w:t>
            </w: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(222,792)</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(222,792)</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Foreign currency translation</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(1,381)</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(1,381)</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Net income</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261,485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261,485</w:t>
            </w:r>
          </w:p>
        </w:tc>
        <w:tc>
          <w:tcPr>
            <w:tcW w:w="0" w:type="dxa"/>
            <w:vAlign w:val="bottom"/>
          </w:tcPr>
          <w:p>
            <w:pPr>
              <w:spacing w:after="0"/>
              <w:rPr>
                <w:sz w:val="1"/>
                <w:szCs w:val="1"/>
                <w:color w:val="auto"/>
              </w:rPr>
            </w:pPr>
          </w:p>
        </w:tc>
      </w:tr>
      <w:tr>
        <w:trPr>
          <w:trHeight w:val="117"/>
        </w:trPr>
        <w:tc>
          <w:tcPr>
            <w:tcW w:w="2660" w:type="dxa"/>
            <w:vAlign w:val="bottom"/>
            <w:vMerge w:val="restart"/>
          </w:tcPr>
          <w:p>
            <w:pPr>
              <w:spacing w:after="0"/>
              <w:rPr>
                <w:sz w:val="20"/>
                <w:szCs w:val="20"/>
                <w:color w:val="auto"/>
              </w:rPr>
            </w:pPr>
            <w:r>
              <w:rPr>
                <w:rFonts w:ascii="Arial" w:cs="Arial" w:eastAsia="Arial" w:hAnsi="Arial"/>
                <w:sz w:val="11"/>
                <w:szCs w:val="11"/>
                <w:b w:val="1"/>
                <w:bCs w:val="1"/>
                <w:color w:val="auto"/>
              </w:rPr>
              <w:t>Balance, March 31, 2019</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c>
          <w:tcPr>
            <w:tcW w:w="7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60" w:type="dxa"/>
            <w:vAlign w:val="bottom"/>
            <w:vMerge w:val="continue"/>
          </w:tcPr>
          <w:p>
            <w:pPr>
              <w:spacing w:after="0"/>
              <w:rPr>
                <w:sz w:val="11"/>
                <w:szCs w:val="11"/>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634,841</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3,174</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4,288,638</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4,176,130</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(34,125)</w:t>
            </w:r>
          </w:p>
        </w:tc>
        <w:tc>
          <w:tcPr>
            <w:tcW w:w="16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(91,294)</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9"/>
              </w:rPr>
              <w:t>(4,734,997)</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3,698,820</w:t>
            </w:r>
          </w:p>
        </w:tc>
        <w:tc>
          <w:tcPr>
            <w:tcW w:w="0" w:type="dxa"/>
            <w:vAlign w:val="bottom"/>
          </w:tcPr>
          <w:p>
            <w:pPr>
              <w:spacing w:after="0"/>
              <w:rPr>
                <w:sz w:val="1"/>
                <w:szCs w:val="1"/>
                <w:color w:val="auto"/>
              </w:rPr>
            </w:pPr>
          </w:p>
        </w:tc>
      </w:tr>
      <w:tr>
        <w:trPr>
          <w:trHeight w:val="233"/>
        </w:trPr>
        <w:tc>
          <w:tcPr>
            <w:tcW w:w="266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15,575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15,575</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1,288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45,964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45,970</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Unrealized gain on available-for-sale securities</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215</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215</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(621)</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(621)</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Foreign currency translation</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5,154</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5,154</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Net income</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292,473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292,473</w:t>
            </w:r>
          </w:p>
        </w:tc>
        <w:tc>
          <w:tcPr>
            <w:tcW w:w="0" w:type="dxa"/>
            <w:vAlign w:val="bottom"/>
          </w:tcPr>
          <w:p>
            <w:pPr>
              <w:spacing w:after="0"/>
              <w:rPr>
                <w:sz w:val="1"/>
                <w:szCs w:val="1"/>
                <w:color w:val="auto"/>
              </w:rPr>
            </w:pPr>
          </w:p>
        </w:tc>
      </w:tr>
      <w:tr>
        <w:trPr>
          <w:trHeight w:val="117"/>
        </w:trPr>
        <w:tc>
          <w:tcPr>
            <w:tcW w:w="2660" w:type="dxa"/>
            <w:vAlign w:val="bottom"/>
            <w:vMerge w:val="restart"/>
          </w:tcPr>
          <w:p>
            <w:pPr>
              <w:spacing w:after="0"/>
              <w:rPr>
                <w:sz w:val="20"/>
                <w:szCs w:val="20"/>
                <w:color w:val="auto"/>
              </w:rPr>
            </w:pPr>
            <w:r>
              <w:rPr>
                <w:rFonts w:ascii="Arial" w:cs="Arial" w:eastAsia="Arial" w:hAnsi="Arial"/>
                <w:sz w:val="11"/>
                <w:szCs w:val="11"/>
                <w:b w:val="1"/>
                <w:bCs w:val="1"/>
                <w:color w:val="auto"/>
              </w:rPr>
              <w:t>Balance, June 30, 2019</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c>
          <w:tcPr>
            <w:tcW w:w="7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60" w:type="dxa"/>
            <w:vAlign w:val="bottom"/>
            <w:vMerge w:val="continue"/>
          </w:tcPr>
          <w:p>
            <w:pPr>
              <w:spacing w:after="0"/>
              <w:rPr>
                <w:sz w:val="10"/>
                <w:szCs w:val="10"/>
                <w:color w:val="auto"/>
              </w:rPr>
            </w:pPr>
          </w:p>
        </w:tc>
        <w:tc>
          <w:tcPr>
            <w:tcW w:w="54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636,129</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3,180</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4,350,177</w:t>
            </w:r>
          </w:p>
        </w:tc>
        <w:tc>
          <w:tcPr>
            <w:tcW w:w="1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4,468,603</w:t>
            </w:r>
          </w:p>
        </w:tc>
        <w:tc>
          <w:tcPr>
            <w:tcW w:w="1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(28,756)</w:t>
            </w:r>
          </w:p>
        </w:tc>
        <w:tc>
          <w:tcPr>
            <w:tcW w:w="16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(91,304)</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9"/>
              </w:rPr>
              <w:t>(4,735,618)</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7"/>
              </w:rPr>
              <w:t>4,057,586</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Other</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5"/>
          </w:tcPr>
          <w:p>
            <w:pPr>
              <w:ind w:left="32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1"/>
                <w:szCs w:val="1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4"/>
              </w:rPr>
              <w:t>Retained</w:t>
            </w:r>
          </w:p>
        </w:tc>
        <w:tc>
          <w:tcPr>
            <w:tcW w:w="92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87"/>
              </w:rPr>
              <w:t>Comprehensive</w:t>
            </w:r>
          </w:p>
        </w:tc>
        <w:tc>
          <w:tcPr>
            <w:tcW w:w="1560" w:type="dxa"/>
            <w:vAlign w:val="bottom"/>
            <w:gridSpan w:val="5"/>
          </w:tcPr>
          <w:p>
            <w:pPr>
              <w:jc w:val="right"/>
              <w:ind w:right="500"/>
              <w:spacing w:after="0"/>
              <w:rPr>
                <w:sz w:val="20"/>
                <w:szCs w:val="20"/>
                <w:color w:val="auto"/>
              </w:rPr>
            </w:pPr>
            <w:r>
              <w:rPr>
                <w:rFonts w:ascii="Arial" w:cs="Arial" w:eastAsia="Arial" w:hAnsi="Arial"/>
                <w:sz w:val="11"/>
                <w:szCs w:val="11"/>
                <w:b w:val="1"/>
                <w:bCs w:val="1"/>
                <w:color w:val="auto"/>
              </w:rPr>
              <w:t>Treasury stock</w:t>
            </w: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15"/>
        </w:trPr>
        <w:tc>
          <w:tcPr>
            <w:tcW w:w="2660" w:type="dxa"/>
            <w:vAlign w:val="bottom"/>
            <w:vMerge w:val="restart"/>
          </w:tcPr>
          <w:p>
            <w:pPr>
              <w:spacing w:after="0"/>
              <w:rPr>
                <w:sz w:val="20"/>
                <w:szCs w:val="20"/>
                <w:color w:val="auto"/>
              </w:rPr>
            </w:pPr>
            <w:r>
              <w:rPr>
                <w:rFonts w:ascii="Arial" w:cs="Arial" w:eastAsia="Arial" w:hAnsi="Arial"/>
                <w:sz w:val="11"/>
                <w:szCs w:val="11"/>
                <w:b w:val="1"/>
                <w:bCs w:val="1"/>
                <w:color w:val="auto"/>
              </w:rPr>
              <w:t>Balance, December 31, 2017</w:t>
            </w:r>
          </w:p>
        </w:tc>
        <w:tc>
          <w:tcPr>
            <w:tcW w:w="20" w:type="dxa"/>
            <w:vAlign w:val="bottom"/>
          </w:tcPr>
          <w:p>
            <w:pPr>
              <w:spacing w:after="0"/>
              <w:rPr>
                <w:sz w:val="10"/>
                <w:szCs w:val="10"/>
                <w:color w:val="auto"/>
              </w:rPr>
            </w:pPr>
          </w:p>
        </w:tc>
        <w:tc>
          <w:tcPr>
            <w:tcW w:w="680" w:type="dxa"/>
            <w:vAlign w:val="bottom"/>
            <w:tcBorders>
              <w:top w:val="single" w:sz="8" w:color="auto"/>
            </w:tcBorders>
            <w:gridSpan w:val="2"/>
          </w:tcPr>
          <w:p>
            <w:pPr>
              <w:ind w:left="120"/>
              <w:spacing w:after="0" w:line="115" w:lineRule="exact"/>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6"/>
              </w:rPr>
              <w:t>Amount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120"/>
              <w:spacing w:after="0" w:line="115" w:lineRule="exact"/>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0"/>
                <w:szCs w:val="10"/>
                <w:color w:val="auto"/>
              </w:rPr>
            </w:pPr>
          </w:p>
        </w:tc>
        <w:tc>
          <w:tcPr>
            <w:tcW w:w="72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auto"/>
                <w:w w:val="93"/>
              </w:rPr>
              <w:t>Earnings</w:t>
            </w:r>
          </w:p>
        </w:tc>
        <w:tc>
          <w:tcPr>
            <w:tcW w:w="80" w:type="dxa"/>
            <w:vAlign w:val="bottom"/>
          </w:tcPr>
          <w:p>
            <w:pPr>
              <w:spacing w:after="0"/>
              <w:rPr>
                <w:sz w:val="10"/>
                <w:szCs w:val="10"/>
                <w:color w:val="auto"/>
              </w:rPr>
            </w:pPr>
          </w:p>
        </w:tc>
        <w:tc>
          <w:tcPr>
            <w:tcW w:w="840" w:type="dxa"/>
            <w:vAlign w:val="bottom"/>
            <w:gridSpan w:val="2"/>
          </w:tcPr>
          <w:p>
            <w:pPr>
              <w:jc w:val="center"/>
              <w:ind w:right="220"/>
              <w:spacing w:after="0" w:line="115" w:lineRule="exact"/>
              <w:rPr>
                <w:sz w:val="20"/>
                <w:szCs w:val="20"/>
                <w:color w:val="auto"/>
              </w:rPr>
            </w:pPr>
            <w:r>
              <w:rPr>
                <w:rFonts w:ascii="Arial" w:cs="Arial" w:eastAsia="Arial" w:hAnsi="Arial"/>
                <w:sz w:val="11"/>
                <w:szCs w:val="11"/>
                <w:b w:val="1"/>
                <w:bCs w:val="1"/>
                <w:color w:val="auto"/>
                <w:w w:val="85"/>
              </w:rPr>
              <w:t>Loss</w:t>
            </w:r>
          </w:p>
        </w:tc>
        <w:tc>
          <w:tcPr>
            <w:tcW w:w="720" w:type="dxa"/>
            <w:vAlign w:val="bottom"/>
            <w:tcBorders>
              <w:top w:val="single" w:sz="8" w:color="auto"/>
            </w:tcBorders>
            <w:gridSpan w:val="2"/>
          </w:tcPr>
          <w:p>
            <w:pPr>
              <w:jc w:val="right"/>
              <w:ind w:right="280"/>
              <w:spacing w:after="0" w:line="115" w:lineRule="exact"/>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ind w:right="66"/>
              <w:spacing w:after="0" w:line="115"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30"/>
        </w:trPr>
        <w:tc>
          <w:tcPr>
            <w:tcW w:w="2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629,255</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3,146</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4,150,628</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2,928,226</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(16,659)</w:t>
            </w:r>
          </w:p>
        </w:tc>
        <w:tc>
          <w:tcPr>
            <w:tcW w:w="16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(62,957)</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9"/>
              </w:rPr>
              <w:t>(3,170,129)</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3,895,212</w:t>
            </w:r>
          </w:p>
        </w:tc>
        <w:tc>
          <w:tcPr>
            <w:tcW w:w="0" w:type="dxa"/>
            <w:vAlign w:val="bottom"/>
          </w:tcPr>
          <w:p>
            <w:pPr>
              <w:spacing w:after="0"/>
              <w:rPr>
                <w:sz w:val="1"/>
                <w:szCs w:val="1"/>
                <w:color w:val="auto"/>
              </w:rPr>
            </w:pPr>
          </w:p>
        </w:tc>
      </w:tr>
      <w:tr>
        <w:trPr>
          <w:trHeight w:val="233"/>
        </w:trPr>
        <w:tc>
          <w:tcPr>
            <w:tcW w:w="266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13,439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13,439</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669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6,498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6,502</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Unrealized gain on available-for-sale securities</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215</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215</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ASU No. 2016-16 adoption</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(6,585)</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(6,585)</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(4,362)</w:t>
            </w: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(251,949)</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(251,949)</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Foreign currency translation</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2,723</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2,723</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Net income</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216,050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216,050</w:t>
            </w:r>
          </w:p>
        </w:tc>
        <w:tc>
          <w:tcPr>
            <w:tcW w:w="0" w:type="dxa"/>
            <w:vAlign w:val="bottom"/>
          </w:tcPr>
          <w:p>
            <w:pPr>
              <w:spacing w:after="0"/>
              <w:rPr>
                <w:sz w:val="1"/>
                <w:szCs w:val="1"/>
                <w:color w:val="auto"/>
              </w:rPr>
            </w:pPr>
          </w:p>
        </w:tc>
      </w:tr>
      <w:tr>
        <w:trPr>
          <w:trHeight w:val="117"/>
        </w:trPr>
        <w:tc>
          <w:tcPr>
            <w:tcW w:w="2660" w:type="dxa"/>
            <w:vAlign w:val="bottom"/>
            <w:vMerge w:val="restart"/>
          </w:tcPr>
          <w:p>
            <w:pPr>
              <w:spacing w:after="0"/>
              <w:rPr>
                <w:sz w:val="20"/>
                <w:szCs w:val="20"/>
                <w:color w:val="auto"/>
              </w:rPr>
            </w:pPr>
            <w:r>
              <w:rPr>
                <w:rFonts w:ascii="Arial" w:cs="Arial" w:eastAsia="Arial" w:hAnsi="Arial"/>
                <w:sz w:val="11"/>
                <w:szCs w:val="11"/>
                <w:b w:val="1"/>
                <w:bCs w:val="1"/>
                <w:color w:val="auto"/>
              </w:rPr>
              <w:t>Balance, March 31, 2018</w:t>
            </w:r>
          </w:p>
        </w:tc>
        <w:tc>
          <w:tcPr>
            <w:tcW w:w="5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c>
          <w:tcPr>
            <w:tcW w:w="7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629,924</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3,150</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4,170,565</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3,137,691</w:t>
            </w:r>
          </w:p>
        </w:tc>
        <w:tc>
          <w:tcPr>
            <w:tcW w:w="16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(13,721)</w:t>
            </w:r>
          </w:p>
        </w:tc>
        <w:tc>
          <w:tcPr>
            <w:tcW w:w="16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(67,319)</w:t>
            </w:r>
          </w:p>
        </w:tc>
        <w:tc>
          <w:tcPr>
            <w:tcW w:w="1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9"/>
              </w:rPr>
              <w:t>(3,422,078)</w:t>
            </w:r>
          </w:p>
        </w:tc>
        <w:tc>
          <w:tcPr>
            <w:tcW w:w="160" w:type="dxa"/>
            <w:vAlign w:val="bottom"/>
          </w:tcPr>
          <w:p>
            <w:pPr>
              <w:spacing w:after="0"/>
              <w:rPr>
                <w:sz w:val="11"/>
                <w:szCs w:val="11"/>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3,875,607</w:t>
            </w:r>
          </w:p>
        </w:tc>
        <w:tc>
          <w:tcPr>
            <w:tcW w:w="0" w:type="dxa"/>
            <w:vAlign w:val="bottom"/>
          </w:tcPr>
          <w:p>
            <w:pPr>
              <w:spacing w:after="0"/>
              <w:rPr>
                <w:sz w:val="1"/>
                <w:szCs w:val="1"/>
                <w:color w:val="auto"/>
              </w:rPr>
            </w:pPr>
          </w:p>
        </w:tc>
      </w:tr>
      <w:tr>
        <w:trPr>
          <w:trHeight w:val="233"/>
        </w:trPr>
        <w:tc>
          <w:tcPr>
            <w:tcW w:w="2660" w:type="dxa"/>
            <w:vAlign w:val="bottom"/>
          </w:tcPr>
          <w:p>
            <w:pPr>
              <w:spacing w:after="0"/>
              <w:rPr>
                <w:sz w:val="20"/>
                <w:szCs w:val="20"/>
                <w:color w:val="auto"/>
              </w:rPr>
            </w:pPr>
            <w:r>
              <w:rPr>
                <w:rFonts w:ascii="Arial" w:cs="Arial" w:eastAsia="Arial" w:hAnsi="Arial"/>
                <w:sz w:val="11"/>
                <w:szCs w:val="11"/>
                <w:color w:val="auto"/>
              </w:rPr>
              <w:t>Stock-based compensation</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14,906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14,906</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Exercise of stock options</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406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7,112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7,114</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Unrealized gain on available-for-sale securities</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513</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513</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Adjustment to excess tax from prior periods</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2,093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2,093</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(10,554)</w:t>
            </w:r>
          </w:p>
        </w:tc>
        <w:tc>
          <w:tcPr>
            <w:tcW w:w="10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(553,200)</w:t>
            </w: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(553,200)</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Foreign currency translation</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1"/>
                <w:szCs w:val="11"/>
                <w:color w:val="auto"/>
              </w:rPr>
              <w:t>(11,988)</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(11,988)</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1"/>
                <w:szCs w:val="11"/>
                <w:color w:val="auto"/>
              </w:rPr>
              <w:t>Net income</w:t>
            </w: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270,116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270,116</w:t>
            </w:r>
          </w:p>
        </w:tc>
        <w:tc>
          <w:tcPr>
            <w:tcW w:w="0" w:type="dxa"/>
            <w:vAlign w:val="bottom"/>
          </w:tcPr>
          <w:p>
            <w:pPr>
              <w:spacing w:after="0"/>
              <w:rPr>
                <w:sz w:val="1"/>
                <w:szCs w:val="1"/>
                <w:color w:val="auto"/>
              </w:rPr>
            </w:pPr>
          </w:p>
        </w:tc>
      </w:tr>
      <w:tr>
        <w:trPr>
          <w:trHeight w:val="117"/>
        </w:trPr>
        <w:tc>
          <w:tcPr>
            <w:tcW w:w="2660" w:type="dxa"/>
            <w:vAlign w:val="bottom"/>
            <w:vMerge w:val="restart"/>
          </w:tcPr>
          <w:p>
            <w:pPr>
              <w:spacing w:after="0"/>
              <w:rPr>
                <w:sz w:val="20"/>
                <w:szCs w:val="20"/>
                <w:color w:val="auto"/>
              </w:rPr>
            </w:pPr>
            <w:r>
              <w:rPr>
                <w:rFonts w:ascii="Arial" w:cs="Arial" w:eastAsia="Arial" w:hAnsi="Arial"/>
                <w:sz w:val="11"/>
                <w:szCs w:val="11"/>
                <w:b w:val="1"/>
                <w:bCs w:val="1"/>
                <w:color w:val="auto"/>
              </w:rPr>
              <w:t>Balance, June 30, 2018</w:t>
            </w:r>
          </w:p>
        </w:tc>
        <w:tc>
          <w:tcPr>
            <w:tcW w:w="5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c>
          <w:tcPr>
            <w:tcW w:w="7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630,330</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3,152</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4,194,676</w:t>
            </w:r>
          </w:p>
        </w:tc>
        <w:tc>
          <w:tcPr>
            <w:tcW w:w="1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3,407,807</w:t>
            </w:r>
          </w:p>
        </w:tc>
        <w:tc>
          <w:tcPr>
            <w:tcW w:w="16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(25,196)</w:t>
            </w:r>
          </w:p>
        </w:tc>
        <w:tc>
          <w:tcPr>
            <w:tcW w:w="16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(77,873)</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9"/>
              </w:rPr>
              <w:t>(3,975,278)</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7"/>
              </w:rPr>
              <w:t>3,605,161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640"/>
        <w:spacing w:after="0" w:line="236"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SIX-MONTHS ENDED JUNE 30, 2019 AND 2018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88"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Six-Months Ended</w:t>
      </w:r>
    </w:p>
    <w:p>
      <w:pPr>
        <w:ind w:left="78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92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1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23"/>
        </w:trPr>
        <w:tc>
          <w:tcPr>
            <w:tcW w:w="59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4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553,958</w:t>
            </w:r>
          </w:p>
        </w:tc>
        <w:tc>
          <w:tcPr>
            <w:tcW w:w="200" w:type="dxa"/>
            <w:vAlign w:val="bottom"/>
          </w:tcPr>
          <w:p>
            <w:pPr>
              <w:spacing w:after="0"/>
              <w:rPr>
                <w:sz w:val="12"/>
                <w:szCs w:val="12"/>
                <w:color w:val="auto"/>
              </w:rPr>
            </w:pPr>
          </w:p>
        </w:tc>
        <w:tc>
          <w:tcPr>
            <w:tcW w:w="1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486,165</w:t>
            </w: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32,444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28,185</w:t>
            </w:r>
          </w:p>
        </w:tc>
        <w:tc>
          <w:tcPr>
            <w:tcW w:w="0" w:type="dxa"/>
            <w:vAlign w:val="bottom"/>
          </w:tcPr>
          <w:p>
            <w:pPr>
              <w:spacing w:after="0"/>
              <w:rPr>
                <w:sz w:val="1"/>
                <w:szCs w:val="1"/>
                <w:color w:val="auto"/>
              </w:rPr>
            </w:pPr>
          </w:p>
        </w:tc>
      </w:tr>
      <w:tr>
        <w:trPr>
          <w:trHeight w:val="149"/>
        </w:trPr>
        <w:tc>
          <w:tcPr>
            <w:tcW w:w="5920" w:type="dxa"/>
            <w:vAlign w:val="bottom"/>
          </w:tcPr>
          <w:p>
            <w:pPr>
              <w:ind w:left="220"/>
              <w:spacing w:after="0" w:line="149" w:lineRule="exact"/>
              <w:rPr>
                <w:sz w:val="20"/>
                <w:szCs w:val="20"/>
                <w:color w:val="auto"/>
              </w:rPr>
            </w:pPr>
            <w:r>
              <w:rPr>
                <w:rFonts w:ascii="Arial" w:cs="Arial" w:eastAsia="Arial" w:hAnsi="Arial"/>
                <w:sz w:val="14"/>
                <w:szCs w:val="14"/>
                <w:color w:val="auto"/>
              </w:rPr>
              <w:t>(Gain) loss on disposal of property and equipment</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1,269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592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30,899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28,345</w:t>
            </w:r>
          </w:p>
        </w:tc>
        <w:tc>
          <w:tcPr>
            <w:tcW w:w="0" w:type="dxa"/>
            <w:vAlign w:val="bottom"/>
          </w:tcPr>
          <w:p>
            <w:pPr>
              <w:spacing w:after="0"/>
              <w:rPr>
                <w:sz w:val="1"/>
                <w:szCs w:val="1"/>
                <w:color w:val="auto"/>
              </w:rPr>
            </w:pPr>
          </w:p>
        </w:tc>
      </w:tr>
      <w:tr>
        <w:trPr>
          <w:trHeight w:val="149"/>
        </w:trPr>
        <w:tc>
          <w:tcPr>
            <w:tcW w:w="592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5920" w:type="dxa"/>
            <w:vAlign w:val="bottom"/>
          </w:tcPr>
          <w:p>
            <w:pPr>
              <w:ind w:left="22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(204,393)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(154,369)</w:t>
            </w:r>
          </w:p>
        </w:tc>
        <w:tc>
          <w:tcPr>
            <w:tcW w:w="0" w:type="dxa"/>
            <w:vAlign w:val="bottom"/>
          </w:tcPr>
          <w:p>
            <w:pPr>
              <w:spacing w:after="0"/>
              <w:rPr>
                <w:sz w:val="1"/>
                <w:szCs w:val="1"/>
                <w:color w:val="auto"/>
              </w:rPr>
            </w:pPr>
          </w:p>
        </w:tc>
      </w:tr>
      <w:tr>
        <w:trPr>
          <w:trHeight w:val="149"/>
        </w:trPr>
        <w:tc>
          <w:tcPr>
            <w:tcW w:w="5920" w:type="dxa"/>
            <w:vAlign w:val="bottom"/>
          </w:tcPr>
          <w:p>
            <w:pPr>
              <w:ind w:left="340"/>
              <w:spacing w:after="0" w:line="149" w:lineRule="exact"/>
              <w:rPr>
                <w:sz w:val="20"/>
                <w:szCs w:val="20"/>
                <w:color w:val="auto"/>
              </w:rPr>
            </w:pPr>
            <w:r>
              <w:rPr>
                <w:rFonts w:ascii="Arial" w:cs="Arial" w:eastAsia="Arial" w:hAnsi="Arial"/>
                <w:sz w:val="14"/>
                <w:szCs w:val="14"/>
                <w:color w:val="auto"/>
              </w:rPr>
              <w:t>Distributor receivables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4,527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5,826</w:t>
            </w:r>
          </w:p>
        </w:tc>
        <w:tc>
          <w:tcPr>
            <w:tcW w:w="0" w:type="dxa"/>
            <w:vAlign w:val="bottom"/>
          </w:tcPr>
          <w:p>
            <w:pPr>
              <w:spacing w:after="0"/>
              <w:rPr>
                <w:sz w:val="1"/>
                <w:szCs w:val="1"/>
                <w:color w:val="auto"/>
              </w:rPr>
            </w:pPr>
          </w:p>
        </w:tc>
      </w:tr>
      <w:tr>
        <w:trPr>
          <w:trHeight w:val="149"/>
        </w:trPr>
        <w:tc>
          <w:tcPr>
            <w:tcW w:w="5920" w:type="dxa"/>
            <w:vAlign w:val="bottom"/>
          </w:tcPr>
          <w:p>
            <w:pPr>
              <w:ind w:left="340"/>
              <w:spacing w:after="0" w:line="149" w:lineRule="exact"/>
              <w:rPr>
                <w:sz w:val="20"/>
                <w:szCs w:val="20"/>
                <w:color w:val="auto"/>
              </w:rPr>
            </w:pPr>
            <w:r>
              <w:rPr>
                <w:rFonts w:ascii="Arial" w:cs="Arial" w:eastAsia="Arial" w:hAnsi="Arial"/>
                <w:sz w:val="14"/>
                <w:szCs w:val="14"/>
                <w:color w:val="auto"/>
              </w:rPr>
              <w:t>Inventories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(21,505)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(22,753)</w:t>
            </w:r>
          </w:p>
        </w:tc>
        <w:tc>
          <w:tcPr>
            <w:tcW w:w="0" w:type="dxa"/>
            <w:vAlign w:val="bottom"/>
          </w:tcPr>
          <w:p>
            <w:pPr>
              <w:spacing w:after="0"/>
              <w:rPr>
                <w:sz w:val="1"/>
                <w:szCs w:val="1"/>
                <w:color w:val="auto"/>
              </w:rPr>
            </w:pPr>
          </w:p>
        </w:tc>
      </w:tr>
      <w:tr>
        <w:trPr>
          <w:trHeight w:val="149"/>
        </w:trPr>
        <w:tc>
          <w:tcPr>
            <w:tcW w:w="5920" w:type="dxa"/>
            <w:vAlign w:val="bottom"/>
          </w:tcPr>
          <w:p>
            <w:pPr>
              <w:ind w:left="340"/>
              <w:spacing w:after="0" w:line="149" w:lineRule="exact"/>
              <w:rPr>
                <w:sz w:val="20"/>
                <w:szCs w:val="20"/>
                <w:color w:val="auto"/>
              </w:rPr>
            </w:pPr>
            <w:r>
              <w:rPr>
                <w:rFonts w:ascii="Arial" w:cs="Arial" w:eastAsia="Arial" w:hAnsi="Arial"/>
                <w:sz w:val="14"/>
                <w:szCs w:val="14"/>
                <w:color w:val="auto"/>
              </w:rPr>
              <w:t>Prepaid expenses and other assets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(16,804)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(15,977)</w:t>
            </w:r>
          </w:p>
        </w:tc>
        <w:tc>
          <w:tcPr>
            <w:tcW w:w="0" w:type="dxa"/>
            <w:vAlign w:val="bottom"/>
          </w:tcPr>
          <w:p>
            <w:pPr>
              <w:spacing w:after="0"/>
              <w:rPr>
                <w:sz w:val="1"/>
                <w:szCs w:val="1"/>
                <w:color w:val="auto"/>
              </w:rPr>
            </w:pPr>
          </w:p>
        </w:tc>
      </w:tr>
      <w:tr>
        <w:trPr>
          <w:trHeight w:val="149"/>
        </w:trPr>
        <w:tc>
          <w:tcPr>
            <w:tcW w:w="5920" w:type="dxa"/>
            <w:vAlign w:val="bottom"/>
          </w:tcPr>
          <w:p>
            <w:pPr>
              <w:ind w:left="340"/>
              <w:spacing w:after="0" w:line="149" w:lineRule="exact"/>
              <w:rPr>
                <w:sz w:val="20"/>
                <w:szCs w:val="20"/>
                <w:color w:val="auto"/>
              </w:rPr>
            </w:pPr>
            <w:r>
              <w:rPr>
                <w:rFonts w:ascii="Arial" w:cs="Arial" w:eastAsia="Arial" w:hAnsi="Arial"/>
                <w:sz w:val="14"/>
                <w:szCs w:val="14"/>
                <w:color w:val="auto"/>
              </w:rPr>
              <w:t>Prepaid income taxes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4,554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104,969</w:t>
            </w:r>
          </w:p>
        </w:tc>
        <w:tc>
          <w:tcPr>
            <w:tcW w:w="0" w:type="dxa"/>
            <w:vAlign w:val="bottom"/>
          </w:tcPr>
          <w:p>
            <w:pPr>
              <w:spacing w:after="0"/>
              <w:rPr>
                <w:sz w:val="1"/>
                <w:szCs w:val="1"/>
                <w:color w:val="auto"/>
              </w:rPr>
            </w:pPr>
          </w:p>
        </w:tc>
      </w:tr>
      <w:tr>
        <w:trPr>
          <w:trHeight w:val="149"/>
        </w:trPr>
        <w:tc>
          <w:tcPr>
            <w:tcW w:w="5920" w:type="dxa"/>
            <w:vAlign w:val="bottom"/>
          </w:tcPr>
          <w:p>
            <w:pPr>
              <w:ind w:left="340"/>
              <w:spacing w:after="0" w:line="149" w:lineRule="exact"/>
              <w:rPr>
                <w:sz w:val="20"/>
                <w:szCs w:val="20"/>
                <w:color w:val="auto"/>
              </w:rPr>
            </w:pPr>
            <w:r>
              <w:rPr>
                <w:rFonts w:ascii="Arial" w:cs="Arial" w:eastAsia="Arial" w:hAnsi="Arial"/>
                <w:sz w:val="14"/>
                <w:szCs w:val="14"/>
                <w:color w:val="auto"/>
              </w:rPr>
              <w:t>Accounts payable</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36,850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24,684</w:t>
            </w:r>
          </w:p>
        </w:tc>
        <w:tc>
          <w:tcPr>
            <w:tcW w:w="0" w:type="dxa"/>
            <w:vAlign w:val="bottom"/>
          </w:tcPr>
          <w:p>
            <w:pPr>
              <w:spacing w:after="0"/>
              <w:rPr>
                <w:sz w:val="1"/>
                <w:szCs w:val="1"/>
                <w:color w:val="auto"/>
              </w:rPr>
            </w:pPr>
          </w:p>
        </w:tc>
      </w:tr>
      <w:tr>
        <w:trPr>
          <w:trHeight w:val="149"/>
        </w:trPr>
        <w:tc>
          <w:tcPr>
            <w:tcW w:w="5920" w:type="dxa"/>
            <w:vAlign w:val="bottom"/>
          </w:tcPr>
          <w:p>
            <w:pPr>
              <w:ind w:left="340"/>
              <w:spacing w:after="0" w:line="149" w:lineRule="exact"/>
              <w:rPr>
                <w:sz w:val="20"/>
                <w:szCs w:val="20"/>
                <w:color w:val="auto"/>
              </w:rPr>
            </w:pPr>
            <w:r>
              <w:rPr>
                <w:rFonts w:ascii="Arial" w:cs="Arial" w:eastAsia="Arial" w:hAnsi="Arial"/>
                <w:sz w:val="14"/>
                <w:szCs w:val="14"/>
                <w:color w:val="auto"/>
              </w:rPr>
              <w:t>Accrued liabilities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(1,412)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(15,617)</w:t>
            </w:r>
          </w:p>
        </w:tc>
        <w:tc>
          <w:tcPr>
            <w:tcW w:w="0" w:type="dxa"/>
            <w:vAlign w:val="bottom"/>
          </w:tcPr>
          <w:p>
            <w:pPr>
              <w:spacing w:after="0"/>
              <w:rPr>
                <w:sz w:val="1"/>
                <w:szCs w:val="1"/>
                <w:color w:val="auto"/>
              </w:rPr>
            </w:pPr>
          </w:p>
        </w:tc>
      </w:tr>
      <w:tr>
        <w:trPr>
          <w:trHeight w:val="149"/>
        </w:trPr>
        <w:tc>
          <w:tcPr>
            <w:tcW w:w="5920" w:type="dxa"/>
            <w:vAlign w:val="bottom"/>
          </w:tcPr>
          <w:p>
            <w:pPr>
              <w:ind w:left="340"/>
              <w:spacing w:after="0" w:line="149" w:lineRule="exact"/>
              <w:rPr>
                <w:sz w:val="20"/>
                <w:szCs w:val="20"/>
                <w:color w:val="auto"/>
              </w:rPr>
            </w:pPr>
            <w:r>
              <w:rPr>
                <w:rFonts w:ascii="Arial" w:cs="Arial" w:eastAsia="Arial" w:hAnsi="Arial"/>
                <w:sz w:val="14"/>
                <w:szCs w:val="14"/>
                <w:color w:val="auto"/>
              </w:rPr>
              <w:t>Accrued promotional allowances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53,568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43,196</w:t>
            </w:r>
          </w:p>
        </w:tc>
        <w:tc>
          <w:tcPr>
            <w:tcW w:w="0" w:type="dxa"/>
            <w:vAlign w:val="bottom"/>
          </w:tcPr>
          <w:p>
            <w:pPr>
              <w:spacing w:after="0"/>
              <w:rPr>
                <w:sz w:val="1"/>
                <w:szCs w:val="1"/>
                <w:color w:val="auto"/>
              </w:rPr>
            </w:pPr>
          </w:p>
        </w:tc>
      </w:tr>
      <w:tr>
        <w:trPr>
          <w:trHeight w:val="149"/>
        </w:trPr>
        <w:tc>
          <w:tcPr>
            <w:tcW w:w="5920" w:type="dxa"/>
            <w:vAlign w:val="bottom"/>
          </w:tcPr>
          <w:p>
            <w:pPr>
              <w:ind w:left="340"/>
              <w:spacing w:after="0" w:line="149" w:lineRule="exact"/>
              <w:rPr>
                <w:sz w:val="20"/>
                <w:szCs w:val="20"/>
                <w:color w:val="auto"/>
              </w:rPr>
            </w:pPr>
            <w:r>
              <w:rPr>
                <w:rFonts w:ascii="Arial" w:cs="Arial" w:eastAsia="Arial" w:hAnsi="Arial"/>
                <w:sz w:val="14"/>
                <w:szCs w:val="14"/>
                <w:color w:val="auto"/>
              </w:rPr>
              <w:t>Accrued distributor terminations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5920" w:type="dxa"/>
            <w:vAlign w:val="bottom"/>
          </w:tcPr>
          <w:p>
            <w:pPr>
              <w:ind w:left="340"/>
              <w:spacing w:after="0" w:line="149" w:lineRule="exact"/>
              <w:rPr>
                <w:sz w:val="20"/>
                <w:szCs w:val="20"/>
                <w:color w:val="auto"/>
              </w:rPr>
            </w:pPr>
            <w:r>
              <w:rPr>
                <w:rFonts w:ascii="Arial" w:cs="Arial" w:eastAsia="Arial" w:hAnsi="Arial"/>
                <w:sz w:val="14"/>
                <w:szCs w:val="14"/>
                <w:color w:val="auto"/>
              </w:rPr>
              <w:t>Accrued compensation</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(10,508)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(8,413)</w:t>
            </w:r>
          </w:p>
        </w:tc>
        <w:tc>
          <w:tcPr>
            <w:tcW w:w="0" w:type="dxa"/>
            <w:vAlign w:val="bottom"/>
          </w:tcPr>
          <w:p>
            <w:pPr>
              <w:spacing w:after="0"/>
              <w:rPr>
                <w:sz w:val="1"/>
                <w:szCs w:val="1"/>
                <w:color w:val="auto"/>
              </w:rPr>
            </w:pPr>
          </w:p>
        </w:tc>
      </w:tr>
      <w:tr>
        <w:trPr>
          <w:trHeight w:val="149"/>
        </w:trPr>
        <w:tc>
          <w:tcPr>
            <w:tcW w:w="5920" w:type="dxa"/>
            <w:vAlign w:val="bottom"/>
          </w:tcPr>
          <w:p>
            <w:pPr>
              <w:ind w:left="340"/>
              <w:spacing w:after="0" w:line="149" w:lineRule="exact"/>
              <w:rPr>
                <w:sz w:val="20"/>
                <w:szCs w:val="20"/>
                <w:color w:val="auto"/>
              </w:rPr>
            </w:pPr>
            <w:r>
              <w:rPr>
                <w:rFonts w:ascii="Arial" w:cs="Arial" w:eastAsia="Arial" w:hAnsi="Arial"/>
                <w:sz w:val="14"/>
                <w:szCs w:val="14"/>
                <w:color w:val="auto"/>
              </w:rPr>
              <w:t>Income taxes payable</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4,959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8,043</w:t>
            </w:r>
          </w:p>
        </w:tc>
        <w:tc>
          <w:tcPr>
            <w:tcW w:w="0" w:type="dxa"/>
            <w:vAlign w:val="bottom"/>
          </w:tcPr>
          <w:p>
            <w:pPr>
              <w:spacing w:after="0"/>
              <w:rPr>
                <w:sz w:val="1"/>
                <w:szCs w:val="1"/>
                <w:color w:val="auto"/>
              </w:rPr>
            </w:pPr>
          </w:p>
        </w:tc>
      </w:tr>
      <w:tr>
        <w:trPr>
          <w:trHeight w:val="149"/>
        </w:trPr>
        <w:tc>
          <w:tcPr>
            <w:tcW w:w="5920" w:type="dxa"/>
            <w:vAlign w:val="bottom"/>
          </w:tcPr>
          <w:p>
            <w:pPr>
              <w:ind w:left="340"/>
              <w:spacing w:after="0" w:line="149" w:lineRule="exact"/>
              <w:rPr>
                <w:sz w:val="20"/>
                <w:szCs w:val="20"/>
                <w:color w:val="auto"/>
              </w:rPr>
            </w:pPr>
            <w:r>
              <w:rPr>
                <w:rFonts w:ascii="Arial" w:cs="Arial" w:eastAsia="Arial" w:hAnsi="Arial"/>
                <w:sz w:val="14"/>
                <w:szCs w:val="14"/>
                <w:color w:val="auto"/>
              </w:rPr>
              <w:t>Other liabilities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167"/>
        </w:trPr>
        <w:tc>
          <w:tcPr>
            <w:tcW w:w="592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(12,342)</w:t>
            </w:r>
          </w:p>
        </w:tc>
        <w:tc>
          <w:tcPr>
            <w:tcW w:w="0" w:type="dxa"/>
            <w:vAlign w:val="bottom"/>
          </w:tcPr>
          <w:p>
            <w:pPr>
              <w:spacing w:after="0"/>
              <w:rPr>
                <w:sz w:val="1"/>
                <w:szCs w:val="1"/>
                <w:color w:val="auto"/>
              </w:rPr>
            </w:pPr>
          </w:p>
        </w:tc>
      </w:tr>
      <w:tr>
        <w:trPr>
          <w:trHeight w:val="176"/>
        </w:trPr>
        <w:tc>
          <w:tcPr>
            <w:tcW w:w="5920" w:type="dxa"/>
            <w:vAlign w:val="bottom"/>
          </w:tcPr>
          <w:p>
            <w:pPr>
              <w:ind w:left="560"/>
              <w:spacing w:after="0"/>
              <w:rPr>
                <w:sz w:val="20"/>
                <w:szCs w:val="20"/>
                <w:color w:val="auto"/>
              </w:rPr>
            </w:pPr>
            <w:r>
              <w:rPr>
                <w:rFonts w:ascii="Arial" w:cs="Arial" w:eastAsia="Arial" w:hAnsi="Arial"/>
                <w:sz w:val="14"/>
                <w:szCs w:val="14"/>
                <w:color w:val="auto"/>
              </w:rPr>
              <w:t>Net cash provided by operating activities</w:t>
            </w: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454,785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501,300</w:t>
            </w:r>
          </w:p>
        </w:tc>
        <w:tc>
          <w:tcPr>
            <w:tcW w:w="0" w:type="dxa"/>
            <w:vAlign w:val="bottom"/>
          </w:tcPr>
          <w:p>
            <w:pPr>
              <w:spacing w:after="0"/>
              <w:rPr>
                <w:sz w:val="1"/>
                <w:szCs w:val="1"/>
                <w:color w:val="auto"/>
              </w:rPr>
            </w:pPr>
          </w:p>
        </w:tc>
      </w:tr>
      <w:tr>
        <w:trPr>
          <w:trHeight w:val="245"/>
        </w:trPr>
        <w:tc>
          <w:tcPr>
            <w:tcW w:w="592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346,464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807,396</w:t>
            </w: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(380,851)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(342,463)</w:t>
            </w: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(21,077)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(34,619)</w:t>
            </w: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441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3,590</w:t>
            </w: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Increase in intangibles</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7"/>
        </w:trPr>
        <w:tc>
          <w:tcPr>
            <w:tcW w:w="5920" w:type="dxa"/>
            <w:vAlign w:val="bottom"/>
          </w:tcPr>
          <w:p>
            <w:pPr>
              <w:spacing w:after="0"/>
              <w:rPr>
                <w:sz w:val="20"/>
                <w:szCs w:val="20"/>
                <w:color w:val="auto"/>
              </w:rPr>
            </w:pPr>
            <w:r>
              <w:rPr>
                <w:rFonts w:ascii="Arial" w:cs="Arial" w:eastAsia="Arial" w:hAnsi="Arial"/>
                <w:sz w:val="14"/>
                <w:szCs w:val="14"/>
                <w:color w:val="auto"/>
              </w:rPr>
              <w:t>Increase in other assets</w:t>
            </w: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(7,684)</w:t>
            </w:r>
          </w:p>
        </w:tc>
        <w:tc>
          <w:tcPr>
            <w:tcW w:w="0" w:type="dxa"/>
            <w:vAlign w:val="bottom"/>
          </w:tcPr>
          <w:p>
            <w:pPr>
              <w:spacing w:after="0"/>
              <w:rPr>
                <w:sz w:val="1"/>
                <w:szCs w:val="1"/>
                <w:color w:val="auto"/>
              </w:rPr>
            </w:pPr>
          </w:p>
        </w:tc>
      </w:tr>
      <w:tr>
        <w:trPr>
          <w:trHeight w:val="176"/>
        </w:trPr>
        <w:tc>
          <w:tcPr>
            <w:tcW w:w="5920" w:type="dxa"/>
            <w:vAlign w:val="bottom"/>
          </w:tcPr>
          <w:p>
            <w:pPr>
              <w:ind w:left="560"/>
              <w:spacing w:after="0"/>
              <w:rPr>
                <w:sz w:val="20"/>
                <w:szCs w:val="20"/>
                <w:color w:val="auto"/>
              </w:rPr>
            </w:pPr>
            <w:r>
              <w:rPr>
                <w:rFonts w:ascii="Arial" w:cs="Arial" w:eastAsia="Arial" w:hAnsi="Arial"/>
                <w:sz w:val="14"/>
                <w:szCs w:val="14"/>
                <w:color w:val="auto"/>
              </w:rPr>
              <w:t>Net cash (used in) provided by investing activities</w:t>
            </w: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(56,042)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426,178</w:t>
            </w:r>
          </w:p>
        </w:tc>
        <w:tc>
          <w:tcPr>
            <w:tcW w:w="0" w:type="dxa"/>
            <w:vAlign w:val="bottom"/>
          </w:tcPr>
          <w:p>
            <w:pPr>
              <w:spacing w:after="0"/>
              <w:rPr>
                <w:sz w:val="1"/>
                <w:szCs w:val="1"/>
                <w:color w:val="auto"/>
              </w:rPr>
            </w:pPr>
          </w:p>
        </w:tc>
      </w:tr>
      <w:tr>
        <w:trPr>
          <w:trHeight w:val="245"/>
        </w:trPr>
        <w:tc>
          <w:tcPr>
            <w:tcW w:w="592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(9,075)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81,134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13,616</w:t>
            </w:r>
          </w:p>
        </w:tc>
        <w:tc>
          <w:tcPr>
            <w:tcW w:w="0" w:type="dxa"/>
            <w:vAlign w:val="bottom"/>
          </w:tcPr>
          <w:p>
            <w:pPr>
              <w:spacing w:after="0"/>
              <w:rPr>
                <w:sz w:val="1"/>
                <w:szCs w:val="1"/>
                <w:color w:val="auto"/>
              </w:rPr>
            </w:pPr>
          </w:p>
        </w:tc>
      </w:tr>
      <w:tr>
        <w:trPr>
          <w:trHeight w:val="167"/>
        </w:trPr>
        <w:tc>
          <w:tcPr>
            <w:tcW w:w="5920" w:type="dxa"/>
            <w:vAlign w:val="bottom"/>
          </w:tcPr>
          <w:p>
            <w:pPr>
              <w:spacing w:after="0"/>
              <w:rPr>
                <w:sz w:val="20"/>
                <w:szCs w:val="20"/>
                <w:color w:val="auto"/>
              </w:rPr>
            </w:pPr>
            <w:r>
              <w:rPr>
                <w:rFonts w:ascii="Arial" w:cs="Arial" w:eastAsia="Arial" w:hAnsi="Arial"/>
                <w:sz w:val="14"/>
                <w:szCs w:val="14"/>
                <w:color w:val="auto"/>
              </w:rPr>
              <w:t>Purchases of common stock held in treasury</w:t>
            </w: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(223,413)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(805,149)</w:t>
            </w:r>
          </w:p>
        </w:tc>
        <w:tc>
          <w:tcPr>
            <w:tcW w:w="0" w:type="dxa"/>
            <w:vAlign w:val="bottom"/>
          </w:tcPr>
          <w:p>
            <w:pPr>
              <w:spacing w:after="0"/>
              <w:rPr>
                <w:sz w:val="1"/>
                <w:szCs w:val="1"/>
                <w:color w:val="auto"/>
              </w:rPr>
            </w:pPr>
          </w:p>
        </w:tc>
      </w:tr>
      <w:tr>
        <w:trPr>
          <w:trHeight w:val="142"/>
        </w:trPr>
        <w:tc>
          <w:tcPr>
            <w:tcW w:w="5920" w:type="dxa"/>
            <w:vAlign w:val="bottom"/>
          </w:tcPr>
          <w:p>
            <w:pPr>
              <w:ind w:left="560"/>
              <w:spacing w:after="0" w:line="142" w:lineRule="exact"/>
              <w:rPr>
                <w:sz w:val="20"/>
                <w:szCs w:val="20"/>
                <w:color w:val="auto"/>
              </w:rPr>
            </w:pPr>
            <w:r>
              <w:rPr>
                <w:rFonts w:ascii="Arial" w:cs="Arial" w:eastAsia="Arial" w:hAnsi="Arial"/>
                <w:sz w:val="14"/>
                <w:szCs w:val="14"/>
                <w:color w:val="auto"/>
              </w:rPr>
              <w:t>Net cash used in financing activities</w:t>
            </w:r>
          </w:p>
        </w:tc>
        <w:tc>
          <w:tcPr>
            <w:tcW w:w="1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(151,354)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(792,505)</w:t>
            </w:r>
          </w:p>
        </w:tc>
        <w:tc>
          <w:tcPr>
            <w:tcW w:w="0" w:type="dxa"/>
            <w:vAlign w:val="bottom"/>
          </w:tcPr>
          <w:p>
            <w:pPr>
              <w:spacing w:after="0"/>
              <w:rPr>
                <w:sz w:val="1"/>
                <w:szCs w:val="1"/>
                <w:color w:val="auto"/>
              </w:rPr>
            </w:pPr>
          </w:p>
        </w:tc>
      </w:tr>
      <w:tr>
        <w:trPr>
          <w:trHeight w:val="306"/>
        </w:trPr>
        <w:tc>
          <w:tcPr>
            <w:tcW w:w="59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3,345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(3,908)</w:t>
            </w:r>
          </w:p>
        </w:tc>
        <w:tc>
          <w:tcPr>
            <w:tcW w:w="0" w:type="dxa"/>
            <w:vAlign w:val="bottom"/>
          </w:tcPr>
          <w:p>
            <w:pPr>
              <w:spacing w:after="0"/>
              <w:rPr>
                <w:sz w:val="1"/>
                <w:szCs w:val="1"/>
                <w:color w:val="auto"/>
              </w:rPr>
            </w:pPr>
          </w:p>
        </w:tc>
      </w:tr>
      <w:tr>
        <w:trPr>
          <w:trHeight w:val="263"/>
        </w:trPr>
        <w:tc>
          <w:tcPr>
            <w:tcW w:w="592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250,734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131,065</w:t>
            </w:r>
          </w:p>
        </w:tc>
        <w:tc>
          <w:tcPr>
            <w:tcW w:w="0" w:type="dxa"/>
            <w:vAlign w:val="bottom"/>
          </w:tcPr>
          <w:p>
            <w:pPr>
              <w:spacing w:after="0"/>
              <w:rPr>
                <w:sz w:val="1"/>
                <w:szCs w:val="1"/>
                <w:color w:val="auto"/>
              </w:rPr>
            </w:pPr>
          </w:p>
        </w:tc>
      </w:tr>
      <w:tr>
        <w:trPr>
          <w:trHeight w:val="167"/>
        </w:trPr>
        <w:tc>
          <w:tcPr>
            <w:tcW w:w="592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637,513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528,622</w:t>
            </w:r>
          </w:p>
        </w:tc>
        <w:tc>
          <w:tcPr>
            <w:tcW w:w="0" w:type="dxa"/>
            <w:vAlign w:val="bottom"/>
          </w:tcPr>
          <w:p>
            <w:pPr>
              <w:spacing w:after="0"/>
              <w:rPr>
                <w:sz w:val="1"/>
                <w:szCs w:val="1"/>
                <w:color w:val="auto"/>
              </w:rPr>
            </w:pPr>
          </w:p>
        </w:tc>
      </w:tr>
      <w:tr>
        <w:trPr>
          <w:trHeight w:val="142"/>
        </w:trPr>
        <w:tc>
          <w:tcPr>
            <w:tcW w:w="5920" w:type="dxa"/>
            <w:vAlign w:val="bottom"/>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126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888,247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659,687</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920" w:type="dxa"/>
            <w:vAlign w:val="bottom"/>
            <w:vMerge w:val="continue"/>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920" w:type="dxa"/>
            <w:vAlign w:val="bottom"/>
          </w:tcPr>
          <w:p>
            <w:pPr>
              <w:ind w:left="120"/>
              <w:spacing w:after="0"/>
              <w:rPr>
                <w:sz w:val="20"/>
                <w:szCs w:val="20"/>
                <w:color w:val="auto"/>
              </w:rPr>
            </w:pPr>
            <w:r>
              <w:rPr>
                <w:rFonts w:ascii="Arial" w:cs="Arial" w:eastAsia="Arial" w:hAnsi="Arial"/>
                <w:sz w:val="14"/>
                <w:szCs w:val="14"/>
                <w:color w:val="auto"/>
              </w:rPr>
              <w:t>Cash paid during the period for:</w:t>
            </w:r>
          </w:p>
        </w:tc>
        <w:tc>
          <w:tcPr>
            <w:tcW w:w="1420" w:type="dxa"/>
            <w:vAlign w:val="bottom"/>
            <w:gridSpan w:val="2"/>
            <w:vMerge w:val="restart"/>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253</w:t>
            </w:r>
          </w:p>
        </w:tc>
        <w:tc>
          <w:tcPr>
            <w:tcW w:w="200" w:type="dxa"/>
            <w:vAlign w:val="bottom"/>
          </w:tcPr>
          <w:p>
            <w:pPr>
              <w:spacing w:after="0"/>
              <w:rPr>
                <w:sz w:val="14"/>
                <w:szCs w:val="14"/>
                <w:color w:val="auto"/>
              </w:rPr>
            </w:pPr>
          </w:p>
        </w:tc>
        <w:tc>
          <w:tcPr>
            <w:tcW w:w="14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4"/>
        </w:trPr>
        <w:tc>
          <w:tcPr>
            <w:tcW w:w="5920" w:type="dxa"/>
            <w:vAlign w:val="bottom"/>
          </w:tcPr>
          <w:p>
            <w:pPr>
              <w:ind w:left="220"/>
              <w:spacing w:after="0" w:line="154" w:lineRule="exact"/>
              <w:rPr>
                <w:sz w:val="20"/>
                <w:szCs w:val="20"/>
                <w:color w:val="auto"/>
              </w:rPr>
            </w:pPr>
            <w:r>
              <w:rPr>
                <w:rFonts w:ascii="Arial" w:cs="Arial" w:eastAsia="Arial" w:hAnsi="Arial"/>
                <w:sz w:val="14"/>
                <w:szCs w:val="14"/>
                <w:color w:val="auto"/>
              </w:rPr>
              <w:t>Interest</w:t>
            </w:r>
          </w:p>
        </w:tc>
        <w:tc>
          <w:tcPr>
            <w:tcW w:w="142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220"/>
              <w:spacing w:after="0"/>
              <w:rPr>
                <w:sz w:val="20"/>
                <w:szCs w:val="20"/>
                <w:color w:val="auto"/>
              </w:rPr>
            </w:pPr>
            <w:r>
              <w:rPr>
                <w:rFonts w:ascii="Arial" w:cs="Arial" w:eastAsia="Arial" w:hAnsi="Arial"/>
                <w:sz w:val="14"/>
                <w:szCs w:val="14"/>
                <w:color w:val="auto"/>
              </w:rPr>
              <w:t>Income taxes</w:t>
            </w:r>
          </w:p>
        </w:tc>
        <w:tc>
          <w:tcPr>
            <w:tcW w:w="126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133,122</w:t>
            </w:r>
          </w:p>
        </w:tc>
        <w:tc>
          <w:tcPr>
            <w:tcW w:w="20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41,780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640"/>
        <w:spacing w:after="0" w:line="261"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SIX-MONTHS ENDED JUNE 30, 2019 AND 2018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ITEMS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Included in accrued liabilities as of June 30, 2019 and 2018 were $10.6 million and $9.5 million, respectively, related to additions to other intangible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Included in accounts payable as of June 30, 2019 were available-for-sale short-term investment purchases of $13.6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Included in accounts receivable as of June 30, 2019 were available-for-sale short-term investment sales of $4.0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ind w:left="660" w:hanging="651"/>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Reference is made to the Notes to Consolidated Financial Statements, in Monster Beverage Corporation and Subsidiaries (the “Company”) Annual Report on Form 10-K for the year ended December 31, 2018 (“Form 10-K”) for a summary of significant accounting policies utilized by the Company and its consolidated subsidiaries and other disclosures, which should be read in conjunction with this Quarterly Report on Form 10-Q (“Form 10-Q”).</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six-months ended June 30, 2019 and 2018,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87" w:lineRule="exact"/>
        <w:rPr>
          <w:sz w:val="20"/>
          <w:szCs w:val="20"/>
          <w:color w:val="auto"/>
        </w:rPr>
      </w:pPr>
    </w:p>
    <w:p>
      <w:pPr>
        <w:ind w:left="660" w:hanging="651"/>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 not yet adopted</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2018, the Financial Accounting Standards Board (“FASB”) issued Accounting Standards Update (“ASU”) No. 2018-15, “Intangibles–Goodwill and Other–Internal–Use Software (Topic 350): Customer’s Accounting for Implementation Costs Incurred in a Cloud Computing Arrangement That is a Service Contract.” ASU No. 2018-15 aligns the requirements for capitalizing implementation costs incurred in a hosting arrangement that is a service contract with the requirements for capitalizing implementation costs incurred to develop or obtain internal-use software. ASU No. 2018-15 is effective for the Company on a prospective or retrospective basis beginning on January 1, 2020, with early adoption permitted. The Company is currently evaluating the impact of ASU No. 2018-15 on its financial position, results of operations and liquidity.</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2018, the FASB issued ASU No. 2018-14, “Compensation–Retirement Benefits–Defined Benefit Plans– General (Topic 715): Disclosure Framework–Changes to the Disclosure Requirements for Defined Benefit Plans.” ASU No. 2018-14 removes certain disclosures that are not considered cost beneficial, clarifies certain required disclosures and requires certain additional disclosures. ASU No. 2018-14 is effective for the Company on a retrospective basis beginning in the year ending December 31, 2020, with early adoption permitted. The Company is currently evaluating the impact of ASU No. 2018-14 on its financial position, results of operations and liquidity.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August 2018, the FASB issued ASU No. 2018-13, “Fair Value Measurement (Topic 820): Disclosure Framework</w:t>
      </w:r>
    </w:p>
    <w:p>
      <w:pPr>
        <w:spacing w:after="0" w:line="46" w:lineRule="exact"/>
        <w:rPr>
          <w:sz w:val="20"/>
          <w:szCs w:val="20"/>
          <w:color w:val="auto"/>
        </w:rPr>
      </w:pPr>
    </w:p>
    <w:p>
      <w:pPr>
        <w:jc w:val="both"/>
        <w:ind w:firstLine="9"/>
        <w:spacing w:after="0" w:line="269" w:lineRule="auto"/>
        <w:tabs>
          <w:tab w:leader="none" w:pos="137"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to the Disclosure Requirements for Fair Value Measurement.” ASU No. 2018-13 removes certain disclosure requirements related to the fair value hierarchy, modifies existing disclosure requirements related to measurement uncertainty and adds new disclosure requirements. ASU No. 2018-13 disclosure requirements include disclosing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No. 2018-13 is effective for the Company beginning on January 1, 2020, with early adoption permitted. Certain disclosures in the new guidance will need to be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applied on a retrospective basis and others on a prospective basis. The Company is currently evaluating the impact of ASU No. 2018-13 on its financial position, results of operations and liquidity.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The Company is currently evaluating the impact of ASU No. 2017-04 on its financial position and results of operations.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The Company is currently evaluating the impact of ASU No. 2016-13 on its financial position, results of operations and liquidity.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February 2018, the FASB issued ASU No. 2018-02 (ASU No. 2018-02), “Income Statement - Reporting Comprehensive Income (Topic 220)”, which amended the previous guidance to allow for certain tax effects “stranded” in accumulated other comprehensive income, which are impacted by the Tax Reform Act signed into law on December 22, 2017, to be reclassified from accumulated other comprehensive income into retained earnings. This amendment pertains only to those items impacted by the new tax law and does not apply to any future tax effects stranded in accumulated other comprehensive income. This standard was effective for fiscal years beginning after December 15, 2018, and allowed for early adoption. The adoption of ASU No. 2018-02 did not have an impact on the Company’s financial position, results of operations and liquidity.</w:t>
      </w:r>
    </w:p>
    <w:p>
      <w:pPr>
        <w:spacing w:after="0" w:line="19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February 2016, the FASB issued ASU No. 2016-02, “Leases (Topic 842)”. ASU No. 2016-02 requires the recognition of lease assets and lease liabilities on the balance sheet for leases classified as operating leases under previous guidance. The accounting for finance leases (capital leases) was substantially unchanged. The original guidance required application on a modified retrospective basis with adjustments to the earliest comparative period presented. In August 2018, the FASB issued ASU No. 2018-11, “Targeted Improvements to ASC 842,” which included an option to not restate comparative periods in transition and elect to use the effective date of ASU No. 2016-02 as the date of initial application, which the Company elected. As a result, the consolidated balance sheet prior to January 1, 2019 was not restated, and continues to be reported under previous guidance that did not require the recognition of operating lease liabilities and corresponding lease assets on the consolidated balance sheet. With the adoption of ASU No. 2016-02 on January 1, 2019, the Company recorded operating lease right-of-use assets of $26.3 million and operating lease liabilities of $22.6 million. The adoption of ASU No. 2016-02 had an immaterial impact on the Company’s condensed consolidated statement of income and condensed consolidated statement of cash flows for the six-month period ended June 30, 2019. In addition, the Company elected the package of practical expedients permitted under the transition guidance within the new standard, which allowed the Company to carry forward the historical lease classification, not reassess prior conclusions related to expired or existing contracts that are or that contain leases, and not reassess the accounting for initial direct costs. Additional information and disclosures required by ASU No. 2016-02 are contained in Note 4.</w:t>
      </w:r>
    </w:p>
    <w:p>
      <w:pPr>
        <w:spacing w:after="0" w:line="178" w:lineRule="exact"/>
        <w:rPr>
          <w:sz w:val="20"/>
          <w:szCs w:val="20"/>
          <w:color w:val="auto"/>
        </w:rPr>
      </w:pPr>
    </w:p>
    <w:p>
      <w:pPr>
        <w:ind w:left="660" w:hanging="65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7"/>
          <w:szCs w:val="17"/>
          <w:color w:val="auto"/>
        </w:rPr>
        <w:t>The Company has three operating and reportable segments, (i) Monster Energy® Drinks segment (“Monster Energy® Drinks”), which is primarily comprised of the Company’s Monster Energy® drinks and Reign Total Body Fuel</w:t>
      </w:r>
      <w:r>
        <w:rPr>
          <w:rFonts w:ascii="Arial" w:cs="Arial" w:eastAsia="Arial" w:hAnsi="Arial"/>
          <w:sz w:val="26"/>
          <w:szCs w:val="26"/>
          <w:color w:val="auto"/>
          <w:vertAlign w:val="superscript"/>
        </w:rPr>
        <w:t>TM</w:t>
      </w:r>
      <w:r>
        <w:rPr>
          <w:rFonts w:ascii="Arial" w:cs="Arial" w:eastAsia="Arial" w:hAnsi="Arial"/>
          <w:sz w:val="17"/>
          <w:szCs w:val="17"/>
          <w:color w:val="auto"/>
        </w:rPr>
        <w:t xml:space="preserve"> high performance energy drinks, (ii) Strategic Brands segment (“Strategic Brands”), which is comprised primarily of the various energy drink brands acquired from The Coca-Cola Company (“TCCC”) in 2015 as well as the Company’s affordable energy brands, and (iii) Other segment (“Other”), which is comprised of certain products sold by American</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Fruits and Flavors LLC, a wholly-owned subsidiary of the Company, to independent third-party customers (the “AFF Third-Party Products”).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Monster Energy® Drinks segment generates net operating revenues by selling ready-to-drink packaged energy drinks primarily to bottlers and full service beverage distributors. In some cases, the Company sells directly to retail grocery and specialty chains, wholesalers, club stores, mass merchandisers, convenience chains, drug stores, foodservice customers and the military.</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 and full service distributors and to retail grocery and specialty chains, wholesalers, club stores, mass merchandisers, convenience chains, foodservice customers, drug stores and the military. To a lesser extent, the Strategic Brands segment generates net operating revenues by selling certain ready-to-drink packaged energy drinks to bottlers and full service beverage distributors.</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June 30, 2019 or December 31, 2018.</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excludes from revenues all taxes assessed by a governmental authority that are imposed on the sale of its products and collected from customers.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Distribution expenses to transport the Company's products, where applicable, and warehousing expense after manufacture are accounted for within operating expenses.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24" w:lineRule="exact"/>
        <w:rPr>
          <w:sz w:val="20"/>
          <w:szCs w:val="20"/>
          <w:color w:val="auto"/>
        </w:rPr>
      </w:pPr>
    </w:p>
    <w:p>
      <w:pPr>
        <w:ind w:left="1340" w:hanging="331"/>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discounts granted off list prices to support price promotions to end-consumers by retailers;</w:t>
      </w:r>
    </w:p>
    <w:p>
      <w:pPr>
        <w:spacing w:after="0" w:line="23" w:lineRule="exact"/>
        <w:rPr>
          <w:rFonts w:ascii="Arial" w:cs="Arial" w:eastAsia="Arial" w:hAnsi="Arial"/>
          <w:sz w:val="18"/>
          <w:szCs w:val="18"/>
          <w:color w:val="auto"/>
        </w:rPr>
      </w:pPr>
    </w:p>
    <w:p>
      <w:pPr>
        <w:jc w:val="both"/>
        <w:ind w:left="1340" w:hanging="331"/>
        <w:spacing w:after="0" w:line="281" w:lineRule="auto"/>
        <w:tabs>
          <w:tab w:leader="none" w:pos="1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reimbursements given to the Company's bottlers/distributors for agreed portions of their promotional spend with retailers, including slotting, shelf space allowances and other fees for both new and existing products;</w:t>
      </w:r>
    </w:p>
    <w:p>
      <w:pPr>
        <w:spacing w:after="0" w:line="1" w:lineRule="exact"/>
        <w:rPr>
          <w:rFonts w:ascii="Arial" w:cs="Arial" w:eastAsia="Arial" w:hAnsi="Arial"/>
          <w:sz w:val="16"/>
          <w:szCs w:val="16"/>
          <w:color w:val="auto"/>
        </w:rPr>
      </w:pPr>
    </w:p>
    <w:p>
      <w:pPr>
        <w:ind w:left="1340" w:right="20" w:hanging="331"/>
        <w:spacing w:after="0" w:line="250"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fees given to bottlers/distributors and/or directly to retailers for advertising, in-store marketing and promotional activities;</w:t>
      </w:r>
    </w:p>
    <w:p>
      <w:pPr>
        <w:ind w:left="1340" w:hanging="331"/>
        <w:spacing w:after="0"/>
        <w:tabs>
          <w:tab w:leader="none" w:pos="1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Company's agreed share of slotting, shelf space allowances and other fees given directly to retailers;</w:t>
      </w:r>
    </w:p>
    <w:p>
      <w:pPr>
        <w:spacing w:after="0" w:line="32" w:lineRule="exact"/>
        <w:rPr>
          <w:rFonts w:ascii="Arial" w:cs="Arial" w:eastAsia="Arial" w:hAnsi="Arial"/>
          <w:sz w:val="16"/>
          <w:szCs w:val="16"/>
          <w:color w:val="auto"/>
        </w:rPr>
      </w:pPr>
    </w:p>
    <w:p>
      <w:pPr>
        <w:ind w:left="1340" w:hanging="331"/>
        <w:spacing w:after="0" w:line="250"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incentives given to the Company's bottlers/distributors and/or retailers for achieving or exceeding certain predetermined sales goals;</w:t>
      </w:r>
    </w:p>
    <w:p>
      <w:pPr>
        <w:ind w:left="1340" w:hanging="331"/>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discounted or free products;</w:t>
      </w:r>
    </w:p>
    <w:p>
      <w:pPr>
        <w:spacing w:after="0" w:line="9" w:lineRule="exact"/>
        <w:rPr>
          <w:rFonts w:ascii="Arial" w:cs="Arial" w:eastAsia="Arial" w:hAnsi="Arial"/>
          <w:sz w:val="18"/>
          <w:szCs w:val="18"/>
          <w:color w:val="auto"/>
        </w:rPr>
      </w:pPr>
    </w:p>
    <w:p>
      <w:pPr>
        <w:ind w:left="1340" w:hanging="331"/>
        <w:spacing w:after="0" w:line="250"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fees given to the Company's bottlers/distributors related to sales made directly by the Company to certain customers that fall within the bottlers’/distributors' sales territories; and</w:t>
      </w:r>
    </w:p>
    <w:p>
      <w:pPr>
        <w:jc w:val="both"/>
        <w:ind w:left="1340" w:hanging="331"/>
        <w:spacing w:after="0" w:line="255"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commissions paid to TCCC based on the Company’s sales to certain wholly-owned subsidiaries of TCCC (the “TCCC Subsidiaries”) and/or to certain companies accounted for by TCCC under the equity method (“the TCCC Related Parties”).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agreements, generally over 20 years.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disaggregate the Company's revenue by geographical markets and reportable segments: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2"/>
          </w:tcPr>
          <w:p>
            <w:pPr>
              <w:ind w:left="180"/>
              <w:spacing w:after="0"/>
              <w:rPr>
                <w:sz w:val="20"/>
                <w:szCs w:val="20"/>
                <w:color w:val="auto"/>
              </w:rPr>
            </w:pPr>
            <w:r>
              <w:rPr>
                <w:rFonts w:ascii="Arial" w:cs="Arial" w:eastAsia="Arial" w:hAnsi="Arial"/>
                <w:sz w:val="18"/>
                <w:szCs w:val="18"/>
                <w:color w:val="auto"/>
                <w:w w:val="97"/>
              </w:rPr>
              <w:t>Three-Months Ended June 30, 2019</w:t>
            </w: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7"/>
              </w:rPr>
              <w:t>Latin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America</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U.S.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and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color w:val="auto"/>
                <w:w w:val="85"/>
              </w:rPr>
              <w:t>Canada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40"/>
              <w:spacing w:after="0" w:line="230" w:lineRule="exact"/>
              <w:rPr>
                <w:sz w:val="20"/>
                <w:szCs w:val="20"/>
                <w:color w:val="auto"/>
              </w:rPr>
            </w:pPr>
            <w:r>
              <w:rPr>
                <w:rFonts w:ascii="Arial" w:cs="Arial" w:eastAsia="Arial" w:hAnsi="Arial"/>
                <w:sz w:val="17"/>
                <w:szCs w:val="17"/>
                <w:color w:val="auto"/>
              </w:rPr>
              <w:t>EMEA</w:t>
            </w:r>
            <w:r>
              <w:rPr>
                <w:rFonts w:ascii="Arial" w:cs="Arial" w:eastAsia="Arial" w:hAnsi="Arial"/>
                <w:sz w:val="26"/>
                <w:szCs w:val="26"/>
                <w:color w:val="auto"/>
                <w:vertAlign w:val="superscript"/>
              </w:rPr>
              <w:t>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4"/>
              </w:rPr>
              <w:t>Asia Pacific</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Caribbean</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195"/>
        </w:trPr>
        <w:tc>
          <w:tcPr>
            <w:tcW w:w="20" w:type="dxa"/>
            <w:vAlign w:val="bottom"/>
          </w:tcPr>
          <w:p>
            <w:pPr>
              <w:spacing w:after="0"/>
              <w:rPr>
                <w:sz w:val="16"/>
                <w:szCs w:val="16"/>
                <w:color w:val="auto"/>
              </w:rPr>
            </w:pPr>
          </w:p>
        </w:tc>
        <w:tc>
          <w:tcPr>
            <w:tcW w:w="34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Monster Energy® Drinks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738,554</w:t>
            </w: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155,448</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82,952</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42,156</w:t>
            </w: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1,019,110</w:t>
            </w: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Strategic Brands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79,144</w:t>
            </w: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5,791</w:t>
            </w:r>
          </w:p>
        </w:tc>
      </w:tr>
      <w:tr>
        <w:trPr>
          <w:trHeight w:val="210"/>
        </w:trPr>
        <w:tc>
          <w:tcPr>
            <w:tcW w:w="3460" w:type="dxa"/>
            <w:vAlign w:val="bottom"/>
            <w:gridSpan w:val="3"/>
          </w:tcPr>
          <w:p>
            <w:pPr>
              <w:spacing w:after="0"/>
              <w:rPr>
                <w:sz w:val="20"/>
                <w:szCs w:val="20"/>
                <w:color w:val="auto"/>
              </w:rPr>
            </w:pPr>
            <w:r>
              <w:rPr>
                <w:rFonts w:ascii="Arial" w:cs="Arial" w:eastAsia="Arial" w:hAnsi="Arial"/>
                <w:sz w:val="18"/>
                <w:szCs w:val="18"/>
                <w:color w:val="auto"/>
              </w:rPr>
              <w:t>Total Net Sales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791,765</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179,241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42,532</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1,104,045</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2"/>
          </w:tcPr>
          <w:p>
            <w:pPr>
              <w:ind w:left="180"/>
              <w:spacing w:after="0"/>
              <w:rPr>
                <w:sz w:val="20"/>
                <w:szCs w:val="20"/>
                <w:color w:val="auto"/>
              </w:rPr>
            </w:pPr>
            <w:r>
              <w:rPr>
                <w:rFonts w:ascii="Arial" w:cs="Arial" w:eastAsia="Arial" w:hAnsi="Arial"/>
                <w:sz w:val="18"/>
                <w:szCs w:val="18"/>
                <w:color w:val="auto"/>
                <w:w w:val="97"/>
              </w:rPr>
              <w:t>Three-Months Ended June 30, 2018</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97"/>
              </w:rPr>
              <w:t>Latin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America</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U.S. and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and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8"/>
                <w:szCs w:val="18"/>
                <w:color w:val="auto"/>
                <w:w w:val="85"/>
              </w:rPr>
              <w:t>Canada</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40"/>
              <w:spacing w:after="0" w:line="230" w:lineRule="exact"/>
              <w:rPr>
                <w:sz w:val="20"/>
                <w:szCs w:val="20"/>
                <w:color w:val="auto"/>
              </w:rPr>
            </w:pPr>
            <w:r>
              <w:rPr>
                <w:rFonts w:ascii="Arial" w:cs="Arial" w:eastAsia="Arial" w:hAnsi="Arial"/>
                <w:sz w:val="17"/>
                <w:szCs w:val="17"/>
                <w:color w:val="auto"/>
              </w:rPr>
              <w:t>EMEA</w:t>
            </w:r>
            <w:r>
              <w:rPr>
                <w:rFonts w:ascii="Arial" w:cs="Arial" w:eastAsia="Arial" w:hAnsi="Arial"/>
                <w:sz w:val="26"/>
                <w:szCs w:val="26"/>
                <w:color w:val="auto"/>
                <w:vertAlign w:val="superscript"/>
              </w:rPr>
              <w:t>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auto"/>
                <w:w w:val="94"/>
              </w:rPr>
              <w:t>Asia Pacific</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Caribbean</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195"/>
        </w:trPr>
        <w:tc>
          <w:tcPr>
            <w:tcW w:w="34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Monster Energy® Drinks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695,963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138,608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60,606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34,262</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929,439</w:t>
            </w: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Strategic Brands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79,811</w:t>
            </w: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6,623</w:t>
            </w:r>
          </w:p>
        </w:tc>
      </w:tr>
      <w:tr>
        <w:trPr>
          <w:trHeight w:val="210"/>
        </w:trPr>
        <w:tc>
          <w:tcPr>
            <w:tcW w:w="3460" w:type="dxa"/>
            <w:vAlign w:val="bottom"/>
            <w:gridSpan w:val="3"/>
          </w:tcPr>
          <w:p>
            <w:pPr>
              <w:spacing w:after="0"/>
              <w:rPr>
                <w:sz w:val="20"/>
                <w:szCs w:val="20"/>
                <w:color w:val="auto"/>
              </w:rPr>
            </w:pPr>
            <w:r>
              <w:rPr>
                <w:rFonts w:ascii="Arial" w:cs="Arial" w:eastAsia="Arial" w:hAnsi="Arial"/>
                <w:sz w:val="18"/>
                <w:szCs w:val="18"/>
                <w:color w:val="auto"/>
              </w:rPr>
              <w:t>Total Net Sales</w:t>
            </w:r>
          </w:p>
        </w:tc>
        <w:tc>
          <w:tcPr>
            <w:tcW w:w="1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1,015,873</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10"/>
          </w:tcPr>
          <w:p>
            <w:pPr>
              <w:jc w:val="center"/>
              <w:ind w:right="30"/>
              <w:spacing w:after="0"/>
              <w:rPr>
                <w:sz w:val="20"/>
                <w:szCs w:val="20"/>
                <w:color w:val="auto"/>
              </w:rPr>
            </w:pPr>
            <w:r>
              <w:rPr>
                <w:rFonts w:ascii="Arial" w:cs="Arial" w:eastAsia="Arial" w:hAnsi="Arial"/>
                <w:sz w:val="18"/>
                <w:szCs w:val="18"/>
                <w:color w:val="auto"/>
                <w:w w:val="90"/>
              </w:rPr>
              <w:t>Six-Months Ended June 30, 2019</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7"/>
              </w:rPr>
              <w:t>Latin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3"/>
              </w:rPr>
              <w:t>America</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color w:val="auto"/>
                <w:w w:val="91"/>
              </w:rPr>
              <w:t>U.S. 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Canada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0"/>
              <w:spacing w:after="0" w:line="230" w:lineRule="exact"/>
              <w:rPr>
                <w:sz w:val="20"/>
                <w:szCs w:val="20"/>
                <w:color w:val="auto"/>
              </w:rPr>
            </w:pPr>
            <w:r>
              <w:rPr>
                <w:rFonts w:ascii="Arial" w:cs="Arial" w:eastAsia="Arial" w:hAnsi="Arial"/>
                <w:sz w:val="17"/>
                <w:szCs w:val="17"/>
                <w:color w:val="auto"/>
              </w:rPr>
              <w:t>EMEA</w:t>
            </w:r>
            <w:r>
              <w:rPr>
                <w:rFonts w:ascii="Arial" w:cs="Arial" w:eastAsia="Arial" w:hAnsi="Arial"/>
                <w:sz w:val="26"/>
                <w:szCs w:val="26"/>
                <w:color w:val="auto"/>
                <w:vertAlign w:val="superscript"/>
              </w:rPr>
              <w:t>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4"/>
              </w:rPr>
              <w:t>Asia Pacific</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Caribbean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Total</w:t>
            </w:r>
          </w:p>
        </w:tc>
      </w:tr>
      <w:tr>
        <w:trPr>
          <w:trHeight w:val="195"/>
        </w:trPr>
        <w:tc>
          <w:tcPr>
            <w:tcW w:w="20" w:type="dxa"/>
            <w:vAlign w:val="bottom"/>
          </w:tcPr>
          <w:p>
            <w:pPr>
              <w:spacing w:after="0"/>
              <w:rPr>
                <w:sz w:val="16"/>
                <w:szCs w:val="16"/>
                <w:color w:val="auto"/>
              </w:rPr>
            </w:pPr>
          </w:p>
        </w:tc>
        <w:tc>
          <w:tcPr>
            <w:tcW w:w="34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Monster Energy® Drinks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1,381,380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280,086</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145,408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82,621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1,889,495</w:t>
            </w: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Strategic Brands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89,171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45,701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149,430</w:t>
            </w: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11,112</w:t>
            </w:r>
          </w:p>
        </w:tc>
      </w:tr>
      <w:tr>
        <w:trPr>
          <w:trHeight w:val="210"/>
        </w:trPr>
        <w:tc>
          <w:tcPr>
            <w:tcW w:w="3460" w:type="dxa"/>
            <w:vAlign w:val="bottom"/>
            <w:gridSpan w:val="3"/>
          </w:tcPr>
          <w:p>
            <w:pPr>
              <w:spacing w:after="0"/>
              <w:rPr>
                <w:sz w:val="20"/>
                <w:szCs w:val="20"/>
                <w:color w:val="auto"/>
              </w:rPr>
            </w:pPr>
            <w:r>
              <w:rPr>
                <w:rFonts w:ascii="Arial" w:cs="Arial" w:eastAsia="Arial" w:hAnsi="Arial"/>
                <w:sz w:val="18"/>
                <w:szCs w:val="18"/>
                <w:color w:val="auto"/>
              </w:rPr>
              <w:t>Total Net Sales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1,481,663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325,787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2,050,037</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0"/>
          </w:tcPr>
          <w:p>
            <w:pPr>
              <w:jc w:val="center"/>
              <w:ind w:right="30"/>
              <w:spacing w:after="0"/>
              <w:rPr>
                <w:sz w:val="20"/>
                <w:szCs w:val="20"/>
                <w:color w:val="auto"/>
              </w:rPr>
            </w:pPr>
            <w:r>
              <w:rPr>
                <w:rFonts w:ascii="Arial" w:cs="Arial" w:eastAsia="Arial" w:hAnsi="Arial"/>
                <w:sz w:val="18"/>
                <w:szCs w:val="18"/>
                <w:color w:val="auto"/>
                <w:w w:val="90"/>
              </w:rPr>
              <w:t>Six-Months Ended June 30, 2018</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7"/>
              </w:rPr>
              <w:t>Latin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3"/>
              </w:rPr>
              <w:t>America</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color w:val="auto"/>
                <w:w w:val="91"/>
              </w:rPr>
              <w:t>U.S. 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85"/>
              </w:rPr>
              <w:t>Canada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0"/>
              <w:spacing w:after="0" w:line="230" w:lineRule="exact"/>
              <w:rPr>
                <w:sz w:val="20"/>
                <w:szCs w:val="20"/>
                <w:color w:val="auto"/>
              </w:rPr>
            </w:pPr>
            <w:r>
              <w:rPr>
                <w:rFonts w:ascii="Arial" w:cs="Arial" w:eastAsia="Arial" w:hAnsi="Arial"/>
                <w:sz w:val="17"/>
                <w:szCs w:val="17"/>
                <w:color w:val="auto"/>
              </w:rPr>
              <w:t>EMEA</w:t>
            </w:r>
            <w:r>
              <w:rPr>
                <w:rFonts w:ascii="Arial" w:cs="Arial" w:eastAsia="Arial" w:hAnsi="Arial"/>
                <w:sz w:val="26"/>
                <w:szCs w:val="26"/>
                <w:color w:val="auto"/>
                <w:vertAlign w:val="superscript"/>
              </w:rPr>
              <w:t>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4"/>
              </w:rPr>
              <w:t>Asia Pacific</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Caribbean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Total</w:t>
            </w:r>
          </w:p>
        </w:tc>
      </w:tr>
      <w:tr>
        <w:trPr>
          <w:trHeight w:val="195"/>
        </w:trPr>
        <w:tc>
          <w:tcPr>
            <w:tcW w:w="34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Monster Energy® Drinks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1,284,778</w:t>
            </w:r>
          </w:p>
        </w:tc>
        <w:tc>
          <w:tcPr>
            <w:tcW w:w="180" w:type="dxa"/>
            <w:vAlign w:val="bottom"/>
          </w:tcPr>
          <w:p>
            <w:pPr>
              <w:spacing w:after="0"/>
              <w:rPr>
                <w:sz w:val="16"/>
                <w:szCs w:val="16"/>
                <w:color w:val="auto"/>
              </w:rPr>
            </w:pPr>
          </w:p>
        </w:tc>
        <w:tc>
          <w:tcPr>
            <w:tcW w:w="1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249,538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108,037</w:t>
            </w:r>
          </w:p>
        </w:tc>
        <w:tc>
          <w:tcPr>
            <w:tcW w:w="180" w:type="dxa"/>
            <w:vAlign w:val="bottom"/>
          </w:tcPr>
          <w:p>
            <w:pPr>
              <w:spacing w:after="0"/>
              <w:rPr>
                <w:sz w:val="16"/>
                <w:szCs w:val="16"/>
                <w:color w:val="auto"/>
              </w:rPr>
            </w:pPr>
          </w:p>
        </w:tc>
        <w:tc>
          <w:tcPr>
            <w:tcW w:w="1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67,590</w:t>
            </w:r>
          </w:p>
        </w:tc>
        <w:tc>
          <w:tcPr>
            <w:tcW w:w="180" w:type="dxa"/>
            <w:vAlign w:val="bottom"/>
          </w:tcPr>
          <w:p>
            <w:pPr>
              <w:spacing w:after="0"/>
              <w:rPr>
                <w:sz w:val="16"/>
                <w:szCs w:val="16"/>
                <w:color w:val="auto"/>
              </w:rPr>
            </w:pPr>
          </w:p>
        </w:tc>
        <w:tc>
          <w:tcPr>
            <w:tcW w:w="1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1,709,943</w:t>
            </w: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Strategic Brands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89,857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145,570</w:t>
            </w: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11,280</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11,280</w:t>
            </w:r>
          </w:p>
        </w:tc>
      </w:tr>
      <w:tr>
        <w:trPr>
          <w:trHeight w:val="210"/>
        </w:trPr>
        <w:tc>
          <w:tcPr>
            <w:tcW w:w="3460" w:type="dxa"/>
            <w:vAlign w:val="bottom"/>
            <w:gridSpan w:val="3"/>
          </w:tcPr>
          <w:p>
            <w:pPr>
              <w:spacing w:after="0"/>
              <w:rPr>
                <w:sz w:val="20"/>
                <w:szCs w:val="20"/>
                <w:color w:val="auto"/>
              </w:rPr>
            </w:pPr>
            <w:r>
              <w:rPr>
                <w:rFonts w:ascii="Arial" w:cs="Arial" w:eastAsia="Arial" w:hAnsi="Arial"/>
                <w:sz w:val="18"/>
                <w:szCs w:val="18"/>
                <w:color w:val="auto"/>
              </w:rPr>
              <w:t>Total Net Sales</w:t>
            </w:r>
          </w:p>
        </w:tc>
        <w:tc>
          <w:tcPr>
            <w:tcW w:w="1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1,385,915</w:t>
            </w:r>
          </w:p>
        </w:tc>
        <w:tc>
          <w:tcPr>
            <w:tcW w:w="1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119,953</w:t>
            </w:r>
          </w:p>
        </w:tc>
        <w:tc>
          <w:tcPr>
            <w:tcW w:w="1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69,107</w:t>
            </w:r>
          </w:p>
        </w:tc>
        <w:tc>
          <w:tcPr>
            <w:tcW w:w="1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1,866,793</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1</w:t>
      </w:r>
      <w:r>
        <w:rPr>
          <w:rFonts w:ascii="Arial" w:cs="Arial" w:eastAsia="Arial" w:hAnsi="Arial"/>
          <w:sz w:val="14"/>
          <w:szCs w:val="14"/>
          <w:i w:val="1"/>
          <w:iCs w:val="1"/>
          <w:color w:val="auto"/>
        </w:rPr>
        <w:t>Europe, Middle East and Africa (“EMEA”)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Amounts received from certain bottlers/distributors at inception of their distribution contracts or at the inception of certain sales/marketing programs are accounted for as deferred revenue. As of June 30, 2019, the Company had $342.2 million of deferred revenue, which is included in current and long-term deferred revenue in the Company’s condensed consolidated balance sheet. As of December 31, 2018, the Company had $356.3 million of deferred revenue, which is included in current and long-term deferred revenue in the Company’s condensed consolidated balance sheet. During the three-months ended June 30, 2019 and 2018, $10.6 million and $11.0 million, respectively, of deferred revenue was recognized in net sales. During the six-months ended June 30, 2019 and 2018, $24.8 million and $22.2 million, respectively, of deferred revenue was recognized in net sales. See Note 11.</w:t>
      </w:r>
    </w:p>
    <w:p>
      <w:pPr>
        <w:spacing w:after="0" w:line="179" w:lineRule="exact"/>
        <w:rPr>
          <w:sz w:val="20"/>
          <w:szCs w:val="20"/>
          <w:color w:val="auto"/>
        </w:rPr>
      </w:pPr>
    </w:p>
    <w:p>
      <w:pPr>
        <w:ind w:left="660" w:hanging="651"/>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Leases are classified as either finance leases or operating leases based on criteria in Accounting Standards Codification (“ASC”) 842. The Company’s operating leases are generally comprised of real estate and warehouse equipment, and the Company’s finance leases are generally comprised of vehicles. Operating leases are included in Other Assets, Accrued Liabilities and Other Liabilities in the condensed consolidated balance sheet. Finance leases are included in Property and Equipment and Accrued Liabilities in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Right-of-use (“ROU”) assets and liabilities are recognized at the lease commencement date based on the present value of lease payments over the lease term. As the Company’s leases generally do not provide an implicit rate, the Company uses its incremental borrowing rate based on the information available at the lease commencement date if the implicit rate cannot be determined. ROU assets also include any lease payments made and exclude lease incentives. Lease terms may include options to extend or terminate the lease when it is reasonably certain that the Company will exercise that option.</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the operating expenses, including real estate taxes and insurance, are recorded as a period expense when incurred.</w:t>
      </w:r>
    </w:p>
    <w:p>
      <w:pPr>
        <w:spacing w:after="0" w:line="188"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Lease expense for operating leases, consisting of lease payments, is recognized on a straight-line basis over the lease term. Included in lease expense are any variable lease payments incurred in the period that were not included in the initial lease liability. Lease expense for finance leases consists of the amortization of the ROU asset on a straight-line basis over the asset’s estimated useful life and interest expense is calculated using the amortized cost basis.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leases have remaining lease terms of less than one year to 15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 for the three- and six-months ended June 30, 2019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color w:val="auto"/>
              </w:rPr>
              <w:t>Three-Months</w:t>
            </w:r>
          </w:p>
        </w:tc>
        <w:tc>
          <w:tcPr>
            <w:tcW w:w="120" w:type="dxa"/>
            <w:vAlign w:val="bottom"/>
          </w:tcPr>
          <w:p>
            <w:pPr>
              <w:spacing w:after="0"/>
              <w:rPr>
                <w:sz w:val="18"/>
                <w:szCs w:val="18"/>
                <w:color w:val="auto"/>
              </w:rPr>
            </w:pP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Six-Months</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Ended June 30,</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Ended June 30,</w:t>
            </w:r>
          </w:p>
        </w:tc>
        <w:tc>
          <w:tcPr>
            <w:tcW w:w="0" w:type="dxa"/>
            <w:vAlign w:val="bottom"/>
          </w:tcPr>
          <w:p>
            <w:pPr>
              <w:spacing w:after="0"/>
              <w:rPr>
                <w:sz w:val="1"/>
                <w:szCs w:val="1"/>
                <w:color w:val="auto"/>
              </w:rPr>
            </w:pPr>
          </w:p>
        </w:tc>
      </w:tr>
      <w:tr>
        <w:trPr>
          <w:trHeight w:val="230"/>
        </w:trPr>
        <w:tc>
          <w:tcPr>
            <w:tcW w:w="3520" w:type="dxa"/>
            <w:vAlign w:val="bottom"/>
            <w:vMerge w:val="restart"/>
          </w:tcPr>
          <w:p>
            <w:pPr>
              <w:spacing w:after="0"/>
              <w:rPr>
                <w:sz w:val="20"/>
                <w:szCs w:val="20"/>
                <w:color w:val="auto"/>
              </w:rPr>
            </w:pPr>
            <w:r>
              <w:rPr>
                <w:rFonts w:ascii="Arial" w:cs="Arial" w:eastAsia="Arial" w:hAnsi="Arial"/>
                <w:sz w:val="18"/>
                <w:szCs w:val="18"/>
                <w:color w:val="auto"/>
              </w:rPr>
              <w:t>Operating leases:</w:t>
            </w: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5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Lease cost</w:t>
            </w:r>
          </w:p>
        </w:tc>
        <w:tc>
          <w:tcPr>
            <w:tcW w:w="15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1,210</w:t>
            </w:r>
          </w:p>
        </w:tc>
        <w:tc>
          <w:tcPr>
            <w:tcW w:w="1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2,325</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20"/>
              <w:spacing w:after="0"/>
              <w:rPr>
                <w:sz w:val="20"/>
                <w:szCs w:val="20"/>
                <w:color w:val="auto"/>
              </w:rPr>
            </w:pPr>
            <w:r>
              <w:rPr>
                <w:rFonts w:ascii="Arial" w:cs="Arial" w:eastAsia="Arial" w:hAnsi="Arial"/>
                <w:sz w:val="18"/>
                <w:szCs w:val="18"/>
                <w:color w:val="auto"/>
              </w:rPr>
              <w:t>Variable lease cost</w:t>
            </w: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520" w:type="dxa"/>
            <w:vAlign w:val="bottom"/>
          </w:tcPr>
          <w:p>
            <w:pPr>
              <w:ind w:left="220"/>
              <w:spacing w:after="0"/>
              <w:rPr>
                <w:sz w:val="20"/>
                <w:szCs w:val="20"/>
                <w:color w:val="auto"/>
              </w:rPr>
            </w:pPr>
            <w:r>
              <w:rPr>
                <w:rFonts w:ascii="Arial" w:cs="Arial" w:eastAsia="Arial" w:hAnsi="Arial"/>
                <w:sz w:val="18"/>
                <w:szCs w:val="18"/>
                <w:color w:val="auto"/>
              </w:rPr>
              <w:t>Operating lease cost</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2,660</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520" w:type="dxa"/>
            <w:vAlign w:val="bottom"/>
          </w:tcPr>
          <w:p>
            <w:pPr>
              <w:spacing w:after="0"/>
              <w:rPr>
                <w:sz w:val="20"/>
                <w:szCs w:val="20"/>
                <w:color w:val="auto"/>
              </w:rPr>
            </w:pPr>
            <w:r>
              <w:rPr>
                <w:rFonts w:ascii="Arial" w:cs="Arial" w:eastAsia="Arial" w:hAnsi="Arial"/>
                <w:sz w:val="18"/>
                <w:szCs w:val="18"/>
                <w:color w:val="auto"/>
              </w:rPr>
              <w:t>Short term lease cost</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1,559</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520" w:type="dxa"/>
            <w:vAlign w:val="bottom"/>
          </w:tcPr>
          <w:p>
            <w:pPr>
              <w:spacing w:after="0"/>
              <w:rPr>
                <w:sz w:val="20"/>
                <w:szCs w:val="20"/>
                <w:color w:val="auto"/>
              </w:rPr>
            </w:pPr>
            <w:r>
              <w:rPr>
                <w:rFonts w:ascii="Arial" w:cs="Arial" w:eastAsia="Arial" w:hAnsi="Arial"/>
                <w:sz w:val="18"/>
                <w:szCs w:val="18"/>
                <w:color w:val="auto"/>
              </w:rPr>
              <w:t>Finance leases: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20"/>
              <w:spacing w:after="0"/>
              <w:rPr>
                <w:sz w:val="20"/>
                <w:szCs w:val="20"/>
                <w:color w:val="auto"/>
              </w:rPr>
            </w:pPr>
            <w:r>
              <w:rPr>
                <w:rFonts w:ascii="Arial" w:cs="Arial" w:eastAsia="Arial" w:hAnsi="Arial"/>
                <w:sz w:val="18"/>
                <w:szCs w:val="18"/>
                <w:color w:val="auto"/>
              </w:rPr>
              <w:t>Amortization of ROU assets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20"/>
              <w:spacing w:after="0"/>
              <w:rPr>
                <w:sz w:val="20"/>
                <w:szCs w:val="20"/>
                <w:color w:val="auto"/>
              </w:rPr>
            </w:pPr>
            <w:r>
              <w:rPr>
                <w:rFonts w:ascii="Arial" w:cs="Arial" w:eastAsia="Arial" w:hAnsi="Arial"/>
                <w:sz w:val="18"/>
                <w:szCs w:val="18"/>
                <w:color w:val="auto"/>
              </w:rPr>
              <w:t>Interest on finance lease liabilities</w:t>
            </w: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520" w:type="dxa"/>
            <w:vAlign w:val="bottom"/>
          </w:tcPr>
          <w:p>
            <w:pPr>
              <w:ind w:left="220"/>
              <w:spacing w:after="0"/>
              <w:rPr>
                <w:sz w:val="20"/>
                <w:szCs w:val="20"/>
                <w:color w:val="auto"/>
              </w:rPr>
            </w:pPr>
            <w:r>
              <w:rPr>
                <w:rFonts w:ascii="Arial" w:cs="Arial" w:eastAsia="Arial" w:hAnsi="Arial"/>
                <w:sz w:val="18"/>
                <w:szCs w:val="18"/>
                <w:color w:val="auto"/>
              </w:rPr>
              <w:t>Finance lease cost</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2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1260" w:type="dxa"/>
            <w:vAlign w:val="bottom"/>
            <w:vMerge w:val="restart"/>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w:t>
            </w:r>
          </w:p>
        </w:tc>
        <w:tc>
          <w:tcPr>
            <w:tcW w:w="18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5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for leases for the six-months ended June 30, 2019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2,032</w:t>
            </w: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00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418"/>
        </w:trPr>
        <w:tc>
          <w:tcPr>
            <w:tcW w:w="6000" w:type="dxa"/>
            <w:vAlign w:val="bottom"/>
          </w:tcPr>
          <w:p>
            <w:pPr>
              <w:spacing w:after="0"/>
              <w:rPr>
                <w:sz w:val="20"/>
                <w:szCs w:val="20"/>
                <w:color w:val="auto"/>
              </w:rPr>
            </w:pPr>
            <w:r>
              <w:rPr>
                <w:rFonts w:ascii="Arial" w:cs="Arial" w:eastAsia="Arial" w:hAnsi="Arial"/>
                <w:sz w:val="18"/>
                <w:szCs w:val="18"/>
                <w:color w:val="auto"/>
              </w:rPr>
              <w:t>ROU assets obtained in exchange for lease obligations:</w:t>
            </w: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60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30"/>
        </w:trPr>
        <w:tc>
          <w:tcPr>
            <w:tcW w:w="60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27,224</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ROU assets for operating and finance leases at June 30, 2019 were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vMerge w:val="restart"/>
          </w:tcPr>
          <w:p>
            <w:pPr>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298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24,714</w:t>
            </w:r>
          </w:p>
        </w:tc>
        <w:tc>
          <w:tcPr>
            <w:tcW w:w="24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578</w:t>
            </w:r>
          </w:p>
        </w:tc>
        <w:tc>
          <w:tcPr>
            <w:tcW w:w="240" w:type="dxa"/>
            <w:vAlign w:val="bottom"/>
          </w:tcPr>
          <w:p>
            <w:pPr>
              <w:spacing w:after="0"/>
              <w:rPr>
                <w:sz w:val="16"/>
                <w:szCs w:val="16"/>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25,292</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weighted-average remaining lease term and weighted-average discount rate for operating and finance leases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2019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 (years)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Operating Leases</w:t>
            </w:r>
          </w:p>
        </w:tc>
        <w:tc>
          <w:tcPr>
            <w:tcW w:w="1300" w:type="dxa"/>
            <w:vAlign w:val="bottom"/>
            <w:gridSpan w:val="2"/>
          </w:tcPr>
          <w:p>
            <w:pPr>
              <w:ind w:left="20"/>
              <w:spacing w:after="0"/>
              <w:rPr>
                <w:sz w:val="20"/>
                <w:szCs w:val="20"/>
                <w:color w:val="auto"/>
              </w:rPr>
            </w:pPr>
            <w:r>
              <w:rPr>
                <w:rFonts w:ascii="Arial" w:cs="Arial" w:eastAsia="Arial" w:hAnsi="Arial"/>
                <w:sz w:val="18"/>
                <w:szCs w:val="18"/>
                <w:color w:val="auto"/>
                <w:w w:val="99"/>
              </w:rPr>
              <w:t>Finance Leases</w:t>
            </w:r>
          </w:p>
        </w:tc>
        <w:tc>
          <w:tcPr>
            <w:tcW w:w="0" w:type="dxa"/>
            <w:vAlign w:val="bottom"/>
          </w:tcPr>
          <w:p>
            <w:pPr>
              <w:spacing w:after="0"/>
              <w:rPr>
                <w:sz w:val="1"/>
                <w:szCs w:val="1"/>
                <w:color w:val="auto"/>
              </w:rPr>
            </w:pPr>
          </w:p>
        </w:tc>
      </w:tr>
      <w:tr>
        <w:trPr>
          <w:trHeight w:val="195"/>
        </w:trPr>
        <w:tc>
          <w:tcPr>
            <w:tcW w:w="5000" w:type="dxa"/>
            <w:vAlign w:val="bottom"/>
            <w:vMerge w:val="continue"/>
          </w:tcPr>
          <w:p>
            <w:pPr>
              <w:spacing w:after="0"/>
              <w:rPr>
                <w:sz w:val="16"/>
                <w:szCs w:val="16"/>
                <w:color w:val="auto"/>
              </w:rPr>
            </w:pP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w:t>
            </w:r>
          </w:p>
        </w:tc>
        <w:tc>
          <w:tcPr>
            <w:tcW w:w="240" w:type="dxa"/>
            <w:vAlign w:val="bottom"/>
          </w:tcPr>
          <w:p>
            <w:pPr>
              <w:spacing w:after="0"/>
              <w:rPr>
                <w:sz w:val="16"/>
                <w:szCs w:val="16"/>
                <w:color w:val="auto"/>
              </w:rPr>
            </w:pPr>
          </w:p>
        </w:tc>
        <w:tc>
          <w:tcPr>
            <w:tcW w:w="1140" w:type="dxa"/>
            <w:vAlign w:val="bottom"/>
            <w:tcBorders>
              <w:top w:val="single" w:sz="8" w:color="auto"/>
            </w:tcBorders>
          </w:tcPr>
          <w:p>
            <w:pPr>
              <w:ind w:left="860"/>
              <w:spacing w:after="0" w:line="195" w:lineRule="exact"/>
              <w:rPr>
                <w:sz w:val="20"/>
                <w:szCs w:val="20"/>
                <w:color w:val="auto"/>
              </w:rPr>
            </w:pPr>
            <w:r>
              <w:rPr>
                <w:rFonts w:ascii="Arial" w:cs="Arial" w:eastAsia="Arial" w:hAnsi="Arial"/>
                <w:sz w:val="18"/>
                <w:szCs w:val="18"/>
                <w:color w:val="auto"/>
              </w:rPr>
              <w:t>0.7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3.6 %</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w w:val="91"/>
              </w:rPr>
              <w:t>4.3 %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reconciles the undiscounted future lease payments for operating and finance leases to the operating and finance leases recorded in the condensed consolidated balance sheet at June 30,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89"/>
              </w:rPr>
              <w:t>Undiscounted Future Lease Payments</w:t>
            </w:r>
          </w:p>
        </w:tc>
        <w:tc>
          <w:tcPr>
            <w:tcW w:w="0" w:type="dxa"/>
            <w:vAlign w:val="bottom"/>
          </w:tcPr>
          <w:p>
            <w:pPr>
              <w:spacing w:after="0"/>
              <w:rPr>
                <w:sz w:val="1"/>
                <w:szCs w:val="1"/>
                <w:color w:val="auto"/>
              </w:rPr>
            </w:pPr>
          </w:p>
        </w:tc>
      </w:tr>
      <w:tr>
        <w:trPr>
          <w:trHeight w:val="210"/>
        </w:trPr>
        <w:tc>
          <w:tcPr>
            <w:tcW w:w="5060" w:type="dxa"/>
            <w:vAlign w:val="bottom"/>
            <w:vMerge w:val="restart"/>
          </w:tcPr>
          <w:p>
            <w:pPr>
              <w:spacing w:after="0"/>
              <w:rPr>
                <w:sz w:val="20"/>
                <w:szCs w:val="20"/>
                <w:color w:val="auto"/>
              </w:rPr>
            </w:pPr>
            <w:r>
              <w:rPr>
                <w:rFonts w:ascii="Arial" w:cs="Arial" w:eastAsia="Arial" w:hAnsi="Arial"/>
                <w:sz w:val="18"/>
                <w:szCs w:val="18"/>
                <w:color w:val="auto"/>
              </w:rPr>
              <w:t>2019 (excluding the six-months ended June 30, 2019)</w:t>
            </w:r>
          </w:p>
        </w:tc>
        <w:tc>
          <w:tcPr>
            <w:tcW w:w="12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w w:val="84"/>
              </w:rPr>
              <w:t>Finance Leases</w:t>
            </w:r>
          </w:p>
        </w:tc>
        <w:tc>
          <w:tcPr>
            <w:tcW w:w="0" w:type="dxa"/>
            <w:vAlign w:val="bottom"/>
          </w:tcPr>
          <w:p>
            <w:pPr>
              <w:spacing w:after="0"/>
              <w:rPr>
                <w:sz w:val="1"/>
                <w:szCs w:val="1"/>
                <w:color w:val="auto"/>
              </w:rPr>
            </w:pPr>
          </w:p>
        </w:tc>
      </w:tr>
      <w:tr>
        <w:trPr>
          <w:trHeight w:val="195"/>
        </w:trPr>
        <w:tc>
          <w:tcPr>
            <w:tcW w:w="50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Borders>
              <w:top w:val="single" w:sz="8" w:color="auto"/>
            </w:tcBorders>
          </w:tcPr>
          <w:p>
            <w:pPr>
              <w:jc w:val="right"/>
              <w:ind w:right="23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1,978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2020</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2021</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2022</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2023</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2024 and thereafter</w:t>
            </w:r>
          </w:p>
        </w:tc>
        <w:tc>
          <w:tcPr>
            <w:tcW w:w="1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5060" w:type="dxa"/>
            <w:vAlign w:val="bottom"/>
          </w:tcPr>
          <w:p>
            <w:pPr>
              <w:ind w:left="120"/>
              <w:spacing w:after="0" w:line="195" w:lineRule="exact"/>
              <w:rPr>
                <w:sz w:val="20"/>
                <w:szCs w:val="20"/>
                <w:color w:val="auto"/>
              </w:rPr>
            </w:pPr>
            <w:r>
              <w:rPr>
                <w:rFonts w:ascii="Arial" w:cs="Arial" w:eastAsia="Arial" w:hAnsi="Arial"/>
                <w:sz w:val="18"/>
                <w:szCs w:val="18"/>
                <w:color w:val="auto"/>
              </w:rPr>
              <w:t>Total lease payments</w:t>
            </w: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26,703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30"/>
        </w:trPr>
        <w:tc>
          <w:tcPr>
            <w:tcW w:w="5060" w:type="dxa"/>
            <w:vAlign w:val="bottom"/>
          </w:tcPr>
          <w:p>
            <w:pPr>
              <w:ind w:left="120"/>
              <w:spacing w:after="0"/>
              <w:rPr>
                <w:sz w:val="20"/>
                <w:szCs w:val="20"/>
                <w:color w:val="auto"/>
              </w:rPr>
            </w:pPr>
            <w:r>
              <w:rPr>
                <w:rFonts w:ascii="Arial" w:cs="Arial" w:eastAsia="Arial" w:hAnsi="Arial"/>
                <w:sz w:val="18"/>
                <w:szCs w:val="18"/>
                <w:color w:val="auto"/>
              </w:rPr>
              <w:t>Less interest</w:t>
            </w:r>
          </w:p>
        </w:tc>
        <w:tc>
          <w:tcPr>
            <w:tcW w:w="1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5060" w:type="dxa"/>
            <w:vAlign w:val="bottom"/>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8"/>
                <w:szCs w:val="18"/>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060" w:type="dxa"/>
            <w:vAlign w:val="bottom"/>
          </w:tcPr>
          <w:p>
            <w:pPr>
              <w:spacing w:after="0"/>
              <w:rPr>
                <w:sz w:val="20"/>
                <w:szCs w:val="20"/>
                <w:color w:val="auto"/>
              </w:rPr>
            </w:pPr>
            <w:r>
              <w:rPr>
                <w:rFonts w:ascii="Arial" w:cs="Arial" w:eastAsia="Arial" w:hAnsi="Arial"/>
                <w:sz w:val="18"/>
                <w:szCs w:val="18"/>
                <w:color w:val="auto"/>
              </w:rPr>
              <w:t>Accrued liabilities</w:t>
            </w:r>
          </w:p>
        </w:tc>
        <w:tc>
          <w:tcPr>
            <w:tcW w:w="1600" w:type="dxa"/>
            <w:vAlign w:val="bottom"/>
            <w:gridSpan w:val="2"/>
          </w:tcPr>
          <w:p>
            <w:pPr>
              <w:jc w:val="right"/>
              <w:ind w:right="23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3,111</w:t>
            </w:r>
          </w:p>
        </w:tc>
        <w:tc>
          <w:tcPr>
            <w:tcW w:w="22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18,766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2019, the Company did not have any significant additional operating or finance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future minimum operating lease commitments, as of December 31, 2018, under ASC 840, the predecessor to ASC 842, were as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3,954</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2,949</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2,114</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2024 and thereafter</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14,860</w:t>
            </w:r>
          </w:p>
        </w:tc>
      </w:tr>
      <w:tr>
        <w:trPr>
          <w:trHeight w:val="210"/>
        </w:trPr>
        <w:tc>
          <w:tcPr>
            <w:tcW w:w="3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27,968</w:t>
            </w:r>
          </w:p>
        </w:tc>
      </w:tr>
      <w:tr>
        <w:trPr>
          <w:trHeight w:val="20"/>
        </w:trPr>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60" w:hanging="65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the Company’s investments at: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color w:val="auto"/>
                <w:w w:val="93"/>
              </w:rPr>
              <w:t>Continuous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color w:val="auto"/>
                <w:w w:val="93"/>
              </w:rPr>
              <w:t>Continuous</w:t>
            </w:r>
          </w:p>
        </w:tc>
      </w:tr>
      <w:tr>
        <w:trPr>
          <w:trHeight w:val="149"/>
        </w:trPr>
        <w:tc>
          <w:tcPr>
            <w:tcW w:w="2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Gross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Gross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Loss Position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Loss Position</w:t>
            </w:r>
          </w:p>
        </w:tc>
      </w:tr>
      <w:tr>
        <w:trPr>
          <w:trHeight w:val="149"/>
        </w:trPr>
        <w:tc>
          <w:tcPr>
            <w:tcW w:w="2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5"/>
              </w:rPr>
              <w:t>Amortized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6"/>
              </w:rPr>
              <w:t>Holding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6"/>
              </w:rPr>
              <w:t>Holding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1"/>
              </w:rPr>
              <w:t>Fair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0"/>
              </w:rPr>
              <w:t>less than 12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greater than 12</w:t>
            </w:r>
          </w:p>
        </w:tc>
      </w:tr>
      <w:tr>
        <w:trPr>
          <w:trHeight w:val="167"/>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June 30, 2019</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Cost</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Gains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5"/>
              </w:rPr>
              <w:t>Losses</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4"/>
              </w:rPr>
              <w:t>Value</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Months</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5"/>
              </w:rPr>
              <w:t>Months</w:t>
            </w:r>
          </w:p>
        </w:tc>
      </w:tr>
      <w:tr>
        <w:trPr>
          <w:trHeight w:val="123"/>
        </w:trPr>
        <w:tc>
          <w:tcPr>
            <w:tcW w:w="2560" w:type="dxa"/>
            <w:vAlign w:val="bottom"/>
          </w:tcPr>
          <w:p>
            <w:pPr>
              <w:spacing w:after="0" w:line="123" w:lineRule="exact"/>
              <w:rPr>
                <w:sz w:val="20"/>
                <w:szCs w:val="20"/>
                <w:color w:val="auto"/>
              </w:rPr>
            </w:pPr>
            <w:r>
              <w:rPr>
                <w:rFonts w:ascii="Arial" w:cs="Arial" w:eastAsia="Arial" w:hAnsi="Arial"/>
                <w:sz w:val="14"/>
                <w:szCs w:val="14"/>
                <w:b w:val="1"/>
                <w:bCs w:val="1"/>
                <w:color w:val="auto"/>
              </w:rPr>
              <w:t>Available-for-sale</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Short-term:</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560" w:type="dxa"/>
            <w:vAlign w:val="bottom"/>
          </w:tcPr>
          <w:p>
            <w:pPr>
              <w:ind w:left="120"/>
              <w:spacing w:after="0" w:line="149" w:lineRule="exact"/>
              <w:rPr>
                <w:sz w:val="20"/>
                <w:szCs w:val="20"/>
                <w:color w:val="auto"/>
              </w:rPr>
            </w:pPr>
            <w:r>
              <w:rPr>
                <w:rFonts w:ascii="Arial" w:cs="Arial" w:eastAsia="Arial" w:hAnsi="Arial"/>
                <w:sz w:val="14"/>
                <w:szCs w:val="14"/>
                <w:color w:val="auto"/>
              </w:rPr>
              <w:t>Commercial paper</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63,286</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63,286</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ind w:left="120"/>
              <w:spacing w:after="0" w:line="149" w:lineRule="exact"/>
              <w:rPr>
                <w:sz w:val="20"/>
                <w:szCs w:val="20"/>
                <w:color w:val="auto"/>
              </w:rPr>
            </w:pPr>
            <w:r>
              <w:rPr>
                <w:rFonts w:ascii="Arial" w:cs="Arial" w:eastAsia="Arial" w:hAnsi="Arial"/>
                <w:sz w:val="14"/>
                <w:szCs w:val="14"/>
                <w:color w:val="auto"/>
              </w:rPr>
              <w:t>Certificates of deposit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15,026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ind w:left="120"/>
              <w:spacing w:after="0" w:line="149" w:lineRule="exact"/>
              <w:rPr>
                <w:sz w:val="20"/>
                <w:szCs w:val="20"/>
                <w:color w:val="auto"/>
              </w:rPr>
            </w:pPr>
            <w:r>
              <w:rPr>
                <w:rFonts w:ascii="Arial" w:cs="Arial" w:eastAsia="Arial" w:hAnsi="Arial"/>
                <w:sz w:val="14"/>
                <w:szCs w:val="14"/>
                <w:color w:val="auto"/>
              </w:rPr>
              <w:t>Municipal securities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104,230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104,307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ind w:left="120"/>
              <w:spacing w:after="0" w:line="149" w:lineRule="exact"/>
              <w:rPr>
                <w:sz w:val="20"/>
                <w:szCs w:val="20"/>
                <w:color w:val="auto"/>
              </w:rPr>
            </w:pPr>
            <w:r>
              <w:rPr>
                <w:rFonts w:ascii="Arial" w:cs="Arial" w:eastAsia="Arial" w:hAnsi="Arial"/>
                <w:sz w:val="14"/>
                <w:szCs w:val="14"/>
                <w:color w:val="auto"/>
              </w:rPr>
              <w:t>U.S. government agency securities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20,430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20,447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ind w:left="120"/>
              <w:spacing w:after="0" w:line="149" w:lineRule="exact"/>
              <w:rPr>
                <w:sz w:val="20"/>
                <w:szCs w:val="20"/>
                <w:color w:val="auto"/>
              </w:rPr>
            </w:pPr>
            <w:r>
              <w:rPr>
                <w:rFonts w:ascii="Arial" w:cs="Arial" w:eastAsia="Arial" w:hAnsi="Arial"/>
                <w:sz w:val="14"/>
                <w:szCs w:val="14"/>
                <w:color w:val="auto"/>
              </w:rPr>
              <w:t>U.S. treasuries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131,508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131,647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ind w:left="120"/>
              <w:spacing w:after="0" w:line="149" w:lineRule="exact"/>
              <w:rPr>
                <w:sz w:val="20"/>
                <w:szCs w:val="20"/>
                <w:color w:val="auto"/>
              </w:rPr>
            </w:pPr>
            <w:r>
              <w:rPr>
                <w:rFonts w:ascii="Arial" w:cs="Arial" w:eastAsia="Arial" w:hAnsi="Arial"/>
                <w:sz w:val="14"/>
                <w:szCs w:val="14"/>
                <w:color w:val="auto"/>
              </w:rPr>
              <w:t>Variable rate demand notes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23,275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23,275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Long-term:</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7"/>
        </w:trPr>
        <w:tc>
          <w:tcPr>
            <w:tcW w:w="2560" w:type="dxa"/>
            <w:vAlign w:val="bottom"/>
          </w:tcPr>
          <w:p>
            <w:pPr>
              <w:ind w:left="120"/>
              <w:spacing w:after="0"/>
              <w:rPr>
                <w:sz w:val="20"/>
                <w:szCs w:val="20"/>
                <w:color w:val="auto"/>
              </w:rPr>
            </w:pPr>
            <w:r>
              <w:rPr>
                <w:rFonts w:ascii="Arial" w:cs="Arial" w:eastAsia="Arial" w:hAnsi="Arial"/>
                <w:sz w:val="14"/>
                <w:szCs w:val="14"/>
                <w:color w:val="auto"/>
              </w:rPr>
              <w:t>Municipal securities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6,992</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7,006</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42"/>
        </w:trPr>
        <w:tc>
          <w:tcPr>
            <w:tcW w:w="2560" w:type="dxa"/>
            <w:vAlign w:val="bottom"/>
          </w:tcPr>
          <w:p>
            <w:pPr>
              <w:ind w:left="340"/>
              <w:spacing w:after="0" w:line="142" w:lineRule="exact"/>
              <w:rPr>
                <w:sz w:val="20"/>
                <w:szCs w:val="20"/>
                <w:color w:val="auto"/>
              </w:rPr>
            </w:pPr>
            <w:r>
              <w:rPr>
                <w:rFonts w:ascii="Arial" w:cs="Arial" w:eastAsia="Arial" w:hAnsi="Arial"/>
                <w:sz w:val="14"/>
                <w:szCs w:val="14"/>
                <w:color w:val="auto"/>
              </w:rPr>
              <w:t>Total</w:t>
            </w:r>
          </w:p>
        </w:tc>
        <w:tc>
          <w:tcPr>
            <w:tcW w:w="4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364,747</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252</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364,994</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r>
      <w:tr>
        <w:trPr>
          <w:trHeight w:val="20"/>
        </w:trPr>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40"/>
        </w:trPr>
        <w:tc>
          <w:tcPr>
            <w:tcW w:w="2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color w:val="auto"/>
                <w:w w:val="93"/>
              </w:rPr>
              <w:t>Continuous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color w:val="auto"/>
                <w:w w:val="93"/>
              </w:rPr>
              <w:t>Continuous</w:t>
            </w:r>
          </w:p>
        </w:tc>
      </w:tr>
      <w:tr>
        <w:trPr>
          <w:trHeight w:val="149"/>
        </w:trPr>
        <w:tc>
          <w:tcPr>
            <w:tcW w:w="2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Gross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0"/>
              </w:rPr>
              <w:t>Gross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Loss Position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Loss Position</w:t>
            </w:r>
          </w:p>
        </w:tc>
      </w:tr>
      <w:tr>
        <w:trPr>
          <w:trHeight w:val="149"/>
        </w:trPr>
        <w:tc>
          <w:tcPr>
            <w:tcW w:w="2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88"/>
              <w:spacing w:after="0" w:line="149" w:lineRule="exact"/>
              <w:rPr>
                <w:sz w:val="20"/>
                <w:szCs w:val="20"/>
                <w:color w:val="auto"/>
              </w:rPr>
            </w:pPr>
            <w:r>
              <w:rPr>
                <w:rFonts w:ascii="Arial" w:cs="Arial" w:eastAsia="Arial" w:hAnsi="Arial"/>
                <w:sz w:val="14"/>
                <w:szCs w:val="14"/>
                <w:color w:val="auto"/>
                <w:w w:val="95"/>
              </w:rPr>
              <w:t>Amortized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6"/>
              </w:rPr>
              <w:t>Holding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6"/>
              </w:rPr>
              <w:t>Holding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1"/>
              </w:rPr>
              <w:t>Fair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0"/>
              </w:rPr>
              <w:t>less than 12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greater than 12</w:t>
            </w:r>
          </w:p>
        </w:tc>
      </w:tr>
      <w:tr>
        <w:trPr>
          <w:trHeight w:val="167"/>
        </w:trPr>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2018</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Cost</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2"/>
              </w:rPr>
              <w:t>Gains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5"/>
              </w:rPr>
              <w:t>Losses</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4"/>
              </w:rPr>
              <w:t>Value</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Months</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5"/>
              </w:rPr>
              <w:t>Months</w:t>
            </w:r>
          </w:p>
        </w:tc>
      </w:tr>
      <w:tr>
        <w:trPr>
          <w:trHeight w:val="123"/>
        </w:trPr>
        <w:tc>
          <w:tcPr>
            <w:tcW w:w="2560" w:type="dxa"/>
            <w:vAlign w:val="bottom"/>
          </w:tcPr>
          <w:p>
            <w:pPr>
              <w:spacing w:after="0" w:line="123" w:lineRule="exact"/>
              <w:rPr>
                <w:sz w:val="20"/>
                <w:szCs w:val="20"/>
                <w:color w:val="auto"/>
              </w:rPr>
            </w:pPr>
            <w:r>
              <w:rPr>
                <w:rFonts w:ascii="Arial" w:cs="Arial" w:eastAsia="Arial" w:hAnsi="Arial"/>
                <w:sz w:val="14"/>
                <w:szCs w:val="14"/>
                <w:b w:val="1"/>
                <w:bCs w:val="1"/>
                <w:color w:val="auto"/>
              </w:rPr>
              <w:t>Available-for-sale</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Short-term:</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560" w:type="dxa"/>
            <w:vAlign w:val="bottom"/>
          </w:tcPr>
          <w:p>
            <w:pPr>
              <w:ind w:left="120"/>
              <w:spacing w:after="0" w:line="149" w:lineRule="exact"/>
              <w:rPr>
                <w:sz w:val="20"/>
                <w:szCs w:val="20"/>
                <w:color w:val="auto"/>
              </w:rPr>
            </w:pPr>
            <w:r>
              <w:rPr>
                <w:rFonts w:ascii="Arial" w:cs="Arial" w:eastAsia="Arial" w:hAnsi="Arial"/>
                <w:sz w:val="14"/>
                <w:szCs w:val="14"/>
                <w:color w:val="auto"/>
              </w:rPr>
              <w:t>Commercial paper</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52,838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52,838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ind w:left="120"/>
              <w:spacing w:after="0" w:line="149" w:lineRule="exact"/>
              <w:rPr>
                <w:sz w:val="20"/>
                <w:szCs w:val="20"/>
                <w:color w:val="auto"/>
              </w:rPr>
            </w:pPr>
            <w:r>
              <w:rPr>
                <w:rFonts w:ascii="Arial" w:cs="Arial" w:eastAsia="Arial" w:hAnsi="Arial"/>
                <w:sz w:val="14"/>
                <w:szCs w:val="14"/>
                <w:color w:val="auto"/>
              </w:rPr>
              <w:t>Certificates of deposit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14,075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14,075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ind w:left="120"/>
              <w:spacing w:after="0" w:line="149" w:lineRule="exact"/>
              <w:rPr>
                <w:sz w:val="20"/>
                <w:szCs w:val="20"/>
                <w:color w:val="auto"/>
              </w:rPr>
            </w:pPr>
            <w:r>
              <w:rPr>
                <w:rFonts w:ascii="Arial" w:cs="Arial" w:eastAsia="Arial" w:hAnsi="Arial"/>
                <w:sz w:val="14"/>
                <w:szCs w:val="14"/>
                <w:color w:val="auto"/>
              </w:rPr>
              <w:t>Municipal securities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151,690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151,644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ind w:left="120"/>
              <w:spacing w:after="0" w:line="149" w:lineRule="exact"/>
              <w:rPr>
                <w:sz w:val="20"/>
                <w:szCs w:val="20"/>
                <w:color w:val="auto"/>
              </w:rPr>
            </w:pPr>
            <w:r>
              <w:rPr>
                <w:rFonts w:ascii="Arial" w:cs="Arial" w:eastAsia="Arial" w:hAnsi="Arial"/>
                <w:sz w:val="14"/>
                <w:szCs w:val="14"/>
                <w:color w:val="auto"/>
              </w:rPr>
              <w:t>U.S. government agency securities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19,943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19,931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560" w:type="dxa"/>
            <w:vAlign w:val="bottom"/>
          </w:tcPr>
          <w:p>
            <w:pPr>
              <w:ind w:left="120"/>
              <w:spacing w:after="0" w:line="149" w:lineRule="exact"/>
              <w:rPr>
                <w:sz w:val="20"/>
                <w:szCs w:val="20"/>
                <w:color w:val="auto"/>
              </w:rPr>
            </w:pPr>
            <w:r>
              <w:rPr>
                <w:rFonts w:ascii="Arial" w:cs="Arial" w:eastAsia="Arial" w:hAnsi="Arial"/>
                <w:sz w:val="14"/>
                <w:szCs w:val="14"/>
                <w:color w:val="auto"/>
              </w:rPr>
              <w:t>U.S. treasuries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78,189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78,157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67"/>
        </w:trPr>
        <w:tc>
          <w:tcPr>
            <w:tcW w:w="2560" w:type="dxa"/>
            <w:vAlign w:val="bottom"/>
          </w:tcPr>
          <w:p>
            <w:pPr>
              <w:ind w:left="120"/>
              <w:spacing w:after="0"/>
              <w:rPr>
                <w:sz w:val="20"/>
                <w:szCs w:val="20"/>
                <w:color w:val="auto"/>
              </w:rPr>
            </w:pPr>
            <w:r>
              <w:rPr>
                <w:rFonts w:ascii="Arial" w:cs="Arial" w:eastAsia="Arial" w:hAnsi="Arial"/>
                <w:sz w:val="14"/>
                <w:szCs w:val="14"/>
                <w:color w:val="auto"/>
              </w:rPr>
              <w:t>Variable rate demand notes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4,005</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42"/>
        </w:trPr>
        <w:tc>
          <w:tcPr>
            <w:tcW w:w="2560" w:type="dxa"/>
            <w:vAlign w:val="bottom"/>
          </w:tcPr>
          <w:p>
            <w:pPr>
              <w:ind w:left="220"/>
              <w:spacing w:after="0" w:line="142" w:lineRule="exact"/>
              <w:rPr>
                <w:sz w:val="20"/>
                <w:szCs w:val="20"/>
                <w:color w:val="auto"/>
              </w:rPr>
            </w:pPr>
            <w:r>
              <w:rPr>
                <w:rFonts w:ascii="Arial" w:cs="Arial" w:eastAsia="Arial" w:hAnsi="Arial"/>
                <w:sz w:val="14"/>
                <w:szCs w:val="14"/>
                <w:color w:val="auto"/>
              </w:rPr>
              <w:t>Total</w:t>
            </w:r>
          </w:p>
        </w:tc>
        <w:tc>
          <w:tcPr>
            <w:tcW w:w="4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320,740</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16</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106</w:t>
            </w:r>
          </w:p>
        </w:tc>
        <w:tc>
          <w:tcPr>
            <w:tcW w:w="16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320,650</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106</w:t>
            </w:r>
          </w:p>
        </w:tc>
        <w:tc>
          <w:tcPr>
            <w:tcW w:w="180" w:type="dxa"/>
            <w:vAlign w:val="bottom"/>
            <w:gridSpan w:val="2"/>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20"/>
        </w:trPr>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six-months ended June 30, 2019 and 2018, realized gains or losses recognized on the sale of investments were not significant.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investments at June 30, 2019 and December 31, 2018 in commercial paper, certificates of deposit, municipal securities, U.S. government agency securities, U.S. treasuries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source. While they are classified as marketable investment securities, the put option allows the VRDNs to be liquidated at par on a same day, or more generally, on a seven-day settlement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underlying contractual maturities of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June 30, 2019</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10"/>
        </w:trPr>
        <w:tc>
          <w:tcPr>
            <w:tcW w:w="3500" w:type="dxa"/>
            <w:vAlign w:val="bottom"/>
            <w:vMerge w:val="restart"/>
          </w:tcPr>
          <w:p>
            <w:pPr>
              <w:spacing w:after="0"/>
              <w:rPr>
                <w:sz w:val="20"/>
                <w:szCs w:val="20"/>
                <w:color w:val="auto"/>
              </w:rPr>
            </w:pPr>
            <w:r>
              <w:rPr>
                <w:rFonts w:ascii="Arial" w:cs="Arial" w:eastAsia="Arial" w:hAnsi="Arial"/>
                <w:sz w:val="18"/>
                <w:szCs w:val="18"/>
                <w:color w:val="auto"/>
              </w:rPr>
              <w:t>Less than 1 year:</w:t>
            </w:r>
          </w:p>
        </w:tc>
        <w:tc>
          <w:tcPr>
            <w:tcW w:w="7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0"/>
              </w:rPr>
              <w:t>Amortized Cost</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Fair Value</w:t>
            </w:r>
          </w:p>
        </w:tc>
        <w:tc>
          <w:tcPr>
            <w:tcW w:w="2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Amortized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195"/>
        </w:trPr>
        <w:tc>
          <w:tcPr>
            <w:tcW w:w="35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08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63,286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63,286</w:t>
            </w:r>
          </w:p>
        </w:tc>
        <w:tc>
          <w:tcPr>
            <w:tcW w:w="46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52,838</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52,838</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104,230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104,307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151,690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151,644</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20,447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19,931</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15,026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131,508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131,647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78,157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Due 1 - 10 years: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Due 11 - 20 years: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Due 21 - 30 years: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10"/>
        </w:trPr>
        <w:tc>
          <w:tcPr>
            <w:tcW w:w="3500" w:type="dxa"/>
            <w:vAlign w:val="bottom"/>
          </w:tcPr>
          <w:p>
            <w:pPr>
              <w:ind w:left="12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8"/>
                <w:szCs w:val="18"/>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364,747</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364,994</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320,740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320,650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hanging="651"/>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FAIR VALUE OF CERTAIN FINANCIAL ASSETS AND LIABILITIES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69" w:lineRule="exact"/>
        <w:rPr>
          <w:sz w:val="20"/>
          <w:szCs w:val="20"/>
          <w:color w:val="auto"/>
        </w:rPr>
      </w:pPr>
    </w:p>
    <w:p>
      <w:pPr>
        <w:ind w:left="680" w:hanging="32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rFonts w:ascii="Arial" w:cs="Arial" w:eastAsia="Arial" w:hAnsi="Arial"/>
          <w:sz w:val="18"/>
          <w:szCs w:val="18"/>
          <w:color w:val="auto"/>
        </w:rPr>
      </w:pPr>
    </w:p>
    <w:p>
      <w:pPr>
        <w:jc w:val="both"/>
        <w:ind w:left="680" w:hanging="320"/>
        <w:spacing w:after="0" w:line="266"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quoted</w:t>
      </w:r>
      <w:r>
        <w:rPr>
          <w:rFonts w:ascii="Arial" w:cs="Arial" w:eastAsia="Arial" w:hAnsi="Arial"/>
          <w:sz w:val="18"/>
          <w:szCs w:val="18"/>
          <w:b w:val="1"/>
          <w:b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related assets or liabilities.</w:t>
      </w:r>
    </w:p>
    <w:p>
      <w:pPr>
        <w:spacing w:after="0" w:line="176" w:lineRule="exact"/>
        <w:rPr>
          <w:rFonts w:ascii="Arial" w:cs="Arial" w:eastAsia="Arial" w:hAnsi="Arial"/>
          <w:sz w:val="18"/>
          <w:szCs w:val="18"/>
          <w:color w:val="auto"/>
        </w:rPr>
      </w:pPr>
    </w:p>
    <w:p>
      <w:pPr>
        <w:ind w:left="680" w:hanging="320"/>
        <w:spacing w:after="0" w:line="282"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assets or liabilities.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ASC 820 requires the use of observable market inputs (quoted market prices) when measuring fair value and requires a Level 1 quoted price to be used to measure fair value whenever possible.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30, 2019</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Level 1</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Level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3680" w:type="dxa"/>
            <w:vAlign w:val="bottom"/>
          </w:tcPr>
          <w:p>
            <w:pPr>
              <w:spacing w:after="0" w:line="195" w:lineRule="exact"/>
              <w:rPr>
                <w:sz w:val="20"/>
                <w:szCs w:val="20"/>
                <w:color w:val="auto"/>
              </w:rPr>
            </w:pPr>
            <w:r>
              <w:rPr>
                <w:rFonts w:ascii="Arial" w:cs="Arial" w:eastAsia="Arial" w:hAnsi="Arial"/>
                <w:sz w:val="18"/>
                <w:szCs w:val="18"/>
                <w:color w:val="auto"/>
              </w:rPr>
              <w:t>Cash</w:t>
            </w:r>
          </w:p>
        </w:tc>
        <w:tc>
          <w:tcPr>
            <w:tcW w:w="130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506,563</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50"/>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506,563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Money market funds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268,831</w:t>
            </w:r>
          </w:p>
        </w:tc>
        <w:tc>
          <w:tcPr>
            <w:tcW w:w="2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268,831</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57,552</w:t>
            </w:r>
          </w:p>
        </w:tc>
        <w:tc>
          <w:tcPr>
            <w:tcW w:w="820" w:type="dxa"/>
            <w:vAlign w:val="bottom"/>
          </w:tcPr>
          <w:p>
            <w:pPr>
              <w:spacing w:after="0"/>
              <w:rPr>
                <w:sz w:val="18"/>
                <w:szCs w:val="18"/>
                <w:color w:val="auto"/>
              </w:rPr>
            </w:pP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57,552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Commercial paper</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77,178</w:t>
            </w:r>
          </w:p>
        </w:tc>
        <w:tc>
          <w:tcPr>
            <w:tcW w:w="820" w:type="dxa"/>
            <w:vAlign w:val="bottom"/>
          </w:tcPr>
          <w:p>
            <w:pPr>
              <w:spacing w:after="0"/>
              <w:rPr>
                <w:sz w:val="18"/>
                <w:szCs w:val="18"/>
                <w:color w:val="auto"/>
              </w:rPr>
            </w:pP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77,178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Variable rate demand notes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23,275</w:t>
            </w:r>
          </w:p>
        </w:tc>
        <w:tc>
          <w:tcPr>
            <w:tcW w:w="820" w:type="dxa"/>
            <w:vAlign w:val="bottom"/>
          </w:tcPr>
          <w:p>
            <w:pPr>
              <w:spacing w:after="0"/>
              <w:rPr>
                <w:sz w:val="18"/>
                <w:szCs w:val="18"/>
                <w:color w:val="auto"/>
              </w:rPr>
            </w:pP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23,275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Municipal securities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143,063</w:t>
            </w:r>
          </w:p>
        </w:tc>
        <w:tc>
          <w:tcPr>
            <w:tcW w:w="820" w:type="dxa"/>
            <w:vAlign w:val="bottom"/>
          </w:tcPr>
          <w:p>
            <w:pPr>
              <w:spacing w:after="0"/>
              <w:rPr>
                <w:sz w:val="18"/>
                <w:szCs w:val="18"/>
                <w:color w:val="auto"/>
              </w:rPr>
            </w:pP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143,063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41,122</w:t>
            </w:r>
          </w:p>
        </w:tc>
        <w:tc>
          <w:tcPr>
            <w:tcW w:w="820" w:type="dxa"/>
            <w:vAlign w:val="bottom"/>
          </w:tcPr>
          <w:p>
            <w:pPr>
              <w:spacing w:after="0"/>
              <w:rPr>
                <w:sz w:val="18"/>
                <w:szCs w:val="18"/>
                <w:color w:val="auto"/>
              </w:rPr>
            </w:pP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41,122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U.S. treasuries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135,657</w:t>
            </w:r>
          </w:p>
        </w:tc>
        <w:tc>
          <w:tcPr>
            <w:tcW w:w="820" w:type="dxa"/>
            <w:vAlign w:val="bottom"/>
          </w:tcPr>
          <w:p>
            <w:pPr>
              <w:spacing w:after="0"/>
              <w:rPr>
                <w:sz w:val="18"/>
                <w:szCs w:val="18"/>
                <w:color w:val="auto"/>
              </w:rPr>
            </w:pP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135,657</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3680" w:type="dxa"/>
            <w:vAlign w:val="bottom"/>
          </w:tcPr>
          <w:p>
            <w:pPr>
              <w:ind w:left="12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775,394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477,732</w:t>
            </w:r>
          </w:p>
        </w:tc>
        <w:tc>
          <w:tcPr>
            <w:tcW w:w="8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1,253,126</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Amounts included in:</w:t>
            </w:r>
          </w:p>
        </w:tc>
        <w:tc>
          <w:tcPr>
            <w:tcW w:w="1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8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775,394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112,853</w:t>
            </w: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888,247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357,988</w:t>
            </w:r>
          </w:p>
        </w:tc>
        <w:tc>
          <w:tcPr>
            <w:tcW w:w="820" w:type="dxa"/>
            <w:vAlign w:val="bottom"/>
          </w:tcPr>
          <w:p>
            <w:pPr>
              <w:spacing w:after="0"/>
              <w:rPr>
                <w:sz w:val="18"/>
                <w:szCs w:val="18"/>
                <w:color w:val="auto"/>
              </w:rPr>
            </w:pP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357,988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32</w:t>
            </w:r>
          </w:p>
        </w:tc>
        <w:tc>
          <w:tcPr>
            <w:tcW w:w="820" w:type="dxa"/>
            <w:vAlign w:val="bottom"/>
          </w:tcPr>
          <w:p>
            <w:pPr>
              <w:spacing w:after="0"/>
              <w:rPr>
                <w:sz w:val="18"/>
                <w:szCs w:val="18"/>
                <w:color w:val="auto"/>
              </w:rPr>
            </w:pP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Investments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7,006</w:t>
            </w:r>
          </w:p>
        </w:tc>
        <w:tc>
          <w:tcPr>
            <w:tcW w:w="820" w:type="dxa"/>
            <w:vAlign w:val="bottom"/>
          </w:tcPr>
          <w:p>
            <w:pPr>
              <w:spacing w:after="0"/>
              <w:rPr>
                <w:sz w:val="18"/>
                <w:szCs w:val="18"/>
                <w:color w:val="auto"/>
              </w:rPr>
            </w:pP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Accrued liabilities</w:t>
            </w:r>
          </w:p>
        </w:tc>
        <w:tc>
          <w:tcPr>
            <w:tcW w:w="1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3680" w:type="dxa"/>
            <w:vAlign w:val="bottom"/>
          </w:tcPr>
          <w:p>
            <w:pPr>
              <w:ind w:left="120"/>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775,394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477,732</w:t>
            </w:r>
          </w:p>
        </w:tc>
        <w:tc>
          <w:tcPr>
            <w:tcW w:w="8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1,253,126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2018</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6"/>
              </w:rPr>
              <w:t>Level 1</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6"/>
              </w:rPr>
              <w:t>Level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3680" w:type="dxa"/>
            <w:vAlign w:val="bottom"/>
          </w:tcPr>
          <w:p>
            <w:pPr>
              <w:spacing w:after="0" w:line="195" w:lineRule="exact"/>
              <w:rPr>
                <w:sz w:val="20"/>
                <w:szCs w:val="20"/>
                <w:color w:val="auto"/>
              </w:rPr>
            </w:pPr>
            <w:r>
              <w:rPr>
                <w:rFonts w:ascii="Arial" w:cs="Arial" w:eastAsia="Arial" w:hAnsi="Arial"/>
                <w:sz w:val="18"/>
                <w:szCs w:val="18"/>
                <w:color w:val="auto"/>
              </w:rPr>
              <w:t>Cash</w:t>
            </w:r>
          </w:p>
        </w:tc>
        <w:tc>
          <w:tcPr>
            <w:tcW w:w="130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393,936</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530"/>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393,936</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Money market funds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191,358</w:t>
            </w:r>
          </w:p>
        </w:tc>
        <w:tc>
          <w:tcPr>
            <w:tcW w:w="26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191,358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14,075</w:t>
            </w:r>
          </w:p>
        </w:tc>
        <w:tc>
          <w:tcPr>
            <w:tcW w:w="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Commercial paper</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60,422</w:t>
            </w:r>
          </w:p>
        </w:tc>
        <w:tc>
          <w:tcPr>
            <w:tcW w:w="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60,422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Variable rate demand notes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4,005</w:t>
            </w:r>
          </w:p>
        </w:tc>
        <w:tc>
          <w:tcPr>
            <w:tcW w:w="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Municipal securities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177,118</w:t>
            </w:r>
          </w:p>
        </w:tc>
        <w:tc>
          <w:tcPr>
            <w:tcW w:w="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177,118</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39,092</w:t>
            </w:r>
          </w:p>
        </w:tc>
        <w:tc>
          <w:tcPr>
            <w:tcW w:w="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39,092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U.S. treasuries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78,157</w:t>
            </w:r>
          </w:p>
        </w:tc>
        <w:tc>
          <w:tcPr>
            <w:tcW w:w="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78,157</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(492)</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0"/>
        </w:trPr>
        <w:tc>
          <w:tcPr>
            <w:tcW w:w="3680" w:type="dxa"/>
            <w:vAlign w:val="bottom"/>
          </w:tcPr>
          <w:p>
            <w:pPr>
              <w:ind w:left="120"/>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585,294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372,377</w:t>
            </w:r>
          </w:p>
        </w:tc>
        <w:tc>
          <w:tcPr>
            <w:tcW w:w="8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957,671</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Amounts included in:</w:t>
            </w: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8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585,294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52,219</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637,513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320,650</w:t>
            </w:r>
          </w:p>
        </w:tc>
        <w:tc>
          <w:tcPr>
            <w:tcW w:w="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320,650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Accrued liabilities</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0"/>
        </w:trPr>
        <w:tc>
          <w:tcPr>
            <w:tcW w:w="3680" w:type="dxa"/>
            <w:vAlign w:val="bottom"/>
          </w:tcPr>
          <w:p>
            <w:pPr>
              <w:ind w:left="120"/>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585,294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372,377</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957,671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All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certificates of deposit, VRDNs, U.S. treasuries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six-months ended June 30, 2019 or during the year-ended December 31, 2018, and there were no changes in the Company’s valuation techniques.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60" w:hanging="65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DERIVATIVE INSTRUMENTS AND HEDGING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foreign currency exchange rate risks related primarily to its foreign business operations. During the three- and six-months ended June 30, 2019 and the year-ended December 31, 2018,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June 30, 2019 have terms of one month or less. The Company does not enter into forward currency exchange contracts for speculation or trading purposes.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income, net, in the condensed consolidated statements of income, and are largely offset by the changes in the fair value of the underlying economically hedged item.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notional amount and fair value of all outstanding foreign currency derivative instruments in the condensed consolidated balance sheets consist of the following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Derivatives not designated as</w:t>
            </w: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hedging instruments under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Notional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ASC 815-20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Balance Sheet Location</w:t>
            </w:r>
          </w:p>
        </w:tc>
      </w:tr>
      <w:tr>
        <w:trPr>
          <w:trHeight w:val="195"/>
        </w:trPr>
        <w:tc>
          <w:tcPr>
            <w:tcW w:w="20" w:type="dxa"/>
            <w:vAlign w:val="bottom"/>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USD/pay COP</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3,767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w w:val="93"/>
              </w:rPr>
              <w:t>Accounts receivable, net</w:t>
            </w: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USD/pay GBP</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w w:val="93"/>
              </w:rPr>
              <w:t>Accounts receivable, net</w:t>
            </w:r>
          </w:p>
        </w:tc>
      </w:tr>
      <w:tr>
        <w:trPr>
          <w:trHeight w:val="230"/>
        </w:trPr>
        <w:tc>
          <w:tcPr>
            <w:tcW w:w="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EUR/pay USD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12,995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w w:val="93"/>
              </w:rPr>
              <w:t>Accounts receivable, net</w:t>
            </w:r>
          </w:p>
        </w:tc>
      </w:tr>
      <w:tr>
        <w:trPr>
          <w:trHeight w:val="418"/>
        </w:trPr>
        <w:tc>
          <w:tcPr>
            <w:tcW w:w="44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USD/pay AUD</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14,784</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USD/pay ZAR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SGD/pay USD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Accrued liabilities</w:t>
            </w:r>
          </w:p>
        </w:tc>
      </w:tr>
      <w:tr>
        <w:trPr>
          <w:trHeight w:val="230"/>
        </w:trPr>
        <w:tc>
          <w:tcPr>
            <w:tcW w:w="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USD/pay NZD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Accrued liabilities</w:t>
            </w:r>
          </w:p>
        </w:tc>
      </w:tr>
      <w:tr>
        <w:trPr>
          <w:trHeight w:val="86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19</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400" w:type="dxa"/>
            <w:vAlign w:val="bottom"/>
            <w:tcBorders>
              <w:top w:val="single" w:sz="8" w:color="auto"/>
            </w:tcBorders>
          </w:tcPr>
          <w:p>
            <w:pPr>
              <w:ind w:left="1140"/>
              <w:spacing w:after="0" w:line="195" w:lineRule="exact"/>
              <w:rPr>
                <w:sz w:val="20"/>
                <w:szCs w:val="20"/>
                <w:color w:val="auto"/>
              </w:rPr>
            </w:pPr>
            <w:r>
              <w:rPr>
                <w:rFonts w:ascii="Arial" w:cs="Arial" w:eastAsia="Arial" w:hAnsi="Arial"/>
                <w:sz w:val="18"/>
                <w:szCs w:val="18"/>
                <w:color w:val="auto"/>
              </w:rPr>
              <w:t>Derivatives not designated as</w:t>
            </w: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280"/>
              <w:spacing w:after="0"/>
              <w:rPr>
                <w:sz w:val="20"/>
                <w:szCs w:val="20"/>
                <w:color w:val="auto"/>
              </w:rPr>
            </w:pPr>
            <w:r>
              <w:rPr>
                <w:rFonts w:ascii="Arial" w:cs="Arial" w:eastAsia="Arial" w:hAnsi="Arial"/>
                <w:sz w:val="18"/>
                <w:szCs w:val="18"/>
                <w:color w:val="auto"/>
              </w:rPr>
              <w:t>hedging instruments under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Notional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ASC 815-20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Balance Sheet Location</w:t>
            </w:r>
          </w:p>
        </w:tc>
      </w:tr>
      <w:tr>
        <w:trPr>
          <w:trHeight w:val="195"/>
        </w:trPr>
        <w:tc>
          <w:tcPr>
            <w:tcW w:w="20" w:type="dxa"/>
            <w:vAlign w:val="bottom"/>
          </w:tcPr>
          <w:p>
            <w:pPr>
              <w:spacing w:after="0"/>
              <w:rPr>
                <w:sz w:val="16"/>
                <w:szCs w:val="16"/>
                <w:color w:val="auto"/>
              </w:rPr>
            </w:pP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SGD/pay USD</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8,341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w w:val="93"/>
              </w:rPr>
              <w:t>Accounts receivable, net</w:t>
            </w:r>
          </w:p>
        </w:tc>
      </w:tr>
      <w:tr>
        <w:trPr>
          <w:trHeight w:val="230"/>
        </w:trPr>
        <w:tc>
          <w:tcPr>
            <w:tcW w:w="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NOK/pay USD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w w:val="93"/>
              </w:rPr>
              <w:t>Accounts receivable, net</w:t>
            </w:r>
          </w:p>
        </w:tc>
      </w:tr>
      <w:tr>
        <w:trPr>
          <w:trHeight w:val="418"/>
        </w:trPr>
        <w:tc>
          <w:tcPr>
            <w:tcW w:w="44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USD/pay GBP</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40,648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USD/pay AUD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USD/pay ZAR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USD/pay COP</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USD/pay NZD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Accrued liabilities</w:t>
            </w:r>
          </w:p>
        </w:tc>
      </w:tr>
      <w:tr>
        <w:trPr>
          <w:trHeight w:val="230"/>
        </w:trPr>
        <w:tc>
          <w:tcPr>
            <w:tcW w:w="20" w:type="dxa"/>
            <w:vAlign w:val="bottom"/>
          </w:tcPr>
          <w:p>
            <w:pPr>
              <w:spacing w:after="0"/>
              <w:rPr>
                <w:sz w:val="20"/>
                <w:szCs w:val="20"/>
                <w:color w:val="auto"/>
              </w:rPr>
            </w:pPr>
          </w:p>
        </w:tc>
        <w:tc>
          <w:tcPr>
            <w:tcW w:w="4400" w:type="dxa"/>
            <w:vAlign w:val="bottom"/>
          </w:tcPr>
          <w:p>
            <w:pPr>
              <w:ind w:left="320"/>
              <w:spacing w:after="0"/>
              <w:rPr>
                <w:sz w:val="20"/>
                <w:szCs w:val="20"/>
                <w:color w:val="auto"/>
              </w:rPr>
            </w:pPr>
            <w:r>
              <w:rPr>
                <w:rFonts w:ascii="Arial" w:cs="Arial" w:eastAsia="Arial" w:hAnsi="Arial"/>
                <w:sz w:val="18"/>
                <w:szCs w:val="18"/>
                <w:color w:val="auto"/>
              </w:rPr>
              <w:t>Receive USD/pay EUR</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Accrued liabilities</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net losses on derivative instruments in the condensed consolidated statements of income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7"/>
          </w:tcPr>
          <w:p>
            <w:pPr>
              <w:jc w:val="center"/>
              <w:ind w:right="180"/>
              <w:spacing w:after="0"/>
              <w:rPr>
                <w:sz w:val="20"/>
                <w:szCs w:val="20"/>
                <w:color w:val="auto"/>
              </w:rPr>
            </w:pPr>
            <w:r>
              <w:rPr>
                <w:rFonts w:ascii="Arial" w:cs="Arial" w:eastAsia="Arial" w:hAnsi="Arial"/>
                <w:sz w:val="18"/>
                <w:szCs w:val="18"/>
                <w:color w:val="auto"/>
                <w:w w:val="94"/>
              </w:rPr>
              <w:t>Amount of gain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7"/>
          </w:tcPr>
          <w:p>
            <w:pPr>
              <w:jc w:val="center"/>
              <w:ind w:right="180"/>
              <w:spacing w:after="0"/>
              <w:rPr>
                <w:sz w:val="20"/>
                <w:szCs w:val="20"/>
                <w:color w:val="auto"/>
              </w:rPr>
            </w:pPr>
            <w:r>
              <w:rPr>
                <w:rFonts w:ascii="Arial" w:cs="Arial" w:eastAsia="Arial" w:hAnsi="Arial"/>
                <w:sz w:val="18"/>
                <w:szCs w:val="18"/>
                <w:color w:val="auto"/>
                <w:w w:val="91"/>
              </w:rPr>
              <w:t>recognized in income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4"/>
            <w:vMerge w:val="restart"/>
          </w:tcPr>
          <w:p>
            <w:pPr>
              <w:jc w:val="center"/>
              <w:ind w:right="240"/>
              <w:spacing w:after="0"/>
              <w:rPr>
                <w:sz w:val="20"/>
                <w:szCs w:val="20"/>
                <w:color w:val="auto"/>
              </w:rPr>
            </w:pPr>
            <w:r>
              <w:rPr>
                <w:rFonts w:ascii="Arial" w:cs="Arial" w:eastAsia="Arial" w:hAnsi="Arial"/>
                <w:sz w:val="18"/>
                <w:szCs w:val="18"/>
                <w:color w:val="auto"/>
                <w:w w:val="89"/>
              </w:rPr>
              <w:t>Derivatives not designated as</w:t>
            </w:r>
          </w:p>
        </w:tc>
        <w:tc>
          <w:tcPr>
            <w:tcW w:w="282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4"/>
              </w:rPr>
              <w:t>Location of gain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8"/>
                <w:szCs w:val="18"/>
                <w:color w:val="auto"/>
                <w:w w:val="92"/>
              </w:rPr>
              <w:t>derivatives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4"/>
            <w:vMerge w:val="continue"/>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8"/>
                <w:szCs w:val="18"/>
                <w:color w:val="auto"/>
                <w:w w:val="88"/>
              </w:rPr>
              <w:t>Three-months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80" w:type="dxa"/>
            <w:vAlign w:val="bottom"/>
            <w:gridSpan w:val="4"/>
          </w:tcPr>
          <w:p>
            <w:pPr>
              <w:jc w:val="center"/>
              <w:ind w:right="240"/>
              <w:spacing w:after="0" w:line="195" w:lineRule="exact"/>
              <w:rPr>
                <w:sz w:val="20"/>
                <w:szCs w:val="20"/>
                <w:color w:val="auto"/>
              </w:rPr>
            </w:pPr>
            <w:r>
              <w:rPr>
                <w:rFonts w:ascii="Arial" w:cs="Arial" w:eastAsia="Arial" w:hAnsi="Arial"/>
                <w:sz w:val="18"/>
                <w:szCs w:val="18"/>
                <w:color w:val="auto"/>
                <w:w w:val="90"/>
              </w:rPr>
              <w:t>hedging instruments under</w:t>
            </w:r>
          </w:p>
        </w:tc>
        <w:tc>
          <w:tcPr>
            <w:tcW w:w="2820" w:type="dxa"/>
            <w:vAlign w:val="bottom"/>
            <w:gridSpan w:val="2"/>
          </w:tcPr>
          <w:p>
            <w:pPr>
              <w:jc w:val="center"/>
              <w:ind w:right="20"/>
              <w:spacing w:after="0" w:line="195" w:lineRule="exact"/>
              <w:rPr>
                <w:sz w:val="20"/>
                <w:szCs w:val="20"/>
                <w:color w:val="auto"/>
              </w:rPr>
            </w:pPr>
            <w:r>
              <w:rPr>
                <w:rFonts w:ascii="Arial" w:cs="Arial" w:eastAsia="Arial" w:hAnsi="Arial"/>
                <w:sz w:val="18"/>
                <w:szCs w:val="18"/>
                <w:color w:val="auto"/>
                <w:w w:val="90"/>
              </w:rPr>
              <w:t>recognized in income on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June 30,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4"/>
          </w:tcPr>
          <w:p>
            <w:pPr>
              <w:jc w:val="center"/>
              <w:ind w:right="240"/>
              <w:spacing w:after="0"/>
              <w:rPr>
                <w:sz w:val="20"/>
                <w:szCs w:val="20"/>
                <w:color w:val="auto"/>
              </w:rPr>
            </w:pPr>
            <w:r>
              <w:rPr>
                <w:rFonts w:ascii="Arial" w:cs="Arial" w:eastAsia="Arial" w:hAnsi="Arial"/>
                <w:sz w:val="18"/>
                <w:szCs w:val="18"/>
                <w:color w:val="auto"/>
                <w:w w:val="93"/>
              </w:rPr>
              <w:t>ASC 815-20</w:t>
            </w:r>
          </w:p>
        </w:tc>
        <w:tc>
          <w:tcPr>
            <w:tcW w:w="28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derivatives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auto"/>
            </w:tcBorders>
            <w:gridSpan w:val="2"/>
          </w:tcPr>
          <w:p>
            <w:pPr>
              <w:jc w:val="right"/>
              <w:ind w:right="820"/>
              <w:spacing w:after="0"/>
              <w:rPr>
                <w:sz w:val="20"/>
                <w:szCs w:val="20"/>
                <w:color w:val="auto"/>
              </w:rPr>
            </w:pPr>
            <w:r>
              <w:rPr>
                <w:rFonts w:ascii="Arial" w:cs="Arial" w:eastAsia="Arial" w:hAnsi="Arial"/>
                <w:sz w:val="18"/>
                <w:szCs w:val="18"/>
                <w:color w:val="auto"/>
                <w:w w:val="88"/>
              </w:rPr>
              <w:t>Foreign currency exchange contracts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Interest and other income, net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7"/>
          </w:tcPr>
          <w:p>
            <w:pPr>
              <w:jc w:val="center"/>
              <w:ind w:right="180"/>
              <w:spacing w:after="0"/>
              <w:rPr>
                <w:sz w:val="20"/>
                <w:szCs w:val="20"/>
                <w:color w:val="auto"/>
              </w:rPr>
            </w:pPr>
            <w:r>
              <w:rPr>
                <w:rFonts w:ascii="Arial" w:cs="Arial" w:eastAsia="Arial" w:hAnsi="Arial"/>
                <w:sz w:val="18"/>
                <w:szCs w:val="18"/>
                <w:color w:val="auto"/>
                <w:w w:val="92"/>
              </w:rPr>
              <w:t>Amount of (loss) gain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7"/>
          </w:tcPr>
          <w:p>
            <w:pPr>
              <w:jc w:val="center"/>
              <w:ind w:right="180"/>
              <w:spacing w:after="0"/>
              <w:rPr>
                <w:sz w:val="20"/>
                <w:szCs w:val="20"/>
                <w:color w:val="auto"/>
              </w:rPr>
            </w:pPr>
            <w:r>
              <w:rPr>
                <w:rFonts w:ascii="Arial" w:cs="Arial" w:eastAsia="Arial" w:hAnsi="Arial"/>
                <w:sz w:val="18"/>
                <w:szCs w:val="18"/>
                <w:color w:val="auto"/>
                <w:w w:val="91"/>
              </w:rPr>
              <w:t>recognized in income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4"/>
            <w:vMerge w:val="restart"/>
          </w:tcPr>
          <w:p>
            <w:pPr>
              <w:jc w:val="center"/>
              <w:ind w:right="240"/>
              <w:spacing w:after="0"/>
              <w:rPr>
                <w:sz w:val="20"/>
                <w:szCs w:val="20"/>
                <w:color w:val="auto"/>
              </w:rPr>
            </w:pPr>
            <w:r>
              <w:rPr>
                <w:rFonts w:ascii="Arial" w:cs="Arial" w:eastAsia="Arial" w:hAnsi="Arial"/>
                <w:sz w:val="18"/>
                <w:szCs w:val="18"/>
                <w:color w:val="auto"/>
                <w:w w:val="89"/>
              </w:rPr>
              <w:t>Derivatives not designated as</w:t>
            </w:r>
          </w:p>
        </w:tc>
        <w:tc>
          <w:tcPr>
            <w:tcW w:w="282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3"/>
              </w:rPr>
              <w:t>Location of (loss) gain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7"/>
          </w:tcPr>
          <w:p>
            <w:pPr>
              <w:jc w:val="center"/>
              <w:ind w:right="160"/>
              <w:spacing w:after="0"/>
              <w:rPr>
                <w:sz w:val="20"/>
                <w:szCs w:val="20"/>
                <w:color w:val="auto"/>
              </w:rPr>
            </w:pPr>
            <w:r>
              <w:rPr>
                <w:rFonts w:ascii="Arial" w:cs="Arial" w:eastAsia="Arial" w:hAnsi="Arial"/>
                <w:sz w:val="18"/>
                <w:szCs w:val="18"/>
                <w:color w:val="auto"/>
                <w:w w:val="92"/>
              </w:rPr>
              <w:t>derivatives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4"/>
            <w:vMerge w:val="continue"/>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180" w:type="dxa"/>
            <w:vAlign w:val="bottom"/>
            <w:tcBorders>
              <w:top w:val="single" w:sz="8" w:color="auto"/>
              <w:bottom w:val="single" w:sz="8" w:color="auto"/>
            </w:tcBorders>
            <w:gridSpan w:val="6"/>
          </w:tcPr>
          <w:p>
            <w:pPr>
              <w:jc w:val="center"/>
              <w:ind w:right="70"/>
              <w:spacing w:after="0"/>
              <w:rPr>
                <w:sz w:val="20"/>
                <w:szCs w:val="20"/>
                <w:color w:val="auto"/>
              </w:rPr>
            </w:pPr>
            <w:r>
              <w:rPr>
                <w:rFonts w:ascii="Arial" w:cs="Arial" w:eastAsia="Arial" w:hAnsi="Arial"/>
                <w:sz w:val="18"/>
                <w:szCs w:val="18"/>
                <w:color w:val="auto"/>
                <w:w w:val="89"/>
              </w:rPr>
              <w:t>Six-months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80" w:type="dxa"/>
            <w:vAlign w:val="bottom"/>
            <w:gridSpan w:val="4"/>
          </w:tcPr>
          <w:p>
            <w:pPr>
              <w:jc w:val="center"/>
              <w:ind w:right="240"/>
              <w:spacing w:after="0" w:line="195" w:lineRule="exact"/>
              <w:rPr>
                <w:sz w:val="20"/>
                <w:szCs w:val="20"/>
                <w:color w:val="auto"/>
              </w:rPr>
            </w:pPr>
            <w:r>
              <w:rPr>
                <w:rFonts w:ascii="Arial" w:cs="Arial" w:eastAsia="Arial" w:hAnsi="Arial"/>
                <w:sz w:val="18"/>
                <w:szCs w:val="18"/>
                <w:color w:val="auto"/>
                <w:w w:val="90"/>
              </w:rPr>
              <w:t>hedging instruments under</w:t>
            </w:r>
          </w:p>
        </w:tc>
        <w:tc>
          <w:tcPr>
            <w:tcW w:w="2820" w:type="dxa"/>
            <w:vAlign w:val="bottom"/>
            <w:gridSpan w:val="2"/>
          </w:tcPr>
          <w:p>
            <w:pPr>
              <w:jc w:val="center"/>
              <w:ind w:right="20"/>
              <w:spacing w:after="0" w:line="195" w:lineRule="exact"/>
              <w:rPr>
                <w:sz w:val="20"/>
                <w:szCs w:val="20"/>
                <w:color w:val="auto"/>
              </w:rPr>
            </w:pPr>
            <w:r>
              <w:rPr>
                <w:rFonts w:ascii="Arial" w:cs="Arial" w:eastAsia="Arial" w:hAnsi="Arial"/>
                <w:sz w:val="18"/>
                <w:szCs w:val="18"/>
                <w:color w:val="auto"/>
                <w:w w:val="90"/>
              </w:rPr>
              <w:t>recognized in income on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June 30,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4"/>
          </w:tcPr>
          <w:p>
            <w:pPr>
              <w:jc w:val="center"/>
              <w:ind w:right="240"/>
              <w:spacing w:after="0"/>
              <w:rPr>
                <w:sz w:val="20"/>
                <w:szCs w:val="20"/>
                <w:color w:val="auto"/>
              </w:rPr>
            </w:pPr>
            <w:r>
              <w:rPr>
                <w:rFonts w:ascii="Arial" w:cs="Arial" w:eastAsia="Arial" w:hAnsi="Arial"/>
                <w:sz w:val="18"/>
                <w:szCs w:val="18"/>
                <w:color w:val="auto"/>
                <w:w w:val="93"/>
              </w:rPr>
              <w:t>ASC 815-20</w:t>
            </w:r>
          </w:p>
        </w:tc>
        <w:tc>
          <w:tcPr>
            <w:tcW w:w="28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derivatives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gridSpan w:val="2"/>
          </w:tcPr>
          <w:p>
            <w:pPr>
              <w:jc w:val="right"/>
              <w:ind w:right="710"/>
              <w:spacing w:after="0"/>
              <w:rPr>
                <w:sz w:val="20"/>
                <w:szCs w:val="20"/>
                <w:color w:val="auto"/>
              </w:rPr>
            </w:pPr>
            <w:r>
              <w:rPr>
                <w:rFonts w:ascii="Arial" w:cs="Arial" w:eastAsia="Arial" w:hAnsi="Arial"/>
                <w:sz w:val="18"/>
                <w:szCs w:val="18"/>
                <w:color w:val="auto"/>
                <w:w w:val="89"/>
              </w:rPr>
              <w:t>Foreign currency exchange contracts</w:t>
            </w:r>
          </w:p>
        </w:tc>
        <w:tc>
          <w:tcPr>
            <w:tcW w:w="2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Interest and other income,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hanging="651"/>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Inventories consist of the following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222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3100" w:type="dxa"/>
            <w:vAlign w:val="bottom"/>
            <w:vMerge w:val="restart"/>
          </w:tcPr>
          <w:p>
            <w:pPr>
              <w:ind w:left="660"/>
              <w:spacing w:after="0"/>
              <w:rPr>
                <w:sz w:val="20"/>
                <w:szCs w:val="20"/>
                <w:color w:val="auto"/>
              </w:rPr>
            </w:pPr>
            <w:r>
              <w:rPr>
                <w:rFonts w:ascii="Arial" w:cs="Arial" w:eastAsia="Arial" w:hAnsi="Arial"/>
                <w:sz w:val="18"/>
                <w:szCs w:val="18"/>
                <w:color w:val="auto"/>
              </w:rPr>
              <w:t>Raw materials</w:t>
            </w:r>
          </w:p>
        </w:tc>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100" w:type="dxa"/>
            <w:vAlign w:val="bottom"/>
            <w:vMerge w:val="continue"/>
          </w:tcPr>
          <w:p>
            <w:pPr>
              <w:spacing w:after="0"/>
              <w:rPr>
                <w:sz w:val="16"/>
                <w:szCs w:val="16"/>
                <w:color w:val="auto"/>
              </w:rPr>
            </w:pPr>
          </w:p>
        </w:tc>
        <w:tc>
          <w:tcPr>
            <w:tcW w:w="23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126,976</w:t>
            </w:r>
          </w:p>
        </w:tc>
        <w:tc>
          <w:tcPr>
            <w:tcW w:w="240" w:type="dxa"/>
            <w:vAlign w:val="bottom"/>
          </w:tcPr>
          <w:p>
            <w:pPr>
              <w:spacing w:after="0"/>
              <w:rPr>
                <w:sz w:val="16"/>
                <w:szCs w:val="16"/>
                <w:color w:val="auto"/>
              </w:rPr>
            </w:pP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94,421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660"/>
              <w:spacing w:after="0"/>
              <w:rPr>
                <w:sz w:val="20"/>
                <w:szCs w:val="20"/>
                <w:color w:val="auto"/>
              </w:rPr>
            </w:pPr>
            <w:r>
              <w:rPr>
                <w:rFonts w:ascii="Arial" w:cs="Arial" w:eastAsia="Arial" w:hAnsi="Arial"/>
                <w:sz w:val="18"/>
                <w:szCs w:val="18"/>
                <w:color w:val="auto"/>
              </w:rPr>
              <w:t>Finished goods</w:t>
            </w:r>
          </w:p>
        </w:tc>
        <w:tc>
          <w:tcPr>
            <w:tcW w:w="2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172,553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183,284</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299,529</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277,705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380" w:type="dxa"/>
            <w:vAlign w:val="bottom"/>
            <w:vMerge w:val="restart"/>
          </w:tcPr>
          <w:p>
            <w:pPr>
              <w:jc w:val="right"/>
              <w:ind w:right="77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1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ind w:left="660" w:hanging="651"/>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Property and equipment consist of the following at:</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June 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5320" w:type="dxa"/>
            <w:vAlign w:val="bottom"/>
            <w:vMerge w:val="restart"/>
          </w:tcPr>
          <w:p>
            <w:pPr>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5320" w:type="dxa"/>
            <w:vAlign w:val="bottom"/>
            <w:vMerge w:val="continue"/>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44,261</w:t>
            </w:r>
          </w:p>
        </w:tc>
        <w:tc>
          <w:tcPr>
            <w:tcW w:w="200" w:type="dxa"/>
            <w:vAlign w:val="bottom"/>
          </w:tcPr>
          <w:p>
            <w:pPr>
              <w:spacing w:after="0"/>
              <w:rPr>
                <w:sz w:val="16"/>
                <w:szCs w:val="16"/>
                <w:color w:val="auto"/>
              </w:rPr>
            </w:pP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44,261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18,717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Computer software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Equipment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184,345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183,727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117,475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115,242</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Vehicles</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39,026</w:t>
            </w: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424,565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417,092</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(184,400)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(174,041)</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240,165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243,051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depreciation and amortization expense recorded was $12.7 million and $11.2 million for the three-months ended June 30, 2019 and 2018, respectively. Total depreciation and amortization expense recorded was $24.6 million and $22.2 million for the six-months ended June 30, 2019 and 2018, respectively.</w:t>
      </w:r>
    </w:p>
    <w:p>
      <w:pPr>
        <w:spacing w:after="0" w:line="181" w:lineRule="exact"/>
        <w:rPr>
          <w:sz w:val="20"/>
          <w:szCs w:val="20"/>
          <w:color w:val="auto"/>
        </w:rPr>
      </w:pPr>
    </w:p>
    <w:p>
      <w:pPr>
        <w:ind w:left="640" w:hanging="63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is a roll-forward of goodwill for the six-months ended June 30, 2019 and June 30, 2018 by reportable segment:</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Monster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40"/>
              <w:spacing w:after="0" w:line="216" w:lineRule="exact"/>
              <w:rPr>
                <w:sz w:val="20"/>
                <w:szCs w:val="20"/>
                <w:color w:val="auto"/>
              </w:rPr>
            </w:pPr>
            <w:r>
              <w:rPr>
                <w:rFonts w:ascii="Arial" w:cs="Arial" w:eastAsia="Arial" w:hAnsi="Arial"/>
                <w:sz w:val="17"/>
                <w:szCs w:val="17"/>
                <w:color w:val="auto"/>
              </w:rPr>
              <w:t>Energy</w:t>
            </w:r>
            <w:r>
              <w:rPr>
                <w:rFonts w:ascii="Arial" w:cs="Arial" w:eastAsia="Arial" w:hAnsi="Arial"/>
                <w:sz w:val="25"/>
                <w:szCs w:val="25"/>
                <w:color w:val="auto"/>
                <w:vertAlign w:val="superscript"/>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Strategic</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vMerge w:val="restart"/>
          </w:tcPr>
          <w:p>
            <w:pPr>
              <w:spacing w:after="0"/>
              <w:rPr>
                <w:sz w:val="20"/>
                <w:szCs w:val="20"/>
                <w:color w:val="auto"/>
              </w:rPr>
            </w:pPr>
            <w:r>
              <w:rPr>
                <w:rFonts w:ascii="Arial" w:cs="Arial" w:eastAsia="Arial" w:hAnsi="Arial"/>
                <w:sz w:val="18"/>
                <w:szCs w:val="18"/>
                <w:color w:val="auto"/>
              </w:rPr>
              <w:t>Balance at December 31, 2018</w:t>
            </w: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Drinks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1"/>
              </w:rPr>
              <w:t>Brands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3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2"/>
              </w:rPr>
              <w:t>$ 693,644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2"/>
              </w:rPr>
              <w:t>$ 637,999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jc w:val="right"/>
              <w:ind w:right="470"/>
              <w:spacing w:after="0" w:line="195" w:lineRule="exact"/>
              <w:rPr>
                <w:sz w:val="20"/>
                <w:szCs w:val="20"/>
                <w:color w:val="auto"/>
              </w:rPr>
            </w:pPr>
            <w:r>
              <w:rPr>
                <w:rFonts w:ascii="Arial" w:cs="Arial" w:eastAsia="Arial" w:hAnsi="Arial"/>
                <w:sz w:val="18"/>
                <w:szCs w:val="18"/>
                <w:color w:val="auto"/>
                <w:w w:val="79"/>
              </w:rPr>
              <w:t>$</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0"/>
              </w:rPr>
              <w:t>$ 1,331,643</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Acquisitions</w:t>
            </w: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4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$ 693,644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$ 637,999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$ 1,331,643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Monster</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spacing w:after="0" w:line="216" w:lineRule="exact"/>
              <w:rPr>
                <w:sz w:val="20"/>
                <w:szCs w:val="20"/>
                <w:color w:val="auto"/>
              </w:rPr>
            </w:pPr>
            <w:r>
              <w:rPr>
                <w:rFonts w:ascii="Arial" w:cs="Arial" w:eastAsia="Arial" w:hAnsi="Arial"/>
                <w:sz w:val="17"/>
                <w:szCs w:val="17"/>
                <w:color w:val="auto"/>
              </w:rPr>
              <w:t>Energy</w:t>
            </w:r>
            <w:r>
              <w:rPr>
                <w:rFonts w:ascii="Arial" w:cs="Arial" w:eastAsia="Arial" w:hAnsi="Arial"/>
                <w:sz w:val="25"/>
                <w:szCs w:val="25"/>
                <w:color w:val="auto"/>
                <w:vertAlign w:val="superscript"/>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Strategic</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vMerge w:val="restart"/>
          </w:tcPr>
          <w:p>
            <w:pPr>
              <w:spacing w:after="0"/>
              <w:rPr>
                <w:sz w:val="20"/>
                <w:szCs w:val="20"/>
                <w:color w:val="auto"/>
              </w:rPr>
            </w:pPr>
            <w:r>
              <w:rPr>
                <w:rFonts w:ascii="Arial" w:cs="Arial" w:eastAsia="Arial" w:hAnsi="Arial"/>
                <w:sz w:val="18"/>
                <w:szCs w:val="18"/>
                <w:color w:val="auto"/>
              </w:rPr>
              <w:t>Balance at December 31, 2017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Drinks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Brands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3820" w:type="dxa"/>
            <w:vAlign w:val="bottom"/>
            <w:vMerge w:val="continue"/>
          </w:tcPr>
          <w:p>
            <w:pPr>
              <w:spacing w:after="0"/>
              <w:rPr>
                <w:sz w:val="16"/>
                <w:szCs w:val="16"/>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693,644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637,999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top w:val="single" w:sz="8" w:color="auto"/>
            </w:tcBorders>
            <w:gridSpan w:val="2"/>
          </w:tcPr>
          <w:p>
            <w:pPr>
              <w:jc w:val="right"/>
              <w:ind w:right="490"/>
              <w:spacing w:after="0" w:line="195"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8"/>
              </w:rPr>
              <w:t>$ 1,331,643</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Acquisitions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693,644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637,999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$ 1,331,643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Intangible assets consist of the following at: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June 30,</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5320" w:type="dxa"/>
            <w:vAlign w:val="bottom"/>
            <w:vMerge w:val="restart"/>
          </w:tcPr>
          <w:p>
            <w:pPr>
              <w:spacing w:after="0"/>
              <w:rPr>
                <w:sz w:val="20"/>
                <w:szCs w:val="20"/>
                <w:color w:val="auto"/>
              </w:rPr>
            </w:pPr>
            <w:r>
              <w:rPr>
                <w:rFonts w:ascii="Arial" w:cs="Arial" w:eastAsia="Arial" w:hAnsi="Arial"/>
                <w:sz w:val="18"/>
                <w:szCs w:val="18"/>
                <w:color w:val="auto"/>
              </w:rPr>
              <w:t>Amortizing intangibles</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532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66,946</w:t>
            </w:r>
          </w:p>
        </w:tc>
        <w:tc>
          <w:tcPr>
            <w:tcW w:w="200" w:type="dxa"/>
            <w:vAlign w:val="bottom"/>
          </w:tcPr>
          <w:p>
            <w:pPr>
              <w:spacing w:after="0"/>
              <w:rPr>
                <w:sz w:val="16"/>
                <w:szCs w:val="16"/>
                <w:color w:val="auto"/>
              </w:rPr>
            </w:pPr>
          </w:p>
        </w:tc>
        <w:tc>
          <w:tcPr>
            <w:tcW w:w="200" w:type="dxa"/>
            <w:vAlign w:val="bottom"/>
          </w:tcPr>
          <w:p>
            <w:pPr>
              <w:ind w:left="20"/>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71,350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(43,340)</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(38,311)</w:t>
            </w: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23,606</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33,039</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Non-amortizing intangibles</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1,022,204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1,012,839</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1,045,810</w:t>
            </w:r>
          </w:p>
        </w:tc>
        <w:tc>
          <w:tcPr>
            <w:tcW w:w="2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1,045,878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$3.0 million for both the three-months ended June 30, 2019 and 2018. Total amortization expense recorded was $5.9 million and $6.0 million for the six-months ended June 30, 2019 and 2018, respectively.</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DISTRIBUTION AGREEMENTS</w:t>
      </w: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ASC 420, the Company expenses distributor termination costs in the period in which the written notification of termination occurs. The Company incurred termination costs of $0.3 million and $5.5 million for the three-months ended June 30, 2019 and 2018, respectively. The Company incurred termination costs of $11.0 million and $12.5 million for the six-months ended June 30, 2019 and 2018, respectively.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$10.6 million and $11.0 million for the three-months ended June 30, 2019 and 2018, respectively. Revenue recognized was $24.8 million and $22.2 million for the six-months ended June 30, 2019 and 2018, respectively.</w:t>
      </w:r>
    </w:p>
    <w:p>
      <w:pPr>
        <w:spacing w:after="0" w:line="193" w:lineRule="exact"/>
        <w:rPr>
          <w:sz w:val="20"/>
          <w:szCs w:val="20"/>
          <w:color w:val="auto"/>
        </w:rPr>
      </w:pPr>
    </w:p>
    <w:p>
      <w:pPr>
        <w:ind w:left="640" w:hanging="63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had purchase commitments aggregating approximately $43.1 million at June 30, 2019, which represented commitments made by the Company and its subsidiaries to various suppliers of raw materials for the production of its products. These obligations vary in terms, but are generally satisfied within one year.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contractual obligations aggregating approximately $175.0 million at June 30, 2019, which related primarily to sponsorships and other marketing activities.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February 2018, the working capital line limit for the Company's credit facility with HSBC Bank (China) Company Limited, Shanghai Branch was increased from $9.0 million to $15.0 million. At June 30, 2019, the interest rate on borrowings under the line of credit was 5.5%. As of June 30, 2019, the Company had $3.4 million outstanding on this line of credit, including interest, which is included in accounts payable in the condensed consolidated balance sheet.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Proceedings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certain affiliates of the Company and TCCC are parties to various agreements setting</w:t>
      </w:r>
      <w:r>
        <w:rPr>
          <w:rFonts w:ascii="Arial" w:cs="Arial" w:eastAsia="Arial" w:hAnsi="Arial"/>
          <w:sz w:val="17"/>
          <w:szCs w:val="17"/>
          <w:i w:val="1"/>
          <w:iCs w:val="1"/>
          <w:color w:val="auto"/>
        </w:rPr>
        <w:t xml:space="preserve"> </w:t>
      </w:r>
      <w:r>
        <w:rPr>
          <w:rFonts w:ascii="Arial" w:cs="Arial" w:eastAsia="Arial" w:hAnsi="Arial"/>
          <w:sz w:val="17"/>
          <w:szCs w:val="17"/>
          <w:color w:val="auto"/>
        </w:rPr>
        <w:t>forth, among other things, provisions relating to TCCC's 18.7% equity holding in the Company and the terms on which the Company’s energy drink products are distributed globally by members of TCCC’s distribution network. Among other provisions, the agreements contain a non-compete provision restricting TCCC from marketing certain energy beverages.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31, 2018, by mutual agreement, the parties submitted to AAA arbitration a dispute regarding whether three energy drink products developed by TCCC fall under an exception to the non-compete provision relating to the Coca-Cola brand. The matter proceeded to a hearing before the arbitrators. On June 28, 2019, the arbitration panel issued its ruling, agreeing with TCCC that the energy drink products do fall under the exception relating to the Coca-Cola brand, and thus may be marketed and sold by TCCC.</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currently a defendant in a number of personal injury lawsuits, claiming that the death or other serious 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June 30, 2019, the Company’s condensed consolidated balance sheet included accrued loss contingencies of approximately $2.3 million.</w:t>
      </w:r>
    </w:p>
    <w:p>
      <w:pPr>
        <w:spacing w:after="0" w:line="200" w:lineRule="exact"/>
        <w:rPr>
          <w:sz w:val="20"/>
          <w:szCs w:val="20"/>
          <w:color w:val="auto"/>
        </w:rPr>
      </w:pPr>
    </w:p>
    <w:p>
      <w:pPr>
        <w:ind w:left="620" w:hanging="611"/>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ACCUMULATED OTHER COMPREHENSIVE LOSS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Changes in accumulated other comprehensive loss by component, after tax, for the six-months ended June 30, 2019 and 2018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0"/>
              </w:rPr>
              <w:t>Currency</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(Gains) Losses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2"/>
              </w:rPr>
              <w:t>Translation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on Available-for-</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vMerge w:val="restart"/>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Sale Securities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32,775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32,864</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rPr>
              <w:t>Other comprehensive income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20"/>
              <w:spacing w:after="0"/>
              <w:rPr>
                <w:sz w:val="20"/>
                <w:szCs w:val="20"/>
                <w:color w:val="auto"/>
              </w:rPr>
            </w:pPr>
            <w:r>
              <w:rPr>
                <w:rFonts w:ascii="Arial" w:cs="Arial" w:eastAsia="Arial" w:hAnsi="Arial"/>
                <w:sz w:val="18"/>
                <w:szCs w:val="18"/>
                <w:color w:val="auto"/>
              </w:rPr>
              <w:t>loss (income)</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Pr>
          <w:p>
            <w:pPr>
              <w:ind w:left="120"/>
              <w:spacing w:after="0"/>
              <w:rPr>
                <w:sz w:val="20"/>
                <w:szCs w:val="20"/>
                <w:color w:val="auto"/>
              </w:rPr>
            </w:pPr>
            <w:r>
              <w:rPr>
                <w:rFonts w:ascii="Arial" w:cs="Arial" w:eastAsia="Arial" w:hAnsi="Arial"/>
                <w:sz w:val="18"/>
                <w:szCs w:val="18"/>
                <w:color w:val="auto"/>
              </w:rPr>
              <w:t>Net current-period other comprehensive (income) loss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0"/>
              </w:rPr>
              <w:t>Currency</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(Gains) Losses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2"/>
              </w:rPr>
              <w:t>Translation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on Available-for-</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vMerge w:val="restart"/>
          </w:tcPr>
          <w:p>
            <w:pPr>
              <w:spacing w:after="0"/>
              <w:rPr>
                <w:sz w:val="20"/>
                <w:szCs w:val="20"/>
                <w:color w:val="auto"/>
              </w:rPr>
            </w:pPr>
            <w:r>
              <w:rPr>
                <w:rFonts w:ascii="Arial" w:cs="Arial" w:eastAsia="Arial" w:hAnsi="Arial"/>
                <w:sz w:val="18"/>
                <w:szCs w:val="18"/>
                <w:color w:val="auto"/>
              </w:rPr>
              <w:t>Balance at December 31, 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87"/>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Sale Securities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1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15,818</w:t>
            </w:r>
          </w:p>
        </w:tc>
        <w:tc>
          <w:tcPr>
            <w:tcW w:w="200" w:type="dxa"/>
            <w:vAlign w:val="bottom"/>
          </w:tcPr>
          <w:p>
            <w:pPr>
              <w:spacing w:after="0"/>
              <w:rPr>
                <w:sz w:val="16"/>
                <w:szCs w:val="16"/>
                <w:color w:val="auto"/>
              </w:rPr>
            </w:pPr>
          </w:p>
        </w:tc>
        <w:tc>
          <w:tcPr>
            <w:tcW w:w="12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841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top w:val="single" w:sz="8" w:color="auto"/>
            </w:tcBorders>
            <w:gridSpan w:val="2"/>
          </w:tcPr>
          <w:p>
            <w:pPr>
              <w:jc w:val="right"/>
              <w:ind w:right="105"/>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16,659</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w w:val="98"/>
              </w:rPr>
              <w:t>Other comprehensive loss (income)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Arial" w:cs="Arial" w:eastAsia="Arial" w:hAnsi="Arial"/>
                <w:sz w:val="18"/>
                <w:szCs w:val="18"/>
                <w:color w:val="auto"/>
                <w:w w:val="95"/>
              </w:rPr>
              <w:t>Amounts reclassified from accumulated other comprehensive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20"/>
              <w:spacing w:after="0"/>
              <w:rPr>
                <w:sz w:val="20"/>
                <w:szCs w:val="20"/>
                <w:color w:val="auto"/>
              </w:rPr>
            </w:pPr>
            <w:r>
              <w:rPr>
                <w:rFonts w:ascii="Arial" w:cs="Arial" w:eastAsia="Arial" w:hAnsi="Arial"/>
                <w:sz w:val="18"/>
                <w:szCs w:val="18"/>
                <w:color w:val="auto"/>
              </w:rPr>
              <w:t>loss (income)</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25,083</w:t>
            </w:r>
          </w:p>
        </w:tc>
        <w:tc>
          <w:tcPr>
            <w:tcW w:w="20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40" w:hanging="63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TREASURY STOCK</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7, 2018, the Company's Board of Directors authorized a share repurchase program for the purchase of up to $500.0 million of the Company's outstanding common stock (the “August 2018 Repurchase Plan”). During the three-months ended June 30, 2019, no shares were purchased under the August 2018 Repurchase Plan. As of August 7, 2019, $20.6 million remained available for repurchase under the August 2018 Repurchase Plan.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26, 2019, the Company’s Board of Directors authorized a new share repurchase program for the purchase of up to $500.0 million of the Company’s outstanding common stock (the “February 2019 Repurchase Plan”). During the three-months ended June 30, 2019, no shares were repurchased under the February 2019 Repurchase Plan. As of August 7, 2019, $500.0 million remained available for repurchase under the February 2019 Repurchase Plan.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August 7, 2019, the aggregate amount available under such authorizations to repurchase the Company’s common stock was $520.6 million.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three-months ended June 30, 2019, 9,846 shares of common stock were purchased from employees in lieu of cash payments for options exercised or withholding taxes due for a total amount of $0.6 million. While such purchases are considered common stock repurchases, they are not counted as purchases against our authorized share repurchase programs. Such shares are included in common stock in treasury in the accompanying condensed consolidated balance sheet at June 30, 2019.</w:t>
      </w:r>
    </w:p>
    <w:p>
      <w:pPr>
        <w:spacing w:after="0" w:line="188" w:lineRule="exact"/>
        <w:rPr>
          <w:sz w:val="20"/>
          <w:szCs w:val="20"/>
          <w:color w:val="auto"/>
        </w:rPr>
      </w:pPr>
    </w:p>
    <w:p>
      <w:pPr>
        <w:ind w:left="640" w:hanging="63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two stock-based compensation plans under which shares were available for grant at June 30, 2019: the Monster Beverage Corporation 2011 Omnibus Incentive Plan, including the Monster Beverage Corporation Deferred Compensation Plan as a sub plan thereunder, and the Monster Beverage Corporation 2017 Compensation Plan for Non-Employee Directors, including the Monster Beverage Corporation Deferred Compensation Plan for Non-Employee Directors as a sub plan thereunder.</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recorded $15.6 million and $14.9 million of compensation expense relating to outstanding options and restricted stock units during the three-months ended June 30, 2019 and 2018, respectively. The Company recorded $30.9 million and $28.3 million of compensation expense relating to outstanding options and restricted stock units during the six-months ended June 30, 2019 and 2018, respectively.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tax benefit for tax deductions from non-qualified stock option exercises, disqualifying dispositions of incentive stock options and vesting of restricted stock units for the three-months ended June 30, 2019 and 2018 was $3.8 million and $1.7 million, respectively. The tax benefit for tax deductions from non-qualified stock option exercises, disqualifying dispositions of incentive stock options and vesting of restricted stock units for the six-months ended June 30, 2019 and 2018 was $26.2 million and $4.5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Company’s stock-based compensation plans, all stock options granted as of June 30, 2019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2560" w:type="dxa"/>
            <w:vAlign w:val="bottom"/>
            <w:gridSpan w:val="5"/>
          </w:tcPr>
          <w:p>
            <w:pPr>
              <w:jc w:val="right"/>
              <w:ind w:right="290"/>
              <w:spacing w:after="0"/>
              <w:rPr>
                <w:sz w:val="20"/>
                <w:szCs w:val="20"/>
                <w:color w:val="auto"/>
              </w:rPr>
            </w:pPr>
            <w:r>
              <w:rPr>
                <w:rFonts w:ascii="Arial" w:cs="Arial" w:eastAsia="Arial" w:hAnsi="Arial"/>
                <w:sz w:val="18"/>
                <w:szCs w:val="18"/>
                <w:color w:val="auto"/>
                <w:w w:val="88"/>
              </w:rPr>
              <w:t>Three-Months Ended June 30,</w:t>
            </w:r>
          </w:p>
        </w:tc>
        <w:tc>
          <w:tcPr>
            <w:tcW w:w="2400" w:type="dxa"/>
            <w:vAlign w:val="bottom"/>
            <w:gridSpan w:val="4"/>
          </w:tcPr>
          <w:p>
            <w:pPr>
              <w:jc w:val="right"/>
              <w:ind w:right="310"/>
              <w:spacing w:after="0"/>
              <w:rPr>
                <w:sz w:val="20"/>
                <w:szCs w:val="20"/>
                <w:color w:val="auto"/>
              </w:rPr>
            </w:pPr>
            <w:r>
              <w:rPr>
                <w:rFonts w:ascii="Arial" w:cs="Arial" w:eastAsia="Arial" w:hAnsi="Arial"/>
                <w:sz w:val="18"/>
                <w:szCs w:val="18"/>
                <w:color w:val="auto"/>
                <w:w w:val="89"/>
              </w:rPr>
              <w:t>Six-Months Ended June 30,</w:t>
            </w:r>
          </w:p>
        </w:tc>
        <w:tc>
          <w:tcPr>
            <w:tcW w:w="0" w:type="dxa"/>
            <w:vAlign w:val="bottom"/>
          </w:tcPr>
          <w:p>
            <w:pPr>
              <w:spacing w:after="0"/>
              <w:rPr>
                <w:sz w:val="1"/>
                <w:szCs w:val="1"/>
                <w:color w:val="auto"/>
              </w:rPr>
            </w:pPr>
          </w:p>
        </w:tc>
      </w:tr>
      <w:tr>
        <w:trPr>
          <w:trHeight w:val="210"/>
        </w:trPr>
        <w:tc>
          <w:tcPr>
            <w:tcW w:w="2980" w:type="dxa"/>
            <w:vAlign w:val="bottom"/>
            <w:vMerge w:val="restart"/>
          </w:tcPr>
          <w:p>
            <w:pPr>
              <w:spacing w:after="0"/>
              <w:rPr>
                <w:sz w:val="20"/>
                <w:szCs w:val="20"/>
                <w:color w:val="auto"/>
              </w:rPr>
            </w:pPr>
            <w:r>
              <w:rPr>
                <w:rFonts w:ascii="Arial" w:cs="Arial" w:eastAsia="Arial" w:hAnsi="Arial"/>
                <w:sz w:val="18"/>
                <w:szCs w:val="18"/>
                <w:color w:val="auto"/>
              </w:rPr>
              <w:t>Dividend yield</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400" w:type="dxa"/>
            <w:vAlign w:val="bottom"/>
            <w:vMerge w:val="restart"/>
          </w:tcPr>
          <w:p>
            <w:pPr>
              <w:jc w:val="right"/>
              <w:ind w:right="150"/>
              <w:spacing w:after="0"/>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2019</w:t>
            </w:r>
          </w:p>
        </w:tc>
        <w:tc>
          <w:tcPr>
            <w:tcW w:w="400" w:type="dxa"/>
            <w:vAlign w:val="bottom"/>
            <w:tcBorders>
              <w:top w:val="single" w:sz="8" w:color="auto"/>
              <w:bottom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87"/>
              </w:rPr>
              <w:t>%</w:t>
            </w: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380" w:type="dxa"/>
            <w:vAlign w:val="bottom"/>
            <w:vMerge w:val="restart"/>
          </w:tcPr>
          <w:p>
            <w:pPr>
              <w:jc w:val="right"/>
              <w:ind w:right="1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95"/>
        </w:trPr>
        <w:tc>
          <w:tcPr>
            <w:tcW w:w="298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0.0</w:t>
            </w:r>
          </w:p>
        </w:tc>
        <w:tc>
          <w:tcPr>
            <w:tcW w:w="400" w:type="dxa"/>
            <w:vAlign w:val="bottom"/>
            <w:vMerge w:val="continue"/>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0.0</w:t>
            </w:r>
          </w:p>
        </w:tc>
        <w:tc>
          <w:tcPr>
            <w:tcW w:w="400" w:type="dxa"/>
            <w:vAlign w:val="bottom"/>
            <w:vMerge w:val="continue"/>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0.0</w:t>
            </w: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34.9 %</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30.2 %</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34.9 %</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2.7 %</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2.4 %</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6.1 years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 years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6.1 years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 options were granted during the three-months ended June 30, 2019.</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Historical volatility is based on the most recent volatility of the stock price over a period of time equivalent to the expected term of the option.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zero-coupon yield curve in effect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grant for the expected term of the option.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Company’s expected term represents the weighted-average period that the Company’s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are 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Weighted-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Shares (in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Price Per</w:t>
            </w: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Term (In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93"/>
              </w:rPr>
              <w:t>Aggregate</w:t>
            </w: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Options</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thousands)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Share</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years)</w:t>
            </w:r>
          </w:p>
        </w:tc>
        <w:tc>
          <w:tcPr>
            <w:tcW w:w="1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3"/>
              </w:rPr>
              <w:t>Intrinsic Value</w:t>
            </w:r>
          </w:p>
        </w:tc>
      </w:tr>
      <w:tr>
        <w:trPr>
          <w:trHeight w:val="195"/>
        </w:trPr>
        <w:tc>
          <w:tcPr>
            <w:tcW w:w="2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Outstanding at January 1, 2019</w:t>
            </w:r>
          </w:p>
        </w:tc>
        <w:tc>
          <w:tcPr>
            <w:tcW w:w="20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18,890</w:t>
            </w:r>
          </w:p>
        </w:tc>
        <w:tc>
          <w:tcPr>
            <w:tcW w:w="2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34.61</w:t>
            </w:r>
          </w:p>
        </w:tc>
        <w:tc>
          <w:tcPr>
            <w:tcW w:w="20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w:t>
            </w:r>
          </w:p>
        </w:tc>
        <w:tc>
          <w:tcPr>
            <w:tcW w:w="1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303,627</w:t>
            </w:r>
          </w:p>
        </w:tc>
      </w:tr>
      <w:tr>
        <w:trPr>
          <w:trHeight w:val="216"/>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Granted 01/01/19 - 03/31/19</w:t>
            </w:r>
          </w:p>
        </w:tc>
        <w:tc>
          <w:tcPr>
            <w:tcW w:w="800" w:type="dxa"/>
            <w:vAlign w:val="bottom"/>
          </w:tcPr>
          <w:p>
            <w:pPr>
              <w:jc w:val="right"/>
              <w:spacing w:after="0"/>
              <w:rPr>
                <w:sz w:val="20"/>
                <w:szCs w:val="20"/>
                <w:color w:val="auto"/>
              </w:rPr>
            </w:pPr>
            <w:r>
              <w:rPr>
                <w:rFonts w:ascii="Arial" w:cs="Arial" w:eastAsia="Arial" w:hAnsi="Arial"/>
                <w:sz w:val="18"/>
                <w:szCs w:val="18"/>
                <w:color w:val="auto"/>
              </w:rPr>
              <w:t>1,570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59.52</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Granted 04/01/19 - 06/30/19</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Exercised</w:t>
            </w:r>
          </w:p>
        </w:tc>
        <w:tc>
          <w:tcPr>
            <w:tcW w:w="800" w:type="dxa"/>
            <w:vAlign w:val="bottom"/>
          </w:tcPr>
          <w:p>
            <w:pPr>
              <w:jc w:val="right"/>
              <w:spacing w:after="0"/>
              <w:rPr>
                <w:sz w:val="20"/>
                <w:szCs w:val="20"/>
                <w:color w:val="auto"/>
              </w:rPr>
            </w:pPr>
            <w:r>
              <w:rPr>
                <w:rFonts w:ascii="Arial" w:cs="Arial" w:eastAsia="Arial" w:hAnsi="Arial"/>
                <w:sz w:val="18"/>
                <w:szCs w:val="18"/>
                <w:color w:val="auto"/>
              </w:rPr>
              <w:t>(4,894)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16.58</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ind w:left="200"/>
              <w:spacing w:after="0"/>
              <w:rPr>
                <w:sz w:val="20"/>
                <w:szCs w:val="20"/>
                <w:color w:val="auto"/>
              </w:rPr>
            </w:pPr>
            <w:r>
              <w:rPr>
                <w:rFonts w:ascii="Arial" w:cs="Arial" w:eastAsia="Arial" w:hAnsi="Arial"/>
                <w:sz w:val="18"/>
                <w:szCs w:val="18"/>
                <w:color w:val="auto"/>
              </w:rPr>
              <w:t>Cancelled or forfeited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50.69</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5"/>
        </w:trPr>
        <w:tc>
          <w:tcPr>
            <w:tcW w:w="4860" w:type="dxa"/>
            <w:vAlign w:val="bottom"/>
            <w:gridSpan w:val="3"/>
          </w:tcPr>
          <w:p>
            <w:pPr>
              <w:spacing w:after="0" w:line="195" w:lineRule="exact"/>
              <w:rPr>
                <w:sz w:val="20"/>
                <w:szCs w:val="20"/>
                <w:color w:val="auto"/>
              </w:rPr>
            </w:pPr>
            <w:r>
              <w:rPr>
                <w:rFonts w:ascii="Arial" w:cs="Arial" w:eastAsia="Arial" w:hAnsi="Arial"/>
                <w:sz w:val="18"/>
                <w:szCs w:val="18"/>
                <w:color w:val="auto"/>
              </w:rPr>
              <w:t>Outstanding at June 30, 2019</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15,282</w:t>
            </w:r>
          </w:p>
        </w:tc>
        <w:tc>
          <w:tcPr>
            <w:tcW w:w="2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42.65</w:t>
            </w:r>
          </w:p>
        </w:tc>
        <w:tc>
          <w:tcPr>
            <w:tcW w:w="20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6.8</w:t>
            </w:r>
          </w:p>
        </w:tc>
        <w:tc>
          <w:tcPr>
            <w:tcW w:w="3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323,637</w:t>
            </w: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Vested and expected to vest in the future at June 30, 2019</w:t>
            </w:r>
          </w:p>
        </w:tc>
        <w:tc>
          <w:tcPr>
            <w:tcW w:w="800" w:type="dxa"/>
            <w:vAlign w:val="bottom"/>
          </w:tcPr>
          <w:p>
            <w:pPr>
              <w:jc w:val="right"/>
              <w:spacing w:after="0"/>
              <w:rPr>
                <w:sz w:val="20"/>
                <w:szCs w:val="20"/>
                <w:color w:val="auto"/>
              </w:rPr>
            </w:pPr>
            <w:r>
              <w:rPr>
                <w:rFonts w:ascii="Arial" w:cs="Arial" w:eastAsia="Arial" w:hAnsi="Arial"/>
                <w:sz w:val="18"/>
                <w:szCs w:val="18"/>
                <w:color w:val="auto"/>
              </w:rPr>
              <w:t>14,310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41.87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314,240</w:t>
            </w:r>
          </w:p>
        </w:tc>
      </w:tr>
      <w:tr>
        <w:trPr>
          <w:trHeight w:val="230"/>
        </w:trPr>
        <w:tc>
          <w:tcPr>
            <w:tcW w:w="4860" w:type="dxa"/>
            <w:vAlign w:val="bottom"/>
            <w:gridSpan w:val="3"/>
          </w:tcPr>
          <w:p>
            <w:pPr>
              <w:spacing w:after="0"/>
              <w:rPr>
                <w:sz w:val="20"/>
                <w:szCs w:val="20"/>
                <w:color w:val="auto"/>
              </w:rPr>
            </w:pPr>
            <w:r>
              <w:rPr>
                <w:rFonts w:ascii="Arial" w:cs="Arial" w:eastAsia="Arial" w:hAnsi="Arial"/>
                <w:sz w:val="18"/>
                <w:szCs w:val="18"/>
                <w:color w:val="auto"/>
              </w:rPr>
              <w:t>Exercisable at June 30, 2019</w:t>
            </w:r>
          </w:p>
        </w:tc>
        <w:tc>
          <w:tcPr>
            <w:tcW w:w="800" w:type="dxa"/>
            <w:vAlign w:val="bottom"/>
          </w:tcPr>
          <w:p>
            <w:pPr>
              <w:jc w:val="right"/>
              <w:spacing w:after="0"/>
              <w:rPr>
                <w:sz w:val="20"/>
                <w:szCs w:val="20"/>
                <w:color w:val="auto"/>
              </w:rPr>
            </w:pPr>
            <w:r>
              <w:rPr>
                <w:rFonts w:ascii="Arial" w:cs="Arial" w:eastAsia="Arial" w:hAnsi="Arial"/>
                <w:sz w:val="18"/>
                <w:szCs w:val="18"/>
                <w:color w:val="auto"/>
              </w:rPr>
              <w:t>7,619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33.14</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233,803</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options were granted during the three-months ended June 30, 2019. The weighted-average grant-date fair value of options granted during the three-months ended June 30, 2018 was $20.20 per share. The weighted-average grant-date fair value of options granted during the six-months ended June 30, 2019 and 2018 was $20.30 per share and $22.51 per share, respectively.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intrinsic value of options exercised during the three-months ended June 30, 2019 and 2018 was $32.9 million and $14.7 million, respectively. The total intrinsic value of options exercised during the six-months ended June 30, 2019 and 2018 was $211.3 million and $32.9 million,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received from option exercises under all plans for the three-months ended June 30, 2019 and 2018 was $46.0 million and $7.1 million, respectively. Cash received from option exercises under all plans for the six-months ended June 30, 2019 and 2018 was $81.1 million and $13.6 million, respectively.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June 30, 2019, there was $101.1 million of total unrecognized compensation expense related to non-vested options granted to employees under the Company’s share-based payment plans. That cost is expected to be recognized over a weighted-average period of 2.7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cost of stock-based compensation for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Company’s activities with respect to non-vested restricted stock units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Shares (in</w:t>
            </w:r>
          </w:p>
        </w:tc>
        <w:tc>
          <w:tcPr>
            <w:tcW w:w="820" w:type="dxa"/>
            <w:vAlign w:val="bottom"/>
            <w:gridSpan w:val="3"/>
          </w:tcPr>
          <w:p>
            <w:pPr>
              <w:ind w:left="20"/>
              <w:spacing w:after="0"/>
              <w:rPr>
                <w:sz w:val="20"/>
                <w:szCs w:val="20"/>
                <w:color w:val="auto"/>
              </w:rPr>
            </w:pPr>
            <w:r>
              <w:rPr>
                <w:rFonts w:ascii="Arial" w:cs="Arial" w:eastAsia="Arial" w:hAnsi="Arial"/>
                <w:sz w:val="18"/>
                <w:szCs w:val="18"/>
                <w:color w:val="auto"/>
                <w:w w:val="87"/>
              </w:rPr>
              <w:t>Grant-Date</w:t>
            </w:r>
          </w:p>
        </w:tc>
        <w:tc>
          <w:tcPr>
            <w:tcW w:w="0" w:type="dxa"/>
            <w:vAlign w:val="bottom"/>
          </w:tcPr>
          <w:p>
            <w:pPr>
              <w:spacing w:after="0"/>
              <w:rPr>
                <w:sz w:val="1"/>
                <w:szCs w:val="1"/>
                <w:color w:val="auto"/>
              </w:rPr>
            </w:pPr>
          </w:p>
        </w:tc>
      </w:tr>
      <w:tr>
        <w:trPr>
          <w:trHeight w:val="230"/>
        </w:trPr>
        <w:tc>
          <w:tcPr>
            <w:tcW w:w="3800" w:type="dxa"/>
            <w:vAlign w:val="bottom"/>
            <w:vMerge w:val="restart"/>
          </w:tcPr>
          <w:p>
            <w:pPr>
              <w:spacing w:after="0"/>
              <w:rPr>
                <w:sz w:val="20"/>
                <w:szCs w:val="20"/>
                <w:color w:val="auto"/>
              </w:rPr>
            </w:pPr>
            <w:r>
              <w:rPr>
                <w:rFonts w:ascii="Arial" w:cs="Arial" w:eastAsia="Arial" w:hAnsi="Arial"/>
                <w:sz w:val="18"/>
                <w:szCs w:val="18"/>
                <w:color w:val="auto"/>
              </w:rPr>
              <w:t>Non-vested at January 1, 2019</w:t>
            </w: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thousands)</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95"/>
        </w:trPr>
        <w:tc>
          <w:tcPr>
            <w:tcW w:w="3800" w:type="dxa"/>
            <w:vAlign w:val="bottom"/>
            <w:vMerge w:val="continue"/>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529</w:t>
            </w:r>
          </w:p>
        </w:tc>
        <w:tc>
          <w:tcPr>
            <w:tcW w:w="1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20"/>
              <w:spacing w:after="0"/>
              <w:rPr>
                <w:sz w:val="20"/>
                <w:szCs w:val="20"/>
                <w:color w:val="auto"/>
              </w:rPr>
            </w:pPr>
            <w:r>
              <w:rPr>
                <w:rFonts w:ascii="Arial" w:cs="Arial" w:eastAsia="Arial" w:hAnsi="Arial"/>
                <w:sz w:val="18"/>
                <w:szCs w:val="18"/>
                <w:color w:val="auto"/>
              </w:rPr>
              <w:t>Granted 01/01/19 - 03/31/19</w:t>
            </w:r>
          </w:p>
        </w:tc>
        <w:tc>
          <w:tcPr>
            <w:tcW w:w="800" w:type="dxa"/>
            <w:vAlign w:val="bottom"/>
          </w:tcPr>
          <w:p>
            <w:pPr>
              <w:jc w:val="right"/>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20"/>
              <w:spacing w:after="0"/>
              <w:rPr>
                <w:sz w:val="20"/>
                <w:szCs w:val="20"/>
                <w:color w:val="auto"/>
              </w:rPr>
            </w:pPr>
            <w:r>
              <w:rPr>
                <w:rFonts w:ascii="Arial" w:cs="Arial" w:eastAsia="Arial" w:hAnsi="Arial"/>
                <w:sz w:val="18"/>
                <w:szCs w:val="18"/>
                <w:color w:val="auto"/>
              </w:rPr>
              <w:t>Granted 04/01/19 - 06/30/19</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20"/>
              <w:spacing w:after="0"/>
              <w:rPr>
                <w:sz w:val="20"/>
                <w:szCs w:val="20"/>
                <w:color w:val="auto"/>
              </w:rPr>
            </w:pPr>
            <w:r>
              <w:rPr>
                <w:rFonts w:ascii="Arial" w:cs="Arial" w:eastAsia="Arial" w:hAnsi="Arial"/>
                <w:sz w:val="18"/>
                <w:szCs w:val="18"/>
                <w:color w:val="auto"/>
              </w:rPr>
              <w:t>Vested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320"/>
              <w:spacing w:after="0"/>
              <w:rPr>
                <w:sz w:val="20"/>
                <w:szCs w:val="20"/>
                <w:color w:val="auto"/>
              </w:rPr>
            </w:pPr>
            <w:r>
              <w:rPr>
                <w:rFonts w:ascii="Arial" w:cs="Arial" w:eastAsia="Arial" w:hAnsi="Arial"/>
                <w:sz w:val="18"/>
                <w:szCs w:val="18"/>
                <w:color w:val="auto"/>
              </w:rPr>
              <w:t>Forfeited/cancelled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8"/>
                <w:szCs w:val="18"/>
                <w:color w:val="auto"/>
              </w:rPr>
              <w:t>Non-vested at June 30,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weighted-average grant-date fair value of restricted stock units granted during the three-months ended June 30, 2019 and 2018 was $63.48 per share and $52.31 per share, respectively. The weighted-average grant-date fair value of restricted stock units granted during the six-months ended June 30, 2019 and 2018 was $59.79 per share and $57.59 per share, respectively. As of June 30, 2019, 0.7 million of restricted stock units are expected to vest over their respective terms.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2019, total unrecognized compensation expense relating to non-vested restricted stock units was $37.5 million, which is expected to be recognized over a weighted-average period of 3.1 years.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ind w:left="640" w:hanging="63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is a roll-forward of the Company’s total gross unrecognized tax benefits, not including interest and penalties, for the six-months ended June 30, 2019:</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Arial" w:cs="Arial" w:eastAsia="Arial" w:hAnsi="Arial"/>
                <w:sz w:val="18"/>
                <w:szCs w:val="18"/>
                <w:color w:val="auto"/>
                <w:w w:val="88"/>
              </w:rPr>
              <w:t>Gross Unrecognized Tax</w:t>
            </w:r>
          </w:p>
        </w:tc>
        <w:tc>
          <w:tcPr>
            <w:tcW w:w="0" w:type="dxa"/>
            <w:vAlign w:val="bottom"/>
          </w:tcPr>
          <w:p>
            <w:pPr>
              <w:spacing w:after="0"/>
              <w:rPr>
                <w:sz w:val="1"/>
                <w:szCs w:val="1"/>
                <w:color w:val="auto"/>
              </w:rPr>
            </w:pPr>
          </w:p>
        </w:tc>
      </w:tr>
      <w:tr>
        <w:trPr>
          <w:trHeight w:val="230"/>
        </w:trPr>
        <w:tc>
          <w:tcPr>
            <w:tcW w:w="3200" w:type="dxa"/>
            <w:vAlign w:val="bottom"/>
            <w:vMerge w:val="restart"/>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Benefits</w:t>
            </w:r>
          </w:p>
        </w:tc>
        <w:tc>
          <w:tcPr>
            <w:tcW w:w="0" w:type="dxa"/>
            <w:vAlign w:val="bottom"/>
          </w:tcPr>
          <w:p>
            <w:pPr>
              <w:spacing w:after="0"/>
              <w:rPr>
                <w:sz w:val="1"/>
                <w:szCs w:val="1"/>
                <w:color w:val="auto"/>
              </w:rPr>
            </w:pPr>
          </w:p>
        </w:tc>
      </w:tr>
      <w:tr>
        <w:trPr>
          <w:trHeight w:val="195"/>
        </w:trPr>
        <w:tc>
          <w:tcPr>
            <w:tcW w:w="3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5" w:lineRule="exact"/>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Additions for tax positions related to the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current year</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Additions for tax positions related to the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20"/>
              <w:spacing w:after="0"/>
              <w:rPr>
                <w:sz w:val="20"/>
                <w:szCs w:val="20"/>
                <w:color w:val="auto"/>
              </w:rPr>
            </w:pPr>
            <w:r>
              <w:rPr>
                <w:rFonts w:ascii="Arial" w:cs="Arial" w:eastAsia="Arial" w:hAnsi="Arial"/>
                <w:sz w:val="18"/>
                <w:szCs w:val="18"/>
                <w:color w:val="auto"/>
              </w:rPr>
              <w:t>prior years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Decreases related to settlement with</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20"/>
              <w:spacing w:after="0"/>
              <w:rPr>
                <w:sz w:val="20"/>
                <w:szCs w:val="20"/>
                <w:color w:val="auto"/>
              </w:rPr>
            </w:pPr>
            <w:r>
              <w:rPr>
                <w:rFonts w:ascii="Arial" w:cs="Arial" w:eastAsia="Arial" w:hAnsi="Arial"/>
                <w:sz w:val="18"/>
                <w:szCs w:val="18"/>
                <w:color w:val="auto"/>
              </w:rPr>
              <w:t>taxing authority</w:t>
            </w: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recognizes accrued interest and penalties related to unrecognized tax benefits in the provision for income taxes in the Company’s condensed consolidated financial statements. As of June 30, 2019, the Company had approximately $1.3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subject to U.S. federal income tax as well as to income tax in multiple state and foreign jurisdictions.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18, 2016, the IRS began its examination of the Company’s U.S. federal income tax return for the year ended December 31, 2014. On March 27, 2017, the IRS began its examination of the Company’s U.S. federal income tax return for the year ended December 31, 2015.</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in various stages of examination with certain states and certain foreign jurisdictions. The Company’s 2014 through 2018 U.S. federal income tax returns are subject to examination by the IRS. The Company’s state income tax returns are subject to examination for the 2014 through 2018 tax years.</w:t>
      </w:r>
    </w:p>
    <w:p>
      <w:pPr>
        <w:spacing w:after="0" w:line="181" w:lineRule="exact"/>
        <w:rPr>
          <w:sz w:val="20"/>
          <w:szCs w:val="20"/>
          <w:color w:val="auto"/>
        </w:rPr>
      </w:pPr>
    </w:p>
    <w:p>
      <w:pPr>
        <w:ind w:left="640" w:hanging="631"/>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 below (in thousands):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8"/>
                <w:szCs w:val="18"/>
                <w:color w:val="auto"/>
                <w:w w:val="91"/>
              </w:rPr>
              <w:t>Three-Months Ended</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w w:val="95"/>
              </w:rPr>
              <w:t>Six-Months Ended</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740" w:type="dxa"/>
            <w:vAlign w:val="bottom"/>
            <w:gridSpan w:val="4"/>
          </w:tcPr>
          <w:p>
            <w:pPr>
              <w:jc w:val="center"/>
              <w:ind w:right="220"/>
              <w:spacing w:after="0"/>
              <w:rPr>
                <w:sz w:val="20"/>
                <w:szCs w:val="20"/>
                <w:color w:val="auto"/>
              </w:rPr>
            </w:pPr>
            <w:r>
              <w:rPr>
                <w:rFonts w:ascii="Arial" w:cs="Arial" w:eastAsia="Arial" w:hAnsi="Arial"/>
                <w:sz w:val="18"/>
                <w:szCs w:val="18"/>
                <w:color w:val="auto"/>
                <w:w w:val="86"/>
              </w:rPr>
              <w:t>June 30,</w:t>
            </w:r>
          </w:p>
        </w:tc>
        <w:tc>
          <w:tcPr>
            <w:tcW w:w="1480" w:type="dxa"/>
            <w:vAlign w:val="bottom"/>
            <w:gridSpan w:val="3"/>
          </w:tcPr>
          <w:p>
            <w:pPr>
              <w:jc w:val="right"/>
              <w:ind w:right="37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10"/>
        </w:trPr>
        <w:tc>
          <w:tcPr>
            <w:tcW w:w="444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44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544,156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559,867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543,466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562,917</w:t>
            </w:r>
          </w:p>
        </w:tc>
        <w:tc>
          <w:tcPr>
            <w:tcW w:w="0" w:type="dxa"/>
            <w:vAlign w:val="bottom"/>
          </w:tcPr>
          <w:p>
            <w:pPr>
              <w:spacing w:after="0"/>
              <w:rPr>
                <w:sz w:val="1"/>
                <w:szCs w:val="1"/>
                <w:color w:val="auto"/>
              </w:rPr>
            </w:pPr>
          </w:p>
        </w:tc>
      </w:tr>
      <w:tr>
        <w:trPr>
          <w:trHeight w:val="230"/>
        </w:trPr>
        <w:tc>
          <w:tcPr>
            <w:tcW w:w="4440" w:type="dxa"/>
            <w:vAlign w:val="bottom"/>
          </w:tcPr>
          <w:p>
            <w:pPr>
              <w:ind w:left="100"/>
              <w:spacing w:after="0"/>
              <w:rPr>
                <w:sz w:val="20"/>
                <w:szCs w:val="20"/>
                <w:color w:val="auto"/>
              </w:rPr>
            </w:pPr>
            <w:r>
              <w:rPr>
                <w:rFonts w:ascii="Arial" w:cs="Arial" w:eastAsia="Arial" w:hAnsi="Arial"/>
                <w:sz w:val="18"/>
                <w:szCs w:val="18"/>
                <w:color w:val="auto"/>
              </w:rPr>
              <w:t>Dilutive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6,485</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10"/>
        </w:trPr>
        <w:tc>
          <w:tcPr>
            <w:tcW w:w="4440" w:type="dxa"/>
            <w:vAlign w:val="bottom"/>
          </w:tcPr>
          <w:p>
            <w:pPr>
              <w:ind w:left="100"/>
              <w:spacing w:after="0"/>
              <w:rPr>
                <w:sz w:val="20"/>
                <w:szCs w:val="20"/>
                <w:color w:val="auto"/>
              </w:rPr>
            </w:pPr>
            <w:r>
              <w:rPr>
                <w:rFonts w:ascii="Arial" w:cs="Arial" w:eastAsia="Arial" w:hAnsi="Arial"/>
                <w:sz w:val="18"/>
                <w:szCs w:val="18"/>
                <w:color w:val="auto"/>
              </w:rPr>
              <w:t>Diluted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548,218</w:t>
            </w: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566,352</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548,299</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570,231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the three-months ended June 30, 2019 and 2018, options and awards outstanding totaling 4.7 million shares and 6.4 million shares, respectively, were excluded from the calculations as their effect would have been antidilutive. For the six-months ended June 30, 2019 and 2018, options and awards outstanding totaling 4.2 million shares and 2.6 million shares, respectively, were excluded from the calculations as their effect would have been antidilutive.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ind w:left="680" w:hanging="671"/>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8"/>
          <w:szCs w:val="18"/>
          <w:color w:val="auto"/>
        </w:rPr>
        <w:t>The Company has three operating and reportable segments, (i) Monster Energy® Drinks segment, which is primarily comprised of the Company’s Monster Energy® drinks and Reign Total Body Fuel</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high performance energy drinks, (ii) Strategic Brands segment, which is comprised primarily of the various energy drink brands acquired from TCCC in 2015 as well as the Company’s affordable energy brands, and (iii) Other segment, which is comprised of the AFF Third-Party Products.</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Monster Energy® Drinks segment primarily generates net operating revenues by selling ready-to-drink packaged drinks primarily to bottlers and full service beverage distributors. In some cases, the Company sells directly to retail grocery and specialty chains, wholesalers, club stores, mass merchandisers, convenience chains, foodservice customers and the military.</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 full service distributors or retailers, including, retail grocery and specialty chains, wholesalers, club stores, mass merchandisers, convenience chains, foodservice customers, drug stores and the military. To a lesser extent, the Company’s Strategic Brands segment generates net operating revenues by selling certain ready-to-drink packaged energy drinks to bottlers and full service beverage distributors.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the Monster Energy® Drinks segment generates higher per case net operating revenues, but lower per case gross profit margin percentages than the Strategic Brands segment.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revenues derived from the Company’s reportable segments and other financial information related thereto for the three- and six-months ended June 30, 2019 and 2018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7"/>
          </w:tcPr>
          <w:p>
            <w:pPr>
              <w:jc w:val="center"/>
              <w:ind w:right="140"/>
              <w:spacing w:after="0"/>
              <w:rPr>
                <w:sz w:val="20"/>
                <w:szCs w:val="20"/>
                <w:color w:val="auto"/>
              </w:rPr>
            </w:pPr>
            <w:r>
              <w:rPr>
                <w:rFonts w:ascii="Arial" w:cs="Arial" w:eastAsia="Arial" w:hAnsi="Arial"/>
                <w:sz w:val="18"/>
                <w:szCs w:val="18"/>
                <w:color w:val="auto"/>
                <w:w w:val="91"/>
              </w:rPr>
              <w:t>Three-Months Ended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6"/>
          </w:tcPr>
          <w:p>
            <w:pPr>
              <w:jc w:val="right"/>
              <w:ind w:right="270"/>
              <w:spacing w:after="0"/>
              <w:rPr>
                <w:sz w:val="20"/>
                <w:szCs w:val="20"/>
                <w:color w:val="auto"/>
              </w:rPr>
            </w:pPr>
            <w:r>
              <w:rPr>
                <w:rFonts w:ascii="Arial" w:cs="Arial" w:eastAsia="Arial" w:hAnsi="Arial"/>
                <w:sz w:val="18"/>
                <w:szCs w:val="18"/>
                <w:color w:val="auto"/>
              </w:rPr>
              <w:t>Six-Months Ended</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8"/>
                <w:szCs w:val="18"/>
                <w:color w:val="auto"/>
                <w:w w:val="86"/>
              </w:rPr>
              <w:t>June 30,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6"/>
          </w:tcPr>
          <w:p>
            <w:pPr>
              <w:jc w:val="right"/>
              <w:ind w:right="67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10"/>
        </w:trPr>
        <w:tc>
          <w:tcPr>
            <w:tcW w:w="292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20"/>
              <w:spacing w:after="0" w:line="216" w:lineRule="exact"/>
              <w:rPr>
                <w:sz w:val="20"/>
                <w:szCs w:val="20"/>
                <w:color w:val="auto"/>
              </w:rPr>
            </w:pPr>
            <w:r>
              <w:rPr>
                <w:rFonts w:ascii="Arial" w:cs="Arial" w:eastAsia="Arial" w:hAnsi="Arial"/>
                <w:sz w:val="17"/>
                <w:szCs w:val="17"/>
                <w:color w:val="auto"/>
              </w:rPr>
              <w:t>Monster Energy® Drinks</w:t>
            </w:r>
            <w:r>
              <w:rPr>
                <w:rFonts w:ascii="Arial" w:cs="Arial" w:eastAsia="Arial" w:hAnsi="Arial"/>
                <w:sz w:val="25"/>
                <w:szCs w:val="25"/>
                <w:color w:val="auto"/>
                <w:vertAlign w:val="superscript"/>
              </w:rPr>
              <w:t>(1)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1,019,110</w:t>
            </w:r>
          </w:p>
        </w:tc>
        <w:tc>
          <w:tcPr>
            <w:tcW w:w="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929,439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1,889,495</w:t>
            </w:r>
          </w:p>
        </w:tc>
        <w:tc>
          <w:tcPr>
            <w:tcW w:w="4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1,709,943</w:t>
            </w:r>
          </w:p>
        </w:tc>
        <w:tc>
          <w:tcPr>
            <w:tcW w:w="0" w:type="dxa"/>
            <w:vAlign w:val="bottom"/>
          </w:tcPr>
          <w:p>
            <w:pPr>
              <w:spacing w:after="0"/>
              <w:rPr>
                <w:sz w:val="1"/>
                <w:szCs w:val="1"/>
                <w:color w:val="auto"/>
              </w:rPr>
            </w:pP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Strategic Brands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79,144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79,811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149,430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145,570</w:t>
            </w:r>
          </w:p>
        </w:tc>
        <w:tc>
          <w:tcPr>
            <w:tcW w:w="0" w:type="dxa"/>
            <w:vAlign w:val="bottom"/>
          </w:tcPr>
          <w:p>
            <w:pPr>
              <w:spacing w:after="0"/>
              <w:rPr>
                <w:sz w:val="1"/>
                <w:szCs w:val="1"/>
                <w:color w:val="auto"/>
              </w:rPr>
            </w:pP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5,791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6,623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Arial" w:cs="Arial" w:eastAsia="Arial" w:hAnsi="Arial"/>
                <w:sz w:val="18"/>
                <w:szCs w:val="18"/>
                <w:color w:val="auto"/>
              </w:rPr>
              <w:t>Corporate and unallocated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1,104,045</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9"/>
              </w:rPr>
              <w:t>1,015,873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2,050,037</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1,866,793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7"/>
          </w:tcPr>
          <w:p>
            <w:pPr>
              <w:jc w:val="center"/>
              <w:ind w:right="180"/>
              <w:spacing w:after="0"/>
              <w:rPr>
                <w:sz w:val="20"/>
                <w:szCs w:val="20"/>
                <w:color w:val="auto"/>
              </w:rPr>
            </w:pPr>
            <w:r>
              <w:rPr>
                <w:rFonts w:ascii="Arial" w:cs="Arial" w:eastAsia="Arial" w:hAnsi="Arial"/>
                <w:sz w:val="18"/>
                <w:szCs w:val="18"/>
                <w:color w:val="auto"/>
                <w:w w:val="91"/>
              </w:rPr>
              <w:t>Three-Months Ended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6"/>
          </w:tcPr>
          <w:p>
            <w:pPr>
              <w:jc w:val="right"/>
              <w:ind w:right="290"/>
              <w:spacing w:after="0"/>
              <w:rPr>
                <w:sz w:val="20"/>
                <w:szCs w:val="20"/>
                <w:color w:val="auto"/>
              </w:rPr>
            </w:pPr>
            <w:r>
              <w:rPr>
                <w:rFonts w:ascii="Arial" w:cs="Arial" w:eastAsia="Arial" w:hAnsi="Arial"/>
                <w:sz w:val="18"/>
                <w:szCs w:val="18"/>
                <w:color w:val="auto"/>
              </w:rPr>
              <w:t>Six-Months Ended</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7"/>
          </w:tcPr>
          <w:p>
            <w:pPr>
              <w:jc w:val="right"/>
              <w:ind w:right="78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2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20"/>
              <w:spacing w:after="0" w:line="216" w:lineRule="exact"/>
              <w:rPr>
                <w:sz w:val="20"/>
                <w:szCs w:val="20"/>
                <w:color w:val="auto"/>
              </w:rPr>
            </w:pPr>
            <w:r>
              <w:rPr>
                <w:rFonts w:ascii="Arial" w:cs="Arial" w:eastAsia="Arial" w:hAnsi="Arial"/>
                <w:sz w:val="17"/>
                <w:szCs w:val="17"/>
                <w:color w:val="auto"/>
              </w:rPr>
              <w:t>Monster Energy® Drinks</w:t>
            </w:r>
            <w:r>
              <w:rPr>
                <w:rFonts w:ascii="Arial" w:cs="Arial" w:eastAsia="Arial" w:hAnsi="Arial"/>
                <w:sz w:val="25"/>
                <w:szCs w:val="25"/>
                <w:color w:val="auto"/>
                <w:vertAlign w:val="superscript"/>
              </w:rPr>
              <w:t>(1) (2)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410,804</w:t>
            </w:r>
          </w:p>
        </w:tc>
        <w:tc>
          <w:tcPr>
            <w:tcW w:w="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373,103</w:t>
            </w:r>
          </w:p>
        </w:tc>
        <w:tc>
          <w:tcPr>
            <w:tcW w:w="80" w:type="dxa"/>
            <w:vAlign w:val="bottom"/>
          </w:tcPr>
          <w:p>
            <w:pPr>
              <w:spacing w:after="0"/>
              <w:rPr>
                <w:sz w:val="18"/>
                <w:szCs w:val="18"/>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753,803</w:t>
            </w:r>
          </w:p>
        </w:tc>
        <w:tc>
          <w:tcPr>
            <w:tcW w:w="40" w:type="dxa"/>
            <w:vAlign w:val="bottom"/>
          </w:tcPr>
          <w:p>
            <w:pPr>
              <w:spacing w:after="0"/>
              <w:rPr>
                <w:sz w:val="18"/>
                <w:szCs w:val="18"/>
                <w:color w:val="auto"/>
              </w:rPr>
            </w:pP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674,805</w:t>
            </w:r>
          </w:p>
        </w:tc>
        <w:tc>
          <w:tcPr>
            <w:tcW w:w="0" w:type="dxa"/>
            <w:vAlign w:val="bottom"/>
          </w:tcPr>
          <w:p>
            <w:pPr>
              <w:spacing w:after="0"/>
              <w:rPr>
                <w:sz w:val="1"/>
                <w:szCs w:val="1"/>
                <w:color w:val="auto"/>
              </w:rPr>
            </w:pP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Strategic Brands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95,656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93,393</w:t>
            </w:r>
          </w:p>
        </w:tc>
        <w:tc>
          <w:tcPr>
            <w:tcW w:w="0" w:type="dxa"/>
            <w:vAlign w:val="bottom"/>
          </w:tcPr>
          <w:p>
            <w:pPr>
              <w:spacing w:after="0"/>
              <w:rPr>
                <w:sz w:val="1"/>
                <w:szCs w:val="1"/>
                <w:color w:val="auto"/>
              </w:rPr>
            </w:pPr>
          </w:p>
        </w:tc>
      </w:tr>
      <w:tr>
        <w:trPr>
          <w:trHeight w:val="216"/>
        </w:trPr>
        <w:tc>
          <w:tcPr>
            <w:tcW w:w="2920" w:type="dxa"/>
            <w:vAlign w:val="bottom"/>
          </w:tcPr>
          <w:p>
            <w:pPr>
              <w:ind w:left="1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Arial" w:cs="Arial" w:eastAsia="Arial" w:hAnsi="Arial"/>
                <w:sz w:val="18"/>
                <w:szCs w:val="18"/>
                <w:color w:val="auto"/>
              </w:rPr>
              <w:t>Corporate and unallocated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(83,008)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(68,099)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(161,028)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(133,460)</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357,621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690,452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637,535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jc w:val="right"/>
              <w:ind w:right="400"/>
              <w:spacing w:after="0"/>
              <w:rPr>
                <w:sz w:val="20"/>
                <w:szCs w:val="20"/>
                <w:color w:val="auto"/>
              </w:rPr>
            </w:pPr>
            <w:r>
              <w:rPr>
                <w:rFonts w:ascii="Arial" w:cs="Arial" w:eastAsia="Arial" w:hAnsi="Arial"/>
                <w:sz w:val="18"/>
                <w:szCs w:val="18"/>
                <w:color w:val="auto"/>
                <w:w w:val="92"/>
              </w:rPr>
              <w:t>Three-Months Ended</w:t>
            </w:r>
          </w:p>
        </w:tc>
        <w:tc>
          <w:tcPr>
            <w:tcW w:w="180" w:type="dxa"/>
            <w:vAlign w:val="bottom"/>
          </w:tcPr>
          <w:p>
            <w:pPr>
              <w:spacing w:after="0"/>
              <w:rPr>
                <w:sz w:val="18"/>
                <w:szCs w:val="18"/>
                <w:color w:val="auto"/>
              </w:rPr>
            </w:pPr>
          </w:p>
        </w:tc>
        <w:tc>
          <w:tcPr>
            <w:tcW w:w="1920" w:type="dxa"/>
            <w:vAlign w:val="bottom"/>
            <w:gridSpan w:val="4"/>
          </w:tcPr>
          <w:p>
            <w:pPr>
              <w:jc w:val="right"/>
              <w:ind w:right="270"/>
              <w:spacing w:after="0"/>
              <w:rPr>
                <w:sz w:val="20"/>
                <w:szCs w:val="20"/>
                <w:color w:val="auto"/>
              </w:rPr>
            </w:pPr>
            <w:r>
              <w:rPr>
                <w:rFonts w:ascii="Arial" w:cs="Arial" w:eastAsia="Arial" w:hAnsi="Arial"/>
                <w:sz w:val="18"/>
                <w:szCs w:val="18"/>
                <w:color w:val="auto"/>
              </w:rPr>
              <w:t>Six-Months Ended</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0" w:type="dxa"/>
            <w:vAlign w:val="bottom"/>
            <w:vMerge w:val="restart"/>
          </w:tcPr>
          <w:p>
            <w:pPr>
              <w:spacing w:after="0"/>
              <w:rPr>
                <w:sz w:val="20"/>
                <w:szCs w:val="20"/>
                <w:color w:val="auto"/>
              </w:rPr>
            </w:pPr>
            <w:r>
              <w:rPr>
                <w:rFonts w:ascii="Arial" w:cs="Arial" w:eastAsia="Arial" w:hAnsi="Arial"/>
                <w:sz w:val="18"/>
                <w:szCs w:val="18"/>
                <w:color w:val="auto"/>
              </w:rPr>
              <w:t>Income before tax:</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2018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3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line="216" w:lineRule="exact"/>
              <w:rPr>
                <w:sz w:val="20"/>
                <w:szCs w:val="20"/>
                <w:color w:val="auto"/>
              </w:rPr>
            </w:pPr>
            <w:r>
              <w:rPr>
                <w:rFonts w:ascii="Arial" w:cs="Arial" w:eastAsia="Arial" w:hAnsi="Arial"/>
                <w:sz w:val="17"/>
                <w:szCs w:val="17"/>
                <w:color w:val="auto"/>
              </w:rPr>
              <w:t>Monster Energy® Drinks</w:t>
            </w:r>
            <w:r>
              <w:rPr>
                <w:rFonts w:ascii="Arial" w:cs="Arial" w:eastAsia="Arial" w:hAnsi="Arial"/>
                <w:sz w:val="25"/>
                <w:szCs w:val="25"/>
                <w:color w:val="auto"/>
                <w:vertAlign w:val="superscript"/>
              </w:rPr>
              <w:t>(1) (2)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410,897</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373,342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753,913</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675,305</w:t>
            </w: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Strategic Brands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50,833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93,416</w:t>
            </w:r>
          </w:p>
        </w:tc>
        <w:tc>
          <w:tcPr>
            <w:tcW w:w="0" w:type="dxa"/>
            <w:vAlign w:val="bottom"/>
          </w:tcPr>
          <w:p>
            <w:pPr>
              <w:spacing w:after="0"/>
              <w:rPr>
                <w:sz w:val="1"/>
                <w:szCs w:val="1"/>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Corporate and unallocated</w:t>
            </w:r>
          </w:p>
        </w:tc>
        <w:tc>
          <w:tcPr>
            <w:tcW w:w="1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(80,133)</w:t>
            </w:r>
          </w:p>
        </w:tc>
        <w:tc>
          <w:tcPr>
            <w:tcW w:w="2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(67,904)</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(155,424)</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(131,702)</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381,963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358,097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696,166</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639,816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680" w:hanging="320"/>
        <w:spacing w:after="0" w:line="238" w:lineRule="auto"/>
        <w:tabs>
          <w:tab w:leader="none" w:pos="68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$10.6 million and $11.0 million for the three-months ended June 30, 2019 and 2018, respectively, related to the recognition of deferred revenue. Includes $24.8 million and $22.2 million for the six-months ended June 30, 2019 and 2018, respectively, related to the recognition of deferred revenue.</w:t>
      </w:r>
    </w:p>
    <w:p>
      <w:pPr>
        <w:spacing w:after="0" w:line="115" w:lineRule="exact"/>
        <w:rPr>
          <w:rFonts w:ascii="Arial" w:cs="Arial" w:eastAsia="Arial" w:hAnsi="Arial"/>
          <w:sz w:val="14"/>
          <w:szCs w:val="14"/>
          <w:i w:val="1"/>
          <w:iCs w:val="1"/>
          <w:color w:val="auto"/>
        </w:rPr>
      </w:pPr>
    </w:p>
    <w:p>
      <w:pPr>
        <w:ind w:left="680" w:right="20" w:hanging="320"/>
        <w:spacing w:after="0" w:line="291" w:lineRule="auto"/>
        <w:tabs>
          <w:tab w:leader="none" w:pos="68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Includes $0.3 million and $5.5 million for the three-months ended June 30, 2019 and 2018, respectively, related to distributor termination costs. Includes $11.0 million and $12.5 million for the six-months ended June 30, 2019 and 2018, respectively, related to distributor termination costs.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80"/>
              <w:spacing w:after="0"/>
              <w:rPr>
                <w:sz w:val="20"/>
                <w:szCs w:val="20"/>
                <w:color w:val="auto"/>
              </w:rPr>
            </w:pPr>
            <w:r>
              <w:rPr>
                <w:rFonts w:ascii="Arial" w:cs="Arial" w:eastAsia="Arial" w:hAnsi="Arial"/>
                <w:sz w:val="18"/>
                <w:szCs w:val="18"/>
                <w:color w:val="auto"/>
              </w:rPr>
              <w:t>Three-Months Ended</w:t>
            </w:r>
          </w:p>
        </w:tc>
        <w:tc>
          <w:tcPr>
            <w:tcW w:w="180" w:type="dxa"/>
            <w:vAlign w:val="bottom"/>
          </w:tcPr>
          <w:p>
            <w:pPr>
              <w:spacing w:after="0"/>
              <w:rPr>
                <w:sz w:val="18"/>
                <w:szCs w:val="18"/>
                <w:color w:val="auto"/>
              </w:rPr>
            </w:pPr>
          </w:p>
        </w:tc>
        <w:tc>
          <w:tcPr>
            <w:tcW w:w="1840" w:type="dxa"/>
            <w:vAlign w:val="bottom"/>
            <w:gridSpan w:val="4"/>
          </w:tcPr>
          <w:p>
            <w:pPr>
              <w:jc w:val="right"/>
              <w:ind w:right="230"/>
              <w:spacing w:after="0"/>
              <w:rPr>
                <w:sz w:val="20"/>
                <w:szCs w:val="20"/>
                <w:color w:val="auto"/>
              </w:rPr>
            </w:pPr>
            <w:r>
              <w:rPr>
                <w:rFonts w:ascii="Arial" w:cs="Arial" w:eastAsia="Arial" w:hAnsi="Arial"/>
                <w:sz w:val="18"/>
                <w:szCs w:val="18"/>
                <w:color w:val="auto"/>
              </w:rPr>
              <w:t>Six-Months Ended</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80" w:type="dxa"/>
            <w:vAlign w:val="bottom"/>
            <w:vMerge w:val="restart"/>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195"/>
        </w:trPr>
        <w:tc>
          <w:tcPr>
            <w:tcW w:w="2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Monster Energy® Drinks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10,332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8,960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20,129</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17,770</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Strategic Brands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6"/>
        </w:trPr>
        <w:tc>
          <w:tcPr>
            <w:tcW w:w="2980" w:type="dxa"/>
            <w:vAlign w:val="bottom"/>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2,326</w:t>
            </w:r>
          </w:p>
        </w:tc>
        <w:tc>
          <w:tcPr>
            <w:tcW w:w="0" w:type="dxa"/>
            <w:vAlign w:val="bottom"/>
          </w:tcPr>
          <w:p>
            <w:pPr>
              <w:spacing w:after="0"/>
              <w:rPr>
                <w:sz w:val="1"/>
                <w:szCs w:val="1"/>
                <w:color w:val="auto"/>
              </w:rPr>
            </w:pPr>
          </w:p>
        </w:tc>
      </w:tr>
      <w:tr>
        <w:trPr>
          <w:trHeight w:val="230"/>
        </w:trPr>
        <w:tc>
          <w:tcPr>
            <w:tcW w:w="2980" w:type="dxa"/>
            <w:vAlign w:val="bottom"/>
          </w:tcPr>
          <w:p>
            <w:pPr>
              <w:ind w:left="120"/>
              <w:spacing w:after="0"/>
              <w:rPr>
                <w:sz w:val="20"/>
                <w:szCs w:val="20"/>
                <w:color w:val="auto"/>
              </w:rPr>
            </w:pPr>
            <w:r>
              <w:rPr>
                <w:rFonts w:ascii="Arial" w:cs="Arial" w:eastAsia="Arial" w:hAnsi="Arial"/>
                <w:sz w:val="18"/>
                <w:szCs w:val="18"/>
                <w:color w:val="auto"/>
              </w:rPr>
              <w:t>Corporate and unallocated</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15,629</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30,499</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Corporate and unallocated expenses for the three-months ended June 30, 2019 include $50.5 million of payroll costs, of which $15.6 million was attributable to stock-based compensation expenses (see Note 15 "Stock-Based Compensation"), as well as $18.4 million attributable to professional service expenses, including accounting and legal costs, and $14.1 million of other operating expenses. Corporate and unallocated expenses for the three-months ended June 30, 2018 include $44.7 million of payroll costs, of which $14.9 million was attributable to stock-based compensation expenses (see Note 15, “Stock-Based Compensation”), as well as $11.8 million attributable to professional service expenses, including accounting and legal costs, and $11.6 million of other operating expenses.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Corporate and unallocated expenses for the six-months ended June 30, 2019 include $100.9 million of payroll costs, of which $30.9 million was attributable to stock-based compensation expenses (see Note 15 "Stock-Based Compensation"), as well as $35.9 million attributable to professional service expenses, including accounting and legal costs, and $24.2 million of other operating expenses. Corporate and unallocated expenses for the six-months ended June 30, 2018 include $87.8 million of payroll costs, of which $28.3 million was attributable to stock-based compensation expenses (see Note 15, "Stock-Based Compensation"), as well as $24.2 million attributable to professional service expenses, including accounting and legal costs, and $21.4 million of other operating expenses.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CCBCC Operations, LLC accounted for approximately 13% of the Company's net sales for both the three-months ended June 30, 2019 and 2018. CCBCC Operations, LLC accounted for approximately 13% of the Company's net sales for both the six-months ended June 30, 2019 and 2018.</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Reyes Coca-Cola Bottling accounted for approximately 11% and 12% of the Company's net sales for the three-months ended June 30, 2019 and 2018, respectively. Reyes Coca-Cola Bottling accounted for approximately 11% and 13% of the Company's net sales for the six-months ended June 30, 2019 and 2018,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Coca-Cola European Partners accounted for approximately 10% and 9% of the Company's net sales for the three-months ended June 30, 2019 and 2018, respectively. Coca-Cola European Partners accounted for approximately 10% of the Company's net sales for both the six-months ended June 30, 2019 and 2018.</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sales to customers outside the United States amounted to $343.3 million and $293.8 million for the three-months ended June 30, 2019 and 2018, respectively. Such sales were approximately 31% and 29% of net sales for the three-months ended June 30, 2019 and 2018, respectively. Net sales to customers outside the United States amounted to $627.3 million and $535.9 million for the six-months ended June 30, 2019 and 2018, respectively. Such sales were approximately 31% and 29% of net sales for the six-months ended June 30, 2019 and 2018, respectively.</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Goodwill and other intangible assets for the Company's reportable segments as of June 30, 2019 and December 31, 2018 are as follows:</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June 30,</w:t>
            </w:r>
          </w:p>
        </w:tc>
        <w:tc>
          <w:tcPr>
            <w:tcW w:w="1040" w:type="dxa"/>
            <w:vAlign w:val="bottom"/>
            <w:gridSpan w:val="2"/>
          </w:tcPr>
          <w:p>
            <w:pPr>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4940" w:type="dxa"/>
            <w:vAlign w:val="bottom"/>
            <w:vMerge w:val="restart"/>
          </w:tcPr>
          <w:p>
            <w:pPr>
              <w:spacing w:after="0"/>
              <w:rPr>
                <w:sz w:val="20"/>
                <w:szCs w:val="20"/>
                <w:color w:val="auto"/>
              </w:rPr>
            </w:pPr>
            <w:r>
              <w:rPr>
                <w:rFonts w:ascii="Arial" w:cs="Arial" w:eastAsia="Arial" w:hAnsi="Arial"/>
                <w:sz w:val="18"/>
                <w:szCs w:val="18"/>
                <w:color w:val="auto"/>
              </w:rPr>
              <w:t>Goodwill and other intangible assets: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4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1,373,608</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1,368,620</w:t>
            </w: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Strategic Brands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987,159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989,944</w:t>
            </w:r>
          </w:p>
        </w:tc>
        <w:tc>
          <w:tcPr>
            <w:tcW w:w="0" w:type="dxa"/>
            <w:vAlign w:val="bottom"/>
          </w:tcPr>
          <w:p>
            <w:pPr>
              <w:spacing w:after="0"/>
              <w:rPr>
                <w:sz w:val="1"/>
                <w:szCs w:val="1"/>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18,957</w:t>
            </w:r>
          </w:p>
        </w:tc>
        <w:tc>
          <w:tcPr>
            <w:tcW w:w="0" w:type="dxa"/>
            <w:vAlign w:val="bottom"/>
          </w:tcPr>
          <w:p>
            <w:pPr>
              <w:spacing w:after="0"/>
              <w:rPr>
                <w:sz w:val="1"/>
                <w:szCs w:val="1"/>
                <w:color w:val="auto"/>
              </w:rPr>
            </w:pPr>
          </w:p>
        </w:tc>
      </w:tr>
      <w:tr>
        <w:trPr>
          <w:trHeight w:val="230"/>
        </w:trPr>
        <w:tc>
          <w:tcPr>
            <w:tcW w:w="4940" w:type="dxa"/>
            <w:vAlign w:val="bottom"/>
          </w:tcPr>
          <w:p>
            <w:pPr>
              <w:ind w:left="100"/>
              <w:spacing w:after="0"/>
              <w:rPr>
                <w:sz w:val="20"/>
                <w:szCs w:val="20"/>
                <w:color w:val="auto"/>
              </w:rPr>
            </w:pPr>
            <w:r>
              <w:rPr>
                <w:rFonts w:ascii="Arial" w:cs="Arial" w:eastAsia="Arial" w:hAnsi="Arial"/>
                <w:sz w:val="18"/>
                <w:szCs w:val="18"/>
                <w:color w:val="auto"/>
              </w:rPr>
              <w:t>Corporate and unallocated</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2,377,453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2,377,521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hanging="63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TCCC controls approximately 18.7% of the voting interests of the Company. The TCCC Subsidiaries, the TCCC Related Parties and the TCCC independent bottlers, purchase and distribute the Company’s products in domestic and certain international markets. The Company also pays TCCC a commission based on certain sales within the TCCC distribution network.</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TCCC commissions, based on sales to the TCCC Subsidiaries and the TCCC Related Parties, were $15.8 million and $13.2 million for the three-months ended June 30, 2019 and 2018, respectively, and are included as a reduction to net sales. TCCC commissions, based on sales to the TCCC Subsidiaries and the TCCC Related Parties, were $27.9 million and $24.5 million for the six-months ended June 30, 2019 and 2018, respectively, and are included as a reduction to net sales.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TCCC commissions, based on sales to TCCC independent bottlers/distributors, were $5.0 million and $4.3 million for the three-months ended June 30, 2019 and 2018, respectively, and are included in operating expenses. TCCC commissions, based on sales to TCCC independent bottlers/distributors, were $8.8 million and $7.5 million for the six-months ended June 30, 2019 and 2018, respectively, and are included in operating expenses.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sales to the TCCC Subsidiaries for the three-months ended June 30, 2019 and 2018 were $21.3 million and $39.6 million, respectively. Net sales to the TCCC Subsidiaries for the six-months ended June 30, 2019 and 2018 were $38.6 million and $74.6 million, respectively. As part of TCCC’s North America refranchising, the territories of certain TCCC Subsidiaries have been transitioned to certain independent TCCC bottlers/distributors and/or TCCC Related Parties. Accordingly, the Company’s net sales classified as sales to the TCCC Subsidiaries significantly decreased for the three- and six-months ended June 30, 2019.</w:t>
      </w:r>
    </w:p>
    <w:p>
      <w:pPr>
        <w:spacing w:after="0" w:line="19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Company also purchases concentrates from TCCC which are then sold to certain of the Company's bottlers/distributors. Concentrate purchases from TCCC were $7.3 million and $11.3 million for the three-months ended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25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7543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June 30, 2019 and 2018, respectively. Concentrate purchases from TCCC were $13.9 million and $14.2 million for the six-months ended June 30, 2019 and 2018, respectively.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TCCC Subsidiaries also contract manufacture certain of the Company’s energy drinks. Such contract manufacturing expenses were $4.4 million and $6.4 million for the three-months ended June 30, 2019 and 2018, respectively. Such contract manufacturing expenses were $8.9 million and $11.8 million for the six-months ended June 30, 2019 and 2018, respectively.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Accounts receivable, accounts payable and accrued promotional allowances related to the TCCC Subsidiaries are as follows at:</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June 30,</w:t>
            </w:r>
          </w:p>
        </w:tc>
        <w:tc>
          <w:tcPr>
            <w:tcW w:w="1100" w:type="dxa"/>
            <w:vAlign w:val="bottom"/>
            <w:gridSpan w:val="3"/>
          </w:tcPr>
          <w:p>
            <w:pPr>
              <w:ind w:left="2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3500" w:type="dxa"/>
            <w:vAlign w:val="bottom"/>
            <w:vMerge w:val="restart"/>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500" w:type="dxa"/>
            <w:vAlign w:val="bottom"/>
            <w:vMerge w:val="continue"/>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52,582</w:t>
            </w:r>
          </w:p>
        </w:tc>
        <w:tc>
          <w:tcPr>
            <w:tcW w:w="220" w:type="dxa"/>
            <w:vAlign w:val="bottom"/>
          </w:tcPr>
          <w:p>
            <w:pPr>
              <w:spacing w:after="0"/>
              <w:rPr>
                <w:sz w:val="16"/>
                <w:szCs w:val="16"/>
                <w:color w:val="auto"/>
              </w:rPr>
            </w:pPr>
          </w:p>
        </w:tc>
        <w:tc>
          <w:tcPr>
            <w:tcW w:w="240" w:type="dxa"/>
            <w:vAlign w:val="bottom"/>
          </w:tcPr>
          <w:p>
            <w:pPr>
              <w:ind w:left="2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25,312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(39,187)</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(54,430)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Accrued promotional allowances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(4,372)</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One director of the Company and his family, and one director's family, are principal owners of a company that provides promotional materials to the Company. Expenses incurred with such company in connection with promotional materials purchased during the three-months ended June 30, 2019 and 2018 were $0.3 million and $0.6 million, respectively. Expenses incurred with such company in connection with promotional materials purchased during the six-months ended June 30, 2019 and 2018 were $0.6 million and $1.4 million, respectively.</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and is included in other assets (non-current) in the accompanying condensed consolidated balance sheet at December 31, 2018. During the three-months ended June 30, 2019, the Company made no additional capital contributions and recorded an equity loss of $0.02 million. During the six-months ended June 30, 2019, the Company made an additional $0.05 million capital contribution and recorded an equity loss of $0.04 million. As of June 30, 2019, the Company’s equity investment is $1.9 million and is included in other assets (non-current) in the accompanying condensed consolidated balance sheet at June 30, 2019.</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develop, market, sell and distribute energy drink beverages and concentrates for energy drink beverages, primarily under the following brand names: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Monster Energy®</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NOS®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Monster Energy Ultra®</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Full Throttle®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Monster Rehab®</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Burn®</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Monster MAXX®</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Mother®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Java Monster®</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Nalu®</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Muscle Monster®</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Ultra Energy®</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Espresso Monster®</w:t>
            </w:r>
          </w:p>
        </w:tc>
        <w:tc>
          <w:tcPr>
            <w:tcW w:w="3940" w:type="dxa"/>
            <w:vAlign w:val="bottom"/>
            <w:gridSpan w:val="2"/>
          </w:tcPr>
          <w:p>
            <w:pPr>
              <w:ind w:left="1200"/>
              <w:spacing w:after="0"/>
              <w:rPr>
                <w:sz w:val="20"/>
                <w:szCs w:val="20"/>
                <w:color w:val="auto"/>
              </w:rPr>
            </w:pPr>
            <w:r>
              <w:rPr>
                <w:rFonts w:ascii="Arial" w:cs="Arial" w:eastAsia="Arial" w:hAnsi="Arial"/>
                <w:sz w:val="18"/>
                <w:szCs w:val="18"/>
                <w:color w:val="auto"/>
                <w:w w:val="95"/>
              </w:rPr>
              <w:t>●  Play® and Power Play(stylized)®</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Punch Monster®</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Relentless®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Juice Monster®</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BPM®</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Monster Hydro®</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BU®</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Caffé Monster®</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Gladiator®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140" w:type="dxa"/>
            <w:vAlign w:val="bottom"/>
          </w:tcPr>
          <w:p>
            <w:pPr>
              <w:ind w:left="100"/>
              <w:spacing w:after="0"/>
              <w:rPr>
                <w:sz w:val="20"/>
                <w:szCs w:val="20"/>
                <w:color w:val="auto"/>
              </w:rPr>
            </w:pPr>
            <w:r>
              <w:rPr>
                <w:rFonts w:ascii="Arial" w:cs="Arial" w:eastAsia="Arial" w:hAnsi="Arial"/>
                <w:sz w:val="18"/>
                <w:szCs w:val="18"/>
                <w:color w:val="auto"/>
              </w:rPr>
              <w:t>Predator®</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Samurai®</w:t>
            </w:r>
          </w:p>
        </w:tc>
      </w:tr>
      <w:tr>
        <w:trPr>
          <w:trHeight w:val="356"/>
        </w:trPr>
        <w:tc>
          <w:tcPr>
            <w:tcW w:w="3340" w:type="dxa"/>
            <w:vAlign w:val="bottom"/>
            <w:gridSpan w:val="2"/>
          </w:tcPr>
          <w:p>
            <w:pPr>
              <w:spacing w:after="0"/>
              <w:rPr>
                <w:sz w:val="20"/>
                <w:szCs w:val="20"/>
                <w:color w:val="auto"/>
              </w:rPr>
            </w:pPr>
            <w:r>
              <w:rPr>
                <w:rFonts w:ascii="Arial" w:cs="Arial" w:eastAsia="Arial" w:hAnsi="Arial"/>
                <w:sz w:val="18"/>
                <w:szCs w:val="18"/>
                <w:color w:val="auto"/>
              </w:rPr>
              <w:t>●  Reign Total Body Fuel</w:t>
            </w:r>
            <w:r>
              <w:rPr>
                <w:rFonts w:ascii="Arial" w:cs="Arial" w:eastAsia="Arial" w:hAnsi="Arial"/>
                <w:sz w:val="27"/>
                <w:szCs w:val="27"/>
                <w:color w:val="auto"/>
                <w:vertAlign w:val="superscript"/>
              </w:rPr>
              <w:t>TM</w:t>
            </w:r>
          </w:p>
        </w:tc>
        <w:tc>
          <w:tcPr>
            <w:tcW w:w="1400" w:type="dxa"/>
            <w:vAlign w:val="bottom"/>
          </w:tcPr>
          <w:p>
            <w:pPr>
              <w:ind w:left="1200"/>
              <w:spacing w:after="0"/>
              <w:rPr>
                <w:sz w:val="20"/>
                <w:szCs w:val="20"/>
                <w:color w:val="auto"/>
              </w:rPr>
            </w:pPr>
            <w:r>
              <w:rPr>
                <w:rFonts w:ascii="Arial" w:cs="Arial" w:eastAsia="Arial" w:hAnsi="Arial"/>
                <w:sz w:val="18"/>
                <w:szCs w:val="18"/>
                <w:color w:val="auto"/>
              </w:rPr>
              <w:t>●</w:t>
            </w:r>
          </w:p>
        </w:tc>
        <w:tc>
          <w:tcPr>
            <w:tcW w:w="2540" w:type="dxa"/>
            <w:vAlign w:val="bottom"/>
          </w:tcPr>
          <w:p>
            <w:pPr>
              <w:ind w:left="80"/>
              <w:spacing w:after="0"/>
              <w:rPr>
                <w:sz w:val="20"/>
                <w:szCs w:val="20"/>
                <w:color w:val="auto"/>
              </w:rPr>
            </w:pPr>
            <w:r>
              <w:rPr>
                <w:rFonts w:ascii="Arial" w:cs="Arial" w:eastAsia="Arial" w:hAnsi="Arial"/>
                <w:sz w:val="18"/>
                <w:szCs w:val="18"/>
                <w:color w:val="auto"/>
              </w:rPr>
              <w:t>Live+</w:t>
            </w:r>
            <w:r>
              <w:rPr>
                <w:rFonts w:ascii="Arial" w:cs="Arial" w:eastAsia="Arial" w:hAnsi="Arial"/>
                <w:sz w:val="27"/>
                <w:szCs w:val="27"/>
                <w:color w:val="auto"/>
                <w:vertAlign w:val="superscript"/>
              </w:rPr>
              <w:t>TM</w:t>
            </w:r>
          </w:p>
        </w:tc>
      </w:tr>
    </w:tbl>
    <w:p>
      <w:pPr>
        <w:spacing w:after="0" w:line="7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We have three operating and reportable segments, (i) Monster Energy® Drinks segment (“Monster Energy® Drinks”), which is primarily comprised of our Monster Energy® drinks and Reign Total Body Fuel</w:t>
      </w:r>
      <w:r>
        <w:rPr>
          <w:rFonts w:ascii="Arial" w:cs="Arial" w:eastAsia="Arial" w:hAnsi="Arial"/>
          <w:sz w:val="26"/>
          <w:szCs w:val="26"/>
          <w:color w:val="auto"/>
          <w:vertAlign w:val="superscript"/>
        </w:rPr>
        <w:t>TM</w:t>
      </w:r>
      <w:r>
        <w:rPr>
          <w:rFonts w:ascii="Arial" w:cs="Arial" w:eastAsia="Arial" w:hAnsi="Arial"/>
          <w:sz w:val="17"/>
          <w:szCs w:val="17"/>
          <w:color w:val="auto"/>
        </w:rPr>
        <w:t xml:space="preserve"> high performance energy drinks, (ii) Strategic Brands segment (“Strategic Brands”), which is comprised primarily of the various energy drink brands acquired from The Coca-Cola Company (“TCCC”) in 2015 as well as our affordable energy brands, and (iii) Other segment (“Other”), which is comprised of certain products sold by American Fruits and Flavors LLC, a wholly-owned subsidiary, to independent third-party customers (the “AFF Third-Party Products”).</w:t>
      </w:r>
    </w:p>
    <w:p>
      <w:pPr>
        <w:spacing w:after="0" w:line="19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three-months ended June 30, 2019, we continued to expand our existing energy drink portfolio and further develop our distribution markets. During the three-months ended June 30, 2019, we introduced the following products:</w:t>
      </w:r>
    </w:p>
    <w:p>
      <w:pPr>
        <w:spacing w:after="0" w:line="181" w:lineRule="exact"/>
        <w:rPr>
          <w:sz w:val="20"/>
          <w:szCs w:val="20"/>
          <w:color w:val="auto"/>
        </w:rPr>
      </w:pPr>
    </w:p>
    <w:p>
      <w:pPr>
        <w:ind w:left="680" w:hanging="320"/>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Nalu Refresh®</w:t>
      </w:r>
    </w:p>
    <w:p>
      <w:pPr>
        <w:spacing w:after="0" w:line="23" w:lineRule="exact"/>
        <w:rPr>
          <w:rFonts w:ascii="Arial" w:cs="Arial" w:eastAsia="Arial" w:hAnsi="Arial"/>
          <w:sz w:val="18"/>
          <w:szCs w:val="18"/>
          <w:color w:val="auto"/>
        </w:rPr>
      </w:pPr>
    </w:p>
    <w:p>
      <w:pPr>
        <w:ind w:left="680" w:hanging="320"/>
        <w:spacing w:after="0"/>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Predator® Energy Mean Green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normal course of business, we discontinue certain products and/or product lines. Those products or product lines discontinued in the three-months ended June 30, 2019, either individually or in aggregate, did not have a material adverse impact on our financial position, results of operations or liquidity.</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net sales of $1.10 billion for the three-months ended June 30, 2019 represented record sales for our second fiscal quarter. Net sales for the three-months ended June 30, 2019 were positively impacted by approximately $31.3 million as a result of a price increase effective from November 1, 2018 in the United States and effective from February 1, 2019 in Canada, on certain of our Monster Energy® brand energy drinks. Net changes in foreign currency exchange rates had an unfavorable impact on net sales of approximately $25.9 million for the three-months ended June 30, 2019.</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vast majority of our net sales are derived from our Monster Energy® Drinks segment. Net sales of our Monster Energy® Drinks segment were $1.02 billion for the three-months ended June 30, 2019. Net sales of our Strategic Brands segment were $79.1 million for the three-months ended June 30, 2019. Our Monster Energy® Drinks segment represented 92.3% and 91.5% of our net sales for the three-months ended June 30, 2019 and 2018, respectively. Our Strategic Brands segment represented 7.2% and 7.9% of our net sales for the three-months ended June 30, 2019 and 2018, respectively. Our Other segment represented 0.5% and 0.6% of our net sales for the three-months ended June 30, 2019 and 2018, respectively.</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growth strategy includes expanding our international business. Net sales to customers outside the United States amounted to $343.3 million and $293.8 million for the three-months ended June 30, 2019 and 2018, respectively. Such sales were approximately 31% and 29% of net sales for the three-months ended June 30, 2019 and 2018, respectively.</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customers are primarily full service beverage bottlers/distributors, retail grocery and specialty chains, wholesalers, club stores, mass merchandisers, convenience chains, drug stores, foodservice customers and the military. Percentages of our gross sales to our various customer types for the three- and six-months ended June 30, 2019 and 2018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840" w:type="dxa"/>
            <w:vAlign w:val="bottom"/>
            <w:gridSpan w:val="5"/>
          </w:tcPr>
          <w:p>
            <w:pPr>
              <w:jc w:val="right"/>
              <w:ind w:right="170"/>
              <w:spacing w:after="0"/>
              <w:rPr>
                <w:sz w:val="20"/>
                <w:szCs w:val="20"/>
                <w:color w:val="auto"/>
              </w:rPr>
            </w:pPr>
            <w:r>
              <w:rPr>
                <w:rFonts w:ascii="Arial" w:cs="Arial" w:eastAsia="Arial" w:hAnsi="Arial"/>
                <w:sz w:val="18"/>
                <w:szCs w:val="18"/>
                <w:color w:val="auto"/>
                <w:w w:val="92"/>
              </w:rPr>
              <w:t>Three-Months Ended</w:t>
            </w:r>
          </w:p>
        </w:tc>
        <w:tc>
          <w:tcPr>
            <w:tcW w:w="1620" w:type="dxa"/>
            <w:vAlign w:val="bottom"/>
            <w:gridSpan w:val="4"/>
          </w:tcPr>
          <w:p>
            <w:pPr>
              <w:jc w:val="right"/>
              <w:ind w:right="110"/>
              <w:spacing w:after="0"/>
              <w:rPr>
                <w:sz w:val="20"/>
                <w:szCs w:val="20"/>
                <w:color w:val="auto"/>
              </w:rPr>
            </w:pPr>
            <w:r>
              <w:rPr>
                <w:rFonts w:ascii="Arial" w:cs="Arial" w:eastAsia="Arial" w:hAnsi="Arial"/>
                <w:sz w:val="18"/>
                <w:szCs w:val="18"/>
                <w:color w:val="auto"/>
                <w:w w:val="95"/>
              </w:rPr>
              <w:t>Six-Months Ended</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w w:val="83"/>
              </w:rPr>
              <w:t>June 30,</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4"/>
          </w:tcPr>
          <w:p>
            <w:pPr>
              <w:jc w:val="right"/>
              <w:ind w:right="51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10"/>
        </w:trPr>
        <w:tc>
          <w:tcPr>
            <w:tcW w:w="5580" w:type="dxa"/>
            <w:vAlign w:val="bottom"/>
            <w:vMerge w:val="restart"/>
          </w:tcPr>
          <w:p>
            <w:pPr>
              <w:spacing w:after="0"/>
              <w:rPr>
                <w:sz w:val="20"/>
                <w:szCs w:val="20"/>
                <w:color w:val="auto"/>
              </w:rPr>
            </w:pPr>
            <w:r>
              <w:rPr>
                <w:rFonts w:ascii="Arial" w:cs="Arial" w:eastAsia="Arial" w:hAnsi="Arial"/>
                <w:sz w:val="18"/>
                <w:szCs w:val="18"/>
                <w:color w:val="auto"/>
              </w:rPr>
              <w:t>U.S. full service bottlers/distributors</w:t>
            </w: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4"/>
              </w:rPr>
              <w:t>2018</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5"/>
        </w:trPr>
        <w:tc>
          <w:tcPr>
            <w:tcW w:w="5580" w:type="dxa"/>
            <w:vAlign w:val="bottom"/>
            <w:vMerge w:val="continue"/>
          </w:tcPr>
          <w:p>
            <w:pPr>
              <w:spacing w:after="0"/>
              <w:rPr>
                <w:sz w:val="16"/>
                <w:szCs w:val="16"/>
                <w:color w:val="auto"/>
              </w:rPr>
            </w:pP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58</w:t>
            </w:r>
          </w:p>
        </w:tc>
        <w:tc>
          <w:tcPr>
            <w:tcW w:w="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61</w:t>
            </w:r>
          </w:p>
        </w:tc>
        <w:tc>
          <w:tcPr>
            <w:tcW w:w="240" w:type="dxa"/>
            <w:vAlign w:val="bottom"/>
            <w:vMerge w:val="continue"/>
          </w:tcPr>
          <w:p>
            <w:pPr>
              <w:spacing w:after="0"/>
              <w:rPr>
                <w:sz w:val="16"/>
                <w:szCs w:val="16"/>
                <w:color w:val="auto"/>
              </w:rPr>
            </w:pP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58</w:t>
            </w:r>
          </w:p>
        </w:tc>
        <w:tc>
          <w:tcPr>
            <w:tcW w:w="240" w:type="dxa"/>
            <w:vAlign w:val="bottom"/>
            <w:vMerge w:val="continue"/>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61</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International full service bottlers/distributors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Club stores and mass merchandisers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Retail grocery, specialty chains and wholesalers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customers include Coca-Cola Refreshments USA, Inc. (until October 2017), Coca-Cola Refreshments Canada Company (until September 27, 2018), Coca-Cola Canada Bottling Limited (from September 28, 2018),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European Partners, Coca-Cola Hellenic, Coca-Cola FEMSA, Coca-Cola Amatil, Swire Coca-Cola (China), COFCO Coca-Cola, Coca-Cola Beverages Africa, Coca-Cola İçecek and certain other TCCC network bottlers, Asahi Soft Drinks, Co., Ltd., Kalil Bottling Group (until March 5, 2019), Wal-Mart, Inc. (including Sam’s Club), Costco Wholesale Corporation and Big Geyser, Inc. (until April 5, 2019). A decision by any large customer to decrease amounts purchased from us or to cease carrying our products could have a material negative effect on our financial condition and consolidated results of operations.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Coca-Cola Consolidated, Inc. accounted for approximately 13% of our net sales for both the three-months ended June 30, 2019 and 2018. Coca-Cola Consolidated, Inc. accounted for approximately 13% of our net sales for both the six-months ended June 30, 2019 and 2018.</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Reyes Coca-Cola Bottling, LLC accounted for approximately 11% and 12% of our net sales for the three-months ended June 30, 2019 and 2018, respectively. Reyes Coca-Cola Bottling, LLC accounted for approximately 11% and 13% of our net sales for the six-months ended June 30, 2019 and 2018, respectively.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Coca-Cola European Partners accounted for approximately 10% and 9% of our net sales for the three-months ended June 30, 2019 and 2018, respectively. Coca-Cola European Partners accounted for approximately 10% of our net sales for both the six-months ended June 30, 2019 and 2018.</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key statistics for the three- and six-months ended June 30, 2019 and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188"/>
              <w:spacing w:after="0"/>
              <w:rPr>
                <w:sz w:val="20"/>
                <w:szCs w:val="20"/>
                <w:color w:val="auto"/>
              </w:rPr>
            </w:pPr>
            <w:r>
              <w:rPr>
                <w:rFonts w:ascii="Arial" w:cs="Arial" w:eastAsia="Arial" w:hAnsi="Arial"/>
                <w:sz w:val="14"/>
                <w:szCs w:val="14"/>
                <w:color w:val="auto"/>
              </w:rPr>
              <w:t>Three-Months Ended</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Percentage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248"/>
              <w:spacing w:after="0"/>
              <w:rPr>
                <w:sz w:val="20"/>
                <w:szCs w:val="20"/>
                <w:color w:val="auto"/>
              </w:rPr>
            </w:pPr>
            <w:r>
              <w:rPr>
                <w:rFonts w:ascii="Arial" w:cs="Arial" w:eastAsia="Arial" w:hAnsi="Arial"/>
                <w:sz w:val="14"/>
                <w:szCs w:val="14"/>
                <w:color w:val="auto"/>
              </w:rPr>
              <w:t>Six-Months Ended</w:t>
            </w: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6"/>
              </w:rPr>
              <w:t>Percentage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0" w:type="dxa"/>
            <w:vAlign w:val="bottom"/>
            <w:vMerge w:val="restart"/>
          </w:tcPr>
          <w:p>
            <w:pPr>
              <w:spacing w:after="0"/>
              <w:rPr>
                <w:sz w:val="20"/>
                <w:szCs w:val="20"/>
                <w:color w:val="auto"/>
              </w:rPr>
            </w:pPr>
            <w:r>
              <w:rPr>
                <w:rFonts w:ascii="Arial" w:cs="Arial" w:eastAsia="Arial" w:hAnsi="Arial"/>
                <w:sz w:val="14"/>
                <w:szCs w:val="14"/>
                <w:color w:val="auto"/>
              </w:rPr>
              <w:t>Net sales</w:t>
            </w:r>
            <w:r>
              <w:rPr>
                <w:rFonts w:ascii="Arial" w:cs="Arial" w:eastAsia="Arial" w:hAnsi="Arial"/>
                <w:sz w:val="10"/>
                <w:szCs w:val="10"/>
                <w:color w:val="auto"/>
              </w:rPr>
              <w:t>1</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2019</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2018</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19 vs. 18</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2019</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2018</w:t>
            </w:r>
          </w:p>
        </w:tc>
        <w:tc>
          <w:tcPr>
            <w:tcW w:w="200" w:type="dxa"/>
            <w:vAlign w:val="bottom"/>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19 vs. 18</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3600" w:type="dxa"/>
            <w:vAlign w:val="bottom"/>
            <w:vMerge w:val="continue"/>
          </w:tcPr>
          <w:p>
            <w:pPr>
              <w:spacing w:after="0"/>
              <w:rPr>
                <w:sz w:val="10"/>
                <w:szCs w:val="10"/>
                <w:color w:val="auto"/>
              </w:rPr>
            </w:pPr>
          </w:p>
        </w:tc>
        <w:tc>
          <w:tcPr>
            <w:tcW w:w="10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w w:val="96"/>
              </w:rPr>
              <w:t>1,104,045</w:t>
            </w:r>
          </w:p>
        </w:tc>
        <w:tc>
          <w:tcPr>
            <w:tcW w:w="200" w:type="dxa"/>
            <w:vAlign w:val="bottom"/>
          </w:tcPr>
          <w:p>
            <w:pPr>
              <w:spacing w:after="0"/>
              <w:rPr>
                <w:sz w:val="10"/>
                <w:szCs w:val="10"/>
                <w:color w:val="auto"/>
              </w:rPr>
            </w:pPr>
          </w:p>
        </w:tc>
        <w:tc>
          <w:tcPr>
            <w:tcW w:w="14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w w:val="89"/>
              </w:rPr>
              <w:t>1,015,873</w:t>
            </w:r>
          </w:p>
        </w:tc>
        <w:tc>
          <w:tcPr>
            <w:tcW w:w="20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8.7</w:t>
            </w:r>
          </w:p>
        </w:tc>
        <w:tc>
          <w:tcPr>
            <w:tcW w:w="160" w:type="dxa"/>
            <w:vAlign w:val="bottom"/>
            <w:vMerge w:val="continue"/>
          </w:tcPr>
          <w:p>
            <w:pPr>
              <w:spacing w:after="0"/>
              <w:rPr>
                <w:sz w:val="10"/>
                <w:szCs w:val="10"/>
                <w:color w:val="auto"/>
              </w:rPr>
            </w:pPr>
          </w:p>
        </w:tc>
        <w:tc>
          <w:tcPr>
            <w:tcW w:w="10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w w:val="96"/>
              </w:rPr>
              <w:t>2,050,037</w:t>
            </w:r>
          </w:p>
        </w:tc>
        <w:tc>
          <w:tcPr>
            <w:tcW w:w="200" w:type="dxa"/>
            <w:vAlign w:val="bottom"/>
          </w:tcPr>
          <w:p>
            <w:pPr>
              <w:spacing w:after="0"/>
              <w:rPr>
                <w:sz w:val="10"/>
                <w:szCs w:val="10"/>
                <w:color w:val="auto"/>
              </w:rPr>
            </w:pPr>
          </w:p>
        </w:tc>
        <w:tc>
          <w:tcPr>
            <w:tcW w:w="140" w:type="dxa"/>
            <w:vAlign w:val="bottom"/>
          </w:tcPr>
          <w:p>
            <w:pPr>
              <w:jc w:val="right"/>
              <w:spacing w:after="0" w:line="123"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w w:val="93"/>
              </w:rPr>
              <w:t>1,866,793</w:t>
            </w:r>
          </w:p>
        </w:tc>
        <w:tc>
          <w:tcPr>
            <w:tcW w:w="20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9.8</w:t>
            </w: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Cost of sales</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442,762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395,615</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11.9</w:t>
            </w:r>
          </w:p>
        </w:tc>
        <w:tc>
          <w:tcPr>
            <w:tcW w:w="160" w:type="dxa"/>
            <w:vAlign w:val="bottom"/>
          </w:tcPr>
          <w:p>
            <w:pPr>
              <w:ind w:left="20"/>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815,221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731,279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3"/>
        </w:trPr>
        <w:tc>
          <w:tcPr>
            <w:tcW w:w="3600" w:type="dxa"/>
            <w:vAlign w:val="bottom"/>
          </w:tcPr>
          <w:p>
            <w:pPr>
              <w:spacing w:after="0" w:line="123" w:lineRule="exact"/>
              <w:rPr>
                <w:sz w:val="20"/>
                <w:szCs w:val="20"/>
                <w:color w:val="auto"/>
              </w:rPr>
            </w:pPr>
            <w:r>
              <w:rPr>
                <w:rFonts w:ascii="Arial" w:cs="Arial" w:eastAsia="Arial" w:hAnsi="Arial"/>
                <w:sz w:val="14"/>
                <w:szCs w:val="14"/>
                <w:color w:val="auto"/>
              </w:rPr>
              <w:t>Gross profit*</w:t>
            </w: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661,283</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620,258</w:t>
            </w:r>
          </w:p>
        </w:tc>
        <w:tc>
          <w:tcPr>
            <w:tcW w:w="20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rPr>
              <w:t>6.6</w:t>
            </w:r>
          </w:p>
        </w:tc>
        <w:tc>
          <w:tcPr>
            <w:tcW w:w="160" w:type="dxa"/>
            <w:vAlign w:val="bottom"/>
          </w:tcPr>
          <w:p>
            <w:pPr>
              <w:ind w:left="20"/>
              <w:spacing w:after="0" w:line="123"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w w:val="96"/>
              </w:rPr>
              <w:t>1,234,816</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line="123" w:lineRule="exact"/>
              <w:rPr>
                <w:sz w:val="20"/>
                <w:szCs w:val="20"/>
                <w:color w:val="auto"/>
              </w:rPr>
            </w:pPr>
            <w:r>
              <w:rPr>
                <w:rFonts w:ascii="Arial" w:cs="Arial" w:eastAsia="Arial" w:hAnsi="Arial"/>
                <w:sz w:val="14"/>
                <w:szCs w:val="14"/>
                <w:color w:val="auto"/>
                <w:w w:val="93"/>
              </w:rPr>
              <w:t>1,135,514</w:t>
            </w:r>
          </w:p>
        </w:tc>
        <w:tc>
          <w:tcPr>
            <w:tcW w:w="8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8.7</w:t>
            </w:r>
          </w:p>
        </w:tc>
        <w:tc>
          <w:tcPr>
            <w:tcW w:w="140" w:type="dxa"/>
            <w:vAlign w:val="bottom"/>
          </w:tcPr>
          <w:p>
            <w:pPr>
              <w:jc w:val="right"/>
              <w:spacing w:after="0" w:line="123"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2"/>
        </w:trPr>
        <w:tc>
          <w:tcPr>
            <w:tcW w:w="3600" w:type="dxa"/>
            <w:vAlign w:val="bottom"/>
          </w:tcPr>
          <w:p>
            <w:pPr>
              <w:spacing w:after="0"/>
              <w:rPr>
                <w:sz w:val="20"/>
                <w:szCs w:val="20"/>
                <w:color w:val="auto"/>
              </w:rPr>
            </w:pPr>
            <w:r>
              <w:rPr>
                <w:rFonts w:ascii="Arial" w:cs="Arial" w:eastAsia="Arial" w:hAnsi="Arial"/>
                <w:sz w:val="14"/>
                <w:szCs w:val="14"/>
                <w:color w:val="auto"/>
              </w:rPr>
              <w:t>Gross profit as a percentage of net sales</w:t>
            </w:r>
            <w:r>
              <w:rPr>
                <w:rFonts w:ascii="Arial" w:cs="Arial" w:eastAsia="Arial" w:hAnsi="Arial"/>
                <w:sz w:val="10"/>
                <w:szCs w:val="10"/>
                <w:color w:val="auto"/>
              </w:rPr>
              <w:t>1</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59.9</w:t>
            </w:r>
          </w:p>
        </w:tc>
        <w:tc>
          <w:tcPr>
            <w:tcW w:w="20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61.1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60.2</w:t>
            </w:r>
          </w:p>
        </w:tc>
        <w:tc>
          <w:tcPr>
            <w:tcW w:w="20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60.8</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600" w:type="dxa"/>
            <w:vAlign w:val="bottom"/>
          </w:tcPr>
          <w:p>
            <w:pPr>
              <w:spacing w:after="0"/>
              <w:rPr>
                <w:sz w:val="20"/>
                <w:szCs w:val="20"/>
                <w:color w:val="auto"/>
              </w:rPr>
            </w:pPr>
            <w:r>
              <w:rPr>
                <w:rFonts w:ascii="Arial" w:cs="Arial" w:eastAsia="Arial" w:hAnsi="Arial"/>
                <w:sz w:val="14"/>
                <w:szCs w:val="14"/>
                <w:color w:val="auto"/>
              </w:rPr>
              <w:t>Operating expenses</w:t>
            </w:r>
            <w:r>
              <w:rPr>
                <w:rFonts w:ascii="Arial" w:cs="Arial" w:eastAsia="Arial" w:hAnsi="Arial"/>
                <w:sz w:val="10"/>
                <w:szCs w:val="10"/>
                <w:color w:val="auto"/>
              </w:rPr>
              <w:t>2</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282,293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262,637</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w:t>
            </w:r>
          </w:p>
        </w:tc>
        <w:tc>
          <w:tcPr>
            <w:tcW w:w="160" w:type="dxa"/>
            <w:vAlign w:val="bottom"/>
          </w:tcPr>
          <w:p>
            <w:pPr>
              <w:ind w:left="20"/>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544,364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497,979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9.3</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7"/>
        </w:trPr>
        <w:tc>
          <w:tcPr>
            <w:tcW w:w="3600" w:type="dxa"/>
            <w:vAlign w:val="bottom"/>
          </w:tcPr>
          <w:p>
            <w:pPr>
              <w:spacing w:after="0"/>
              <w:rPr>
                <w:sz w:val="20"/>
                <w:szCs w:val="20"/>
                <w:color w:val="auto"/>
              </w:rPr>
            </w:pPr>
            <w:r>
              <w:rPr>
                <w:rFonts w:ascii="Arial" w:cs="Arial" w:eastAsia="Arial" w:hAnsi="Arial"/>
                <w:sz w:val="14"/>
                <w:szCs w:val="14"/>
                <w:color w:val="auto"/>
              </w:rPr>
              <w:t>Operating expenses as a percentage of net sales</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20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20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600" w:type="dxa"/>
            <w:vAlign w:val="bottom"/>
          </w:tcPr>
          <w:p>
            <w:pPr>
              <w:spacing w:after="0"/>
              <w:rPr>
                <w:sz w:val="20"/>
                <w:szCs w:val="20"/>
                <w:color w:val="auto"/>
              </w:rPr>
            </w:pPr>
            <w:r>
              <w:rPr>
                <w:rFonts w:ascii="Arial" w:cs="Arial" w:eastAsia="Arial" w:hAnsi="Arial"/>
                <w:sz w:val="14"/>
                <w:szCs w:val="14"/>
                <w:color w:val="auto"/>
              </w:rPr>
              <w:t>Operating income</w:t>
            </w:r>
            <w:r>
              <w:rPr>
                <w:rFonts w:ascii="Arial" w:cs="Arial" w:eastAsia="Arial" w:hAnsi="Arial"/>
                <w:sz w:val="10"/>
                <w:szCs w:val="10"/>
                <w:color w:val="auto"/>
              </w:rPr>
              <w:t>1,2</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378,990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357,621</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w:t>
            </w:r>
          </w:p>
        </w:tc>
        <w:tc>
          <w:tcPr>
            <w:tcW w:w="160" w:type="dxa"/>
            <w:vAlign w:val="bottom"/>
          </w:tcPr>
          <w:p>
            <w:pPr>
              <w:ind w:left="20"/>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690,452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637,535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2"/>
        </w:trPr>
        <w:tc>
          <w:tcPr>
            <w:tcW w:w="3600" w:type="dxa"/>
            <w:vAlign w:val="bottom"/>
          </w:tcPr>
          <w:p>
            <w:pPr>
              <w:spacing w:after="0"/>
              <w:rPr>
                <w:sz w:val="20"/>
                <w:szCs w:val="20"/>
                <w:color w:val="auto"/>
              </w:rPr>
            </w:pPr>
            <w:r>
              <w:rPr>
                <w:rFonts w:ascii="Arial" w:cs="Arial" w:eastAsia="Arial" w:hAnsi="Arial"/>
                <w:sz w:val="14"/>
                <w:szCs w:val="14"/>
                <w:color w:val="auto"/>
              </w:rPr>
              <w:t>Operating income as a percentage of net sales</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34.3</w:t>
            </w:r>
          </w:p>
        </w:tc>
        <w:tc>
          <w:tcPr>
            <w:tcW w:w="20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35.2</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33.7</w:t>
            </w:r>
          </w:p>
        </w:tc>
        <w:tc>
          <w:tcPr>
            <w:tcW w:w="20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34.2</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0"/>
                <w:szCs w:val="20"/>
                <w:color w:val="auto"/>
              </w:rPr>
            </w:pPr>
            <w:r>
              <w:rPr>
                <w:rFonts w:ascii="Arial" w:cs="Arial" w:eastAsia="Arial" w:hAnsi="Arial"/>
                <w:sz w:val="14"/>
                <w:szCs w:val="14"/>
                <w:color w:val="auto"/>
              </w:rPr>
              <w:t>Interest and other income, net</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2,973</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524.6</w:t>
            </w:r>
          </w:p>
        </w:tc>
        <w:tc>
          <w:tcPr>
            <w:tcW w:w="160" w:type="dxa"/>
            <w:vAlign w:val="bottom"/>
          </w:tcPr>
          <w:p>
            <w:pPr>
              <w:ind w:left="20"/>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5,714</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150.5</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306"/>
        </w:trPr>
        <w:tc>
          <w:tcPr>
            <w:tcW w:w="3600" w:type="dxa"/>
            <w:vAlign w:val="bottom"/>
          </w:tcPr>
          <w:p>
            <w:pPr>
              <w:spacing w:after="0"/>
              <w:rPr>
                <w:sz w:val="20"/>
                <w:szCs w:val="20"/>
                <w:color w:val="auto"/>
              </w:rPr>
            </w:pPr>
            <w:r>
              <w:rPr>
                <w:rFonts w:ascii="Arial" w:cs="Arial" w:eastAsia="Arial" w:hAnsi="Arial"/>
                <w:sz w:val="14"/>
                <w:szCs w:val="14"/>
                <w:color w:val="auto"/>
              </w:rPr>
              <w:t>Income before provision for income taxes</w:t>
            </w:r>
            <w:r>
              <w:rPr>
                <w:rFonts w:ascii="Arial" w:cs="Arial" w:eastAsia="Arial" w:hAnsi="Arial"/>
                <w:sz w:val="10"/>
                <w:szCs w:val="10"/>
                <w:color w:val="auto"/>
              </w:rPr>
              <w:t>1,2</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381,963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358,097</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w:t>
            </w:r>
          </w:p>
        </w:tc>
        <w:tc>
          <w:tcPr>
            <w:tcW w:w="160" w:type="dxa"/>
            <w:vAlign w:val="bottom"/>
          </w:tcPr>
          <w:p>
            <w:pPr>
              <w:ind w:left="20"/>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696,166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639,816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89,490</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87,981</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ind w:left="20"/>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142,208</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153,651</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306"/>
        </w:trPr>
        <w:tc>
          <w:tcPr>
            <w:tcW w:w="3600" w:type="dxa"/>
            <w:vAlign w:val="bottom"/>
          </w:tcPr>
          <w:p>
            <w:pPr>
              <w:spacing w:after="0"/>
              <w:rPr>
                <w:sz w:val="20"/>
                <w:szCs w:val="20"/>
                <w:color w:val="auto"/>
              </w:rPr>
            </w:pPr>
            <w:r>
              <w:rPr>
                <w:rFonts w:ascii="Arial" w:cs="Arial" w:eastAsia="Arial" w:hAnsi="Arial"/>
                <w:sz w:val="14"/>
                <w:szCs w:val="14"/>
                <w:color w:val="auto"/>
              </w:rPr>
              <w:t>Income taxes as a percentage of income before taxes</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23.4</w:t>
            </w:r>
          </w:p>
        </w:tc>
        <w:tc>
          <w:tcPr>
            <w:tcW w:w="20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24.6</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20.4</w:t>
            </w:r>
          </w:p>
        </w:tc>
        <w:tc>
          <w:tcPr>
            <w:tcW w:w="20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w w:val="79"/>
              </w:rPr>
              <w:t>%</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600" w:type="dxa"/>
            <w:vAlign w:val="bottom"/>
          </w:tcPr>
          <w:p>
            <w:pPr>
              <w:spacing w:after="0"/>
              <w:rPr>
                <w:sz w:val="20"/>
                <w:szCs w:val="20"/>
                <w:color w:val="auto"/>
              </w:rPr>
            </w:pPr>
            <w:r>
              <w:rPr>
                <w:rFonts w:ascii="Arial" w:cs="Arial" w:eastAsia="Arial" w:hAnsi="Arial"/>
                <w:sz w:val="14"/>
                <w:szCs w:val="14"/>
                <w:color w:val="auto"/>
              </w:rPr>
              <w:t>Net income</w:t>
            </w:r>
            <w:r>
              <w:rPr>
                <w:rFonts w:ascii="Arial" w:cs="Arial" w:eastAsia="Arial" w:hAnsi="Arial"/>
                <w:sz w:val="10"/>
                <w:szCs w:val="10"/>
                <w:color w:val="auto"/>
              </w:rPr>
              <w:t>1,2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292,473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270,116</w:t>
            </w: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8.3 % $</w:t>
            </w:r>
          </w:p>
        </w:tc>
        <w:tc>
          <w:tcPr>
            <w:tcW w:w="660" w:type="dxa"/>
            <w:vAlign w:val="bottom"/>
          </w:tcPr>
          <w:p>
            <w:pPr>
              <w:jc w:val="right"/>
              <w:spacing w:after="0"/>
              <w:rPr>
                <w:sz w:val="20"/>
                <w:szCs w:val="20"/>
                <w:color w:val="auto"/>
              </w:rPr>
            </w:pPr>
            <w:r>
              <w:rPr>
                <w:rFonts w:ascii="Arial" w:cs="Arial" w:eastAsia="Arial" w:hAnsi="Arial"/>
                <w:sz w:val="14"/>
                <w:szCs w:val="14"/>
                <w:color w:val="auto"/>
              </w:rPr>
              <w:t>553,958</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486,165</w:t>
            </w: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13.9 %</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4"/>
                <w:szCs w:val="14"/>
                <w:color w:val="auto"/>
              </w:rPr>
              <w:t>Net income as a percentage of net sales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w w:val="79"/>
              </w:rPr>
              <w:t>%</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w w:val="79"/>
              </w:rPr>
              <w:t>%</w:t>
            </w:r>
          </w:p>
        </w:tc>
        <w:tc>
          <w:tcPr>
            <w:tcW w:w="6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26.5</w:t>
            </w: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26.6</w:t>
            </w:r>
          </w:p>
        </w:tc>
        <w:tc>
          <w:tcPr>
            <w:tcW w:w="2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27.0</w:t>
            </w:r>
          </w:p>
        </w:tc>
        <w:tc>
          <w:tcPr>
            <w:tcW w:w="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26.0</w:t>
            </w:r>
          </w:p>
        </w:tc>
        <w:tc>
          <w:tcPr>
            <w:tcW w:w="2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00" w:type="dxa"/>
            <w:vAlign w:val="bottom"/>
          </w:tcPr>
          <w:p>
            <w:pPr>
              <w:spacing w:after="0"/>
              <w:rPr>
                <w:sz w:val="20"/>
                <w:szCs w:val="20"/>
                <w:color w:val="auto"/>
              </w:rPr>
            </w:pPr>
            <w:r>
              <w:rPr>
                <w:rFonts w:ascii="Arial" w:cs="Arial" w:eastAsia="Arial" w:hAnsi="Arial"/>
                <w:sz w:val="14"/>
                <w:szCs w:val="14"/>
                <w:color w:val="auto"/>
              </w:rPr>
              <w:t>Net income per common share:</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600" w:type="dxa"/>
            <w:vAlign w:val="bottom"/>
          </w:tcPr>
          <w:p>
            <w:pPr>
              <w:ind w:left="120"/>
              <w:spacing w:after="0" w:line="149" w:lineRule="exact"/>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0.54</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0.48</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2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0"/>
              </w:rPr>
              <w:t>% $</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0.86</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2"/>
        </w:trPr>
        <w:tc>
          <w:tcPr>
            <w:tcW w:w="3600" w:type="dxa"/>
            <w:vAlign w:val="bottom"/>
          </w:tcPr>
          <w:p>
            <w:pPr>
              <w:ind w:left="120"/>
              <w:spacing w:after="0"/>
              <w:rPr>
                <w:sz w:val="20"/>
                <w:szCs w:val="20"/>
                <w:color w:val="auto"/>
              </w:rPr>
            </w:pPr>
            <w:r>
              <w:rPr>
                <w:rFonts w:ascii="Arial" w:cs="Arial" w:eastAsia="Arial" w:hAnsi="Arial"/>
                <w:sz w:val="14"/>
                <w:szCs w:val="14"/>
                <w:color w:val="auto"/>
              </w:rPr>
              <w:t>Diluted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0.53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0.48</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11.9</w:t>
            </w:r>
          </w:p>
        </w:tc>
        <w:tc>
          <w:tcPr>
            <w:tcW w:w="260" w:type="dxa"/>
            <w:vAlign w:val="bottom"/>
            <w:gridSpan w:val="2"/>
          </w:tcPr>
          <w:p>
            <w:pPr>
              <w:ind w:left="20"/>
              <w:spacing w:after="0"/>
              <w:rPr>
                <w:sz w:val="20"/>
                <w:szCs w:val="20"/>
                <w:color w:val="auto"/>
              </w:rPr>
            </w:pPr>
            <w:r>
              <w:rPr>
                <w:rFonts w:ascii="Arial" w:cs="Arial" w:eastAsia="Arial" w:hAnsi="Arial"/>
                <w:sz w:val="14"/>
                <w:szCs w:val="14"/>
                <w:color w:val="auto"/>
                <w:w w:val="90"/>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1.01</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0.85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18.5</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63"/>
        </w:trPr>
        <w:tc>
          <w:tcPr>
            <w:tcW w:w="3600" w:type="dxa"/>
            <w:vAlign w:val="bottom"/>
          </w:tcPr>
          <w:p>
            <w:pPr>
              <w:spacing w:after="0"/>
              <w:rPr>
                <w:sz w:val="20"/>
                <w:szCs w:val="20"/>
                <w:color w:val="auto"/>
              </w:rPr>
            </w:pPr>
            <w:r>
              <w:rPr>
                <w:rFonts w:ascii="Arial" w:cs="Arial" w:eastAsia="Arial" w:hAnsi="Arial"/>
                <w:sz w:val="14"/>
                <w:szCs w:val="14"/>
                <w:color w:val="auto"/>
              </w:rPr>
              <w:t>Case sales (in thousands)</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20"/>
              <w:spacing w:after="0"/>
              <w:rPr>
                <w:sz w:val="20"/>
                <w:szCs w:val="20"/>
                <w:color w:val="auto"/>
              </w:rPr>
            </w:pPr>
            <w:r>
              <w:rPr>
                <w:rFonts w:ascii="Arial" w:cs="Arial" w:eastAsia="Arial" w:hAnsi="Arial"/>
                <w:sz w:val="14"/>
                <w:szCs w:val="14"/>
                <w:color w:val="auto"/>
              </w:rPr>
              <w:t>(in 192-ounce case equivalents)</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119,595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110,057</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w:t>
            </w:r>
          </w:p>
        </w:tc>
        <w:tc>
          <w:tcPr>
            <w:tcW w:w="160" w:type="dxa"/>
            <w:vAlign w:val="bottom"/>
          </w:tcPr>
          <w:p>
            <w:pPr>
              <w:ind w:left="20"/>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220,879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202,372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¹Includes $10.6 million and $11.0 million for the three-months ended June 30, 2019 and 2018, respectively, related to the recognition of deferred revenue.</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Includes $24.8 million and $22.2 million for the six-months ended June 30, 2019 and 2018, respectively, related to the recognition of deferred revenue.</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1"/>
          <w:szCs w:val="11"/>
          <w:i w:val="1"/>
          <w:iCs w:val="1"/>
          <w:color w:val="auto"/>
        </w:rPr>
        <w:t>2</w:t>
      </w:r>
      <w:r>
        <w:rPr>
          <w:rFonts w:ascii="Arial" w:cs="Arial" w:eastAsia="Arial" w:hAnsi="Arial"/>
          <w:sz w:val="14"/>
          <w:szCs w:val="14"/>
          <w:i w:val="1"/>
          <w:iCs w:val="1"/>
          <w:color w:val="auto"/>
        </w:rPr>
        <w:t>Includes $0.3 million and $5.5 million for the three-months ended June 30, 2019 and 2018, respectively, of distributor termination costs. Includes $11.0</w:t>
      </w:r>
      <w:r>
        <w:rPr>
          <w:rFonts w:ascii="Arial" w:cs="Arial" w:eastAsia="Arial" w:hAnsi="Arial"/>
          <w:sz w:val="11"/>
          <w:szCs w:val="11"/>
          <w:i w:val="1"/>
          <w:iCs w:val="1"/>
          <w:color w:val="auto"/>
        </w:rPr>
        <w:t xml:space="preserve"> </w:t>
      </w:r>
      <w:r>
        <w:rPr>
          <w:rFonts w:ascii="Arial" w:cs="Arial" w:eastAsia="Arial" w:hAnsi="Arial"/>
          <w:sz w:val="14"/>
          <w:szCs w:val="14"/>
          <w:i w:val="1"/>
          <w:iCs w:val="1"/>
          <w:color w:val="auto"/>
        </w:rPr>
        <w:t>million and $12.5 million for the six-months ended June 30, 2019 and 2018, respectively, of distributor termination costs.</w:t>
      </w:r>
    </w:p>
    <w:p>
      <w:pPr>
        <w:spacing w:after="0" w:line="106" w:lineRule="exact"/>
        <w:rPr>
          <w:sz w:val="20"/>
          <w:szCs w:val="20"/>
          <w:color w:val="auto"/>
        </w:rPr>
      </w:pPr>
    </w:p>
    <w:p>
      <w:pPr>
        <w:jc w:val="both"/>
        <w:spacing w:after="0" w:line="238" w:lineRule="auto"/>
        <w:rPr>
          <w:sz w:val="20"/>
          <w:szCs w:val="20"/>
          <w:color w:val="auto"/>
        </w:rPr>
      </w:pPr>
      <w:r>
        <w:rPr>
          <w:rFonts w:ascii="Arial" w:cs="Arial" w:eastAsia="Arial" w:hAnsi="Arial"/>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for the Three-Months Ended June 30, 2019 Compared to the Three-Months Ended June 30, 2018.</w:t>
      </w: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were $1.10 billion for the three-months ended June 30, 2019, an increase of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$88.2 million, or 8.7% higher than net sales of $1.02 billion for the three-months ended June 30, 2018. Net sales for the three-months ended June 30, 2019 were positively impacted by approximately $31.3 million as a result of a price increase effective from November 1, 2018 in the United States and effective from February 1, 2019 in Canada, on certain of our Monster Energy® brand energy drinks. Net changes in foreign currency exchange rates had an unfavorable impact on net sales of approximately $25.9 million for the three-months ended June 30, 2019.</w:t>
      </w:r>
    </w:p>
    <w:p>
      <w:pPr>
        <w:spacing w:after="0" w:line="17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Net sales for the Monster Energy® Drinks segment were $1.02 billion for the three-months ended June 30, 2019, an increase of approximately $89.7 million, or 9.6% higher than net sales of $929.4 million for the three-months ended June 30, 2018. Net sales for the Monster Energy® Drinks segment increased primarily due to (i) sales of our Reign Total Body Fuel</w:t>
      </w:r>
      <w:r>
        <w:rPr>
          <w:rFonts w:ascii="Arial" w:cs="Arial" w:eastAsia="Arial" w:hAnsi="Arial"/>
          <w:sz w:val="26"/>
          <w:szCs w:val="26"/>
          <w:color w:val="auto"/>
          <w:vertAlign w:val="superscript"/>
        </w:rPr>
        <w:t>TM</w:t>
      </w:r>
      <w:r>
        <w:rPr>
          <w:rFonts w:ascii="Arial" w:cs="Arial" w:eastAsia="Arial" w:hAnsi="Arial"/>
          <w:sz w:val="17"/>
          <w:szCs w:val="17"/>
          <w:color w:val="auto"/>
        </w:rPr>
        <w:t xml:space="preserve"> high performance energy drinks, introduced in the first quarter of 2019, and (ii) the price increases described above. Net changes in foreign currency exchange rates had an unfavorable impact on net sales for the Monster Energy® Drinks segment of approximately $22.1 million for the three-months ended June 30, 2019.</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sales for the Strategic Brands segment were $79.1 million for the three-months ended June 30, 2019, a decrease of approximately $0.7 million, or 0.8% lower than net sales of $79.8 million for the three-months ended June 30, 2018. Net changes in foreign currency exchange rates had an unfavorable impact on net sales for the Strategic Brands segment of approximately $3.8 million for the three-months ended June 30, 2019.</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Net sales for the Other segment were $5.8 million for the three-months ended June 30, 2019, a decrease of approximately $0.8 million, or 12.6% lower than net sales of $6.6 million for the three-months ended June 30, 2018.</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Case sales, in 192-ounce case equivalents, were 119.6 million cases for the three-months ended June 30, 2019, an increase of approximately 9.5 million cases or 8.7% higher than case sales of 110.1 million cases for the three-months ended June 30, 2018. The overall average net sales per case (excluding net sales of AFF Third-Party Products of $5.8 million and $6.6 million for the three-months ended June 30, 2019 and 2018, respectively, as these sales do not have unit case equivalents) increased to $9.18 for the three-months ended June 30, 2019, which was 0.1% higher than the average net sales per case of $9.17 for the three-months ended June 30, 2018.</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$661.3 million for the three-months ended June 30, 2019,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$41.0 million, or 6.6% higher than the gross profit of $620.3 million for the three-months ended June 30, 2018. The increase in gross profit dollars was primarily the result of the $89.7 million increase in net sales of our Monster Energy® Drinks segment for the three-months ended June 30, 2019.</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Gross profit as a percentage of net sales decreased to 59.9% for the three-months ended June 30, 2019 from 61.1% for the three-months ended June 30, 2018. During the three-months ended June 30, 2019, gross profit as a percentage of net sales was positively impacted by the sales price increase discussed above as well as reduced aluminum costs, which was offset by geographical and product sales mix and increases in certain other input costs.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$282.3 million for the three-months ended June 30, 2019,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$19.7 million, or 7.5% higher than total operating expenses of $262.6 million for the three-months ended June 30, 2018. The increase in operating expenses was primarily due to increased payroll expenses of $7.4 million (of which $0.7 million was related to an increase in stock-based compensation), increased expenditures of $6.6 million for professional service fees, including legal and accounting costs and increased expenditures of $3.1 million for other marketing expenses.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$379.0 million for the three-months ended June 30, 2019,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$21.4 million, or 6.0% higher than operating income of $357.6 million for the three-months ended June 30, 2018. Operating income as a percentage of net sales decreased to 34.3% for the three-months ended June 30, 2019 from 35.2% for the three-months ended June 30, 2018. Operating income was $54.8 million and $48.7 million for the three-months ended June 30, 2019 and 2018, respectively, in connection with our operations in Europe, Middle East and Africa (“EMEA”), Asia Pacific and South America.</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income for the Monster Energy® Drinks segment was $410.8 million for the three-months ended June 30, 2019, an increase of approximately $37.7 million, or 10.1% higher than operating income of $373.1 million for the three-months ended June 30, 2018. The increase in operating income for the Monster Energy® Drinks segment was primarily the result of the $89.7 million increase in net sales of our Monster Energy® Drinks segment for the three-months ended June 30, 2019.</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income for the Strategic Brands segment was $50.1 million for the three-months ended June 30, 2019, a decrease of approximately $0.7 million, or 1.4% lower than operating income of $50.8 million for the three-months ended June 30, 2018.</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Operating income for the Other segment was $1.1 million for the three-months ended June 30, 2019, a decrease of approximately $0.7 million, or 38.7% lower than operating income of $1.8 million for the three-months ended June 30, 2018.</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8"/>
          <w:szCs w:val="18"/>
          <w:color w:val="auto"/>
        </w:rPr>
        <w:t>. Interest and other non-operating income, net, was $3.0 million for the three-months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as compared to interest and other non-operating income, net, of $0.5 million for the three-months ended June 30, 2018. Foreign currency transaction losses were $0.9 million and $1.9 million for the three-months ended June 30, 2019 and 2018, respectively. Interest income was $4.1 million and $2.7 million for the three-months ended June 30, 2019 and 2018, respectively.</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Provision for income taxes was $89.5 million for the three-months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an increase of $1.5 million, or 1.7% higher than the provision for income taxes of $88.0 million for the three-months ended June 30, 2018. The effective combined federal, state and foreign tax rate decreased to 23.4% from 24.6% for the three-months ended June 30, 2019 and 2018, respectively. The decrease in the effective tax rate was primarily attributable to the increase in profits earned by certain foreign subsidiaries in lower tax jurisdictions than the United States.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$292.5 million for the three-months ended June 30, 2019, an increase of $22.4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8.3% higher than net income of $270.1 million for the three-months ended June 30, 2018. The increase in net income was primarily due to the $41.0 million increase in gross profit. The increase in net income was partially offset by the increase in operating expenses of $19.7 million.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for the Six-Months Ended June 30, 2019 Compared to the Six-Months Ended June 30, 2018.</w:t>
      </w:r>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were $2.05 billion for the six-months ended June 30, 2019, an increase of approximately $183.2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9.8% higher than net sales of $1.87 billion for the six-months ended June 30, 2018. Net sales for the six-months ended June 30, 2019 were positively impacted by approximately $59.5 million as a result of a price increase effective from November 1, 2018 in the United States and effective from February 1, 2019 in Canada, on certain of our Monster Energy® brand energy drinks. Net changes in foreign currency exchange rates had an unfavorable impact on net sales of approximately $47.9 million for the six-months ended June 30, 2019.</w:t>
      </w:r>
    </w:p>
    <w:p>
      <w:pPr>
        <w:spacing w:after="0" w:line="17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Net sales for the Monster Energy® Drinks segment were $1.89 billion for the six-months ended June 30, 2019, an increase of approximately $179.6 million, or 10.5% higher than net sales of $1.71 billion for the six-months ended June 30, 2018. Net sales for the Monster Energy® Drinks segment increased primarily due to (i) sales of our Reign Total Body Fuel</w:t>
      </w:r>
      <w:r>
        <w:rPr>
          <w:rFonts w:ascii="Arial" w:cs="Arial" w:eastAsia="Arial" w:hAnsi="Arial"/>
          <w:sz w:val="26"/>
          <w:szCs w:val="26"/>
          <w:color w:val="auto"/>
          <w:vertAlign w:val="superscript"/>
        </w:rPr>
        <w:t>TM</w:t>
      </w:r>
      <w:r>
        <w:rPr>
          <w:rFonts w:ascii="Arial" w:cs="Arial" w:eastAsia="Arial" w:hAnsi="Arial"/>
          <w:sz w:val="17"/>
          <w:szCs w:val="17"/>
          <w:color w:val="auto"/>
        </w:rPr>
        <w:t xml:space="preserve"> high performance energy drinks, introduced in the first quarter of 2019, and (ii) the price increase described above. Net changes in foreign currency exchange rates had an unfavorable impact on net sales for the Monster Energy® Drinks segment of approximately $40.3 million for the six-months ended June 30, 2019.</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sales for the Strategic Brands segment were $149.4 million for the six-months ended June 30, 2019, an increase of approximately $3.9 million, or 2.7% higher than net sales of $145.6 million for the six-months ended June 30, 2018. Net changes in foreign currency exchange rates had an unfavorable impact on net sales for the Strategic Brands segment of approximately $7.6 million for the six-months ended June 30, 2019.</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sales for the Other segment were $11.1 million for the six-months ended June 30, 2019, a decrease of approximately $0.2 million, or 1.5% lower than net sales of $11.3 million for the six-months ended June 30, 2018.</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Case sales, in 192-ounce case equivalents, were 220.9 million cases for the six-months ended June 30, 2019, an increase of approximately 18.5 million cases or 9.2% higher than case sales of 202.4 million cases for the six-months ended June 30, 2018. The overall average net sales per case (excluding net sales of AFF Third-Party Products of $11.1 million and $11.3 million for the six-months ended June 30, 2019 and 2018, respectively, as these sales do not have unit case equivalents) increased to $9.23 for the six-months ended June 30, 2019, which was 0.7% higher than the average net sales per case of $9.17 for the six-months ended June 30, 2018. The increase in the average net sales per case was primarily attributable to a price increase effective from November 1, 2018 in the United States and effective from February 1, 2019 in Canada, on certain of our Monster Energy® brand energy drinks.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$1.23 billion for the six-months ended June 30, 2019, an increase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$99.3 million, or 8.7% higher than the gross profit of $1.14 billion for the six-months ended June 30, 2018. The increase in gross profit dollars was primarily the result of the $179.6 million increase in net sales of our Monster Energy® Drinks segment for the six-months ended June 30, 2019.</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Gross profit as a percentage of net sales decreased to 60.2% for the six-months ended June 30, 2019 from 60.8% for the six-months ended June 30, 2018. During the six-months ended June 30, 2019, gross profit as a percentage of net sales was positively impacted by the sales price increase discussed above as well as reduced aluminum costs, which was offset by geographical and product sales mix and increases in certain other input costs.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Total operating expenses were $544.4 million for the six-months ended June 30, 2019,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approximately $46.4 million, or 9.3% higher than total operating expenses of $498.0 million for the six-months ended June 30, 2018. The increase in operating expenses was primarily due to increased payroll expenses of $16.0 million (of which $2.6 million was related to an increase in stock-based compensation), increased expenditures of $11.9 million for professional service fees, including legal and accounting costs, increased expenditures of $6.9 million for sponsorships and endorsements, and increased expenditures of $4.7 million in other marketing expenses.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$690.5 million for the six-months ended June 30, 2019,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$52.9 million, or 8.3% higher than operating income of $637.5 million for the six-months ended June 30, 2018. Operating income as a percentage of net sales decreased to 33.7% for the six-months ended June 30, 2019 from 34.2% for the six-months ended June 30, 2018. Operating income was $107.1 million and $91.2 million for the six-months ended June 30, 2019 and 2018, respectively, in connection with our operations in Europe, Middle East and Africa (“EMEA”), Asia Pacific and South America.</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income for the Monster Energy® Drinks segment was $753.8 million for the six-months ended June 30, 2019, an increase of approximately $79.0 million, or 11.7% higher than operating income of $674.8 million for the six-months ended June 30, 2018. The increase in operating income for the Monster Energy® Drinks segment was primarily the result of the $179.6 million increase in net sales of our Monster Energy® Drinks segment for the six-months ended June 30, 2019.</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Operating income for the Strategic Brands segment was $95.7 million for the six-months ended June 30, 2019, an increase of approximately $2.3 million, or 2.4% higher than operating income of $93.4 million for the six-months ended June 30, 2018.</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Operating income for the Other segment was $2.0 million for the six-months ended June 30, 2019, a decrease of approximately $0.8 million, or 27.8% lower than operating income of $2.8 million for the six-months ended June 30, 2018.</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8"/>
          <w:szCs w:val="18"/>
          <w:color w:val="auto"/>
        </w:rPr>
        <w:t>. Interest and other non-operating income, net, was $5.7 million for the six-months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as compared to interest and other non-operating income, net of $2.3 million for the six-months ended June 30, 2018. Foreign currency transaction losses were $1.2 million and $3.3 million for the six-months ended June 30, 2019 and 2018, respectively. Interest income was $7.4 million and $5.7 million for the six-months ended June 30, 2019 and 2018, respectively.</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$142.2 million for the six-months ended June 30, 2019,</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$11.4 million, or 7.4% lower than the provision for income taxes of $153.7 million for the six-months ended June 30, 2018. The effective combined federal, state and foreign tax rate decreased to 20.4% from 24.0% for the six-months ended June 30, 2019 and 2018, respectively. The decrease in the effective tax rate was primarily attributable to an increase in the deductions for equity compensation, as well as the increase in profits earned by certain foreign subsidiaries in lower tax jurisdictions than the United States.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Net income was $554.0 million for the six-months ended June 30, 2019, an increase of $67.8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13.9% higher than net income of $486.2 million for the six-months ended June 30, 2018. The increase in net income was primarily due to the $99.3 million increase in gross profit and the $11.4 million decrease in the provision for income taxes. The increase in net income was partially offset by the increase in operating expenses of $46.4 million.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Gross Sales**. </w:t>
      </w:r>
      <w:r>
        <w:rPr>
          <w:rFonts w:ascii="Arial" w:cs="Arial" w:eastAsia="Arial" w:hAnsi="Arial"/>
          <w:sz w:val="17"/>
          <w:szCs w:val="17"/>
          <w:color w:val="auto"/>
        </w:rPr>
        <w:t>Gross sales were $1.29 billion for the three-months ended June 30, 2019,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$95.2 million, or 8.0% higher than gross sales of $1.19 billion for the three-months ended June 30, 2018. Gross sales for the three-months ended June 30, 2019 were positively impacted by approximately $31.3 million as a result of a price increase effective from November 1, 2018 in the United States and effective from February 1, 2019 in Canada, on certain of our Monster Energy® brand energy drinks. Net changes in foreign currency exchange rates had an unfavorable impact on gross sales of approximately $30.7 million for the three-months ended June 30, 2019.</w:t>
      </w:r>
    </w:p>
    <w:p>
      <w:pPr>
        <w:spacing w:after="0" w:line="17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Gross sales for the Monster Energy® Drinks segment were $1.19 billion for the three-months ended June 30, 2019, an increase of approximately $97.9 million, or 9.0% higher than gross sales of $1.09 billion for the three-months ended June 30, 2018. Gross sales for the Monster Energy® Drinks segment increased primarily due to (i) sales of our Reign Total Body Fuel</w:t>
      </w:r>
      <w:r>
        <w:rPr>
          <w:rFonts w:ascii="Arial" w:cs="Arial" w:eastAsia="Arial" w:hAnsi="Arial"/>
          <w:sz w:val="26"/>
          <w:szCs w:val="26"/>
          <w:color w:val="auto"/>
          <w:vertAlign w:val="superscript"/>
        </w:rPr>
        <w:t>TM</w:t>
      </w:r>
      <w:r>
        <w:rPr>
          <w:rFonts w:ascii="Arial" w:cs="Arial" w:eastAsia="Arial" w:hAnsi="Arial"/>
          <w:sz w:val="17"/>
          <w:szCs w:val="17"/>
          <w:color w:val="auto"/>
        </w:rPr>
        <w:t xml:space="preserve"> high performance energy drinks, introduced in the first quarter of 2019, and (ii) the price increase describe above. Net changes in foreign currency exchange rates had an unfavorable impact on gross sales for the Monster Energy® Drinks segment of approximately $26.9 million for the three-months ended June 30, 2019.</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sales of our Strategic Brands segment were $90.5 million for the three-months ended June 30, 2019, a decrease of $1.9 million, or 2.0% lower than gross sales of $92.4 million for the three-months ended June 30, 2018. Net changes in foreign currency exchange rates had an unfavorable impact on gross sales in the Strategic Brands segment of approximately $3.8 million for the three-months ended June 30, 2019.</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Gross sales of our Other Segment were $5.8 million for the three-months ended June 30, 2019, a decrease of $0.8 million, or 12.6% lower than gross sales of $6.6 million for the three-months ended June 30, 2018.</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Promotional and other allowances, as described in the footnote below, were $182.4 million for the three-months ended June 30, 2019, an increase of $7.0 million, or 4.0% higher than promotional and other allowances of $175.4 million for the three-months ended June 30, 2018. Promotional and other allowances as a percentage of gross sales decreased to 14.2% from 14.7% for the three-months ended June 30, 2019 and 2018, respectively.</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Gross Sales**. </w:t>
      </w:r>
      <w:r>
        <w:rPr>
          <w:rFonts w:ascii="Arial" w:cs="Arial" w:eastAsia="Arial" w:hAnsi="Arial"/>
          <w:sz w:val="17"/>
          <w:szCs w:val="17"/>
          <w:color w:val="auto"/>
        </w:rPr>
        <w:t>Gross sales were $2.38 billion for the six-months ended June 30, 2019, an increase of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$195.0 million, or 8.9% higher than gross sales of $2.18 billion for the six-months ended June 30, 2018. Gross sales for the six-months ended June 30, 2019 were positively impacted by approximately $59.5 million as a result of a price increase effective from November 1, 2018 in the United States and effective from February 1, 2019 in Canada, on certain of our Monster Energy® brand energy drinks. Net changes in foreign currency exchange rates had an unfavorable impact on gross sales of approximately $56.6 million for the six-months ended June 30, 2019.</w:t>
      </w:r>
    </w:p>
    <w:p>
      <w:pPr>
        <w:spacing w:after="0" w:line="17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Gross sales for the Monster Energy® Drinks segment were $2.20 billion for the six-months ended June 30, 2019, an increase of approximately $193.5 million, or 9.7% higher than gross sales of $2.00 billion for the six-months ended June 30, 2018. Gross sales for the Monster Energy® Drinks segment increased primarily due to (i) sales of our Reign Total Body Fuel</w:t>
      </w:r>
      <w:r>
        <w:rPr>
          <w:rFonts w:ascii="Arial" w:cs="Arial" w:eastAsia="Arial" w:hAnsi="Arial"/>
          <w:sz w:val="26"/>
          <w:szCs w:val="26"/>
          <w:color w:val="auto"/>
          <w:vertAlign w:val="superscript"/>
        </w:rPr>
        <w:t>TM</w:t>
      </w:r>
      <w:r>
        <w:rPr>
          <w:rFonts w:ascii="Arial" w:cs="Arial" w:eastAsia="Arial" w:hAnsi="Arial"/>
          <w:sz w:val="17"/>
          <w:szCs w:val="17"/>
          <w:color w:val="auto"/>
        </w:rPr>
        <w:t xml:space="preserve"> high performance energy drinks, introduced in the first quarter of 2019, and (ii) the price increase described above. Net changes in foreign currency exchange rates had an unfavorable impact on gross sales for the Monster Energy® Drinks segment of approximately $49.0 million for the six-months ended June 30, 2019.</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sales of our Strategic Brands segment were $170.0 million for the six-months ended June 30, 2019, an increase of $1.6 million, or 1.0% higher than gross sales of $168.3 million for the six-months ended June 30, 2018. Net changes in foreign currency exchange rates had an unfavorable impact on gross sales in the Strategic Brands segment of approximately $7.6 million for the six-months ended June 30, 2019.</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Gross sales of our Other Segment were $11.1 million for the six-months ended June 30, 2019, a decrease of $0.2 million, or 1.5% lower than gross sales of $11.3 million for the six-months ended June 30, 2018.</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Promotional and other allowances, as described in the footnote below, were $326.8 million for the six-months ended June 30, 2019, an increase of $11.7 million, or 3.7% higher than promotional and other allowances of $315.1 million</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six-months ended June 30, 2018. Promotional and other allowances as a percentage of gross sales decreased to 13.8% from 14.4% for the six-months ended June 30, 2019 and 2018, respectively.</w:t>
      </w:r>
    </w:p>
    <w:p>
      <w:pPr>
        <w:spacing w:after="0" w:line="170" w:lineRule="exact"/>
        <w:rPr>
          <w:sz w:val="20"/>
          <w:szCs w:val="20"/>
          <w:color w:val="auto"/>
        </w:rPr>
      </w:pPr>
    </w:p>
    <w:p>
      <w:pPr>
        <w:jc w:val="both"/>
        <w:ind w:firstLine="689"/>
        <w:spacing w:after="0" w:line="270" w:lineRule="auto"/>
        <w:rPr>
          <w:sz w:val="20"/>
          <w:szCs w:val="20"/>
          <w:color w:val="auto"/>
        </w:rPr>
      </w:pPr>
      <w:r>
        <w:rPr>
          <w:rFonts w:ascii="Arial" w:cs="Arial" w:eastAsia="Arial" w:hAnsi="Arial"/>
          <w:sz w:val="17"/>
          <w:szCs w:val="17"/>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reconciles the non-GAAP financial measure of gross sales with the most directly comparable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 of net sales: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3"/>
          </w:tcPr>
          <w:p>
            <w:pPr>
              <w:jc w:val="right"/>
              <w:ind w:right="170"/>
              <w:spacing w:after="0"/>
              <w:rPr>
                <w:sz w:val="20"/>
                <w:szCs w:val="20"/>
                <w:color w:val="auto"/>
              </w:rPr>
            </w:pPr>
            <w:r>
              <w:rPr>
                <w:rFonts w:ascii="Arial" w:cs="Arial" w:eastAsia="Arial" w:hAnsi="Arial"/>
                <w:sz w:val="18"/>
                <w:szCs w:val="18"/>
                <w:color w:val="auto"/>
              </w:rPr>
              <w:t>Three-Months Ended</w:t>
            </w:r>
          </w:p>
        </w:tc>
        <w:tc>
          <w:tcPr>
            <w:tcW w:w="1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Percentage</w:t>
            </w:r>
          </w:p>
        </w:tc>
        <w:tc>
          <w:tcPr>
            <w:tcW w:w="2060" w:type="dxa"/>
            <w:vAlign w:val="bottom"/>
            <w:gridSpan w:val="3"/>
          </w:tcPr>
          <w:p>
            <w:pPr>
              <w:jc w:val="right"/>
              <w:ind w:right="250"/>
              <w:spacing w:after="0"/>
              <w:rPr>
                <w:sz w:val="20"/>
                <w:szCs w:val="20"/>
                <w:color w:val="auto"/>
              </w:rPr>
            </w:pPr>
            <w:r>
              <w:rPr>
                <w:rFonts w:ascii="Arial" w:cs="Arial" w:eastAsia="Arial" w:hAnsi="Arial"/>
                <w:sz w:val="18"/>
                <w:szCs w:val="18"/>
                <w:color w:val="auto"/>
              </w:rPr>
              <w:t>Six-Months Ended</w:t>
            </w:r>
          </w:p>
        </w:tc>
        <w:tc>
          <w:tcPr>
            <w:tcW w:w="18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2060" w:type="dxa"/>
            <w:vAlign w:val="bottom"/>
            <w:gridSpan w:val="3"/>
          </w:tcPr>
          <w:p>
            <w:pPr>
              <w:jc w:val="right"/>
              <w:ind w:right="65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Change</w:t>
            </w:r>
          </w:p>
        </w:tc>
        <w:tc>
          <w:tcPr>
            <w:tcW w:w="2060" w:type="dxa"/>
            <w:vAlign w:val="bottom"/>
            <w:gridSpan w:val="3"/>
          </w:tcPr>
          <w:p>
            <w:pPr>
              <w:jc w:val="right"/>
              <w:ind w:right="65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0"/>
        </w:trPr>
        <w:tc>
          <w:tcPr>
            <w:tcW w:w="2420" w:type="dxa"/>
            <w:vAlign w:val="bottom"/>
            <w:gridSpan w:val="2"/>
            <w:vMerge w:val="continue"/>
          </w:tcPr>
          <w:p>
            <w:pPr>
              <w:spacing w:after="0"/>
              <w:rPr>
                <w:sz w:val="18"/>
                <w:szCs w:val="18"/>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 vs. 18</w:t>
            </w:r>
          </w:p>
        </w:tc>
        <w:tc>
          <w:tcPr>
            <w:tcW w:w="340" w:type="dxa"/>
            <w:vAlign w:val="bottom"/>
          </w:tcPr>
          <w:p>
            <w:pPr>
              <w:spacing w:after="0"/>
              <w:rPr>
                <w:sz w:val="18"/>
                <w:szCs w:val="18"/>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 vs. 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Gross sales, net of discounts</w:t>
            </w:r>
          </w:p>
        </w:tc>
        <w:tc>
          <w:tcPr>
            <w:tcW w:w="1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140"/>
              <w:spacing w:after="0"/>
              <w:rPr>
                <w:sz w:val="20"/>
                <w:szCs w:val="20"/>
                <w:color w:val="auto"/>
              </w:rPr>
            </w:pPr>
            <w:r>
              <w:rPr>
                <w:rFonts w:ascii="Arial" w:cs="Arial" w:eastAsia="Arial" w:hAnsi="Arial"/>
                <w:sz w:val="18"/>
                <w:szCs w:val="18"/>
                <w:color w:val="auto"/>
              </w:rPr>
              <w:t>and returns</w:t>
            </w:r>
          </w:p>
        </w:tc>
        <w:tc>
          <w:tcPr>
            <w:tcW w:w="940" w:type="dxa"/>
            <w:vAlign w:val="bottom"/>
          </w:tcPr>
          <w:p>
            <w:pPr>
              <w:jc w:val="right"/>
              <w:spacing w:after="0"/>
              <w:rPr>
                <w:sz w:val="20"/>
                <w:szCs w:val="20"/>
                <w:color w:val="auto"/>
              </w:rPr>
            </w:pPr>
            <w:r>
              <w:rPr>
                <w:rFonts w:ascii="Arial" w:cs="Arial" w:eastAsia="Arial" w:hAnsi="Arial"/>
                <w:sz w:val="18"/>
                <w:szCs w:val="18"/>
                <w:color w:val="auto"/>
                <w:w w:val="90"/>
              </w:rPr>
              <w:t>$ 1,286,436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$ 1,191,251</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8.0 %</w:t>
            </w:r>
          </w:p>
        </w:tc>
        <w:tc>
          <w:tcPr>
            <w:tcW w:w="940" w:type="dxa"/>
            <w:vAlign w:val="bottom"/>
          </w:tcPr>
          <w:p>
            <w:pPr>
              <w:jc w:val="right"/>
              <w:spacing w:after="0"/>
              <w:rPr>
                <w:sz w:val="20"/>
                <w:szCs w:val="20"/>
                <w:color w:val="auto"/>
              </w:rPr>
            </w:pPr>
            <w:r>
              <w:rPr>
                <w:rFonts w:ascii="Arial" w:cs="Arial" w:eastAsia="Arial" w:hAnsi="Arial"/>
                <w:sz w:val="18"/>
                <w:szCs w:val="18"/>
                <w:color w:val="auto"/>
                <w:w w:val="90"/>
              </w:rPr>
              <w:t>$ 2,376,862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$ 2,181,890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Less: Promotional and other</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40"/>
              <w:spacing w:after="0"/>
              <w:rPr>
                <w:sz w:val="20"/>
                <w:szCs w:val="20"/>
                <w:color w:val="auto"/>
              </w:rPr>
            </w:pPr>
            <w:r>
              <w:rPr>
                <w:rFonts w:ascii="Arial" w:cs="Arial" w:eastAsia="Arial" w:hAnsi="Arial"/>
                <w:sz w:val="18"/>
                <w:szCs w:val="18"/>
                <w:color w:val="auto"/>
              </w:rPr>
              <w:t>allowances***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182,391</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175,378</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4.0 %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326,825</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315,097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10"/>
        </w:trPr>
        <w:tc>
          <w:tcPr>
            <w:tcW w:w="24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$ 1,104,045</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$ 1,015,873</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8.7 %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$ 2,050,037</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$ 1,866,793</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13"/>
          <w:szCs w:val="13"/>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 (i) discounts granted off list prices to support price promotions to end-consumers by retailers;</w:t>
      </w:r>
    </w:p>
    <w:p>
      <w:pPr>
        <w:spacing w:after="0" w:line="1" w:lineRule="exact"/>
        <w:rPr>
          <w:sz w:val="20"/>
          <w:szCs w:val="20"/>
          <w:color w:val="auto"/>
        </w:rPr>
      </w:pPr>
    </w:p>
    <w:p>
      <w:pPr>
        <w:jc w:val="both"/>
        <w:ind w:firstLine="9"/>
        <w:spacing w:after="0" w:line="238" w:lineRule="auto"/>
        <w:tabs>
          <w:tab w:leader="none" w:pos="212"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w:t>
      </w:r>
    </w:p>
    <w:p>
      <w:pPr>
        <w:spacing w:after="0" w:line="1" w:lineRule="exact"/>
        <w:rPr>
          <w:rFonts w:ascii="Arial" w:cs="Arial" w:eastAsia="Arial" w:hAnsi="Arial"/>
          <w:sz w:val="13"/>
          <w:szCs w:val="13"/>
          <w:i w:val="1"/>
          <w:iCs w:val="1"/>
          <w:color w:val="auto"/>
        </w:rPr>
      </w:pPr>
    </w:p>
    <w:p>
      <w:pPr>
        <w:jc w:val="both"/>
        <w:ind w:firstLine="9"/>
        <w:spacing w:after="0" w:line="225" w:lineRule="auto"/>
        <w:tabs>
          <w:tab w:leader="none" w:pos="251"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 and six-months ended June 30, 2019 and 2018 were (i) to increase sales volume and trial, (ii) to address market conditions, and (iii) to secure shelf and display space at retail.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table below discloses selected quarterly data regarding sales for the three- and six-months ended June 30, 2019 and 2018, respectively. Data from any one or more quarters or periods is not necessarily indicative of annual results or continuing trends.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5"/>
          </w:tcPr>
          <w:p>
            <w:pPr>
              <w:jc w:val="right"/>
              <w:ind w:right="440"/>
              <w:spacing w:after="0"/>
              <w:rPr>
                <w:sz w:val="20"/>
                <w:szCs w:val="20"/>
                <w:color w:val="auto"/>
              </w:rPr>
            </w:pPr>
            <w:r>
              <w:rPr>
                <w:rFonts w:ascii="Arial" w:cs="Arial" w:eastAsia="Arial" w:hAnsi="Arial"/>
                <w:sz w:val="18"/>
                <w:szCs w:val="18"/>
                <w:color w:val="auto"/>
                <w:w w:val="96"/>
              </w:rPr>
              <w:t>Three-Months Ended</w:t>
            </w:r>
          </w:p>
        </w:tc>
        <w:tc>
          <w:tcPr>
            <w:tcW w:w="140" w:type="dxa"/>
            <w:vAlign w:val="bottom"/>
          </w:tcPr>
          <w:p>
            <w:pPr>
              <w:spacing w:after="0"/>
              <w:rPr>
                <w:sz w:val="18"/>
                <w:szCs w:val="18"/>
                <w:color w:val="auto"/>
              </w:rPr>
            </w:pPr>
          </w:p>
        </w:tc>
        <w:tc>
          <w:tcPr>
            <w:tcW w:w="1940" w:type="dxa"/>
            <w:vAlign w:val="bottom"/>
            <w:gridSpan w:val="4"/>
          </w:tcPr>
          <w:p>
            <w:pPr>
              <w:jc w:val="right"/>
              <w:ind w:right="270"/>
              <w:spacing w:after="0"/>
              <w:rPr>
                <w:sz w:val="20"/>
                <w:szCs w:val="20"/>
                <w:color w:val="auto"/>
              </w:rPr>
            </w:pPr>
            <w:r>
              <w:rPr>
                <w:rFonts w:ascii="Arial" w:cs="Arial" w:eastAsia="Arial" w:hAnsi="Arial"/>
                <w:sz w:val="18"/>
                <w:szCs w:val="18"/>
                <w:color w:val="auto"/>
              </w:rPr>
              <w:t>Six-Months Ended</w:t>
            </w:r>
          </w:p>
        </w:tc>
        <w:tc>
          <w:tcPr>
            <w:tcW w:w="0" w:type="dxa"/>
            <w:vAlign w:val="bottom"/>
          </w:tcPr>
          <w:p>
            <w:pPr>
              <w:spacing w:after="0"/>
              <w:rPr>
                <w:sz w:val="1"/>
                <w:szCs w:val="1"/>
                <w:color w:val="auto"/>
              </w:rPr>
            </w:pPr>
          </w:p>
        </w:tc>
      </w:tr>
      <w:tr>
        <w:trPr>
          <w:trHeight w:val="23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(In thousands, except average net sales per case)</w:t>
            </w:r>
          </w:p>
        </w:tc>
        <w:tc>
          <w:tcPr>
            <w:tcW w:w="140" w:type="dxa"/>
            <w:vAlign w:val="bottom"/>
          </w:tcPr>
          <w:p>
            <w:pPr>
              <w:spacing w:after="0"/>
              <w:rPr>
                <w:sz w:val="20"/>
                <w:szCs w:val="20"/>
                <w:color w:val="auto"/>
              </w:rPr>
            </w:pPr>
          </w:p>
        </w:tc>
        <w:tc>
          <w:tcPr>
            <w:tcW w:w="2100" w:type="dxa"/>
            <w:vAlign w:val="bottom"/>
            <w:gridSpan w:val="5"/>
          </w:tcPr>
          <w:p>
            <w:pPr>
              <w:jc w:val="right"/>
              <w:ind w:right="92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20"/>
                <w:szCs w:val="20"/>
                <w:color w:val="auto"/>
              </w:rPr>
            </w:pPr>
          </w:p>
        </w:tc>
        <w:tc>
          <w:tcPr>
            <w:tcW w:w="1940" w:type="dxa"/>
            <w:vAlign w:val="bottom"/>
            <w:gridSpan w:val="4"/>
          </w:tcPr>
          <w:p>
            <w:pPr>
              <w:jc w:val="right"/>
              <w:ind w:right="67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1,104,045</w:t>
            </w:r>
          </w:p>
        </w:tc>
        <w:tc>
          <w:tcPr>
            <w:tcW w:w="18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1,015,873</w:t>
            </w:r>
          </w:p>
        </w:tc>
        <w:tc>
          <w:tcPr>
            <w:tcW w:w="18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2,050,037</w:t>
            </w:r>
          </w:p>
        </w:tc>
        <w:tc>
          <w:tcPr>
            <w:tcW w:w="18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1,866,793</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Less: AFF third-party sales</w:t>
            </w: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(5,791)</w:t>
            </w: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(6,623)</w:t>
            </w: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(11,112)</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10"/>
        </w:trPr>
        <w:tc>
          <w:tcPr>
            <w:tcW w:w="4740" w:type="dxa"/>
            <w:vAlign w:val="bottom"/>
            <w:gridSpan w:val="2"/>
          </w:tcPr>
          <w:p>
            <w:pPr>
              <w:spacing w:after="0" w:line="210" w:lineRule="exact"/>
              <w:rPr>
                <w:sz w:val="20"/>
                <w:szCs w:val="20"/>
                <w:color w:val="auto"/>
              </w:rPr>
            </w:pPr>
            <w:r>
              <w:rPr>
                <w:rFonts w:ascii="Arial" w:cs="Arial" w:eastAsia="Arial" w:hAnsi="Arial"/>
                <w:sz w:val="16"/>
                <w:szCs w:val="16"/>
                <w:color w:val="auto"/>
              </w:rPr>
              <w:t>Adjusted net sales</w:t>
            </w:r>
            <w:r>
              <w:rPr>
                <w:rFonts w:ascii="Arial" w:cs="Arial" w:eastAsia="Arial" w:hAnsi="Arial"/>
                <w:sz w:val="24"/>
                <w:szCs w:val="24"/>
                <w:color w:val="auto"/>
                <w:vertAlign w:val="superscript"/>
              </w:rPr>
              <w:t>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1,098,254</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1,009,250</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2,038,925</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1,855,513</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Case sales by segment:</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Monster Energy® Drinks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98,821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90,827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182,296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165,939</w:t>
            </w:r>
          </w:p>
        </w:tc>
        <w:tc>
          <w:tcPr>
            <w:tcW w:w="0" w:type="dxa"/>
            <w:vAlign w:val="bottom"/>
          </w:tcPr>
          <w:p>
            <w:pPr>
              <w:spacing w:after="0"/>
              <w:rPr>
                <w:sz w:val="1"/>
                <w:szCs w:val="1"/>
                <w:color w:val="auto"/>
              </w:rPr>
            </w:pPr>
          </w:p>
        </w:tc>
      </w:tr>
      <w:tr>
        <w:trPr>
          <w:trHeight w:val="216"/>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Strategic Brands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38,583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36,433</w:t>
            </w:r>
          </w:p>
        </w:tc>
        <w:tc>
          <w:tcPr>
            <w:tcW w:w="0" w:type="dxa"/>
            <w:vAlign w:val="bottom"/>
          </w:tcPr>
          <w:p>
            <w:pPr>
              <w:spacing w:after="0"/>
              <w:rPr>
                <w:sz w:val="1"/>
                <w:szCs w:val="1"/>
                <w:color w:val="auto"/>
              </w:rPr>
            </w:pPr>
          </w:p>
        </w:tc>
      </w:tr>
      <w:tr>
        <w:trPr>
          <w:trHeight w:val="230"/>
        </w:trPr>
        <w:tc>
          <w:tcPr>
            <w:tcW w:w="474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8"/>
                <w:szCs w:val="18"/>
                <w:color w:val="auto"/>
              </w:rPr>
              <w:t>Total case sales</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119,595</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110,057</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220,879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202,372</w:t>
            </w:r>
          </w:p>
        </w:tc>
        <w:tc>
          <w:tcPr>
            <w:tcW w:w="0" w:type="dxa"/>
            <w:vAlign w:val="bottom"/>
          </w:tcPr>
          <w:p>
            <w:pPr>
              <w:spacing w:after="0"/>
              <w:rPr>
                <w:sz w:val="1"/>
                <w:szCs w:val="1"/>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8"/>
                <w:szCs w:val="18"/>
                <w:color w:val="auto"/>
              </w:rPr>
              <w:t>Average net sales per case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34" w:lineRule="auto"/>
        <w:rPr>
          <w:sz w:val="20"/>
          <w:szCs w:val="20"/>
          <w:color w:val="auto"/>
        </w:rPr>
      </w:pPr>
      <w:r>
        <w:rPr>
          <w:rFonts w:ascii="Arial" w:cs="Arial" w:eastAsia="Arial" w:hAnsi="Arial"/>
          <w:sz w:val="11"/>
          <w:szCs w:val="11"/>
          <w:i w:val="1"/>
          <w:iCs w:val="1"/>
          <w:color w:val="auto"/>
        </w:rPr>
        <w:t>1</w:t>
      </w:r>
      <w:r>
        <w:rPr>
          <w:rFonts w:ascii="Arial" w:cs="Arial" w:eastAsia="Arial" w:hAnsi="Arial"/>
          <w:sz w:val="14"/>
          <w:szCs w:val="14"/>
          <w:i w:val="1"/>
          <w:iCs w:val="1"/>
          <w:color w:val="auto"/>
        </w:rPr>
        <w:t>Excludes Other segment net sales of $5.8 million and $6.6 million for the three-months ended June 30, 2019 and 2018, respectively, comprised of net sales</w:t>
      </w:r>
      <w:r>
        <w:rPr>
          <w:rFonts w:ascii="Arial" w:cs="Arial" w:eastAsia="Arial" w:hAnsi="Arial"/>
          <w:sz w:val="11"/>
          <w:szCs w:val="11"/>
          <w:i w:val="1"/>
          <w:iCs w:val="1"/>
          <w:color w:val="auto"/>
        </w:rPr>
        <w:t xml:space="preserve"> </w:t>
      </w:r>
      <w:r>
        <w:rPr>
          <w:rFonts w:ascii="Arial" w:cs="Arial" w:eastAsia="Arial" w:hAnsi="Arial"/>
          <w:sz w:val="14"/>
          <w:szCs w:val="14"/>
          <w:i w:val="1"/>
          <w:iCs w:val="1"/>
          <w:color w:val="auto"/>
        </w:rPr>
        <w:t>of AFF Third-Party Products to independent third-party customers, as these sales do not have unit case equivalents. Excludes Other segment net sales of $11.1 million and $11.3 million for the six-months ended June 30, 2019 and 2018, respectively, comprised of net sales of AFF Third-Party Products to independent third-party customers, as these sales do not have unit case equivalents.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Item 2, “Management’s Discussion and Analysis of Financial Condition and Results of Operations - Our Business” for additional information related to the increase in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Cash provided by operating activities was $454.8 million for the six-months ended June 30, 2019, as compared with cash provided by operating activities of $501.3 million for the six-months ended June 30, 2018.</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six-months ended June 30, 2019, cash provided by operating activities was primarily attributable to net income earned of $554.0 million and adjustments for certain non-cash expenses, consisting of $30.9 million of stock-based compensation and $32.4 million of depreciation and amortization. For the six-months ended June 30, 2019, cash provided by operating activities also increased due to a $53.6 million increase in accrued promotional allowances, a $36.9 million increase in accounts payable, a $5.0 million increase in income taxes payable, a $4.6 million decrease in prepaid income taxes and a $4.5 million decrease in distributor receivables. For the six-months ended June 30, 2019, cash used in operating activities was primarily attributable to a $204.4 million increase in accounts receivable, a $21.5 million increase in inventories, a $16.8 million increase in prepaid expenses and other assets, a $14.4 million decrease in deferred revenue, a $10.5 million decrease in accrued compensation and a $1.4 million decrease in accrued liabilities.</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the six-months ended June 30, 2018, cash provided by operating activities was primarily attributable to net income earned of $486.2 million and adjustments for certain non-cash expenses, consisting of $28.3 million of stock-based compensation and $28.2 million of depreciation and other amortization. For the six-months ended June 30, 2018, cash provided by operating activities also increased due to a $105.0 million decrease in prepaid income taxes, a $43.2 million increase in accrued promotional allowances, a $24.7 million increase in accounts payable, a $8.0 million increase in income taxes payable and a $5.8 million decrease in distributor receivables. For the six-months ended June 30, 2018, cash used in operating activities was primarily attributable to a $154.4 million increase in accounts receivable, a $22.8 million increase in inventories, a $16.0 million increase in prepaid expenses and other current assets, a $15.6 million decrease in accrued liabilities, a $12.3 million decrease in deferred revenue and an $8.4 million decrease in accrued compensation.</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Cash flows (used in) provided by investing activities. </w:t>
      </w:r>
      <w:r>
        <w:rPr>
          <w:rFonts w:ascii="Arial" w:cs="Arial" w:eastAsia="Arial" w:hAnsi="Arial"/>
          <w:sz w:val="18"/>
          <w:szCs w:val="18"/>
          <w:color w:val="auto"/>
        </w:rPr>
        <w:t>Cash used in investing activities was $56.0 million for the six-months ended June 30, 2019 as compared to cash provided by investing activities of $426.2 million for the six-months ended June 30, 2018.</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For both the six-months ended June 30, 2019 and 2018, cash provided by investing activities was primarily attributable to sales of available-for-sale investments. For both the six-months ended June 30, 2019 and 2018, cash used in investing activities was primarily attributable to purchases of available-for-sale investments. For both the six-months ended June 30, 2019 and 2018,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Cash flows used in financing activities. </w:t>
      </w:r>
      <w:r>
        <w:rPr>
          <w:rFonts w:ascii="Arial" w:cs="Arial" w:eastAsia="Arial" w:hAnsi="Arial"/>
          <w:sz w:val="18"/>
          <w:szCs w:val="18"/>
          <w:color w:val="auto"/>
        </w:rPr>
        <w:t>Cash used in financing activities was $151.4 million for the six-months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as compared to cash flows used in financing activities of $792.5 million for the six-months ended June 30, 2018. The cash flows used in financing activities for both the six-months ended June 30, 2019 and 2018 was primarily the result of the repurchases of our common stock. The cash flows provided by financing activities for both the six-months ended June 30, 2019, and 2018 was primarily attributable to the issuance of our common stock under our stock-based compensation plans.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Cash and cash equivalents, short-term and long-term investments. </w:t>
      </w:r>
      <w:r>
        <w:rPr>
          <w:rFonts w:ascii="Arial" w:cs="Arial" w:eastAsia="Arial" w:hAnsi="Arial"/>
          <w:sz w:val="17"/>
          <w:szCs w:val="17"/>
          <w:color w:val="auto"/>
        </w:rPr>
        <w:t>At June 30, 2019, we had $888.2 million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and cash equivalents, $358.0 million in short-term investments and $7.0 million in long-term investments. We have historically invested these amounts in U.S. treasury bills, U.S. government agency securities and municipal securities, commercial paper, certificates of deposit,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 our $888.2 million of cash and cash equivalents held at June 30, 2019, $354.1 million was held by our foreign subsidiaries. No short-term or long-term investments were held by our foreign subsidiaries at June 30, 2019. We do not currently intend, nor do we foresee a need, to repatriate undistributed earnings of our foreign subsidiaries other than to repay certain intercompany debt owed to our U.S. operations.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Based on our current plans, at this time we estimate that capital expenditures are likely to be less than $100.0 million through June 30, 2020. However, future business opportunities may cause a change in this estimate.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June 30,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color w:val="auto"/>
                <w:w w:val="91"/>
              </w:rPr>
              <w:t>Payments due by period (in thousands)</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19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60"/>
              <w:spacing w:after="0" w:line="195" w:lineRule="exact"/>
              <w:rPr>
                <w:sz w:val="20"/>
                <w:szCs w:val="20"/>
                <w:color w:val="auto"/>
              </w:rPr>
            </w:pPr>
            <w:r>
              <w:rPr>
                <w:rFonts w:ascii="Arial" w:cs="Arial" w:eastAsia="Arial" w:hAnsi="Arial"/>
                <w:sz w:val="18"/>
                <w:szCs w:val="18"/>
                <w:color w:val="auto"/>
              </w:rPr>
              <w:t>Less than</w:t>
            </w:r>
          </w:p>
        </w:tc>
        <w:tc>
          <w:tcPr>
            <w:tcW w:w="7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6"/>
                <w:szCs w:val="16"/>
                <w:color w:val="auto"/>
              </w:rPr>
            </w:pPr>
          </w:p>
        </w:tc>
        <w:tc>
          <w:tcPr>
            <w:tcW w:w="7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6"/>
                <w:szCs w:val="16"/>
                <w:color w:val="auto"/>
              </w:rPr>
            </w:pPr>
          </w:p>
        </w:tc>
        <w:tc>
          <w:tcPr>
            <w:tcW w:w="80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91"/>
              </w:rPr>
              <w:t>More than</w:t>
            </w:r>
          </w:p>
        </w:tc>
      </w:tr>
      <w:tr>
        <w:trPr>
          <w:trHeight w:val="230"/>
        </w:trPr>
        <w:tc>
          <w:tcPr>
            <w:tcW w:w="432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Obligations</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 year</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years</w:t>
            </w:r>
          </w:p>
        </w:tc>
        <w:tc>
          <w:tcPr>
            <w:tcW w:w="200" w:type="dxa"/>
            <w:vAlign w:val="bottom"/>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years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5 years</w:t>
            </w:r>
          </w:p>
        </w:tc>
      </w:tr>
      <w:tr>
        <w:trPr>
          <w:trHeight w:val="411"/>
        </w:trPr>
        <w:tc>
          <w:tcPr>
            <w:tcW w:w="4520" w:type="dxa"/>
            <w:vAlign w:val="bottom"/>
            <w:gridSpan w:val="2"/>
          </w:tcPr>
          <w:p>
            <w:pPr>
              <w:spacing w:after="0"/>
              <w:rPr>
                <w:sz w:val="20"/>
                <w:szCs w:val="20"/>
                <w:color w:val="auto"/>
              </w:rPr>
            </w:pPr>
            <w:r>
              <w:rPr>
                <w:rFonts w:ascii="Arial" w:cs="Arial" w:eastAsia="Arial" w:hAnsi="Arial"/>
                <w:sz w:val="18"/>
                <w:szCs w:val="18"/>
                <w:color w:val="auto"/>
              </w:rPr>
              <w:t>Contractual Obligations</w:t>
            </w:r>
            <w:r>
              <w:rPr>
                <w:rFonts w:ascii="Arial" w:cs="Arial" w:eastAsia="Arial" w:hAnsi="Arial"/>
                <w:sz w:val="27"/>
                <w:szCs w:val="27"/>
                <w:color w:val="auto"/>
                <w:vertAlign w:val="superscript"/>
              </w:rPr>
              <w:t>1</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$ 174,951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$ 101,017</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$ 63,712</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1"/>
              </w:rPr>
              <w:t>$ 10,222</w:t>
            </w:r>
          </w:p>
        </w:tc>
        <w:tc>
          <w:tcPr>
            <w:tcW w:w="1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800" w:type="dxa"/>
            <w:vAlign w:val="bottom"/>
          </w:tcPr>
          <w:p>
            <w:pPr>
              <w:jc w:val="right"/>
              <w:spacing w:after="0"/>
              <w:rPr>
                <w:sz w:val="20"/>
                <w:szCs w:val="20"/>
                <w:color w:val="auto"/>
              </w:rPr>
            </w:pPr>
            <w:r>
              <w:rPr>
                <w:rFonts w:ascii="Arial" w:cs="Arial" w:eastAsia="Arial" w:hAnsi="Arial"/>
                <w:sz w:val="18"/>
                <w:szCs w:val="18"/>
                <w:color w:val="auto"/>
              </w:rPr>
              <w:t>1,179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1,179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800" w:type="dxa"/>
            <w:vAlign w:val="bottom"/>
          </w:tcPr>
          <w:p>
            <w:pPr>
              <w:jc w:val="right"/>
              <w:spacing w:after="0"/>
              <w:rPr>
                <w:sz w:val="20"/>
                <w:szCs w:val="20"/>
                <w:color w:val="auto"/>
              </w:rPr>
            </w:pPr>
            <w:r>
              <w:rPr>
                <w:rFonts w:ascii="Arial" w:cs="Arial" w:eastAsia="Arial" w:hAnsi="Arial"/>
                <w:sz w:val="18"/>
                <w:szCs w:val="18"/>
                <w:color w:val="auto"/>
              </w:rPr>
              <w:t>26,703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3,838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5,519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13,832</w:t>
            </w:r>
          </w:p>
        </w:tc>
      </w:tr>
      <w:tr>
        <w:trPr>
          <w:trHeight w:val="230"/>
        </w:trPr>
        <w:tc>
          <w:tcPr>
            <w:tcW w:w="4520" w:type="dxa"/>
            <w:vAlign w:val="bottom"/>
            <w:gridSpan w:val="2"/>
          </w:tcPr>
          <w:p>
            <w:pPr>
              <w:spacing w:after="0" w:line="230"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6"/>
                <w:szCs w:val="26"/>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43,074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43,074</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$ 245,907</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$ 149,108</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$ 69,231</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$ 13,736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13,832</w:t>
            </w: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1</w:t>
      </w:r>
      <w:r>
        <w:rPr>
          <w:rFonts w:ascii="Arial" w:cs="Arial" w:eastAsia="Arial" w:hAnsi="Arial"/>
          <w:sz w:val="14"/>
          <w:szCs w:val="14"/>
          <w:i w:val="1"/>
          <w:iCs w:val="1"/>
          <w:color w:val="auto"/>
        </w:rPr>
        <w:t>Contractual obligations include our obligations related to sponsorships and other commitments.</w:t>
      </w:r>
    </w:p>
    <w:p>
      <w:pPr>
        <w:spacing w:after="0" w:line="136"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2</w:t>
      </w:r>
      <w:r>
        <w:rPr>
          <w:rFonts w:ascii="Arial" w:cs="Arial" w:eastAsia="Arial" w:hAnsi="Arial"/>
          <w:sz w:val="13"/>
          <w:szCs w:val="13"/>
          <w:i w:val="1"/>
          <w:iCs w:val="1"/>
          <w:color w:val="auto"/>
        </w:rPr>
        <w:t>Purchase commitments include obligations made by us and our subsidiaries to various suppliers for raw materials used in the production of our products.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These obligations vary in terms, but are generally satisfied within one year.</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approximately $6.2 million of unrecognized tax benefits have been recorded as liabilities as of June 30, 2019. It is expected that the amount of unrecognized tax benefits will not significantly change within the next 12 months. As of June 30, 2019, we had $1.3 million of accrued interest and penalties related to unrecognized tax benefits.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2018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52525"/>
        </w:rPr>
        <w:t>Recent Accounting Pronouncements</w:t>
      </w:r>
    </w:p>
    <w:p>
      <w:pPr>
        <w:spacing w:after="0" w:line="225" w:lineRule="exact"/>
        <w:rPr>
          <w:sz w:val="20"/>
          <w:szCs w:val="20"/>
          <w:color w:val="auto"/>
        </w:rPr>
      </w:pPr>
    </w:p>
    <w:p>
      <w:pPr>
        <w:jc w:val="both"/>
        <w:ind w:firstLine="695"/>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Notes to Condensed Consolidated Financial Statements - Note 2. Recent Accounting Pronouncements, in Part I, Item 1, of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inflation did not have a significant impact on our results of operations for the periods presented.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1" w:lineRule="exact"/>
        <w:rPr>
          <w:sz w:val="20"/>
          <w:szCs w:val="20"/>
          <w:color w:val="auto"/>
        </w:rPr>
      </w:pPr>
    </w:p>
    <w:p>
      <w:pPr>
        <w:ind w:left="340" w:hanging="331"/>
        <w:spacing w:after="0" w:line="258"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extensive commercial arrangements with TCCC and, as a result, our future performance is substantially dependent on the success of our relationship with TCCC;</w:t>
      </w:r>
    </w:p>
    <w:p>
      <w:pPr>
        <w:spacing w:after="0" w:line="1" w:lineRule="exact"/>
        <w:rPr>
          <w:rFonts w:ascii="Arial" w:cs="Arial" w:eastAsia="Arial" w:hAnsi="Arial"/>
          <w:sz w:val="18"/>
          <w:szCs w:val="18"/>
          <w:color w:val="auto"/>
        </w:rPr>
      </w:pPr>
    </w:p>
    <w:p>
      <w:pPr>
        <w:ind w:left="340" w:hanging="331"/>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TCCC’s bottlers/distributors distributing Coca-Cola brand energy drinks;</w:t>
      </w:r>
    </w:p>
    <w:p>
      <w:pPr>
        <w:spacing w:after="0" w:line="9" w:lineRule="exact"/>
        <w:rPr>
          <w:rFonts w:ascii="Arial" w:cs="Arial" w:eastAsia="Arial" w:hAnsi="Arial"/>
          <w:sz w:val="18"/>
          <w:szCs w:val="18"/>
          <w:color w:val="auto"/>
        </w:rPr>
      </w:pPr>
    </w:p>
    <w:p>
      <w:pPr>
        <w:ind w:left="340" w:right="20" w:hanging="331"/>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TCCC being one of our significant shareholders and the potential divergence of TCCC’s interests from those of our other shareholders;</w:t>
      </w:r>
    </w:p>
    <w:p>
      <w:pPr>
        <w:jc w:val="both"/>
        <w:ind w:left="340" w:hanging="331"/>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TCCC’s refranchising initiative to transition from a TCCC owned system to an independent bottling system, including our ability to maintain relationships with TCCC system bottlers/distributors and manage their ongoing commitment to focus on our products;</w:t>
      </w:r>
    </w:p>
    <w:p>
      <w:pPr>
        <w:spacing w:after="0" w:line="1" w:lineRule="exact"/>
        <w:rPr>
          <w:rFonts w:ascii="Arial" w:cs="Arial" w:eastAsia="Arial" w:hAnsi="Arial"/>
          <w:sz w:val="18"/>
          <w:szCs w:val="18"/>
          <w:color w:val="auto"/>
        </w:rPr>
      </w:pPr>
    </w:p>
    <w:p>
      <w:pPr>
        <w:ind w:left="340" w:right="20" w:hanging="331"/>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enter into new distribution agreements with bottlers/distributors within the TCCC distribution system for new international territories;</w:t>
      </w:r>
    </w:p>
    <w:p>
      <w:pPr>
        <w:ind w:left="340" w:hanging="331"/>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slowing of and/or decline in the sales growth rates of the domestic and international energy drink categories and/or the U.S. convenience store market generally;</w:t>
      </w:r>
    </w:p>
    <w:p>
      <w:pPr>
        <w:ind w:left="340" w:hanging="331"/>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 in distribution or sales and/or decline in sales due to the termination and/or appointment of existing and/or new domestic and/or international distributors;</w:t>
      </w:r>
    </w:p>
    <w:p>
      <w:pPr>
        <w:ind w:left="340" w:hanging="331"/>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anticipated demand for our products in domestic and/or international markets;</w:t>
      </w:r>
    </w:p>
    <w:p>
      <w:pPr>
        <w:spacing w:after="0" w:line="9" w:lineRule="exact"/>
        <w:rPr>
          <w:rFonts w:ascii="Arial" w:cs="Arial" w:eastAsia="Arial" w:hAnsi="Arial"/>
          <w:sz w:val="18"/>
          <w:szCs w:val="18"/>
          <w:color w:val="auto"/>
        </w:rPr>
      </w:pPr>
    </w:p>
    <w:p>
      <w:pPr>
        <w:ind w:left="340" w:hanging="331"/>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the inventory levels of our bottlers/distributors, planned or otherwise, and the resultant impact on our revenues;</w:t>
      </w:r>
    </w:p>
    <w:p>
      <w:pPr>
        <w:jc w:val="both"/>
        <w:ind w:left="340" w:hanging="331"/>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Arial" w:cs="Arial" w:eastAsia="Arial" w:hAnsi="Arial"/>
          <w:sz w:val="18"/>
          <w:szCs w:val="18"/>
          <w:color w:val="auto"/>
        </w:rPr>
      </w:pPr>
    </w:p>
    <w:p>
      <w:pPr>
        <w:jc w:val="both"/>
        <w:ind w:left="340" w:hanging="331"/>
        <w:spacing w:after="0" w:line="26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1" w:lineRule="exact"/>
        <w:rPr>
          <w:rFonts w:ascii="Arial" w:cs="Arial" w:eastAsia="Arial" w:hAnsi="Arial"/>
          <w:sz w:val="17"/>
          <w:szCs w:val="17"/>
          <w:color w:val="auto"/>
        </w:rPr>
      </w:pPr>
    </w:p>
    <w:p>
      <w:pPr>
        <w:ind w:left="340" w:hanging="331"/>
        <w:spacing w:after="0" w:line="26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comply with regulations and evolving industry standards regarding consumer privacy and data use and security, including with respect to the General Data Protection Regulation approved by the European Union;</w:t>
      </w:r>
    </w:p>
    <w:p>
      <w:pPr>
        <w:ind w:left="340" w:hanging="331"/>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achieve profitability from certain of our operations outside the United States;</w:t>
      </w:r>
    </w:p>
    <w:p>
      <w:pPr>
        <w:spacing w:after="0" w:line="9" w:lineRule="exact"/>
        <w:rPr>
          <w:rFonts w:ascii="Arial" w:cs="Arial" w:eastAsia="Arial" w:hAnsi="Arial"/>
          <w:sz w:val="18"/>
          <w:szCs w:val="18"/>
          <w:color w:val="auto"/>
        </w:rPr>
      </w:pPr>
    </w:p>
    <w:p>
      <w:pPr>
        <w:jc w:val="both"/>
        <w:ind w:left="340" w:right="20" w:hanging="331"/>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manage legal and regulatory requirements in foreign jurisdictions, potential difficulties in staffing and managing foreign operations and potentially higher incidence of fraud or corruption and credit risk of foreign customers and/or distributors;</w:t>
      </w:r>
    </w:p>
    <w:p>
      <w:pPr>
        <w:spacing w:after="0" w:line="1" w:lineRule="exact"/>
        <w:rPr>
          <w:rFonts w:ascii="Arial" w:cs="Arial" w:eastAsia="Arial" w:hAnsi="Arial"/>
          <w:sz w:val="18"/>
          <w:szCs w:val="18"/>
          <w:color w:val="auto"/>
        </w:rPr>
      </w:pPr>
    </w:p>
    <w:p>
      <w:pPr>
        <w:ind w:left="340" w:right="20" w:hanging="331"/>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ind w:left="340" w:hanging="331"/>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absorb, reduce, or pass on to our bottlers/distributors increases in freight costs;</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effectively manage our inventories and/or our accounts receivables;</w:t>
      </w:r>
    </w:p>
    <w:p>
      <w:pPr>
        <w:spacing w:after="0" w:line="9" w:lineRule="exact"/>
        <w:rPr>
          <w:rFonts w:ascii="Arial" w:cs="Arial" w:eastAsia="Arial" w:hAnsi="Arial"/>
          <w:sz w:val="18"/>
          <w:szCs w:val="18"/>
          <w:color w:val="auto"/>
        </w:rPr>
      </w:pPr>
    </w:p>
    <w:p>
      <w:pPr>
        <w:ind w:left="340" w:right="20" w:hanging="331"/>
        <w:spacing w:after="0" w:line="26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foreign currency exchange rate risk with respect to our sales, expenses, profits, assets and liabilities denominated in currencies other than the U.S. dollar, which will continue to increase as foreign sales increase;</w:t>
      </w:r>
    </w:p>
    <w:p>
      <w:pPr>
        <w:ind w:left="340" w:hanging="331"/>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Brexit on our business in the United Kingdom and in Continental Europe;</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standards may affect our reported profitability;</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Implications of the Tax Reform Act;</w:t>
      </w:r>
    </w:p>
    <w:p>
      <w:pPr>
        <w:spacing w:after="0" w:line="9" w:lineRule="exact"/>
        <w:rPr>
          <w:rFonts w:ascii="Arial" w:cs="Arial" w:eastAsia="Arial" w:hAnsi="Arial"/>
          <w:sz w:val="18"/>
          <w:szCs w:val="18"/>
          <w:color w:val="auto"/>
        </w:rPr>
      </w:pPr>
    </w:p>
    <w:p>
      <w:pPr>
        <w:ind w:left="340" w:hanging="331"/>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proceedings which may be brought against us by the Securities and Exchange Commission (the “SEC”), the FDA, the FTC or other governmental agencies or bodies;</w:t>
      </w:r>
    </w:p>
    <w:p>
      <w:pPr>
        <w:jc w:val="both"/>
        <w:ind w:left="340" w:hanging="331"/>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spacing w:after="0" w:line="1" w:lineRule="exact"/>
        <w:rPr>
          <w:rFonts w:ascii="Arial" w:cs="Arial" w:eastAsia="Arial" w:hAnsi="Arial"/>
          <w:sz w:val="18"/>
          <w:szCs w:val="18"/>
          <w:color w:val="auto"/>
        </w:rPr>
      </w:pPr>
    </w:p>
    <w:p>
      <w:pPr>
        <w:ind w:left="340" w:hanging="331"/>
        <w:spacing w:after="0" w:line="323"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outcome of product liability or consumer fraud litigation and/or class action litigation (or its analog in foreign jurisdictions) regarding the safety of our products and/or the ingredients in and/or claims made in connection with our</w:t>
      </w:r>
    </w:p>
    <w:p>
      <w:pPr>
        <w:sectPr>
          <w:pgSz w:w="11900" w:h="16838" w:orient="portrait"/>
          <w:cols w:equalWidth="0" w:num="1">
            <w:col w:w="9060"/>
          </w:cols>
          <w:pgMar w:left="1420" w:top="517" w:right="141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20"/>
        <w:spacing w:after="0" w:line="258" w:lineRule="auto"/>
        <w:rPr>
          <w:sz w:val="20"/>
          <w:szCs w:val="20"/>
          <w:color w:val="auto"/>
        </w:rPr>
      </w:pPr>
      <w:r>
        <w:rPr>
          <w:rFonts w:ascii="Arial" w:cs="Arial" w:eastAsia="Arial" w:hAnsi="Arial"/>
          <w:sz w:val="18"/>
          <w:szCs w:val="18"/>
          <w:color w:val="auto"/>
        </w:rPr>
        <w:t>products and/or alleging false advertising, marketing and/or promotion, and the possibility of future product liability and/or class action lawsuits;</w:t>
      </w:r>
    </w:p>
    <w:p>
      <w:pPr>
        <w:spacing w:after="0" w:line="1" w:lineRule="exact"/>
        <w:rPr>
          <w:sz w:val="20"/>
          <w:szCs w:val="20"/>
          <w:color w:val="auto"/>
        </w:rPr>
      </w:pPr>
    </w:p>
    <w:p>
      <w:pPr>
        <w:ind w:left="340" w:hanging="331"/>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any other litigation;</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resolution of tax matters;</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Uncertainty and volatility in the domestic and global economies, including risk of counterparty default or failure;</w:t>
      </w:r>
    </w:p>
    <w:p>
      <w:pPr>
        <w:spacing w:after="0" w:line="20" w:lineRule="exact"/>
        <w:rPr>
          <w:rFonts w:ascii="Arial" w:cs="Arial" w:eastAsia="Arial" w:hAnsi="Arial"/>
          <w:sz w:val="17"/>
          <w:szCs w:val="17"/>
          <w:color w:val="auto"/>
        </w:rPr>
      </w:pPr>
    </w:p>
    <w:p>
      <w:pPr>
        <w:ind w:left="340" w:hanging="331"/>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address any significant deficiencies or material weakness in our internal controls over financial reporting;</w:t>
      </w:r>
    </w:p>
    <w:p>
      <w:pPr>
        <w:spacing w:after="0" w:line="32" w:lineRule="exact"/>
        <w:rPr>
          <w:rFonts w:ascii="Arial" w:cs="Arial" w:eastAsia="Arial" w:hAnsi="Arial"/>
          <w:sz w:val="16"/>
          <w:szCs w:val="16"/>
          <w:color w:val="auto"/>
        </w:rPr>
      </w:pPr>
    </w:p>
    <w:p>
      <w:pPr>
        <w:ind w:left="340" w:hanging="331"/>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continue to generate sufficient cash flows to support our expansion plans and general operating activities;</w:t>
      </w:r>
    </w:p>
    <w:p>
      <w:pPr>
        <w:spacing w:after="0" w:line="32" w:lineRule="exact"/>
        <w:rPr>
          <w:rFonts w:ascii="Arial" w:cs="Arial" w:eastAsia="Arial" w:hAnsi="Arial"/>
          <w:sz w:val="16"/>
          <w:szCs w:val="16"/>
          <w:color w:val="auto"/>
        </w:rPr>
      </w:pPr>
    </w:p>
    <w:p>
      <w:pPr>
        <w:jc w:val="both"/>
        <w:ind w:left="340" w:hanging="331"/>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Arial" w:cs="Arial" w:eastAsia="Arial" w:hAnsi="Arial"/>
          <w:sz w:val="18"/>
          <w:szCs w:val="18"/>
          <w:color w:val="auto"/>
        </w:rPr>
      </w:pPr>
    </w:p>
    <w:p>
      <w:pPr>
        <w:ind w:left="340" w:hanging="331"/>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surrounding obesity and health concerns related to our products, water usage, environmental impact, human rights and labor and workplace laws;</w:t>
      </w:r>
    </w:p>
    <w:p>
      <w:pPr>
        <w:ind w:left="340" w:hanging="331"/>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demand that are weather related and/or for other reasons, including changes in product category consumption;</w:t>
      </w:r>
    </w:p>
    <w:p>
      <w:pPr>
        <w:ind w:left="340" w:right="20" w:hanging="331"/>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cost and availability of certain key ingredients, as well as disruptions to the supply chain, as a result of climate change and extreme weather conditions;</w:t>
      </w:r>
    </w:p>
    <w:p>
      <w:pPr>
        <w:jc w:val="both"/>
        <w:ind w:left="340" w:hanging="331"/>
        <w:spacing w:after="0" w:line="265"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ind w:left="340" w:hanging="331"/>
        <w:spacing w:after="0" w:line="20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on our business of trademark and trade dress infringement proceedings brought against us relating to our Reign Total Body Fuel</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high performance energy drinks;</w:t>
      </w:r>
    </w:p>
    <w:p>
      <w:pPr>
        <w:ind w:left="340" w:hanging="331"/>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introduce new products;</w:t>
      </w:r>
    </w:p>
    <w:p>
      <w:pPr>
        <w:spacing w:after="0" w:line="7" w:lineRule="exact"/>
        <w:rPr>
          <w:rFonts w:ascii="Arial" w:cs="Arial" w:eastAsia="Arial" w:hAnsi="Arial"/>
          <w:sz w:val="18"/>
          <w:szCs w:val="18"/>
          <w:color w:val="auto"/>
        </w:rPr>
      </w:pPr>
    </w:p>
    <w:p>
      <w:pPr>
        <w:ind w:left="340" w:hanging="331"/>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implement and/or maintain price increases;</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achieve volume growth through product and packaging initiatives;</w:t>
      </w:r>
    </w:p>
    <w:p>
      <w:pPr>
        <w:spacing w:after="0" w:line="9" w:lineRule="exact"/>
        <w:rPr>
          <w:rFonts w:ascii="Arial" w:cs="Arial" w:eastAsia="Arial" w:hAnsi="Arial"/>
          <w:sz w:val="18"/>
          <w:szCs w:val="18"/>
          <w:color w:val="auto"/>
        </w:rPr>
      </w:pPr>
    </w:p>
    <w:p>
      <w:pPr>
        <w:ind w:left="340" w:right="20" w:hanging="331"/>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sustain the current level of sales and/or achieve growth for our Monster Energy® brand energy drinks and/or our other products, including the Strategic Brands acquired from TCCC;</w:t>
      </w:r>
    </w:p>
    <w:p>
      <w:pPr>
        <w:jc w:val="both"/>
        <w:ind w:left="340" w:hanging="331"/>
        <w:spacing w:after="0" w:line="281"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3" w:lineRule="exact"/>
        <w:rPr>
          <w:rFonts w:ascii="Arial" w:cs="Arial" w:eastAsia="Arial" w:hAnsi="Arial"/>
          <w:sz w:val="16"/>
          <w:szCs w:val="16"/>
          <w:color w:val="auto"/>
        </w:rPr>
      </w:pPr>
    </w:p>
    <w:p>
      <w:pPr>
        <w:jc w:val="both"/>
        <w:ind w:left="340" w:hanging="331"/>
        <w:spacing w:after="0" w:line="281"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7" w:lineRule="exact"/>
        <w:rPr>
          <w:rFonts w:ascii="Arial" w:cs="Arial" w:eastAsia="Arial" w:hAnsi="Arial"/>
          <w:sz w:val="16"/>
          <w:szCs w:val="16"/>
          <w:color w:val="auto"/>
        </w:rPr>
      </w:pPr>
    </w:p>
    <w:p>
      <w:pPr>
        <w:jc w:val="both"/>
        <w:ind w:left="340" w:right="20" w:hanging="331"/>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18"/>
          <w:szCs w:val="18"/>
          <w:color w:val="auto"/>
        </w:rPr>
      </w:pPr>
    </w:p>
    <w:p>
      <w:pPr>
        <w:ind w:left="340" w:hanging="331"/>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Disruptions in the timely import or export of our products and/or ingredients due to port strikes and related labor issues;</w:t>
      </w:r>
    </w:p>
    <w:p>
      <w:pPr>
        <w:spacing w:after="0" w:line="32" w:lineRule="exact"/>
        <w:rPr>
          <w:rFonts w:ascii="Arial" w:cs="Arial" w:eastAsia="Arial" w:hAnsi="Arial"/>
          <w:sz w:val="16"/>
          <w:szCs w:val="16"/>
          <w:color w:val="auto"/>
        </w:rPr>
      </w:pPr>
    </w:p>
    <w:p>
      <w:pPr>
        <w:ind w:left="340" w:hanging="331"/>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unfavorable or adverse public relations, press, articles, comments and/or media attention;</w:t>
      </w:r>
    </w:p>
    <w:p>
      <w:pPr>
        <w:spacing w:after="0" w:line="9" w:lineRule="exact"/>
        <w:rPr>
          <w:rFonts w:ascii="Arial" w:cs="Arial" w:eastAsia="Arial" w:hAnsi="Arial"/>
          <w:sz w:val="18"/>
          <w:szCs w:val="18"/>
          <w:color w:val="auto"/>
        </w:rPr>
      </w:pPr>
    </w:p>
    <w:p>
      <w:pPr>
        <w:ind w:left="340" w:hanging="331"/>
        <w:spacing w:after="0" w:line="290"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cost, quality and availability of containers, packaging materials, aluminum, the Midwest and other premiums, raw materials and other ingredients and juice concentrates, and our ability to obtain and/or maintain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line="258" w:lineRule="auto"/>
        <w:rPr>
          <w:sz w:val="20"/>
          <w:szCs w:val="20"/>
          <w:color w:val="auto"/>
        </w:rPr>
      </w:pPr>
      <w:r>
        <w:rPr>
          <w:rFonts w:ascii="Arial" w:cs="Arial" w:eastAsia="Arial" w:hAnsi="Arial"/>
          <w:sz w:val="18"/>
          <w:szCs w:val="18"/>
          <w:color w:val="auto"/>
        </w:rPr>
        <w:t>favorable supply arrangements and relationships and procure timely and/or sufficient production of all or any of our products to meet customer demand;</w:t>
      </w:r>
    </w:p>
    <w:p>
      <w:pPr>
        <w:spacing w:after="0" w:line="1" w:lineRule="exact"/>
        <w:rPr>
          <w:sz w:val="20"/>
          <w:szCs w:val="20"/>
          <w:color w:val="auto"/>
        </w:rPr>
      </w:pPr>
    </w:p>
    <w:p>
      <w:pPr>
        <w:ind w:left="340" w:right="20" w:hanging="331"/>
        <w:spacing w:after="0" w:line="265"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shortages that may be experienced in the procurement of containers and/or other raw materials including, without limitation, PET containers used for our Monster Hydro® energy drinks and 24-ounce aluminum cap cans;</w:t>
      </w:r>
    </w:p>
    <w:p>
      <w:pPr>
        <w:ind w:left="340" w:hanging="331"/>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on our cost of sales of corporate activity among the limited number of suppliers from whom we purchase certain raw materials;</w:t>
      </w:r>
    </w:p>
    <w:p>
      <w:pPr>
        <w:ind w:left="340" w:hanging="331"/>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pass on to our customers all or a portion of any increases in the costs of raw materials, ingredients, commodities and/or other cost inputs affecting our business;</w:t>
      </w:r>
    </w:p>
    <w:p>
      <w:pPr>
        <w:jc w:val="both"/>
        <w:ind w:left="340" w:hanging="331"/>
        <w:spacing w:after="0" w:line="28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2" w:lineRule="exact"/>
        <w:rPr>
          <w:rFonts w:ascii="Arial" w:cs="Arial" w:eastAsia="Arial" w:hAnsi="Arial"/>
          <w:sz w:val="16"/>
          <w:szCs w:val="16"/>
          <w:color w:val="auto"/>
        </w:rPr>
      </w:pPr>
    </w:p>
    <w:p>
      <w:pPr>
        <w:ind w:left="340" w:hanging="331"/>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penetrate new domestic and/or international markets and/or gain approval or mitigate the delay in securing approval for the sale of our products in various countries;</w:t>
      </w:r>
    </w:p>
    <w:p>
      <w:pPr>
        <w:ind w:left="340" w:hanging="331"/>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or political instability in one or more of our international markets;</w:t>
      </w:r>
    </w:p>
    <w:p>
      <w:pPr>
        <w:spacing w:after="0" w:line="9" w:lineRule="exact"/>
        <w:rPr>
          <w:rFonts w:ascii="Arial" w:cs="Arial" w:eastAsia="Arial" w:hAnsi="Arial"/>
          <w:sz w:val="18"/>
          <w:szCs w:val="18"/>
          <w:color w:val="auto"/>
        </w:rPr>
      </w:pPr>
    </w:p>
    <w:p>
      <w:pPr>
        <w:ind w:left="340" w:hanging="331"/>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sales and/or marketing efforts by us and/or by the full service bottlers/distributors of our products, most of whom distribute products that may be regarded as competitive with our products;</w:t>
      </w:r>
    </w:p>
    <w:p>
      <w:pPr>
        <w:jc w:val="both"/>
        <w:ind w:left="340" w:hanging="331"/>
        <w:spacing w:after="0" w:line="28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Unilateral decisions by full service bottlers/distributors,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2" w:lineRule="exact"/>
        <w:rPr>
          <w:rFonts w:ascii="Arial" w:cs="Arial" w:eastAsia="Arial" w:hAnsi="Arial"/>
          <w:sz w:val="16"/>
          <w:szCs w:val="16"/>
          <w:color w:val="auto"/>
        </w:rPr>
      </w:pPr>
    </w:p>
    <w:p>
      <w:pPr>
        <w:ind w:left="340" w:hanging="331"/>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retailer consolidation on our business;</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and/or effectiveness, now or in the future, of our advertising, marketing and promotional strategies;</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of our sports marketing endeavors both domestically and internationally;</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economic and political changes and local or international catastrophic events;</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recalls of our products and/or defective production;</w:t>
      </w:r>
    </w:p>
    <w:p>
      <w:pPr>
        <w:spacing w:after="0" w:line="9" w:lineRule="exact"/>
        <w:rPr>
          <w:rFonts w:ascii="Arial" w:cs="Arial" w:eastAsia="Arial" w:hAnsi="Arial"/>
          <w:sz w:val="18"/>
          <w:szCs w:val="18"/>
          <w:color w:val="auto"/>
        </w:rPr>
      </w:pPr>
    </w:p>
    <w:p>
      <w:pPr>
        <w:jc w:val="both"/>
        <w:ind w:left="340" w:hanging="331"/>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Arial" w:cs="Arial" w:eastAsia="Arial" w:hAnsi="Arial"/>
          <w:sz w:val="18"/>
          <w:szCs w:val="18"/>
          <w:color w:val="auto"/>
        </w:rPr>
      </w:pPr>
    </w:p>
    <w:p>
      <w:pPr>
        <w:ind w:left="340" w:hanging="331"/>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timely procurement of non-defective raw materials;</w:t>
      </w:r>
    </w:p>
    <w:p>
      <w:pPr>
        <w:spacing w:after="0" w:line="9" w:lineRule="exact"/>
        <w:rPr>
          <w:rFonts w:ascii="Arial" w:cs="Arial" w:eastAsia="Arial" w:hAnsi="Arial"/>
          <w:sz w:val="18"/>
          <w:szCs w:val="18"/>
          <w:color w:val="auto"/>
        </w:rPr>
      </w:pPr>
    </w:p>
    <w:p>
      <w:pPr>
        <w:ind w:left="340" w:hanging="331"/>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protect and/or the loss of our intellectual property rights and/or our inability to use our trademarks, trade names or designs and/or trade dress in certain countries;</w:t>
      </w:r>
    </w:p>
    <w:p>
      <w:pPr>
        <w:ind w:left="340" w:right="20" w:hanging="331"/>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of stock prices which may restrict stock sales, stock purchases or other opportunities as well as negatively impact the motivation of equity award grantees;</w:t>
      </w:r>
    </w:p>
    <w:p>
      <w:pPr>
        <w:ind w:left="340" w:hanging="331"/>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in our organizational documents and/or control by insiders which may prevent changes in control even if such changes would be beneficial to other stockholders;</w:t>
      </w:r>
    </w:p>
    <w:p>
      <w:pPr>
        <w:ind w:left="340" w:hanging="331"/>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of our bottlers and/or contract packers to manufacture our products on a timely basis or at all;</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significant liabilities due to litigation, legal or regulatory proceedings;</w:t>
      </w:r>
    </w:p>
    <w:p>
      <w:pPr>
        <w:spacing w:after="0" w:line="9" w:lineRule="exact"/>
        <w:rPr>
          <w:rFonts w:ascii="Arial" w:cs="Arial" w:eastAsia="Arial" w:hAnsi="Arial"/>
          <w:sz w:val="18"/>
          <w:szCs w:val="18"/>
          <w:color w:val="auto"/>
        </w:rPr>
      </w:pPr>
    </w:p>
    <w:p>
      <w:pPr>
        <w:ind w:left="340" w:right="20" w:hanging="331"/>
        <w:spacing w:after="0" w:line="250"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disruption in and/or lack of effectiveness of our information technology systems, including a breach of cyber security, that disrupts our business or negatively impacts customer relationships; and</w:t>
      </w:r>
    </w:p>
    <w:p>
      <w:pPr>
        <w:ind w:left="340" w:hanging="331"/>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Recruitment and retention of senior management, other key employees and our employee base in general.</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ectPr>
          <w:pgSz w:w="11900" w:h="16838" w:orient="portrait"/>
          <w:cols w:equalWidth="0" w:num="1">
            <w:col w:w="9060"/>
          </w:cols>
          <w:pgMar w:left="1420" w:top="517" w:right="141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material changes in our market risk during the three-months ended June 30, 2019 compared with the disclosures in Part II, Item 7A of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 Under the supervision and with the participation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w:t>
      </w:r>
    </w:p>
    <w:p>
      <w:pPr>
        <w:spacing w:after="0" w:line="5" w:lineRule="exact"/>
        <w:rPr>
          <w:sz w:val="20"/>
          <w:szCs w:val="20"/>
          <w:color w:val="auto"/>
        </w:rPr>
      </w:pPr>
    </w:p>
    <w:p>
      <w:pPr>
        <w:ind w:left="300" w:hanging="291"/>
        <w:spacing w:after="0"/>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recorded, processed, summarized and reported within the time periods specified in rules and forms of the SEC and</w:t>
      </w:r>
    </w:p>
    <w:p>
      <w:pPr>
        <w:spacing w:after="0" w:line="20" w:lineRule="exact"/>
        <w:rPr>
          <w:rFonts w:ascii="Arial" w:cs="Arial" w:eastAsia="Arial" w:hAnsi="Arial"/>
          <w:sz w:val="17"/>
          <w:szCs w:val="17"/>
          <w:color w:val="auto"/>
        </w:rPr>
      </w:pPr>
    </w:p>
    <w:p>
      <w:pPr>
        <w:ind w:firstLine="9"/>
        <w:spacing w:after="0" w:line="261" w:lineRule="auto"/>
        <w:tabs>
          <w:tab w:leader="none" w:pos="2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its principal executive and principal financial officers, as appropriate, to allow timely decisions regarding required disclosures.</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 There were no changes in the Company’s internal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during the quarter ended June 30, 2019,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Notes to Condensed Consolidated Financial Statements - Note 12. Commitments and Contingencies: Legal Proceedings in Part I, Item 1, of this Quarterly Report on Form 10-Q.</w:t>
      </w:r>
    </w:p>
    <w:p>
      <w:pPr>
        <w:spacing w:after="0" w:line="1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risk factors are discussed in our Form 10-K. There have been no material changes with respect to the risk factors disclosed in our Form 10-K.</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three-months ended June 30, 2019, 9,846 shares of common stock were purchased from employees in lieu of cash payments for options exercised or withholding taxes due for a total amount of $0.6 million. While such purchases are considered common stock repurchases, they are not counted as purchases against our authorized share repurchase programs. Such shares are included in common stock in treasury in the accompanying condensed consolidated balance sheet at June 30, 2019.</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49">
        <w:r>
          <w:rPr>
            <w:rFonts w:ascii="Arial" w:cs="Arial" w:eastAsia="Arial" w:hAnsi="Arial"/>
            <w:sz w:val="16"/>
            <w:szCs w:val="16"/>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50">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840" w:right="2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51">
        <w:r>
          <w:rPr>
            <w:rFonts w:ascii="Arial" w:cs="Arial" w:eastAsia="Arial" w:hAnsi="Arial"/>
            <w:sz w:val="18"/>
            <w:szCs w:val="18"/>
            <w:u w:val="single" w:color="auto"/>
            <w:color w:val="0000EE"/>
          </w:rPr>
          <w:t>Certification of Chief Executive Officer Pursuant to 18 U.S.C. Section 1350, as Adopted Pursuant to Section 906</w:t>
        </w:r>
      </w:hyperlink>
      <w:r>
        <w:rPr>
          <w:rFonts w:ascii="Arial" w:cs="Arial" w:eastAsia="Arial" w:hAnsi="Arial"/>
          <w:sz w:val="18"/>
          <w:szCs w:val="18"/>
          <w:u w:val="single" w:color="auto"/>
          <w:color w:val="0000EE"/>
        </w:rPr>
        <w:t xml:space="preserve"> </w:t>
      </w:r>
      <w:hyperlink w:anchor="page51">
        <w:r>
          <w:rPr>
            <w:rFonts w:ascii="Arial" w:cs="Arial" w:eastAsia="Arial" w:hAnsi="Arial"/>
            <w:sz w:val="18"/>
            <w:szCs w:val="18"/>
            <w:u w:val="single" w:color="auto"/>
            <w:color w:val="0000EE"/>
          </w:rPr>
          <w:t>of the Sarbanes-Oxley Act of 2002</w:t>
        </w:r>
      </w:hyperlink>
    </w:p>
    <w:p>
      <w:pPr>
        <w:spacing w:after="0" w:line="170"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52">
        <w:r>
          <w:rPr>
            <w:rFonts w:ascii="Arial" w:cs="Arial" w:eastAsia="Arial" w:hAnsi="Arial"/>
            <w:sz w:val="18"/>
            <w:szCs w:val="18"/>
            <w:u w:val="single" w:color="auto"/>
            <w:color w:val="0000EE"/>
          </w:rPr>
          <w:t>Certification by Chief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52">
        <w:r>
          <w:rPr>
            <w:rFonts w:ascii="Arial" w:cs="Arial" w:eastAsia="Arial" w:hAnsi="Arial"/>
            <w:sz w:val="18"/>
            <w:szCs w:val="18"/>
            <w:u w:val="single" w:color="auto"/>
            <w:color w:val="0000EE"/>
          </w:rPr>
          <w:t>of the Sarbanes-Oxley Act of 2002</w:t>
        </w:r>
      </w:hyperlink>
    </w:p>
    <w:p>
      <w:pPr>
        <w:spacing w:after="0" w:line="170" w:lineRule="exact"/>
        <w:rPr>
          <w:sz w:val="20"/>
          <w:szCs w:val="20"/>
          <w:color w:val="auto"/>
        </w:rPr>
      </w:pPr>
    </w:p>
    <w:p>
      <w:pPr>
        <w:jc w:val="both"/>
        <w:ind w:left="840" w:hanging="839"/>
        <w:spacing w:after="0" w:line="285" w:lineRule="auto"/>
        <w:tabs>
          <w:tab w:leader="none" w:pos="8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financial information from Monster Beverage Corporation’s Quarterly Report on Form 10-Q for the quarter ended June 30, 2019, formatted in iXBRL (Inline eXtensible Business Reporting Language): (i) Condensed Consolidated Balance Sheets as of June 30, 2019 and December 31, 2018, (ii) Condensed Consolidated Statements of Income for the three- and six-months ended June 30, 2019 and 2018, (iii) Condensed Consolidated Statements of Comprehensive Income for the three- and six-months ended June 30, 2019 and 2018,</w:t>
      </w:r>
    </w:p>
    <w:p>
      <w:pPr>
        <w:spacing w:after="0" w:line="2" w:lineRule="exact"/>
        <w:rPr>
          <w:sz w:val="20"/>
          <w:szCs w:val="20"/>
          <w:color w:val="auto"/>
        </w:rPr>
      </w:pPr>
    </w:p>
    <w:p>
      <w:pPr>
        <w:jc w:val="both"/>
        <w:ind w:left="840" w:firstLine="6"/>
        <w:spacing w:after="0" w:line="255" w:lineRule="auto"/>
        <w:tabs>
          <w:tab w:leader="none" w:pos="1163"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Condensed Consolidated Statements of Stockholders’ Equity for the three- and six-months ended June 30, 2019 and 2018, (v) Condensed Consolidated Statements of Cash Flows for the six-months ended June 30, 2019 and 2018, and (vi) the Notes to Condensed Consolidated Financial Statements.</w:t>
      </w:r>
    </w:p>
    <w:p>
      <w:pPr>
        <w:spacing w:after="0" w:line="19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The cover page from Monster Beverage Corporation’s Quarterly Report on Form 10-Q for the quarter ended June</w:t>
      </w:r>
    </w:p>
    <w:p>
      <w:pPr>
        <w:spacing w:after="0" w:line="4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30, 2019, formatted in iXBRL (Inline eXtensible Business Reporting Language).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4"/>
              </w:rPr>
              <w:t>MONSTER BEVERAGE CORPORATION</w:t>
            </w:r>
          </w:p>
        </w:tc>
      </w:tr>
      <w:tr>
        <w:trPr>
          <w:trHeight w:val="230"/>
        </w:trPr>
        <w:tc>
          <w:tcPr>
            <w:tcW w:w="45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608"/>
        </w:trPr>
        <w:tc>
          <w:tcPr>
            <w:tcW w:w="4540" w:type="dxa"/>
            <w:vAlign w:val="bottom"/>
          </w:tcPr>
          <w:p>
            <w:pPr>
              <w:spacing w:after="0"/>
              <w:rPr>
                <w:sz w:val="20"/>
                <w:szCs w:val="20"/>
                <w:color w:val="auto"/>
              </w:rPr>
            </w:pPr>
            <w:r>
              <w:rPr>
                <w:rFonts w:ascii="Arial" w:cs="Arial" w:eastAsia="Arial" w:hAnsi="Arial"/>
                <w:sz w:val="18"/>
                <w:szCs w:val="18"/>
                <w:color w:val="auto"/>
              </w:rPr>
              <w:t>Date: August 8, 2019</w:t>
            </w: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RODNEY C. SACKS</w:t>
            </w:r>
          </w:p>
        </w:tc>
        <w:tc>
          <w:tcPr>
            <w:tcW w:w="1360" w:type="dxa"/>
            <w:vAlign w:val="bottom"/>
          </w:tcPr>
          <w:p>
            <w:pPr>
              <w:spacing w:after="0"/>
              <w:rPr>
                <w:sz w:val="24"/>
                <w:szCs w:val="24"/>
                <w:color w:val="auto"/>
              </w:rPr>
            </w:pPr>
          </w:p>
        </w:tc>
      </w:tr>
      <w:tr>
        <w:trPr>
          <w:trHeight w:val="222"/>
        </w:trPr>
        <w:tc>
          <w:tcPr>
            <w:tcW w:w="454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Rodney C. Sacks</w:t>
            </w:r>
          </w:p>
        </w:tc>
      </w:tr>
      <w:tr>
        <w:trPr>
          <w:trHeight w:val="216"/>
        </w:trPr>
        <w:tc>
          <w:tcPr>
            <w:tcW w:w="454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54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left="920" w:right="1660"/>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8"/>
          <w:szCs w:val="18"/>
          <w:color w:val="auto"/>
        </w:rPr>
        <w:t>I, Rodney Sacks, certify that:</w:t>
      </w:r>
    </w:p>
    <w:p>
      <w:pPr>
        <w:spacing w:after="0" w:line="225" w:lineRule="exact"/>
        <w:rPr>
          <w:sz w:val="20"/>
          <w:szCs w:val="20"/>
          <w:color w:val="auto"/>
        </w:rPr>
      </w:pPr>
    </w:p>
    <w:p>
      <w:pPr>
        <w:ind w:left="321" w:hanging="321"/>
        <w:spacing w:after="0"/>
        <w:tabs>
          <w:tab w:leader="none" w:pos="3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jc w:val="both"/>
        <w:ind w:left="321" w:hanging="321"/>
        <w:spacing w:after="0" w:line="264" w:lineRule="auto"/>
        <w:tabs>
          <w:tab w:leader="none" w:pos="3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321" w:hanging="321"/>
        <w:spacing w:after="0" w:line="342" w:lineRule="auto"/>
        <w:tabs>
          <w:tab w:leader="none" w:pos="3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321" w:hanging="321"/>
        <w:spacing w:after="0" w:line="264" w:lineRule="auto"/>
        <w:tabs>
          <w:tab w:leader="none" w:pos="3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1" w:hanging="324"/>
        <w:spacing w:after="0" w:line="259" w:lineRule="auto"/>
        <w:tabs>
          <w:tab w:leader="none" w:pos="167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621" w:hanging="324"/>
        <w:spacing w:after="0" w:line="259" w:lineRule="auto"/>
        <w:tabs>
          <w:tab w:leader="none" w:pos="166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621" w:hanging="324"/>
        <w:spacing w:after="0" w:line="264" w:lineRule="auto"/>
        <w:tabs>
          <w:tab w:leader="none" w:pos="1734"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621" w:hanging="324"/>
        <w:spacing w:after="0" w:line="259" w:lineRule="auto"/>
        <w:tabs>
          <w:tab w:leader="none" w:pos="170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21" w:hanging="321"/>
        <w:spacing w:after="0" w:line="264" w:lineRule="auto"/>
        <w:tabs>
          <w:tab w:leader="none" w:pos="3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1621" w:hanging="324"/>
        <w:spacing w:after="0" w:line="264" w:lineRule="auto"/>
        <w:tabs>
          <w:tab w:leader="none" w:pos="175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621" w:hanging="324"/>
        <w:spacing w:after="0" w:line="277" w:lineRule="auto"/>
        <w:tabs>
          <w:tab w:leader="none" w:pos="1677"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380" w:type="dxa"/>
            <w:vAlign w:val="bottom"/>
          </w:tcPr>
          <w:p>
            <w:pPr>
              <w:ind w:left="260"/>
              <w:spacing w:after="0"/>
              <w:rPr>
                <w:sz w:val="20"/>
                <w:szCs w:val="20"/>
                <w:color w:val="auto"/>
              </w:rPr>
            </w:pPr>
            <w:r>
              <w:rPr>
                <w:rFonts w:ascii="Arial" w:cs="Arial" w:eastAsia="Arial" w:hAnsi="Arial"/>
                <w:sz w:val="18"/>
                <w:szCs w:val="18"/>
                <w:color w:val="auto"/>
              </w:rPr>
              <w:t>August 8, 2019</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/s/Rodney C. Sacks</w:t>
            </w:r>
          </w:p>
        </w:tc>
      </w:tr>
      <w:tr>
        <w:trPr>
          <w:trHeight w:val="195"/>
        </w:trPr>
        <w:tc>
          <w:tcPr>
            <w:tcW w:w="6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r>
      <w:tr>
        <w:trPr>
          <w:trHeight w:val="216"/>
        </w:trPr>
        <w:tc>
          <w:tcPr>
            <w:tcW w:w="6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6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and Chief Executive Officer</w:t>
            </w:r>
          </w:p>
        </w:tc>
      </w:tr>
      <w:tr>
        <w:trPr>
          <w:trHeight w:val="777"/>
        </w:trPr>
        <w:tc>
          <w:tcPr>
            <w:tcW w:w="6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21" w:right="9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left="920" w:right="1660"/>
        <w:spacing w:after="0" w:line="264" w:lineRule="auto"/>
        <w:rPr>
          <w:sz w:val="20"/>
          <w:szCs w:val="20"/>
          <w:color w:val="auto"/>
        </w:rPr>
      </w:pPr>
      <w:r>
        <w:rPr>
          <w:rFonts w:ascii="Arial" w:cs="Arial" w:eastAsia="Arial" w:hAnsi="Arial"/>
          <w:sz w:val="18"/>
          <w:szCs w:val="18"/>
          <w:color w:val="auto"/>
        </w:rPr>
        <w:t>CERTIFICATION PURSUANT TO RULE 13A-14(a) OR 15D-14(a) OF THE SECURITIES EXCHANGE ACT OF 1934, AS ADOPTED PURSUANT TO SECTION 302 OF THE SARBANES-OXLEY ACT OF 2002</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8"/>
          <w:szCs w:val="18"/>
          <w:color w:val="auto"/>
        </w:rPr>
        <w:t>I, Hilton Schlosberg, certify that:</w:t>
      </w:r>
    </w:p>
    <w:p>
      <w:pPr>
        <w:spacing w:after="0" w:line="225" w:lineRule="exact"/>
        <w:rPr>
          <w:sz w:val="20"/>
          <w:szCs w:val="20"/>
          <w:color w:val="auto"/>
        </w:rPr>
      </w:pPr>
    </w:p>
    <w:p>
      <w:pPr>
        <w:ind w:left="321" w:hanging="321"/>
        <w:spacing w:after="0"/>
        <w:tabs>
          <w:tab w:leader="none" w:pos="3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Monster Beverage Corporation;</w:t>
      </w:r>
    </w:p>
    <w:p>
      <w:pPr>
        <w:spacing w:after="0" w:line="225" w:lineRule="exact"/>
        <w:rPr>
          <w:rFonts w:ascii="Arial" w:cs="Arial" w:eastAsia="Arial" w:hAnsi="Arial"/>
          <w:sz w:val="18"/>
          <w:szCs w:val="18"/>
          <w:color w:val="auto"/>
        </w:rPr>
      </w:pPr>
    </w:p>
    <w:p>
      <w:pPr>
        <w:jc w:val="both"/>
        <w:ind w:left="321" w:hanging="321"/>
        <w:spacing w:after="0" w:line="264" w:lineRule="auto"/>
        <w:tabs>
          <w:tab w:leader="none" w:pos="336"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321" w:hanging="321"/>
        <w:spacing w:after="0" w:line="342"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321" w:hanging="321"/>
        <w:spacing w:after="0" w:line="264" w:lineRule="auto"/>
        <w:tabs>
          <w:tab w:leader="none" w:pos="3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621" w:hanging="324"/>
        <w:spacing w:after="0" w:line="259" w:lineRule="auto"/>
        <w:tabs>
          <w:tab w:leader="none" w:pos="167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621" w:hanging="324"/>
        <w:spacing w:after="0" w:line="259" w:lineRule="auto"/>
        <w:tabs>
          <w:tab w:leader="none" w:pos="166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621" w:hanging="324"/>
        <w:spacing w:after="0" w:line="264" w:lineRule="auto"/>
        <w:tabs>
          <w:tab w:leader="none" w:pos="1734"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621" w:hanging="324"/>
        <w:spacing w:after="0" w:line="259" w:lineRule="auto"/>
        <w:tabs>
          <w:tab w:leader="none" w:pos="170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321" w:hanging="321"/>
        <w:spacing w:after="0" w:line="264" w:lineRule="auto"/>
        <w:tabs>
          <w:tab w:leader="none" w:pos="3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1621" w:hanging="324"/>
        <w:spacing w:after="0" w:line="264" w:lineRule="auto"/>
        <w:tabs>
          <w:tab w:leader="none" w:pos="17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621" w:hanging="324"/>
        <w:spacing w:after="0" w:line="277" w:lineRule="auto"/>
        <w:tabs>
          <w:tab w:leader="none" w:pos="16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440" w:type="dxa"/>
            <w:vAlign w:val="bottom"/>
          </w:tcPr>
          <w:p>
            <w:pPr>
              <w:ind w:left="180"/>
              <w:spacing w:after="0"/>
              <w:rPr>
                <w:sz w:val="20"/>
                <w:szCs w:val="20"/>
                <w:color w:val="auto"/>
              </w:rPr>
            </w:pPr>
            <w:r>
              <w:rPr>
                <w:rFonts w:ascii="Arial" w:cs="Arial" w:eastAsia="Arial" w:hAnsi="Arial"/>
                <w:sz w:val="18"/>
                <w:szCs w:val="18"/>
                <w:color w:val="auto"/>
              </w:rPr>
              <w:t>August 8, 2019</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r>
      <w:tr>
        <w:trPr>
          <w:trHeight w:val="195"/>
        </w:trPr>
        <w:tc>
          <w:tcPr>
            <w:tcW w:w="6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r>
      <w:tr>
        <w:trPr>
          <w:trHeight w:val="216"/>
        </w:trPr>
        <w:tc>
          <w:tcPr>
            <w:tcW w:w="6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r>
      <w:tr>
        <w:trPr>
          <w:trHeight w:val="216"/>
        </w:trPr>
        <w:tc>
          <w:tcPr>
            <w:tcW w:w="6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Chief Operating Officer, Chief</w:t>
            </w:r>
          </w:p>
        </w:tc>
      </w:tr>
      <w:tr>
        <w:trPr>
          <w:trHeight w:val="230"/>
        </w:trPr>
        <w:tc>
          <w:tcPr>
            <w:tcW w:w="6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Financial Officer and Secretary</w:t>
            </w:r>
          </w:p>
        </w:tc>
      </w:tr>
      <w:tr>
        <w:trPr>
          <w:trHeight w:val="777"/>
        </w:trPr>
        <w:tc>
          <w:tcPr>
            <w:tcW w:w="6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21" w:right="9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Monster Beverage Corporation (the “Company”) on Form 10-Q for the quarter ended June 30, 2019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87" w:lineRule="exact"/>
        <w:rPr>
          <w:sz w:val="20"/>
          <w:szCs w:val="20"/>
          <w:color w:val="auto"/>
        </w:rPr>
      </w:pPr>
    </w:p>
    <w:p>
      <w:pPr>
        <w:ind w:left="1000" w:hanging="352"/>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hanging="33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320"/>
              <w:spacing w:after="0"/>
              <w:rPr>
                <w:sz w:val="20"/>
                <w:szCs w:val="20"/>
                <w:color w:val="auto"/>
              </w:rPr>
            </w:pPr>
            <w:r>
              <w:rPr>
                <w:rFonts w:ascii="Arial" w:cs="Arial" w:eastAsia="Arial" w:hAnsi="Arial"/>
                <w:sz w:val="18"/>
                <w:szCs w:val="18"/>
                <w:color w:val="auto"/>
              </w:rPr>
              <w:t>August 8, 2019</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Rodney C. Sacks</w:t>
            </w:r>
          </w:p>
        </w:tc>
      </w:tr>
      <w:tr>
        <w:trPr>
          <w:trHeight w:val="195"/>
        </w:trPr>
        <w:tc>
          <w:tcPr>
            <w:tcW w:w="7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Rodney C. Sacks</w:t>
            </w:r>
          </w:p>
        </w:tc>
      </w:tr>
      <w:tr>
        <w:trPr>
          <w:trHeight w:val="216"/>
        </w:trPr>
        <w:tc>
          <w:tcPr>
            <w:tcW w:w="7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7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and Chief Executive Officer</w:t>
            </w:r>
          </w:p>
        </w:tc>
      </w:tr>
      <w:tr>
        <w:trPr>
          <w:trHeight w:val="777"/>
        </w:trPr>
        <w:tc>
          <w:tcPr>
            <w:tcW w:w="7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Monster Beverage Corporation (the “Company”) on Form 10-Q for the quarter ended June 30, 2019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187" w:lineRule="exact"/>
        <w:rPr>
          <w:sz w:val="20"/>
          <w:szCs w:val="20"/>
          <w:color w:val="auto"/>
        </w:rPr>
      </w:pPr>
    </w:p>
    <w:p>
      <w:pPr>
        <w:ind w:left="1000" w:hanging="352"/>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hanging="33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ind w:left="320"/>
              <w:spacing w:after="0"/>
              <w:rPr>
                <w:sz w:val="20"/>
                <w:szCs w:val="20"/>
                <w:color w:val="auto"/>
              </w:rPr>
            </w:pPr>
            <w:r>
              <w:rPr>
                <w:rFonts w:ascii="Arial" w:cs="Arial" w:eastAsia="Arial" w:hAnsi="Arial"/>
                <w:sz w:val="18"/>
                <w:szCs w:val="18"/>
                <w:color w:val="auto"/>
              </w:rPr>
              <w:t>August 8, 2019</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Hilton H. Schlosberg</w:t>
            </w:r>
          </w:p>
        </w:tc>
      </w:tr>
      <w:tr>
        <w:trPr>
          <w:trHeight w:val="195"/>
        </w:trPr>
        <w:tc>
          <w:tcPr>
            <w:tcW w:w="7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Hilton H. Schlosberg</w:t>
            </w:r>
          </w:p>
        </w:tc>
      </w:tr>
      <w:tr>
        <w:trPr>
          <w:trHeight w:val="216"/>
        </w:trPr>
        <w:tc>
          <w:tcPr>
            <w:tcW w:w="7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Vice Chairman of the Board of Directors,</w:t>
            </w:r>
          </w:p>
        </w:tc>
      </w:tr>
      <w:tr>
        <w:trPr>
          <w:trHeight w:val="216"/>
        </w:trPr>
        <w:tc>
          <w:tcPr>
            <w:tcW w:w="7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Chief Operating Officer, Chief</w:t>
            </w:r>
          </w:p>
        </w:tc>
      </w:tr>
      <w:tr>
        <w:trPr>
          <w:trHeight w:val="230"/>
        </w:trPr>
        <w:tc>
          <w:tcPr>
            <w:tcW w:w="7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Financial Officer and Secretary</w:t>
            </w:r>
          </w:p>
        </w:tc>
      </w:tr>
      <w:tr>
        <w:trPr>
          <w:trHeight w:val="777"/>
        </w:trPr>
        <w:tc>
          <w:tcPr>
            <w:tcW w:w="7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2"/>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8"/>
    </w:lvl>
  </w:abstractNum>
  <w:abstractNum w:abstractNumId="11">
    <w:nsid w:val="2D1D5AE9"/>
    <w:multiLevelType w:val="hybridMultilevel"/>
    <w:lvl w:ilvl="0">
      <w:lvlJc w:val="left"/>
      <w:lvlText w:val="%1."/>
      <w:numFmt w:val="decimal"/>
      <w:start w:val="9"/>
    </w:lvl>
  </w:abstractNum>
  <w:abstractNum w:abstractNumId="12">
    <w:nsid w:val="6763845E"/>
    <w:multiLevelType w:val="hybridMultilevel"/>
    <w:lvl w:ilvl="0">
      <w:lvlJc w:val="left"/>
      <w:lvlText w:val="%1."/>
      <w:numFmt w:val="decimal"/>
      <w:start w:val="10"/>
    </w:lvl>
  </w:abstractNum>
  <w:abstractNum w:abstractNumId="13">
    <w:nsid w:val="75A2A8D4"/>
    <w:multiLevelType w:val="hybridMultilevel"/>
    <w:lvl w:ilvl="0">
      <w:lvlJc w:val="left"/>
      <w:lvlText w:val="%1."/>
      <w:numFmt w:val="decimal"/>
      <w:start w:val="12"/>
    </w:lvl>
  </w:abstractNum>
  <w:abstractNum w:abstractNumId="14">
    <w:nsid w:val="8EDBDAB"/>
    <w:multiLevelType w:val="hybridMultilevel"/>
    <w:lvl w:ilvl="0">
      <w:lvlJc w:val="left"/>
      <w:lvlText w:val="%1."/>
      <w:numFmt w:val="decimal"/>
      <w:start w:val="13"/>
    </w:lvl>
  </w:abstractNum>
  <w:abstractNum w:abstractNumId="15">
    <w:nsid w:val="79838CB2"/>
    <w:multiLevelType w:val="hybridMultilevel"/>
    <w:lvl w:ilvl="0">
      <w:lvlJc w:val="left"/>
      <w:lvlText w:val="%1."/>
      <w:numFmt w:val="decimal"/>
      <w:start w:val="14"/>
    </w:lvl>
  </w:abstractNum>
  <w:abstractNum w:abstractNumId="16">
    <w:nsid w:val="4353D0CD"/>
    <w:multiLevelType w:val="hybridMultilevel"/>
    <w:lvl w:ilvl="0">
      <w:lvlJc w:val="left"/>
      <w:lvlText w:val="%1."/>
      <w:numFmt w:val="decimal"/>
      <w:start w:val="15"/>
    </w:lvl>
  </w:abstractNum>
  <w:abstractNum w:abstractNumId="17">
    <w:nsid w:val="B03E0C6"/>
    <w:multiLevelType w:val="hybridMultilevel"/>
    <w:lvl w:ilvl="0">
      <w:lvlJc w:val="left"/>
      <w:lvlText w:val="%1."/>
      <w:numFmt w:val="decimal"/>
      <w:start w:val="16"/>
    </w:lvl>
  </w:abstractNum>
  <w:abstractNum w:abstractNumId="18">
    <w:nsid w:val="189A769B"/>
    <w:multiLevelType w:val="hybridMultilevel"/>
    <w:lvl w:ilvl="0">
      <w:lvlJc w:val="left"/>
      <w:lvlText w:val="%1."/>
      <w:numFmt w:val="decimal"/>
      <w:start w:val="17"/>
    </w:lvl>
  </w:abstractNum>
  <w:abstractNum w:abstractNumId="19">
    <w:nsid w:val="54E49EB4"/>
    <w:multiLevelType w:val="hybridMultilevel"/>
    <w:lvl w:ilvl="0">
      <w:lvlJc w:val="left"/>
      <w:lvlText w:val="%1."/>
      <w:numFmt w:val="decimal"/>
      <w:start w:val="18"/>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9"/>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lowerRoman"/>
      <w:start w:val="2"/>
    </w:lvl>
  </w:abstractNum>
  <w:abstractNum w:abstractNumId="24">
    <w:nsid w:val="3A95F874"/>
    <w:multiLevelType w:val="hybridMultilevel"/>
    <w:lvl w:ilvl="0">
      <w:lvlJc w:val="left"/>
      <w:lvlText w:val="(%1)"/>
      <w:numFmt w:val="lowerRoman"/>
      <w:start w:val="6"/>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Roman"/>
      <w:start w:val="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2019-12-28T08:07:11Z</dcterms:created>
  <dcterms:modified xsi:type="dcterms:W3CDTF">2019-12-28T08:07:11Z</dcterms:modified>
</cp:coreProperties>
</file>