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10-K</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2018</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139" w:lineRule="exact"/>
        <w:rPr>
          <w:sz w:val="24"/>
          <w:szCs w:val="24"/>
          <w:color w:val="auto"/>
        </w:rPr>
      </w:pPr>
    </w:p>
    <w:p>
      <w:pPr>
        <w:ind w:left="3940" w:right="3020" w:hanging="911"/>
        <w:spacing w:after="0" w:line="282" w:lineRule="auto"/>
        <w:tabs>
          <w:tab w:leader="none" w:pos="3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w:t>
      </w:r>
    </w:p>
    <w:p>
      <w:pPr>
        <w:spacing w:after="0" w:line="7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001-18761</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MONSTER BEVERAGE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29" w:right="239" w:bottom="241" w:gutter="0" w:footer="0" w:header="0"/>
        </w:sectPr>
      </w:pPr>
    </w:p>
    <w:p>
      <w:pPr>
        <w:spacing w:after="0" w:line="107"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9"/>
          <w:szCs w:val="19"/>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47-1809393</w:t>
      </w:r>
    </w:p>
    <w:p>
      <w:pPr>
        <w:spacing w:after="0" w:line="15" w:lineRule="exact"/>
        <w:rPr>
          <w:sz w:val="24"/>
          <w:szCs w:val="24"/>
          <w:color w:val="auto"/>
        </w:rPr>
      </w:pPr>
    </w:p>
    <w:p>
      <w:pPr>
        <w:sectPr>
          <w:pgSz w:w="11900" w:h="16838" w:orient="portrait"/>
          <w:cols w:equalWidth="0" w:num="2">
            <w:col w:w="6020" w:space="720"/>
            <w:col w:w="4680"/>
          </w:cols>
          <w:pgMar w:left="240" w:top="229" w:right="239" w:bottom="241" w:gutter="0" w:footer="0" w:header="0"/>
          <w:type w:val="continuous"/>
        </w:sectPr>
      </w:pPr>
    </w:p>
    <w:p>
      <w:pPr>
        <w:ind w:left="27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7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07" w:lineRule="exact"/>
        <w:rPr>
          <w:sz w:val="24"/>
          <w:szCs w:val="24"/>
          <w:color w:val="auto"/>
        </w:rPr>
      </w:pPr>
    </w:p>
    <w:p>
      <w:pPr>
        <w:sectPr>
          <w:pgSz w:w="11900" w:h="16838" w:orient="portrait"/>
          <w:cols w:equalWidth="0" w:num="2">
            <w:col w:w="6020" w:space="720"/>
            <w:col w:w="4680"/>
          </w:cols>
          <w:pgMar w:left="240" w:top="229" w:right="239" w:bottom="241"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color w:val="auto"/>
        </w:rPr>
        <w:t>1 Monster Way</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ind w:right="-19"/>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(951) 739 - 6200</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5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578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8"/>
          <w:szCs w:val="18"/>
          <w:color w:val="auto"/>
        </w:rPr>
        <w:t>☐</w:t>
      </w:r>
    </w:p>
    <w:p>
      <w:pPr>
        <w:spacing w:after="0" w:line="14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ind w:right="40" w:firstLine="648"/>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ind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02" w:lineRule="exact"/>
        <w:rPr>
          <w:sz w:val="24"/>
          <w:szCs w:val="24"/>
          <w:color w:val="auto"/>
        </w:rPr>
      </w:pPr>
    </w:p>
    <w:p>
      <w:pPr>
        <w:ind w:right="60" w:firstLine="648"/>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241" w:gutter="0" w:footer="0" w:header="0"/>
          <w:type w:val="continuous"/>
        </w:sectPr>
      </w:pPr>
    </w:p>
    <w:p>
      <w:pPr>
        <w:spacing w:after="0" w:line="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8"/>
          <w:szCs w:val="18"/>
          <w:color w:val="auto"/>
        </w:rPr>
        <w:t>☑</w:t>
      </w:r>
    </w:p>
    <w:p>
      <w:pPr>
        <w:spacing w:after="0" w:line="33"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8"/>
          <w:szCs w:val="18"/>
          <w:color w:val="auto"/>
        </w:rPr>
        <w:t>☐</w:t>
      </w:r>
    </w:p>
    <w:p>
      <w:pPr>
        <w:spacing w:after="0" w:line="3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7"/>
          <w:szCs w:val="17"/>
          <w:color w:val="auto"/>
        </w:rPr>
        <w:t>☐</w:t>
      </w:r>
    </w:p>
    <w:p>
      <w:pPr>
        <w:spacing w:after="0" w:line="340" w:lineRule="exact"/>
        <w:rPr>
          <w:sz w:val="24"/>
          <w:szCs w:val="24"/>
          <w:color w:val="auto"/>
        </w:rPr>
      </w:pPr>
    </w:p>
    <w:p>
      <w:pPr>
        <w:sectPr>
          <w:pgSz w:w="11900" w:h="16838" w:orient="portrait"/>
          <w:cols w:equalWidth="0" w:num="2">
            <w:col w:w="5020" w:space="720"/>
            <w:col w:w="5680"/>
          </w:cols>
          <w:pgMar w:left="240" w:top="229" w:right="239" w:bottom="241" w:gutter="0" w:footer="0" w:header="0"/>
          <w:type w:val="continuous"/>
        </w:sectPr>
      </w:pPr>
    </w:p>
    <w:p>
      <w:pPr>
        <w:ind w:right="120" w:firstLine="648"/>
        <w:spacing w:after="0" w:line="22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660"/>
        <w:spacing w:after="0" w:line="196" w:lineRule="exact"/>
        <w:tabs>
          <w:tab w:leader="none" w:pos="82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89" w:lineRule="exact"/>
        <w:rPr>
          <w:sz w:val="24"/>
          <w:szCs w:val="24"/>
          <w:color w:val="auto"/>
        </w:rPr>
      </w:pPr>
    </w:p>
    <w:p>
      <w:pPr>
        <w:jc w:val="both"/>
        <w:ind w:firstLine="648"/>
        <w:spacing w:after="0" w:line="29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$28,771,940,302 computed by reference to the closing sale price for such stock on the NASDAQ Global Select Market on June 30, 2018, the last business day of the registrant’s most recently completed second fiscal quarter.</w:t>
      </w:r>
    </w:p>
    <w:p>
      <w:pPr>
        <w:spacing w:after="0" w:line="290" w:lineRule="exact"/>
        <w:rPr>
          <w:sz w:val="24"/>
          <w:szCs w:val="24"/>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$0.005 par value per share (being the only class of common stock of the registrant), outstanding on February 20, 2019 was 543,148,169 shares.</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54" w:lineRule="exact"/>
        <w:rPr>
          <w:sz w:val="24"/>
          <w:szCs w:val="24"/>
          <w:color w:val="auto"/>
        </w:rPr>
      </w:pPr>
    </w:p>
    <w:p>
      <w:pPr>
        <w:jc w:val="both"/>
        <w:ind w:firstLine="441"/>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subsequent to the date hereof with the Commission pursuant to Regulation 14A in connection with the registrant’s 2019 Annual Meeting of Stockholders are incorporated by reference into Part III of this Report. Such Definitive Proxy Statement will be filed with the Securities and Exchange Commission no later than 120 days after the conclusion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9" w:right="239" w:bottom="241"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960" w:type="dxa"/>
            <w:vAlign w:val="bottom"/>
            <w:gridSpan w:val="19"/>
          </w:tcPr>
          <w:p>
            <w:pPr>
              <w:jc w:val="center"/>
              <w:ind w:right="1900"/>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2"/>
          </w:tcPr>
          <w:p>
            <w:pPr>
              <w:jc w:val="center"/>
              <w:ind w:right="386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60" w:type="dxa"/>
            <w:vAlign w:val="bottom"/>
            <w:gridSpan w:val="16"/>
          </w:tcPr>
          <w:p>
            <w:pPr>
              <w:jc w:val="center"/>
              <w:ind w:right="328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014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auto"/>
              </w:rPr>
              <w:t>Item Number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Page Number</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0000EE"/>
            </w:tcBorders>
            <w:gridSpan w:val="3"/>
          </w:tcPr>
          <w:p>
            <w:pPr>
              <w:jc w:val="center"/>
              <w:spacing w:after="0" w:line="209" w:lineRule="exact"/>
              <w:rPr>
                <w:rFonts w:ascii="Times New Roman" w:cs="Times New Roman" w:eastAsia="Times New Roman" w:hAnsi="Times New Roman"/>
                <w:sz w:val="20"/>
                <w:szCs w:val="20"/>
                <w:b w:val="1"/>
                <w:bCs w:val="1"/>
                <w:color w:val="0000EE"/>
                <w:w w:val="95"/>
              </w:rPr>
            </w:pPr>
            <w:hyperlink w:anchor="page3">
              <w:r>
                <w:rPr>
                  <w:rFonts w:ascii="Times New Roman" w:cs="Times New Roman" w:eastAsia="Times New Roman" w:hAnsi="Times New Roman"/>
                  <w:sz w:val="20"/>
                  <w:szCs w:val="20"/>
                  <w:b w:val="1"/>
                  <w:bCs w:val="1"/>
                  <w:color w:val="0000EE"/>
                  <w:w w:val="95"/>
                </w:rPr>
                <w:t>PART I</w:t>
              </w:r>
            </w:hyperlink>
          </w:p>
        </w:tc>
        <w:tc>
          <w:tcPr>
            <w:tcW w:w="4340" w:type="dxa"/>
            <w:vAlign w:val="bottom"/>
            <w:gridSpan w:val="9"/>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0" w:type="dxa"/>
            <w:vAlign w:val="bottom"/>
            <w:gridSpan w:val="2"/>
          </w:tcPr>
          <w:p>
            <w:pPr>
              <w:spacing w:after="0"/>
              <w:rPr>
                <w:sz w:val="24"/>
                <w:szCs w:val="24"/>
                <w:color w:val="auto"/>
              </w:rPr>
            </w:pPr>
          </w:p>
        </w:tc>
        <w:tc>
          <w:tcPr>
            <w:tcW w:w="160" w:type="dxa"/>
            <w:vAlign w:val="bottom"/>
            <w:tcBorders>
              <w:bottom w:val="single" w:sz="8" w:color="0000EE"/>
            </w:tcBorders>
          </w:tcPr>
          <w:p>
            <w:pPr>
              <w:jc w:val="right"/>
              <w:spacing w:after="0"/>
              <w:rPr>
                <w:rFonts w:ascii="Times New Roman" w:cs="Times New Roman" w:eastAsia="Times New Roman" w:hAnsi="Times New Roman"/>
                <w:sz w:val="20"/>
                <w:szCs w:val="20"/>
                <w:color w:val="0000EE"/>
                <w:w w:val="92"/>
              </w:rPr>
            </w:pPr>
            <w:hyperlink w:anchor="page3">
              <w:r>
                <w:rPr>
                  <w:rFonts w:ascii="Times New Roman" w:cs="Times New Roman" w:eastAsia="Times New Roman" w:hAnsi="Times New Roman"/>
                  <w:sz w:val="20"/>
                  <w:szCs w:val="20"/>
                  <w:color w:val="0000EE"/>
                  <w:w w:val="92"/>
                </w:rPr>
                <w:t>1.</w:t>
              </w:r>
            </w:hyperlink>
          </w:p>
        </w:tc>
        <w:tc>
          <w:tcPr>
            <w:tcW w:w="12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3">
              <w:r>
                <w:rPr>
                  <w:rFonts w:ascii="Times New Roman" w:cs="Times New Roman" w:eastAsia="Times New Roman" w:hAnsi="Times New Roman"/>
                  <w:sz w:val="20"/>
                  <w:szCs w:val="20"/>
                  <w:color w:val="0000EE"/>
                  <w:w w:val="98"/>
                </w:rPr>
                <w:t>Business</w:t>
              </w:r>
            </w:hyperlink>
          </w:p>
        </w:tc>
        <w:tc>
          <w:tcPr>
            <w:tcW w:w="8500" w:type="dxa"/>
            <w:vAlign w:val="bottom"/>
            <w:gridSpan w:val="29"/>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gridSpan w:val="2"/>
          </w:tcPr>
          <w:p>
            <w:pPr>
              <w:jc w:val="right"/>
              <w:spacing w:after="0" w:line="209" w:lineRule="exact"/>
              <w:rPr>
                <w:rFonts w:ascii="Times New Roman" w:cs="Times New Roman" w:eastAsia="Times New Roman" w:hAnsi="Times New Roman"/>
                <w:sz w:val="20"/>
                <w:szCs w:val="20"/>
                <w:color w:val="0000EE"/>
                <w:w w:val="74"/>
              </w:rPr>
            </w:pPr>
            <w:hyperlink w:anchor="page18">
              <w:r>
                <w:rPr>
                  <w:rFonts w:ascii="Times New Roman" w:cs="Times New Roman" w:eastAsia="Times New Roman" w:hAnsi="Times New Roman"/>
                  <w:sz w:val="20"/>
                  <w:szCs w:val="20"/>
                  <w:color w:val="0000EE"/>
                  <w:w w:val="74"/>
                </w:rPr>
                <w:t>1A.</w:t>
              </w:r>
            </w:hyperlink>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18">
              <w:r>
                <w:rPr>
                  <w:rFonts w:ascii="Times New Roman" w:cs="Times New Roman" w:eastAsia="Times New Roman" w:hAnsi="Times New Roman"/>
                  <w:sz w:val="20"/>
                  <w:szCs w:val="20"/>
                  <w:color w:val="0000EE"/>
                </w:rPr>
                <w:t>Risk Factors</w:t>
              </w:r>
            </w:hyperlink>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Borders>
              <w:bottom w:val="single" w:sz="8" w:color="0000EE"/>
            </w:tcBorders>
            <w:gridSpan w:val="2"/>
          </w:tcPr>
          <w:p>
            <w:pPr>
              <w:jc w:val="right"/>
              <w:spacing w:after="0" w:line="209" w:lineRule="exact"/>
              <w:rPr>
                <w:rFonts w:ascii="Times New Roman" w:cs="Times New Roman" w:eastAsia="Times New Roman" w:hAnsi="Times New Roman"/>
                <w:sz w:val="20"/>
                <w:szCs w:val="20"/>
                <w:color w:val="0000EE"/>
                <w:w w:val="77"/>
              </w:rPr>
            </w:pPr>
            <w:hyperlink w:anchor="page32">
              <w:r>
                <w:rPr>
                  <w:rFonts w:ascii="Times New Roman" w:cs="Times New Roman" w:eastAsia="Times New Roman" w:hAnsi="Times New Roman"/>
                  <w:sz w:val="20"/>
                  <w:szCs w:val="20"/>
                  <w:color w:val="0000EE"/>
                  <w:w w:val="77"/>
                </w:rPr>
                <w:t>1B.</w:t>
              </w:r>
            </w:hyperlink>
          </w:p>
        </w:tc>
        <w:tc>
          <w:tcPr>
            <w:tcW w:w="120" w:type="dxa"/>
            <w:vAlign w:val="bottom"/>
          </w:tcPr>
          <w:p>
            <w:pPr>
              <w:spacing w:after="0"/>
              <w:rPr>
                <w:sz w:val="18"/>
                <w:szCs w:val="18"/>
                <w:color w:val="auto"/>
              </w:rPr>
            </w:pPr>
          </w:p>
        </w:tc>
        <w:tc>
          <w:tcPr>
            <w:tcW w:w="2260" w:type="dxa"/>
            <w:vAlign w:val="bottom"/>
            <w:tcBorders>
              <w:bottom w:val="single" w:sz="8" w:color="0000EE"/>
            </w:tcBorders>
            <w:gridSpan w:val="12"/>
          </w:tcPr>
          <w:p>
            <w:pPr>
              <w:spacing w:after="0" w:line="209" w:lineRule="exact"/>
              <w:rPr>
                <w:rFonts w:ascii="Times New Roman" w:cs="Times New Roman" w:eastAsia="Times New Roman" w:hAnsi="Times New Roman"/>
                <w:sz w:val="20"/>
                <w:szCs w:val="20"/>
                <w:color w:val="0000EE"/>
                <w:w w:val="98"/>
              </w:rPr>
            </w:pPr>
            <w:hyperlink w:anchor="page32">
              <w:r>
                <w:rPr>
                  <w:rFonts w:ascii="Times New Roman" w:cs="Times New Roman" w:eastAsia="Times New Roman" w:hAnsi="Times New Roman"/>
                  <w:sz w:val="20"/>
                  <w:szCs w:val="20"/>
                  <w:color w:val="0000EE"/>
                  <w:w w:val="98"/>
                </w:rPr>
                <w:t>Unresolved Staff Comments</w:t>
              </w:r>
            </w:hyperlink>
          </w:p>
        </w:tc>
        <w:tc>
          <w:tcPr>
            <w:tcW w:w="6960" w:type="dxa"/>
            <w:vAlign w:val="bottom"/>
            <w:gridSpan w:val="19"/>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32">
              <w:r>
                <w:rPr>
                  <w:rFonts w:ascii="Times New Roman" w:cs="Times New Roman" w:eastAsia="Times New Roman" w:hAnsi="Times New Roman"/>
                  <w:sz w:val="20"/>
                  <w:szCs w:val="20"/>
                  <w:color w:val="0000EE"/>
                  <w:w w:val="92"/>
                </w:rPr>
                <w:t>2.</w:t>
              </w:r>
            </w:hyperlink>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32">
              <w:r>
                <w:rPr>
                  <w:rFonts w:ascii="Times New Roman" w:cs="Times New Roman" w:eastAsia="Times New Roman" w:hAnsi="Times New Roman"/>
                  <w:sz w:val="20"/>
                  <w:szCs w:val="20"/>
                  <w:color w:val="0000EE"/>
                </w:rPr>
                <w:t>Properties</w:t>
              </w:r>
            </w:hyperlink>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line="209" w:lineRule="exact"/>
              <w:rPr>
                <w:rFonts w:ascii="Times New Roman" w:cs="Times New Roman" w:eastAsia="Times New Roman" w:hAnsi="Times New Roman"/>
                <w:sz w:val="20"/>
                <w:szCs w:val="20"/>
                <w:color w:val="0000EE"/>
                <w:w w:val="92"/>
              </w:rPr>
            </w:pPr>
            <w:hyperlink w:anchor="page32">
              <w:r>
                <w:rPr>
                  <w:rFonts w:ascii="Times New Roman" w:cs="Times New Roman" w:eastAsia="Times New Roman" w:hAnsi="Times New Roman"/>
                  <w:sz w:val="20"/>
                  <w:szCs w:val="20"/>
                  <w:color w:val="0000EE"/>
                  <w:w w:val="92"/>
                </w:rPr>
                <w:t>3.</w:t>
              </w:r>
            </w:hyperlink>
          </w:p>
        </w:tc>
        <w:tc>
          <w:tcPr>
            <w:tcW w:w="120" w:type="dxa"/>
            <w:vAlign w:val="bottom"/>
          </w:tcPr>
          <w:p>
            <w:pPr>
              <w:spacing w:after="0"/>
              <w:rPr>
                <w:sz w:val="18"/>
                <w:szCs w:val="18"/>
                <w:color w:val="auto"/>
              </w:rPr>
            </w:pPr>
          </w:p>
        </w:tc>
        <w:tc>
          <w:tcPr>
            <w:tcW w:w="1480" w:type="dxa"/>
            <w:vAlign w:val="bottom"/>
            <w:tcBorders>
              <w:bottom w:val="single" w:sz="8" w:color="0000EE"/>
            </w:tcBorders>
            <w:gridSpan w:val="7"/>
          </w:tcPr>
          <w:p>
            <w:pPr>
              <w:spacing w:after="0" w:line="209" w:lineRule="exact"/>
              <w:rPr>
                <w:rFonts w:ascii="Times New Roman" w:cs="Times New Roman" w:eastAsia="Times New Roman" w:hAnsi="Times New Roman"/>
                <w:sz w:val="20"/>
                <w:szCs w:val="20"/>
                <w:color w:val="0000EE"/>
                <w:w w:val="98"/>
              </w:rPr>
            </w:pPr>
            <w:hyperlink w:anchor="page32">
              <w:r>
                <w:rPr>
                  <w:rFonts w:ascii="Times New Roman" w:cs="Times New Roman" w:eastAsia="Times New Roman" w:hAnsi="Times New Roman"/>
                  <w:sz w:val="20"/>
                  <w:szCs w:val="20"/>
                  <w:color w:val="0000EE"/>
                  <w:w w:val="98"/>
                </w:rPr>
                <w:t>Legal Proceedings</w:t>
              </w:r>
            </w:hyperlink>
          </w:p>
        </w:tc>
        <w:tc>
          <w:tcPr>
            <w:tcW w:w="7740" w:type="dxa"/>
            <w:vAlign w:val="bottom"/>
            <w:gridSpan w:val="24"/>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gridSpan w:val="3"/>
          </w:tcPr>
          <w:p>
            <w:pPr>
              <w:jc w:val="right"/>
              <w:spacing w:after="0" w:line="209" w:lineRule="exact"/>
              <w:rPr>
                <w:rFonts w:ascii="Times New Roman" w:cs="Times New Roman" w:eastAsia="Times New Roman" w:hAnsi="Times New Roman"/>
                <w:sz w:val="20"/>
                <w:szCs w:val="20"/>
                <w:color w:val="0000EE"/>
              </w:rPr>
            </w:pPr>
            <w:hyperlink w:anchor="page33">
              <w:r>
                <w:rPr>
                  <w:rFonts w:ascii="Times New Roman" w:cs="Times New Roman" w:eastAsia="Times New Roman" w:hAnsi="Times New Roman"/>
                  <w:sz w:val="20"/>
                  <w:szCs w:val="20"/>
                  <w:color w:val="0000EE"/>
                </w:rPr>
                <w:t>4.</w:t>
              </w:r>
            </w:hyperlink>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33">
              <w:r>
                <w:rPr>
                  <w:rFonts w:ascii="Times New Roman" w:cs="Times New Roman" w:eastAsia="Times New Roman" w:hAnsi="Times New Roman"/>
                  <w:sz w:val="20"/>
                  <w:szCs w:val="20"/>
                  <w:color w:val="0000EE"/>
                </w:rPr>
                <w:t>Mine Safety Disclosures</w:t>
              </w:r>
            </w:hyperlink>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5"/>
          </w:tcPr>
          <w:p>
            <w:pPr>
              <w:jc w:val="center"/>
              <w:spacing w:after="0"/>
              <w:rPr>
                <w:rFonts w:ascii="Times New Roman" w:cs="Times New Roman" w:eastAsia="Times New Roman" w:hAnsi="Times New Roman"/>
                <w:sz w:val="20"/>
                <w:szCs w:val="20"/>
                <w:b w:val="1"/>
                <w:bCs w:val="1"/>
                <w:color w:val="0000EE"/>
                <w:w w:val="95"/>
              </w:rPr>
            </w:pPr>
            <w:hyperlink w:anchor="page33">
              <w:r>
                <w:rPr>
                  <w:rFonts w:ascii="Times New Roman" w:cs="Times New Roman" w:eastAsia="Times New Roman" w:hAnsi="Times New Roman"/>
                  <w:sz w:val="20"/>
                  <w:szCs w:val="20"/>
                  <w:b w:val="1"/>
                  <w:bCs w:val="1"/>
                  <w:color w:val="0000EE"/>
                  <w:w w:val="95"/>
                </w:rPr>
                <w:t>PART II</w:t>
              </w:r>
            </w:hyperlink>
          </w:p>
        </w:tc>
        <w:tc>
          <w:tcPr>
            <w:tcW w:w="430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gridSpan w:val="2"/>
          </w:tcPr>
          <w:p>
            <w:pPr>
              <w:spacing w:after="0"/>
              <w:rPr>
                <w:sz w:val="24"/>
                <w:szCs w:val="24"/>
                <w:color w:val="auto"/>
              </w:rPr>
            </w:pPr>
          </w:p>
        </w:tc>
        <w:tc>
          <w:tcPr>
            <w:tcW w:w="160" w:type="dxa"/>
            <w:vAlign w:val="bottom"/>
          </w:tcPr>
          <w:p>
            <w:pPr>
              <w:jc w:val="right"/>
              <w:spacing w:after="0"/>
              <w:rPr>
                <w:rFonts w:ascii="Times New Roman" w:cs="Times New Roman" w:eastAsia="Times New Roman" w:hAnsi="Times New Roman"/>
                <w:sz w:val="20"/>
                <w:szCs w:val="20"/>
                <w:color w:val="0000EE"/>
                <w:w w:val="92"/>
              </w:rPr>
            </w:pPr>
            <w:hyperlink w:anchor="page33">
              <w:r>
                <w:rPr>
                  <w:rFonts w:ascii="Times New Roman" w:cs="Times New Roman" w:eastAsia="Times New Roman" w:hAnsi="Times New Roman"/>
                  <w:sz w:val="20"/>
                  <w:szCs w:val="20"/>
                  <w:color w:val="0000EE"/>
                  <w:w w:val="92"/>
                </w:rPr>
                <w:t>5.</w:t>
              </w:r>
            </w:hyperlink>
          </w:p>
        </w:tc>
        <w:tc>
          <w:tcPr>
            <w:tcW w:w="120" w:type="dxa"/>
            <w:vAlign w:val="bottom"/>
          </w:tcPr>
          <w:p>
            <w:pPr>
              <w:spacing w:after="0"/>
              <w:rPr>
                <w:sz w:val="24"/>
                <w:szCs w:val="24"/>
                <w:color w:val="auto"/>
              </w:rPr>
            </w:pPr>
          </w:p>
        </w:tc>
        <w:tc>
          <w:tcPr>
            <w:tcW w:w="9220" w:type="dxa"/>
            <w:vAlign w:val="bottom"/>
            <w:gridSpan w:val="31"/>
          </w:tcPr>
          <w:p>
            <w:pPr>
              <w:spacing w:after="0"/>
              <w:rPr>
                <w:rFonts w:ascii="Times New Roman" w:cs="Times New Roman" w:eastAsia="Times New Roman" w:hAnsi="Times New Roman"/>
                <w:sz w:val="20"/>
                <w:szCs w:val="20"/>
                <w:color w:val="0000EE"/>
              </w:rPr>
            </w:pPr>
            <w:hyperlink w:anchor="page33">
              <w:r>
                <w:rPr>
                  <w:rFonts w:ascii="Times New Roman" w:cs="Times New Roman" w:eastAsia="Times New Roman" w:hAnsi="Times New Roman"/>
                  <w:sz w:val="20"/>
                  <w:szCs w:val="20"/>
                  <w:color w:val="0000EE"/>
                </w:rPr>
                <w:t>Market for the Registrant’s Common Equity, Related Stockholder Matters and Issuer Purchases of Equity</w:t>
              </w:r>
            </w:hyperlink>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Borders>
              <w:top w:val="single" w:sz="8" w:color="0000EE"/>
            </w:tcBorders>
            <w:gridSpan w:val="30"/>
          </w:tcPr>
          <w:p>
            <w:pPr>
              <w:spacing w:after="0" w:line="209" w:lineRule="exact"/>
              <w:rPr>
                <w:rFonts w:ascii="Times New Roman" w:cs="Times New Roman" w:eastAsia="Times New Roman" w:hAnsi="Times New Roman"/>
                <w:sz w:val="20"/>
                <w:szCs w:val="20"/>
                <w:color w:val="0000EE"/>
              </w:rPr>
            </w:pPr>
            <w:hyperlink w:anchor="page33">
              <w:r>
                <w:rPr>
                  <w:rFonts w:ascii="Times New Roman" w:cs="Times New Roman" w:eastAsia="Times New Roman" w:hAnsi="Times New Roman"/>
                  <w:sz w:val="20"/>
                  <w:szCs w:val="20"/>
                  <w:color w:val="0000EE"/>
                </w:rPr>
                <w:t>Securities</w:t>
              </w:r>
            </w:hyperlink>
          </w:p>
        </w:tc>
        <w:tc>
          <w:tcPr>
            <w:tcW w:w="8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line="20" w:lineRule="exact"/>
              <w:rPr>
                <w:sz w:val="1"/>
                <w:szCs w:val="1"/>
                <w:color w:val="auto"/>
              </w:rPr>
            </w:pPr>
          </w:p>
        </w:tc>
        <w:tc>
          <w:tcPr>
            <w:tcW w:w="160" w:type="dxa"/>
            <w:vAlign w:val="bottom"/>
            <w:vMerge w:val="restart"/>
          </w:tcPr>
          <w:p>
            <w:pPr>
              <w:jc w:val="right"/>
              <w:spacing w:after="0"/>
              <w:rPr>
                <w:rFonts w:ascii="Times New Roman" w:cs="Times New Roman" w:eastAsia="Times New Roman" w:hAnsi="Times New Roman"/>
                <w:sz w:val="20"/>
                <w:szCs w:val="20"/>
                <w:color w:val="0000EE"/>
                <w:w w:val="92"/>
              </w:rPr>
            </w:pPr>
            <w:hyperlink w:anchor="page36">
              <w:r>
                <w:rPr>
                  <w:rFonts w:ascii="Times New Roman" w:cs="Times New Roman" w:eastAsia="Times New Roman" w:hAnsi="Times New Roman"/>
                  <w:sz w:val="20"/>
                  <w:szCs w:val="20"/>
                  <w:color w:val="0000EE"/>
                  <w:w w:val="92"/>
                </w:rPr>
                <w:t>6.</w:t>
              </w:r>
            </w:hyperlink>
          </w:p>
        </w:tc>
        <w:tc>
          <w:tcPr>
            <w:tcW w:w="1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36">
              <w:r>
                <w:rPr>
                  <w:rFonts w:ascii="Times New Roman" w:cs="Times New Roman" w:eastAsia="Times New Roman" w:hAnsi="Times New Roman"/>
                  <w:sz w:val="20"/>
                  <w:szCs w:val="20"/>
                  <w:color w:val="0000EE"/>
                </w:rPr>
                <w:t>Selected Financial Data</w:t>
              </w:r>
            </w:hyperlink>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37</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37">
              <w:r>
                <w:rPr>
                  <w:rFonts w:ascii="Times New Roman" w:cs="Times New Roman" w:eastAsia="Times New Roman" w:hAnsi="Times New Roman"/>
                  <w:sz w:val="20"/>
                  <w:szCs w:val="20"/>
                  <w:color w:val="0000EE"/>
                  <w:w w:val="92"/>
                </w:rPr>
                <w:t>7.</w:t>
              </w:r>
            </w:hyperlink>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37">
              <w:r>
                <w:rPr>
                  <w:rFonts w:ascii="Times New Roman" w:cs="Times New Roman" w:eastAsia="Times New Roman" w:hAnsi="Times New Roman"/>
                  <w:sz w:val="20"/>
                  <w:szCs w:val="20"/>
                  <w:color w:val="0000EE"/>
                </w:rPr>
                <w:t>Management’s Discussion and Analysis of Financial Condition and Results of Operations</w:t>
              </w:r>
            </w:hyperlink>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0000EE"/>
            </w:tcBorders>
            <w:gridSpan w:val="4"/>
            <w:shd w:val="clear" w:color="auto" w:fill="0000EE"/>
          </w:tcPr>
          <w:p>
            <w:pPr>
              <w:spacing w:after="0" w:line="20" w:lineRule="exact"/>
              <w:rPr>
                <w:sz w:val="1"/>
                <w:szCs w:val="1"/>
                <w:color w:val="auto"/>
              </w:rPr>
            </w:pPr>
          </w:p>
        </w:tc>
        <w:tc>
          <w:tcPr>
            <w:tcW w:w="620" w:type="dxa"/>
            <w:vAlign w:val="bottom"/>
            <w:tcBorders>
              <w:bottom w:val="single" w:sz="8" w:color="0000EE"/>
            </w:tcBorders>
            <w:gridSpan w:val="2"/>
            <w:shd w:val="clear" w:color="auto" w:fill="0000EE"/>
          </w:tcPr>
          <w:p>
            <w:pPr>
              <w:spacing w:after="0" w:line="20" w:lineRule="exact"/>
              <w:rPr>
                <w:sz w:val="1"/>
                <w:szCs w:val="1"/>
                <w:color w:val="auto"/>
              </w:rPr>
            </w:pPr>
          </w:p>
        </w:tc>
        <w:tc>
          <w:tcPr>
            <w:tcW w:w="260" w:type="dxa"/>
            <w:vAlign w:val="bottom"/>
            <w:tcBorders>
              <w:bottom w:val="single" w:sz="8" w:color="0000EE"/>
            </w:tcBorders>
            <w:gridSpan w:val="2"/>
            <w:shd w:val="clear" w:color="auto" w:fill="0000EE"/>
          </w:tcPr>
          <w:p>
            <w:pPr>
              <w:spacing w:after="0" w:line="20" w:lineRule="exact"/>
              <w:rPr>
                <w:sz w:val="1"/>
                <w:szCs w:val="1"/>
                <w:color w:val="auto"/>
              </w:rPr>
            </w:pPr>
          </w:p>
        </w:tc>
        <w:tc>
          <w:tcPr>
            <w:tcW w:w="280" w:type="dxa"/>
            <w:vAlign w:val="bottom"/>
            <w:tcBorders>
              <w:bottom w:val="single" w:sz="8" w:color="0000EE"/>
            </w:tcBorders>
            <w:gridSpan w:val="3"/>
            <w:shd w:val="clear" w:color="auto" w:fill="0000EE"/>
          </w:tcPr>
          <w:p>
            <w:pPr>
              <w:spacing w:after="0" w:line="20" w:lineRule="exact"/>
              <w:rPr>
                <w:sz w:val="1"/>
                <w:szCs w:val="1"/>
                <w:color w:val="auto"/>
              </w:rPr>
            </w:pPr>
          </w:p>
        </w:tc>
        <w:tc>
          <w:tcPr>
            <w:tcW w:w="1160" w:type="dxa"/>
            <w:vAlign w:val="bottom"/>
            <w:tcBorders>
              <w:bottom w:val="single" w:sz="8" w:color="0000EE"/>
            </w:tcBorders>
            <w:gridSpan w:val="2"/>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50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gridSpan w:val="3"/>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tcBorders>
            <w:gridSpan w:val="3"/>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040" w:type="dxa"/>
            <w:vAlign w:val="bottom"/>
            <w:tcBorders>
              <w:bottom w:val="single" w:sz="8" w:color="0000EE"/>
            </w:tcBorders>
            <w:shd w:val="clear" w:color="auto" w:fill="0000EE"/>
          </w:tcPr>
          <w:p>
            <w:pPr>
              <w:spacing w:after="0" w:line="20" w:lineRule="exact"/>
              <w:rPr>
                <w:sz w:val="1"/>
                <w:szCs w:val="1"/>
                <w:color w:val="auto"/>
              </w:rPr>
            </w:pPr>
          </w:p>
        </w:tc>
        <w:tc>
          <w:tcPr>
            <w:tcW w:w="110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240" w:type="dxa"/>
            <w:vAlign w:val="bottom"/>
            <w:gridSpan w:val="2"/>
          </w:tcPr>
          <w:p>
            <w:pPr>
              <w:jc w:val="right"/>
              <w:spacing w:after="0" w:line="189" w:lineRule="exact"/>
              <w:rPr>
                <w:rFonts w:ascii="Times New Roman" w:cs="Times New Roman" w:eastAsia="Times New Roman" w:hAnsi="Times New Roman"/>
                <w:sz w:val="20"/>
                <w:szCs w:val="20"/>
                <w:color w:val="0000EE"/>
                <w:w w:val="74"/>
              </w:rPr>
            </w:pPr>
            <w:hyperlink w:anchor="page62">
              <w:r>
                <w:rPr>
                  <w:rFonts w:ascii="Times New Roman" w:cs="Times New Roman" w:eastAsia="Times New Roman" w:hAnsi="Times New Roman"/>
                  <w:sz w:val="20"/>
                  <w:szCs w:val="20"/>
                  <w:color w:val="0000EE"/>
                  <w:w w:val="74"/>
                </w:rPr>
                <w:t>7A.</w:t>
              </w:r>
            </w:hyperlink>
          </w:p>
        </w:tc>
        <w:tc>
          <w:tcPr>
            <w:tcW w:w="120" w:type="dxa"/>
            <w:vAlign w:val="bottom"/>
          </w:tcPr>
          <w:p>
            <w:pPr>
              <w:spacing w:after="0"/>
              <w:rPr>
                <w:sz w:val="16"/>
                <w:szCs w:val="16"/>
                <w:color w:val="auto"/>
              </w:rPr>
            </w:pPr>
          </w:p>
        </w:tc>
        <w:tc>
          <w:tcPr>
            <w:tcW w:w="9220" w:type="dxa"/>
            <w:vAlign w:val="bottom"/>
            <w:gridSpan w:val="31"/>
          </w:tcPr>
          <w:p>
            <w:pPr>
              <w:spacing w:after="0" w:line="189" w:lineRule="exact"/>
              <w:rPr>
                <w:rFonts w:ascii="Times New Roman" w:cs="Times New Roman" w:eastAsia="Times New Roman" w:hAnsi="Times New Roman"/>
                <w:sz w:val="20"/>
                <w:szCs w:val="20"/>
                <w:color w:val="0000EE"/>
              </w:rPr>
            </w:pPr>
            <w:hyperlink w:anchor="page62">
              <w:r>
                <w:rPr>
                  <w:rFonts w:ascii="Times New Roman" w:cs="Times New Roman" w:eastAsia="Times New Roman" w:hAnsi="Times New Roman"/>
                  <w:sz w:val="20"/>
                  <w:szCs w:val="20"/>
                  <w:color w:val="0000EE"/>
                </w:rPr>
                <w:t>Quantitative and Qualitative Disclosures about Market Risk</w:t>
              </w:r>
            </w:hyperlink>
          </w:p>
        </w:tc>
        <w:tc>
          <w:tcPr>
            <w:tcW w:w="1160" w:type="dxa"/>
            <w:vAlign w:val="bottom"/>
          </w:tcPr>
          <w:p>
            <w:pPr>
              <w:jc w:val="right"/>
              <w:ind w:right="381"/>
              <w:spacing w:after="0" w:line="189" w:lineRule="exact"/>
              <w:rPr>
                <w:sz w:val="20"/>
                <w:szCs w:val="20"/>
                <w:color w:val="auto"/>
              </w:rPr>
            </w:pPr>
            <w:r>
              <w:rPr>
                <w:rFonts w:ascii="Times New Roman" w:cs="Times New Roman" w:eastAsia="Times New Roman" w:hAnsi="Times New Roman"/>
                <w:sz w:val="20"/>
                <w:szCs w:val="20"/>
                <w:color w:val="auto"/>
              </w:rPr>
              <w:t>62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jc w:val="right"/>
              <w:spacing w:after="0" w:line="209" w:lineRule="exact"/>
              <w:rPr>
                <w:rFonts w:ascii="Times New Roman" w:cs="Times New Roman" w:eastAsia="Times New Roman" w:hAnsi="Times New Roman"/>
                <w:sz w:val="20"/>
                <w:szCs w:val="20"/>
                <w:color w:val="0000EE"/>
                <w:w w:val="92"/>
              </w:rPr>
            </w:pPr>
            <w:hyperlink w:anchor="page63">
              <w:r>
                <w:rPr>
                  <w:rFonts w:ascii="Times New Roman" w:cs="Times New Roman" w:eastAsia="Times New Roman" w:hAnsi="Times New Roman"/>
                  <w:sz w:val="20"/>
                  <w:szCs w:val="20"/>
                  <w:color w:val="0000EE"/>
                  <w:w w:val="92"/>
                </w:rPr>
                <w:t>8.</w:t>
              </w:r>
            </w:hyperlink>
          </w:p>
        </w:tc>
        <w:tc>
          <w:tcPr>
            <w:tcW w:w="120" w:type="dxa"/>
            <w:vAlign w:val="bottom"/>
          </w:tcPr>
          <w:p>
            <w:pPr>
              <w:spacing w:after="0"/>
              <w:rPr>
                <w:sz w:val="18"/>
                <w:szCs w:val="18"/>
                <w:color w:val="auto"/>
              </w:rPr>
            </w:pPr>
          </w:p>
        </w:tc>
        <w:tc>
          <w:tcPr>
            <w:tcW w:w="4740" w:type="dxa"/>
            <w:vAlign w:val="bottom"/>
            <w:tcBorders>
              <w:top w:val="single" w:sz="8" w:color="0000EE"/>
            </w:tcBorders>
            <w:gridSpan w:val="21"/>
          </w:tcPr>
          <w:p>
            <w:pPr>
              <w:spacing w:after="0" w:line="209" w:lineRule="exact"/>
              <w:rPr>
                <w:rFonts w:ascii="Times New Roman" w:cs="Times New Roman" w:eastAsia="Times New Roman" w:hAnsi="Times New Roman"/>
                <w:sz w:val="20"/>
                <w:szCs w:val="20"/>
                <w:color w:val="0000EE"/>
              </w:rPr>
            </w:pPr>
            <w:hyperlink w:anchor="page63">
              <w:r>
                <w:rPr>
                  <w:rFonts w:ascii="Times New Roman" w:cs="Times New Roman" w:eastAsia="Times New Roman" w:hAnsi="Times New Roman"/>
                  <w:sz w:val="20"/>
                  <w:szCs w:val="20"/>
                  <w:color w:val="0000EE"/>
                </w:rPr>
                <w:t>Financial Statements and Supplementary Data</w:t>
              </w:r>
            </w:hyperlink>
          </w:p>
        </w:tc>
        <w:tc>
          <w:tcPr>
            <w:tcW w:w="4480" w:type="dxa"/>
            <w:vAlign w:val="bottom"/>
            <w:gridSpan w:val="10"/>
          </w:tcPr>
          <w:p>
            <w:pPr>
              <w:spacing w:after="0"/>
              <w:rPr>
                <w:sz w:val="18"/>
                <w:szCs w:val="18"/>
                <w:color w:val="auto"/>
              </w:rPr>
            </w:pPr>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line="209" w:lineRule="exact"/>
              <w:rPr>
                <w:rFonts w:ascii="Times New Roman" w:cs="Times New Roman" w:eastAsia="Times New Roman" w:hAnsi="Times New Roman"/>
                <w:sz w:val="20"/>
                <w:szCs w:val="20"/>
                <w:color w:val="0000EE"/>
                <w:w w:val="92"/>
              </w:rPr>
            </w:pPr>
            <w:hyperlink w:anchor="page63">
              <w:r>
                <w:rPr>
                  <w:rFonts w:ascii="Times New Roman" w:cs="Times New Roman" w:eastAsia="Times New Roman" w:hAnsi="Times New Roman"/>
                  <w:sz w:val="20"/>
                  <w:szCs w:val="20"/>
                  <w:color w:val="0000EE"/>
                  <w:w w:val="92"/>
                </w:rPr>
                <w:t>9.</w:t>
              </w:r>
            </w:hyperlink>
          </w:p>
        </w:tc>
        <w:tc>
          <w:tcPr>
            <w:tcW w:w="120" w:type="dxa"/>
            <w:vAlign w:val="bottom"/>
          </w:tcPr>
          <w:p>
            <w:pPr>
              <w:spacing w:after="0"/>
              <w:rPr>
                <w:sz w:val="18"/>
                <w:szCs w:val="18"/>
                <w:color w:val="auto"/>
              </w:rPr>
            </w:pPr>
          </w:p>
        </w:tc>
        <w:tc>
          <w:tcPr>
            <w:tcW w:w="7140" w:type="dxa"/>
            <w:vAlign w:val="bottom"/>
            <w:tcBorders>
              <w:bottom w:val="single" w:sz="8" w:color="0000EE"/>
            </w:tcBorders>
            <w:gridSpan w:val="28"/>
          </w:tcPr>
          <w:p>
            <w:pPr>
              <w:spacing w:after="0" w:line="209" w:lineRule="exact"/>
              <w:rPr>
                <w:rFonts w:ascii="Times New Roman" w:cs="Times New Roman" w:eastAsia="Times New Roman" w:hAnsi="Times New Roman"/>
                <w:sz w:val="20"/>
                <w:szCs w:val="20"/>
                <w:color w:val="0000EE"/>
                <w:w w:val="98"/>
              </w:rPr>
            </w:pPr>
            <w:hyperlink w:anchor="page63">
              <w:r>
                <w:rPr>
                  <w:rFonts w:ascii="Times New Roman" w:cs="Times New Roman" w:eastAsia="Times New Roman" w:hAnsi="Times New Roman"/>
                  <w:sz w:val="20"/>
                  <w:szCs w:val="20"/>
                  <w:color w:val="0000EE"/>
                  <w:w w:val="98"/>
                </w:rPr>
                <w:t>Changes in and Disagreements with Accountants on Accounting and Financial Disclosure</w:t>
              </w:r>
            </w:hyperlink>
          </w:p>
        </w:tc>
        <w:tc>
          <w:tcPr>
            <w:tcW w:w="2080" w:type="dxa"/>
            <w:vAlign w:val="bottom"/>
            <w:gridSpan w:val="3"/>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Borders>
              <w:bottom w:val="single" w:sz="8" w:color="0000EE"/>
            </w:tcBorders>
            <w:gridSpan w:val="2"/>
          </w:tcPr>
          <w:p>
            <w:pPr>
              <w:jc w:val="right"/>
              <w:spacing w:after="0" w:line="209" w:lineRule="exact"/>
              <w:rPr>
                <w:rFonts w:ascii="Times New Roman" w:cs="Times New Roman" w:eastAsia="Times New Roman" w:hAnsi="Times New Roman"/>
                <w:sz w:val="20"/>
                <w:szCs w:val="20"/>
                <w:color w:val="0000EE"/>
                <w:w w:val="74"/>
              </w:rPr>
            </w:pPr>
            <w:hyperlink w:anchor="page63">
              <w:r>
                <w:rPr>
                  <w:rFonts w:ascii="Times New Roman" w:cs="Times New Roman" w:eastAsia="Times New Roman" w:hAnsi="Times New Roman"/>
                  <w:sz w:val="20"/>
                  <w:szCs w:val="20"/>
                  <w:color w:val="0000EE"/>
                  <w:w w:val="74"/>
                </w:rPr>
                <w:t>9A.</w:t>
              </w:r>
            </w:hyperlink>
          </w:p>
        </w:tc>
        <w:tc>
          <w:tcPr>
            <w:tcW w:w="120" w:type="dxa"/>
            <w:vAlign w:val="bottom"/>
          </w:tcPr>
          <w:p>
            <w:pPr>
              <w:spacing w:after="0"/>
              <w:rPr>
                <w:sz w:val="18"/>
                <w:szCs w:val="18"/>
                <w:color w:val="auto"/>
              </w:rPr>
            </w:pPr>
          </w:p>
        </w:tc>
        <w:tc>
          <w:tcPr>
            <w:tcW w:w="1960" w:type="dxa"/>
            <w:vAlign w:val="bottom"/>
            <w:tcBorders>
              <w:bottom w:val="single" w:sz="8" w:color="0000EE"/>
            </w:tcBorders>
            <w:gridSpan w:val="10"/>
          </w:tcPr>
          <w:p>
            <w:pPr>
              <w:spacing w:after="0" w:line="209" w:lineRule="exact"/>
              <w:rPr>
                <w:rFonts w:ascii="Times New Roman" w:cs="Times New Roman" w:eastAsia="Times New Roman" w:hAnsi="Times New Roman"/>
                <w:sz w:val="20"/>
                <w:szCs w:val="20"/>
                <w:color w:val="0000EE"/>
                <w:w w:val="98"/>
              </w:rPr>
            </w:pPr>
            <w:hyperlink w:anchor="page63">
              <w:r>
                <w:rPr>
                  <w:rFonts w:ascii="Times New Roman" w:cs="Times New Roman" w:eastAsia="Times New Roman" w:hAnsi="Times New Roman"/>
                  <w:sz w:val="20"/>
                  <w:szCs w:val="20"/>
                  <w:color w:val="0000EE"/>
                  <w:w w:val="98"/>
                </w:rPr>
                <w:t>Controls and Procedures</w:t>
              </w:r>
            </w:hyperlink>
          </w:p>
        </w:tc>
        <w:tc>
          <w:tcPr>
            <w:tcW w:w="7260" w:type="dxa"/>
            <w:vAlign w:val="bottom"/>
            <w:gridSpan w:val="21"/>
          </w:tcPr>
          <w:p>
            <w:pPr>
              <w:spacing w:after="0"/>
              <w:rPr>
                <w:sz w:val="18"/>
                <w:szCs w:val="18"/>
                <w:color w:val="auto"/>
              </w:rPr>
            </w:pPr>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gridSpan w:val="2"/>
          </w:tcPr>
          <w:p>
            <w:pPr>
              <w:jc w:val="right"/>
              <w:spacing w:after="0" w:line="209" w:lineRule="exact"/>
              <w:rPr>
                <w:rFonts w:ascii="Times New Roman" w:cs="Times New Roman" w:eastAsia="Times New Roman" w:hAnsi="Times New Roman"/>
                <w:sz w:val="20"/>
                <w:szCs w:val="20"/>
                <w:color w:val="0000EE"/>
                <w:w w:val="77"/>
              </w:rPr>
            </w:pPr>
            <w:hyperlink w:anchor="page66">
              <w:r>
                <w:rPr>
                  <w:rFonts w:ascii="Times New Roman" w:cs="Times New Roman" w:eastAsia="Times New Roman" w:hAnsi="Times New Roman"/>
                  <w:sz w:val="20"/>
                  <w:szCs w:val="20"/>
                  <w:color w:val="0000EE"/>
                  <w:w w:val="77"/>
                </w:rPr>
                <w:t>9B.</w:t>
              </w:r>
            </w:hyperlink>
          </w:p>
        </w:tc>
        <w:tc>
          <w:tcPr>
            <w:tcW w:w="120" w:type="dxa"/>
            <w:vAlign w:val="bottom"/>
          </w:tcPr>
          <w:p>
            <w:pPr>
              <w:spacing w:after="0"/>
              <w:rPr>
                <w:sz w:val="18"/>
                <w:szCs w:val="18"/>
                <w:color w:val="auto"/>
              </w:rPr>
            </w:pPr>
          </w:p>
        </w:tc>
        <w:tc>
          <w:tcPr>
            <w:tcW w:w="9220" w:type="dxa"/>
            <w:vAlign w:val="bottom"/>
            <w:gridSpan w:val="31"/>
          </w:tcPr>
          <w:p>
            <w:pPr>
              <w:spacing w:after="0" w:line="209" w:lineRule="exact"/>
              <w:rPr>
                <w:rFonts w:ascii="Times New Roman" w:cs="Times New Roman" w:eastAsia="Times New Roman" w:hAnsi="Times New Roman"/>
                <w:sz w:val="20"/>
                <w:szCs w:val="20"/>
                <w:color w:val="0000EE"/>
              </w:rPr>
            </w:pPr>
            <w:hyperlink w:anchor="page66">
              <w:r>
                <w:rPr>
                  <w:rFonts w:ascii="Times New Roman" w:cs="Times New Roman" w:eastAsia="Times New Roman" w:hAnsi="Times New Roman"/>
                  <w:sz w:val="20"/>
                  <w:szCs w:val="20"/>
                  <w:color w:val="0000EE"/>
                </w:rPr>
                <w:t>Other Information</w:t>
              </w:r>
            </w:hyperlink>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bottom w:val="single" w:sz="8" w:color="0000EE"/>
            </w:tcBorders>
            <w:gridSpan w:val="9"/>
          </w:tcPr>
          <w:p>
            <w:pPr>
              <w:jc w:val="center"/>
              <w:spacing w:after="0"/>
              <w:rPr>
                <w:rFonts w:ascii="Times New Roman" w:cs="Times New Roman" w:eastAsia="Times New Roman" w:hAnsi="Times New Roman"/>
                <w:sz w:val="20"/>
                <w:szCs w:val="20"/>
                <w:b w:val="1"/>
                <w:bCs w:val="1"/>
                <w:color w:val="0000EE"/>
                <w:w w:val="96"/>
              </w:rPr>
            </w:pPr>
            <w:hyperlink w:anchor="page66">
              <w:r>
                <w:rPr>
                  <w:rFonts w:ascii="Times New Roman" w:cs="Times New Roman" w:eastAsia="Times New Roman" w:hAnsi="Times New Roman"/>
                  <w:sz w:val="20"/>
                  <w:szCs w:val="20"/>
                  <w:b w:val="1"/>
                  <w:bCs w:val="1"/>
                  <w:color w:val="0000EE"/>
                  <w:w w:val="96"/>
                </w:rPr>
                <w:t>PART III</w:t>
              </w:r>
            </w:hyperlink>
          </w:p>
        </w:tc>
        <w:tc>
          <w:tcPr>
            <w:tcW w:w="426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0" w:type="dxa"/>
            <w:vAlign w:val="bottom"/>
          </w:tcPr>
          <w:p>
            <w:pPr>
              <w:spacing w:after="0"/>
              <w:rPr>
                <w:sz w:val="24"/>
                <w:szCs w:val="24"/>
                <w:color w:val="auto"/>
              </w:rPr>
            </w:pPr>
          </w:p>
        </w:tc>
        <w:tc>
          <w:tcPr>
            <w:tcW w:w="240" w:type="dxa"/>
            <w:vAlign w:val="bottom"/>
            <w:gridSpan w:val="2"/>
          </w:tcPr>
          <w:p>
            <w:pPr>
              <w:jc w:val="right"/>
              <w:spacing w:after="0"/>
              <w:rPr>
                <w:rFonts w:ascii="Times New Roman" w:cs="Times New Roman" w:eastAsia="Times New Roman" w:hAnsi="Times New Roman"/>
                <w:sz w:val="20"/>
                <w:szCs w:val="20"/>
                <w:color w:val="0000EE"/>
                <w:w w:val="87"/>
              </w:rPr>
            </w:pPr>
            <w:hyperlink w:anchor="page66">
              <w:r>
                <w:rPr>
                  <w:rFonts w:ascii="Times New Roman" w:cs="Times New Roman" w:eastAsia="Times New Roman" w:hAnsi="Times New Roman"/>
                  <w:sz w:val="20"/>
                  <w:szCs w:val="20"/>
                  <w:color w:val="0000EE"/>
                  <w:w w:val="87"/>
                </w:rPr>
                <w:t>10.</w:t>
              </w:r>
            </w:hyperlink>
          </w:p>
        </w:tc>
        <w:tc>
          <w:tcPr>
            <w:tcW w:w="120" w:type="dxa"/>
            <w:vAlign w:val="bottom"/>
          </w:tcPr>
          <w:p>
            <w:pPr>
              <w:spacing w:after="0"/>
              <w:rPr>
                <w:sz w:val="24"/>
                <w:szCs w:val="24"/>
                <w:color w:val="auto"/>
              </w:rPr>
            </w:pPr>
          </w:p>
        </w:tc>
        <w:tc>
          <w:tcPr>
            <w:tcW w:w="9220" w:type="dxa"/>
            <w:vAlign w:val="bottom"/>
            <w:gridSpan w:val="31"/>
          </w:tcPr>
          <w:p>
            <w:pPr>
              <w:spacing w:after="0"/>
              <w:rPr>
                <w:rFonts w:ascii="Times New Roman" w:cs="Times New Roman" w:eastAsia="Times New Roman" w:hAnsi="Times New Roman"/>
                <w:sz w:val="20"/>
                <w:szCs w:val="20"/>
                <w:color w:val="0000EE"/>
              </w:rPr>
            </w:pPr>
            <w:hyperlink w:anchor="page66">
              <w:r>
                <w:rPr>
                  <w:rFonts w:ascii="Times New Roman" w:cs="Times New Roman" w:eastAsia="Times New Roman" w:hAnsi="Times New Roman"/>
                  <w:sz w:val="20"/>
                  <w:szCs w:val="20"/>
                  <w:color w:val="0000EE"/>
                </w:rPr>
                <w:t>Directors, Executive Officers and Corporate Governance</w:t>
              </w:r>
            </w:hyperlink>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40" w:type="dxa"/>
            <w:vAlign w:val="bottom"/>
            <w:tcBorders>
              <w:top w:val="single" w:sz="8" w:color="0000EE"/>
            </w:tcBorders>
            <w:gridSpan w:val="2"/>
          </w:tcPr>
          <w:p>
            <w:pPr>
              <w:jc w:val="right"/>
              <w:spacing w:after="0" w:line="189" w:lineRule="exact"/>
              <w:rPr>
                <w:rFonts w:ascii="Times New Roman" w:cs="Times New Roman" w:eastAsia="Times New Roman" w:hAnsi="Times New Roman"/>
                <w:sz w:val="20"/>
                <w:szCs w:val="20"/>
                <w:color w:val="0000EE"/>
                <w:w w:val="87"/>
              </w:rPr>
            </w:pPr>
            <w:hyperlink w:anchor="page66">
              <w:r>
                <w:rPr>
                  <w:rFonts w:ascii="Times New Roman" w:cs="Times New Roman" w:eastAsia="Times New Roman" w:hAnsi="Times New Roman"/>
                  <w:sz w:val="20"/>
                  <w:szCs w:val="20"/>
                  <w:color w:val="0000EE"/>
                  <w:w w:val="87"/>
                </w:rPr>
                <w:t>11.</w:t>
              </w:r>
            </w:hyperlink>
          </w:p>
        </w:tc>
        <w:tc>
          <w:tcPr>
            <w:tcW w:w="120" w:type="dxa"/>
            <w:vAlign w:val="bottom"/>
          </w:tcPr>
          <w:p>
            <w:pPr>
              <w:spacing w:after="0"/>
              <w:rPr>
                <w:sz w:val="16"/>
                <w:szCs w:val="16"/>
                <w:color w:val="auto"/>
              </w:rPr>
            </w:pPr>
          </w:p>
        </w:tc>
        <w:tc>
          <w:tcPr>
            <w:tcW w:w="4500" w:type="dxa"/>
            <w:vAlign w:val="bottom"/>
            <w:tcBorders>
              <w:top w:val="single" w:sz="8" w:color="0000EE"/>
            </w:tcBorders>
            <w:gridSpan w:val="20"/>
          </w:tcPr>
          <w:p>
            <w:pPr>
              <w:spacing w:after="0" w:line="189" w:lineRule="exact"/>
              <w:rPr>
                <w:rFonts w:ascii="Times New Roman" w:cs="Times New Roman" w:eastAsia="Times New Roman" w:hAnsi="Times New Roman"/>
                <w:sz w:val="20"/>
                <w:szCs w:val="20"/>
                <w:color w:val="0000EE"/>
              </w:rPr>
            </w:pPr>
            <w:hyperlink w:anchor="page66">
              <w:r>
                <w:rPr>
                  <w:rFonts w:ascii="Times New Roman" w:cs="Times New Roman" w:eastAsia="Times New Roman" w:hAnsi="Times New Roman"/>
                  <w:sz w:val="20"/>
                  <w:szCs w:val="20"/>
                  <w:color w:val="0000EE"/>
                </w:rPr>
                <w:t>Executive Compensation</w:t>
              </w:r>
            </w:hyperlink>
          </w:p>
        </w:tc>
        <w:tc>
          <w:tcPr>
            <w:tcW w:w="4720" w:type="dxa"/>
            <w:vAlign w:val="bottom"/>
            <w:gridSpan w:val="11"/>
          </w:tcPr>
          <w:p>
            <w:pPr>
              <w:spacing w:after="0"/>
              <w:rPr>
                <w:sz w:val="16"/>
                <w:szCs w:val="16"/>
                <w:color w:val="auto"/>
              </w:rPr>
            </w:pPr>
          </w:p>
        </w:tc>
        <w:tc>
          <w:tcPr>
            <w:tcW w:w="1160" w:type="dxa"/>
            <w:vAlign w:val="bottom"/>
          </w:tcPr>
          <w:p>
            <w:pPr>
              <w:jc w:val="right"/>
              <w:ind w:right="381"/>
              <w:spacing w:after="0" w:line="189" w:lineRule="exact"/>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0000EE"/>
            </w:tcBorders>
            <w:gridSpan w:val="4"/>
            <w:shd w:val="clear" w:color="auto" w:fill="0000EE"/>
          </w:tcPr>
          <w:p>
            <w:pPr>
              <w:spacing w:after="0" w:line="20" w:lineRule="exact"/>
              <w:rPr>
                <w:sz w:val="1"/>
                <w:szCs w:val="1"/>
                <w:color w:val="auto"/>
              </w:rPr>
            </w:pPr>
          </w:p>
        </w:tc>
        <w:tc>
          <w:tcPr>
            <w:tcW w:w="880" w:type="dxa"/>
            <w:vAlign w:val="bottom"/>
            <w:tcBorders>
              <w:bottom w:val="single" w:sz="8" w:color="0000EE"/>
            </w:tcBorders>
            <w:gridSpan w:val="4"/>
            <w:shd w:val="clear" w:color="auto" w:fill="0000EE"/>
          </w:tcPr>
          <w:p>
            <w:pPr>
              <w:spacing w:after="0" w:line="20" w:lineRule="exact"/>
              <w:rPr>
                <w:sz w:val="1"/>
                <w:szCs w:val="1"/>
                <w:color w:val="auto"/>
              </w:rPr>
            </w:pPr>
          </w:p>
        </w:tc>
        <w:tc>
          <w:tcPr>
            <w:tcW w:w="280" w:type="dxa"/>
            <w:vAlign w:val="bottom"/>
            <w:tcBorders>
              <w:bottom w:val="single" w:sz="8" w:color="0000EE"/>
            </w:tcBorders>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gridSpan w:val="2"/>
          </w:tcPr>
          <w:p>
            <w:pPr>
              <w:jc w:val="right"/>
              <w:spacing w:after="0" w:line="189" w:lineRule="exact"/>
              <w:rPr>
                <w:rFonts w:ascii="Times New Roman" w:cs="Times New Roman" w:eastAsia="Times New Roman" w:hAnsi="Times New Roman"/>
                <w:sz w:val="20"/>
                <w:szCs w:val="20"/>
                <w:color w:val="0000EE"/>
                <w:w w:val="87"/>
              </w:rPr>
            </w:pPr>
            <w:hyperlink w:anchor="page66">
              <w:r>
                <w:rPr>
                  <w:rFonts w:ascii="Times New Roman" w:cs="Times New Roman" w:eastAsia="Times New Roman" w:hAnsi="Times New Roman"/>
                  <w:sz w:val="20"/>
                  <w:szCs w:val="20"/>
                  <w:color w:val="0000EE"/>
                  <w:w w:val="87"/>
                </w:rPr>
                <w:t>12.</w:t>
              </w:r>
            </w:hyperlink>
          </w:p>
        </w:tc>
        <w:tc>
          <w:tcPr>
            <w:tcW w:w="120" w:type="dxa"/>
            <w:vAlign w:val="bottom"/>
          </w:tcPr>
          <w:p>
            <w:pPr>
              <w:spacing w:after="0"/>
              <w:rPr>
                <w:sz w:val="18"/>
                <w:szCs w:val="18"/>
                <w:color w:val="auto"/>
              </w:rPr>
            </w:pPr>
          </w:p>
        </w:tc>
        <w:tc>
          <w:tcPr>
            <w:tcW w:w="9220" w:type="dxa"/>
            <w:vAlign w:val="bottom"/>
            <w:gridSpan w:val="31"/>
          </w:tcPr>
          <w:p>
            <w:pPr>
              <w:spacing w:after="0" w:line="189" w:lineRule="exact"/>
              <w:rPr>
                <w:rFonts w:ascii="Times New Roman" w:cs="Times New Roman" w:eastAsia="Times New Roman" w:hAnsi="Times New Roman"/>
                <w:sz w:val="20"/>
                <w:szCs w:val="20"/>
                <w:color w:val="0000EE"/>
              </w:rPr>
            </w:pPr>
            <w:hyperlink w:anchor="page66">
              <w:r>
                <w:rPr>
                  <w:rFonts w:ascii="Times New Roman" w:cs="Times New Roman" w:eastAsia="Times New Roman" w:hAnsi="Times New Roman"/>
                  <w:sz w:val="20"/>
                  <w:szCs w:val="20"/>
                  <w:color w:val="0000EE"/>
                </w:rPr>
                <w:t>Security Ownership of Certain Beneficial Owners and Management and Related Stockholder Matters</w:t>
              </w:r>
            </w:hyperlink>
          </w:p>
        </w:tc>
        <w:tc>
          <w:tcPr>
            <w:tcW w:w="1160" w:type="dxa"/>
            <w:vAlign w:val="bottom"/>
          </w:tcPr>
          <w:p>
            <w:pPr>
              <w:jc w:val="right"/>
              <w:ind w:right="381"/>
              <w:spacing w:after="0" w:line="189" w:lineRule="exact"/>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40" w:type="dxa"/>
            <w:vAlign w:val="bottom"/>
            <w:tcBorders>
              <w:top w:val="single" w:sz="8" w:color="0000EE"/>
            </w:tcBorders>
            <w:gridSpan w:val="2"/>
          </w:tcPr>
          <w:p>
            <w:pPr>
              <w:jc w:val="right"/>
              <w:spacing w:after="0" w:line="189" w:lineRule="exact"/>
              <w:rPr>
                <w:rFonts w:ascii="Times New Roman" w:cs="Times New Roman" w:eastAsia="Times New Roman" w:hAnsi="Times New Roman"/>
                <w:sz w:val="20"/>
                <w:szCs w:val="20"/>
                <w:color w:val="0000EE"/>
                <w:w w:val="87"/>
              </w:rPr>
            </w:pPr>
            <w:hyperlink w:anchor="page67">
              <w:r>
                <w:rPr>
                  <w:rFonts w:ascii="Times New Roman" w:cs="Times New Roman" w:eastAsia="Times New Roman" w:hAnsi="Times New Roman"/>
                  <w:sz w:val="20"/>
                  <w:szCs w:val="20"/>
                  <w:color w:val="0000EE"/>
                  <w:w w:val="87"/>
                </w:rPr>
                <w:t>13.</w:t>
              </w:r>
            </w:hyperlink>
          </w:p>
        </w:tc>
        <w:tc>
          <w:tcPr>
            <w:tcW w:w="120" w:type="dxa"/>
            <w:vAlign w:val="bottom"/>
          </w:tcPr>
          <w:p>
            <w:pPr>
              <w:spacing w:after="0"/>
              <w:rPr>
                <w:sz w:val="16"/>
                <w:szCs w:val="16"/>
                <w:color w:val="auto"/>
              </w:rPr>
            </w:pPr>
          </w:p>
        </w:tc>
        <w:tc>
          <w:tcPr>
            <w:tcW w:w="8020" w:type="dxa"/>
            <w:vAlign w:val="bottom"/>
            <w:tcBorders>
              <w:top w:val="single" w:sz="8" w:color="0000EE"/>
            </w:tcBorders>
            <w:gridSpan w:val="29"/>
          </w:tcPr>
          <w:p>
            <w:pPr>
              <w:spacing w:after="0" w:line="189" w:lineRule="exact"/>
              <w:rPr>
                <w:rFonts w:ascii="Times New Roman" w:cs="Times New Roman" w:eastAsia="Times New Roman" w:hAnsi="Times New Roman"/>
                <w:sz w:val="20"/>
                <w:szCs w:val="20"/>
                <w:color w:val="0000EE"/>
              </w:rPr>
            </w:pPr>
            <w:hyperlink w:anchor="page67">
              <w:r>
                <w:rPr>
                  <w:rFonts w:ascii="Times New Roman" w:cs="Times New Roman" w:eastAsia="Times New Roman" w:hAnsi="Times New Roman"/>
                  <w:sz w:val="20"/>
                  <w:szCs w:val="20"/>
                  <w:color w:val="0000EE"/>
                </w:rPr>
                <w:t>Certain Relationships and Related Transactions, and Director Independence</w:t>
              </w:r>
            </w:hyperlink>
          </w:p>
        </w:tc>
        <w:tc>
          <w:tcPr>
            <w:tcW w:w="1200" w:type="dxa"/>
            <w:vAlign w:val="bottom"/>
            <w:gridSpan w:val="2"/>
          </w:tcPr>
          <w:p>
            <w:pPr>
              <w:spacing w:after="0"/>
              <w:rPr>
                <w:sz w:val="16"/>
                <w:szCs w:val="16"/>
                <w:color w:val="auto"/>
              </w:rPr>
            </w:pPr>
          </w:p>
        </w:tc>
        <w:tc>
          <w:tcPr>
            <w:tcW w:w="1160" w:type="dxa"/>
            <w:vAlign w:val="bottom"/>
          </w:tcPr>
          <w:p>
            <w:pPr>
              <w:jc w:val="right"/>
              <w:ind w:right="381"/>
              <w:spacing w:after="0" w:line="189" w:lineRule="exact"/>
              <w:rPr>
                <w:sz w:val="20"/>
                <w:szCs w:val="20"/>
                <w:color w:val="auto"/>
              </w:rPr>
            </w:pPr>
            <w:r>
              <w:rPr>
                <w:rFonts w:ascii="Times New Roman" w:cs="Times New Roman" w:eastAsia="Times New Roman" w:hAnsi="Times New Roman"/>
                <w:sz w:val="20"/>
                <w:szCs w:val="20"/>
                <w:color w:val="auto"/>
              </w:rPr>
              <w:t>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rFonts w:ascii="Times New Roman" w:cs="Times New Roman" w:eastAsia="Times New Roman" w:hAnsi="Times New Roman"/>
                <w:sz w:val="20"/>
                <w:szCs w:val="20"/>
                <w:color w:val="0000EE"/>
                <w:w w:val="87"/>
              </w:rPr>
            </w:pPr>
            <w:hyperlink w:anchor="page67">
              <w:r>
                <w:rPr>
                  <w:rFonts w:ascii="Times New Roman" w:cs="Times New Roman" w:eastAsia="Times New Roman" w:hAnsi="Times New Roman"/>
                  <w:sz w:val="20"/>
                  <w:szCs w:val="20"/>
                  <w:color w:val="0000EE"/>
                  <w:w w:val="87"/>
                </w:rPr>
                <w:t>14.</w:t>
              </w:r>
            </w:hyperlink>
          </w:p>
        </w:tc>
        <w:tc>
          <w:tcPr>
            <w:tcW w:w="120" w:type="dxa"/>
            <w:vAlign w:val="bottom"/>
          </w:tcPr>
          <w:p>
            <w:pPr>
              <w:spacing w:after="0"/>
              <w:rPr>
                <w:sz w:val="18"/>
                <w:szCs w:val="18"/>
                <w:color w:val="auto"/>
              </w:rPr>
            </w:pPr>
          </w:p>
        </w:tc>
        <w:tc>
          <w:tcPr>
            <w:tcW w:w="6000" w:type="dxa"/>
            <w:vAlign w:val="bottom"/>
            <w:tcBorders>
              <w:top w:val="single" w:sz="8" w:color="0000EE"/>
            </w:tcBorders>
            <w:gridSpan w:val="26"/>
          </w:tcPr>
          <w:p>
            <w:pPr>
              <w:spacing w:after="0" w:line="209" w:lineRule="exact"/>
              <w:rPr>
                <w:rFonts w:ascii="Times New Roman" w:cs="Times New Roman" w:eastAsia="Times New Roman" w:hAnsi="Times New Roman"/>
                <w:sz w:val="20"/>
                <w:szCs w:val="20"/>
                <w:color w:val="0000EE"/>
              </w:rPr>
            </w:pPr>
            <w:hyperlink w:anchor="page67">
              <w:r>
                <w:rPr>
                  <w:rFonts w:ascii="Times New Roman" w:cs="Times New Roman" w:eastAsia="Times New Roman" w:hAnsi="Times New Roman"/>
                  <w:sz w:val="20"/>
                  <w:szCs w:val="20"/>
                  <w:color w:val="0000EE"/>
                </w:rPr>
                <w:t>Principal Accounting Fees and Services</w:t>
              </w:r>
            </w:hyperlink>
          </w:p>
        </w:tc>
        <w:tc>
          <w:tcPr>
            <w:tcW w:w="3220" w:type="dxa"/>
            <w:vAlign w:val="bottom"/>
            <w:gridSpan w:val="5"/>
          </w:tcPr>
          <w:p>
            <w:pPr>
              <w:spacing w:after="0"/>
              <w:rPr>
                <w:sz w:val="18"/>
                <w:szCs w:val="18"/>
                <w:color w:val="auto"/>
              </w:rPr>
            </w:pPr>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gridSpan w:val="15"/>
          </w:tcPr>
          <w:p>
            <w:pPr>
              <w:jc w:val="center"/>
              <w:ind w:right="4280"/>
              <w:spacing w:after="0"/>
              <w:rPr>
                <w:rFonts w:ascii="Times New Roman" w:cs="Times New Roman" w:eastAsia="Times New Roman" w:hAnsi="Times New Roman"/>
                <w:sz w:val="20"/>
                <w:szCs w:val="20"/>
                <w:b w:val="1"/>
                <w:bCs w:val="1"/>
                <w:color w:val="0000EE"/>
                <w:w w:val="95"/>
              </w:rPr>
            </w:pPr>
            <w:hyperlink w:anchor="page67">
              <w:r>
                <w:rPr>
                  <w:rFonts w:ascii="Times New Roman" w:cs="Times New Roman" w:eastAsia="Times New Roman" w:hAnsi="Times New Roman"/>
                  <w:sz w:val="20"/>
                  <w:szCs w:val="20"/>
                  <w:b w:val="1"/>
                  <w:bCs w:val="1"/>
                  <w:color w:val="0000EE"/>
                  <w:w w:val="95"/>
                </w:rPr>
                <w:t>PART IV</w:t>
              </w:r>
            </w:hyperlink>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240" w:type="dxa"/>
            <w:vAlign w:val="bottom"/>
            <w:gridSpan w:val="2"/>
          </w:tcPr>
          <w:p>
            <w:pPr>
              <w:jc w:val="right"/>
              <w:spacing w:after="0"/>
              <w:rPr>
                <w:rFonts w:ascii="Times New Roman" w:cs="Times New Roman" w:eastAsia="Times New Roman" w:hAnsi="Times New Roman"/>
                <w:sz w:val="20"/>
                <w:szCs w:val="20"/>
                <w:color w:val="0000EE"/>
                <w:w w:val="87"/>
              </w:rPr>
            </w:pPr>
            <w:hyperlink w:anchor="page67">
              <w:r>
                <w:rPr>
                  <w:rFonts w:ascii="Times New Roman" w:cs="Times New Roman" w:eastAsia="Times New Roman" w:hAnsi="Times New Roman"/>
                  <w:sz w:val="20"/>
                  <w:szCs w:val="20"/>
                  <w:color w:val="0000EE"/>
                  <w:w w:val="87"/>
                </w:rPr>
                <w:t>15.</w:t>
              </w:r>
            </w:hyperlink>
          </w:p>
        </w:tc>
        <w:tc>
          <w:tcPr>
            <w:tcW w:w="120" w:type="dxa"/>
            <w:vAlign w:val="bottom"/>
          </w:tcPr>
          <w:p>
            <w:pPr>
              <w:spacing w:after="0"/>
              <w:rPr>
                <w:sz w:val="24"/>
                <w:szCs w:val="24"/>
                <w:color w:val="auto"/>
              </w:rPr>
            </w:pPr>
          </w:p>
        </w:tc>
        <w:tc>
          <w:tcPr>
            <w:tcW w:w="4180" w:type="dxa"/>
            <w:vAlign w:val="bottom"/>
            <w:gridSpan w:val="17"/>
          </w:tcPr>
          <w:p>
            <w:pPr>
              <w:spacing w:after="0"/>
              <w:rPr>
                <w:rFonts w:ascii="Times New Roman" w:cs="Times New Roman" w:eastAsia="Times New Roman" w:hAnsi="Times New Roman"/>
                <w:sz w:val="20"/>
                <w:szCs w:val="20"/>
                <w:color w:val="0000EE"/>
              </w:rPr>
            </w:pPr>
            <w:hyperlink w:anchor="page67">
              <w:r>
                <w:rPr>
                  <w:rFonts w:ascii="Times New Roman" w:cs="Times New Roman" w:eastAsia="Times New Roman" w:hAnsi="Times New Roman"/>
                  <w:sz w:val="20"/>
                  <w:szCs w:val="20"/>
                  <w:color w:val="0000EE"/>
                </w:rPr>
                <w:t>Exhibits and Financial Statement Schedules</w:t>
              </w:r>
            </w:hyperlink>
          </w:p>
        </w:tc>
        <w:tc>
          <w:tcPr>
            <w:tcW w:w="760" w:type="dxa"/>
            <w:vAlign w:val="bottom"/>
            <w:tcBorders>
              <w:top w:val="single" w:sz="8" w:color="0000EE"/>
            </w:tcBorders>
            <w:gridSpan w:val="7"/>
          </w:tcPr>
          <w:p>
            <w:pPr>
              <w:spacing w:after="0"/>
              <w:rPr>
                <w:sz w:val="24"/>
                <w:szCs w:val="24"/>
                <w:color w:val="auto"/>
              </w:rPr>
            </w:pPr>
          </w:p>
        </w:tc>
        <w:tc>
          <w:tcPr>
            <w:tcW w:w="4280" w:type="dxa"/>
            <w:vAlign w:val="bottom"/>
            <w:gridSpan w:val="7"/>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Borders>
              <w:top w:val="single" w:sz="8" w:color="0000EE"/>
              <w:bottom w:val="single" w:sz="8" w:color="0000EE"/>
            </w:tcBorders>
            <w:gridSpan w:val="2"/>
          </w:tcPr>
          <w:p>
            <w:pPr>
              <w:jc w:val="right"/>
              <w:spacing w:after="0" w:line="209" w:lineRule="exact"/>
              <w:rPr>
                <w:rFonts w:ascii="Times New Roman" w:cs="Times New Roman" w:eastAsia="Times New Roman" w:hAnsi="Times New Roman"/>
                <w:sz w:val="20"/>
                <w:szCs w:val="20"/>
                <w:color w:val="0000EE"/>
                <w:w w:val="87"/>
              </w:rPr>
            </w:pPr>
            <w:hyperlink w:anchor="page68">
              <w:r>
                <w:rPr>
                  <w:rFonts w:ascii="Times New Roman" w:cs="Times New Roman" w:eastAsia="Times New Roman" w:hAnsi="Times New Roman"/>
                  <w:sz w:val="20"/>
                  <w:szCs w:val="20"/>
                  <w:color w:val="0000EE"/>
                  <w:w w:val="87"/>
                </w:rPr>
                <w:t>16.</w:t>
              </w:r>
            </w:hyperlink>
          </w:p>
        </w:tc>
        <w:tc>
          <w:tcPr>
            <w:tcW w:w="120" w:type="dxa"/>
            <w:vAlign w:val="bottom"/>
          </w:tcPr>
          <w:p>
            <w:pPr>
              <w:spacing w:after="0"/>
              <w:rPr>
                <w:sz w:val="18"/>
                <w:szCs w:val="18"/>
                <w:color w:val="auto"/>
              </w:rPr>
            </w:pPr>
          </w:p>
        </w:tc>
        <w:tc>
          <w:tcPr>
            <w:tcW w:w="1720" w:type="dxa"/>
            <w:vAlign w:val="bottom"/>
            <w:tcBorders>
              <w:top w:val="single" w:sz="8" w:color="0000EE"/>
              <w:bottom w:val="single" w:sz="8" w:color="0000EE"/>
            </w:tcBorders>
            <w:gridSpan w:val="8"/>
          </w:tcPr>
          <w:p>
            <w:pPr>
              <w:spacing w:after="0" w:line="209" w:lineRule="exact"/>
              <w:rPr>
                <w:rFonts w:ascii="Times New Roman" w:cs="Times New Roman" w:eastAsia="Times New Roman" w:hAnsi="Times New Roman"/>
                <w:sz w:val="20"/>
                <w:szCs w:val="20"/>
                <w:color w:val="0000EE"/>
                <w:w w:val="98"/>
              </w:rPr>
            </w:pPr>
            <w:hyperlink w:anchor="page68">
              <w:r>
                <w:rPr>
                  <w:rFonts w:ascii="Times New Roman" w:cs="Times New Roman" w:eastAsia="Times New Roman" w:hAnsi="Times New Roman"/>
                  <w:sz w:val="20"/>
                  <w:szCs w:val="20"/>
                  <w:color w:val="0000EE"/>
                  <w:w w:val="98"/>
                </w:rPr>
                <w:t>Form 10-K Summary</w:t>
              </w:r>
            </w:hyperlink>
          </w:p>
        </w:tc>
        <w:tc>
          <w:tcPr>
            <w:tcW w:w="1760" w:type="dxa"/>
            <w:vAlign w:val="bottom"/>
            <w:tcBorders>
              <w:top w:val="single" w:sz="8" w:color="0000EE"/>
            </w:tcBorders>
            <w:gridSpan w:val="6"/>
          </w:tcPr>
          <w:p>
            <w:pPr>
              <w:spacing w:after="0"/>
              <w:rPr>
                <w:sz w:val="18"/>
                <w:szCs w:val="18"/>
                <w:color w:val="auto"/>
              </w:rPr>
            </w:pPr>
          </w:p>
        </w:tc>
        <w:tc>
          <w:tcPr>
            <w:tcW w:w="5740" w:type="dxa"/>
            <w:vAlign w:val="bottom"/>
            <w:gridSpan w:val="17"/>
          </w:tcPr>
          <w:p>
            <w:pPr>
              <w:spacing w:after="0"/>
              <w:rPr>
                <w:sz w:val="18"/>
                <w:szCs w:val="18"/>
                <w:color w:val="auto"/>
              </w:rPr>
            </w:pPr>
          </w:p>
        </w:tc>
        <w:tc>
          <w:tcPr>
            <w:tcW w:w="1160" w:type="dxa"/>
            <w:vAlign w:val="bottom"/>
          </w:tcPr>
          <w:p>
            <w:pPr>
              <w:jc w:val="right"/>
              <w:ind w:right="381"/>
              <w:spacing w:after="0" w:line="209" w:lineRule="exact"/>
              <w:rPr>
                <w:sz w:val="20"/>
                <w:szCs w:val="20"/>
                <w:color w:val="auto"/>
              </w:rPr>
            </w:pPr>
            <w:r>
              <w:rPr>
                <w:rFonts w:ascii="Times New Roman" w:cs="Times New Roman" w:eastAsia="Times New Roman" w:hAnsi="Times New Roman"/>
                <w:sz w:val="20"/>
                <w:szCs w:val="20"/>
                <w:color w:val="auto"/>
              </w:rPr>
              <w:t>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gridSpan w:val="31"/>
          </w:tcPr>
          <w:p>
            <w:pPr>
              <w:spacing w:after="0"/>
              <w:rPr>
                <w:rFonts w:ascii="Times New Roman" w:cs="Times New Roman" w:eastAsia="Times New Roman" w:hAnsi="Times New Roman"/>
                <w:sz w:val="20"/>
                <w:szCs w:val="20"/>
                <w:color w:val="0000EE"/>
              </w:rPr>
            </w:pPr>
            <w:hyperlink w:anchor="page70">
              <w:r>
                <w:rPr>
                  <w:rFonts w:ascii="Times New Roman" w:cs="Times New Roman" w:eastAsia="Times New Roman" w:hAnsi="Times New Roman"/>
                  <w:sz w:val="20"/>
                  <w:szCs w:val="20"/>
                  <w:color w:val="0000EE"/>
                </w:rPr>
                <w:t>Signatures</w:t>
              </w:r>
            </w:hyperlink>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70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4040" w:type="dxa"/>
            <w:vAlign w:val="bottom"/>
            <w:gridSpan w:val="18"/>
          </w:tcPr>
          <w:p>
            <w:pPr>
              <w:jc w:val="center"/>
              <w:ind w:left="3799"/>
              <w:spacing w:after="0"/>
              <w:rPr>
                <w:sz w:val="20"/>
                <w:szCs w:val="20"/>
                <w:color w:val="auto"/>
              </w:rPr>
            </w:pPr>
            <w:r>
              <w:rPr>
                <w:rFonts w:ascii="Times New Roman" w:cs="Times New Roman" w:eastAsia="Times New Roman" w:hAnsi="Times New Roman"/>
                <w:sz w:val="16"/>
                <w:szCs w:val="16"/>
                <w:color w:val="auto"/>
                <w:w w:val="9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20"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MAXX®</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 Energy®</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Espresso Monster®</w:t>
            </w:r>
          </w:p>
        </w:tc>
        <w:tc>
          <w:tcPr>
            <w:tcW w:w="5340" w:type="dxa"/>
            <w:vAlign w:val="bottom"/>
            <w:gridSpan w:val="2"/>
          </w:tcPr>
          <w:p>
            <w:pPr>
              <w:ind w:left="2360"/>
              <w:spacing w:after="0"/>
              <w:rPr>
                <w:sz w:val="20"/>
                <w:szCs w:val="20"/>
                <w:color w:val="auto"/>
              </w:rPr>
            </w:pPr>
            <w:r>
              <w:rPr>
                <w:rFonts w:ascii="Times New Roman" w:cs="Times New Roman" w:eastAsia="Times New Roman" w:hAnsi="Times New Roman"/>
                <w:sz w:val="20"/>
                <w:szCs w:val="20"/>
                <w:color w:val="auto"/>
              </w:rPr>
              <w:t>·   Play® and Power Play(stylized)®</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Hydro®</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Caffé Monster®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58"/>
        </w:trPr>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Live+</w:t>
            </w:r>
          </w:p>
        </w:tc>
        <w:tc>
          <w:tcPr>
            <w:tcW w:w="2520" w:type="dxa"/>
            <w:vAlign w:val="bottom"/>
          </w:tcPr>
          <w:p>
            <w:pPr>
              <w:ind w:left="236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Mutant®</w:t>
            </w:r>
          </w:p>
        </w:tc>
      </w:tr>
    </w:tbl>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Monster Energy® brand energy drinks, which represented 91.7%, 90.1% and 90.1% of our net sales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2018, 2017 and 2016, respectively, primarily include the following energy drinks</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360" w:hanging="287"/>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w:t>
      </w:r>
    </w:p>
    <w:tbl>
      <w:tblPr>
        <w:tblLayout w:type="fixed"/>
        <w:tblInd w:w="0" w:type="dxa"/>
        <w:tblCellMar>
          <w:top w:w="0" w:type="dxa"/>
          <w:left w:w="0" w:type="dxa"/>
          <w:bottom w:w="0" w:type="dxa"/>
          <w:right w:w="0" w:type="dxa"/>
        </w:tblCellMar>
      </w:tblPr>
      <w:tr>
        <w:trPr>
          <w:trHeight w:val="229"/>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Lo-Carb Monster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Kona Blend</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Assault®</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Loca Moca®</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Energy Absolutely Zero®</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Mean Bean®</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 Khaos®</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Vanilla Light</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 Ripper®</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Irish Blend®</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Juice Monster® Pipeline Punch®</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Salted Caramel</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Juice Monster® Mango Loco</w:t>
            </w:r>
            <w:r>
              <w:rPr>
                <w:rFonts w:ascii="Times New Roman" w:cs="Times New Roman" w:eastAsia="Times New Roman" w:hAnsi="Times New Roman"/>
                <w:sz w:val="12"/>
                <w:szCs w:val="12"/>
                <w:color w:val="auto"/>
              </w:rPr>
              <w:t>TM</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Java Monster® Swiss Chocolate</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Juice Monster® Pacific Punch</w:t>
            </w:r>
            <w:r>
              <w:rPr>
                <w:rFonts w:ascii="Times New Roman" w:cs="Times New Roman" w:eastAsia="Times New Roman" w:hAnsi="Times New Roman"/>
                <w:sz w:val="12"/>
                <w:szCs w:val="12"/>
                <w:color w:val="auto"/>
              </w:rPr>
              <w:t>TM</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MAXX® Super Dry</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Punch Monster® Baller’s Blend®</w:t>
            </w:r>
          </w:p>
        </w:tc>
        <w:tc>
          <w:tcPr>
            <w:tcW w:w="228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MAXX® Eclipse</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Cuba Libre</w:t>
            </w:r>
            <w:r>
              <w:rPr>
                <w:rFonts w:ascii="Times New Roman" w:cs="Times New Roman" w:eastAsia="Times New Roman" w:hAnsi="Times New Roman"/>
                <w:sz w:val="12"/>
                <w:szCs w:val="12"/>
                <w:color w:val="auto"/>
              </w:rPr>
              <w:t>TM</w:t>
            </w:r>
          </w:p>
        </w:tc>
        <w:tc>
          <w:tcPr>
            <w:tcW w:w="228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MAXX® Solaris</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Import</w:t>
            </w:r>
          </w:p>
        </w:tc>
        <w:tc>
          <w:tcPr>
            <w:tcW w:w="2280" w:type="dxa"/>
            <w:vAlign w:val="bottom"/>
          </w:tcPr>
          <w:p>
            <w:pPr>
              <w:ind w:left="212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Fury®</w:t>
            </w:r>
          </w:p>
        </w:tc>
      </w:tr>
      <w:tr>
        <w:trPr>
          <w:trHeight w:val="230"/>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Export</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M3(stylized)® Monster Energy® Super Concentrate</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Rehab® Tea + Lemonade +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Zero Ultra®</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Rehab® Raspberry Tea +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Ultra Blue®</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Rehab® Tea + Orangeade +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Ultra Red®</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Rehab® Peach Tea +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Ultra Black®</w:t>
            </w:r>
          </w:p>
        </w:tc>
      </w:tr>
      <w:tr>
        <w:trPr>
          <w:trHeight w:val="230"/>
        </w:trPr>
        <w:tc>
          <w:tcPr>
            <w:tcW w:w="4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Monster Rehab® White Dragon Tea + Energy</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Ultra Sunrise®</w:t>
            </w:r>
          </w:p>
        </w:tc>
      </w:tr>
      <w:tr>
        <w:trPr>
          <w:trHeight w:val="258"/>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 Vanilla</w:t>
            </w:r>
          </w:p>
        </w:tc>
        <w:tc>
          <w:tcPr>
            <w:tcW w:w="6620" w:type="dxa"/>
            <w:vAlign w:val="bottom"/>
            <w:gridSpan w:val="2"/>
          </w:tcPr>
          <w:p>
            <w:pPr>
              <w:ind w:left="2120"/>
              <w:spacing w:after="0"/>
              <w:rPr>
                <w:sz w:val="20"/>
                <w:szCs w:val="20"/>
                <w:color w:val="auto"/>
              </w:rPr>
            </w:pPr>
            <w:r>
              <w:rPr>
                <w:rFonts w:ascii="Times New Roman" w:cs="Times New Roman" w:eastAsia="Times New Roman" w:hAnsi="Times New Roman"/>
                <w:sz w:val="20"/>
                <w:szCs w:val="20"/>
                <w:color w:val="auto"/>
              </w:rPr>
              <w:t>·   Monster Energy Ultra Citron®</w:t>
            </w:r>
          </w:p>
        </w:tc>
      </w:tr>
      <w:tr>
        <w:trPr>
          <w:trHeight w:val="407"/>
        </w:trPr>
        <w:tc>
          <w:tcPr>
            <w:tcW w:w="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3</w:t>
            </w:r>
          </w:p>
        </w:tc>
        <w:tc>
          <w:tcPr>
            <w:tcW w:w="4340" w:type="dxa"/>
            <w:vAlign w:val="bottom"/>
          </w:tcPr>
          <w:p>
            <w:pPr>
              <w:spacing w:after="0"/>
              <w:rPr>
                <w:sz w:val="24"/>
                <w:szCs w:val="24"/>
                <w:color w:val="auto"/>
              </w:rPr>
            </w:pPr>
          </w:p>
        </w:tc>
      </w:tr>
      <w:tr>
        <w:trPr>
          <w:trHeight w:val="138"/>
        </w:trPr>
        <w:tc>
          <w:tcPr>
            <w:tcW w:w="24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98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443"/>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Muscle Monster® Chocolate</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Monster Energy Ultra Violet®</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Mean Green®</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Monster Energy® Valentino Rossi</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Manic Melon®</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Monster Energy® Lewis Hamilton 44</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Tropical Thunder®</w:t>
            </w:r>
          </w:p>
        </w:tc>
        <w:tc>
          <w:tcPr>
            <w:tcW w:w="198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Caffé Monster® Vanilla</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Purple Passion®</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Caffé Monster® Salted Caramel</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Blue Ice®</w:t>
            </w:r>
          </w:p>
        </w:tc>
        <w:tc>
          <w:tcPr>
            <w:tcW w:w="198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Caffé Monster® Mocha</w:t>
            </w:r>
          </w:p>
        </w:tc>
      </w:tr>
      <w:tr>
        <w:trPr>
          <w:trHeight w:val="230"/>
        </w:trPr>
        <w:tc>
          <w:tcPr>
            <w:tcW w:w="5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Monster Hydro® Zero Sugar®</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Espresso Monster® Espresso and Cream</w:t>
            </w:r>
          </w:p>
        </w:tc>
      </w:tr>
      <w:tr>
        <w:trPr>
          <w:trHeight w:val="252"/>
        </w:trPr>
        <w:tc>
          <w:tcPr>
            <w:tcW w:w="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9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Monster Energy® Gronk</w:t>
            </w:r>
          </w:p>
        </w:tc>
        <w:tc>
          <w:tcPr>
            <w:tcW w:w="534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   Espresso Monster® Vanilla Espresso</w:t>
            </w:r>
          </w:p>
        </w:tc>
      </w:tr>
    </w:tbl>
    <w:p>
      <w:pPr>
        <w:ind w:left="360" w:hanging="287"/>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Mule</w:t>
      </w:r>
      <w:r>
        <w:rPr>
          <w:rFonts w:ascii="Times New Roman" w:cs="Times New Roman" w:eastAsia="Times New Roman" w:hAnsi="Times New Roman"/>
          <w:sz w:val="12"/>
          <w:szCs w:val="12"/>
          <w:color w:val="auto"/>
        </w:rPr>
        <w:t>TM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Discontinued products have been omitted.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2018 for the “alternative” beverage category of the market are estimated at approximately $55.5 billion, representing an increase of approximately 6.7% over estimated domestic U.S. wholesale sales in 2017 of approximately $52.0 billion.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three operating and reportable segments: (i) Monster Energy® Drinks segment (“Monster Energy® Drinks”), which is comprised of our Monster Energy® drinks, (ii) Strategic Brands segment (“Strategic Brands”), which is comprised primarily of the various energy drink brands acquired from The Coca-Cola Company (“TCCC”) in 2015 as well as our Predator® energy drinks and (iii) Other segment (“Other”), which is comprised of certain products sold by American Fruits and Flavors LLC (“AFF”) (a wholly-owned subsidiary of the Company) to independent third-party customers (“AFF Third-Party Products”). Corporate and unallocated amounts that do not specifically relate to a reportable segment have been allocated to “Corporate and unallocated.”</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Monster Energy® Drinks segment primarily generates net operating revenues by selling ready-to-drink packaged energy drinks primarily to bottlers and full service beverage distributors. In some cases, we sell directly to retail grocery and specialty chains, wholesalers, club stores, mass merchandisers, convenience chains, drug stores, foodservice customers and the military.</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certain risks with respect to our energy drinks see “Part I, Item 1A – Risk Factors”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w:t>
      </w:r>
    </w:p>
    <w:p>
      <w:pPr>
        <w:spacing w:after="0" w:line="1" w:lineRule="exact"/>
        <w:rPr>
          <w:sz w:val="20"/>
          <w:szCs w:val="20"/>
          <w:color w:val="auto"/>
        </w:rPr>
      </w:pPr>
    </w:p>
    <w:p>
      <w:pPr>
        <w:jc w:val="both"/>
        <w:ind w:firstLine="8"/>
        <w:spacing w:after="0" w:line="241" w:lineRule="auto"/>
        <w:tabs>
          <w:tab w:leader="none" w:pos="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our ownership, the Hansen’s</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beverage business significantly expanded to include a wide range of beverages within the growing “alternative” beverage category including, in particular, energy drinks. In 2012, we changed our name from Hansen Natural Corporation to Monster Beverage Corporation. In 2015, we acquired the Strategic Brands from TCCC and disposed of our non-energy drink business. In 2016, we completed our acquisition of flavor supplier and long-time business partner AFF.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2018 Product Introductions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2018, we continued to expand our existing portfolio of drinks and further develop our distribution markets. During 2018, we introduced the following products:</w:t>
      </w:r>
    </w:p>
    <w:p>
      <w:pPr>
        <w:spacing w:after="0" w:line="160" w:lineRule="exact"/>
        <w:rPr>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BPM</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Zero Orange</w:t>
      </w:r>
    </w:p>
    <w:p>
      <w:pPr>
        <w:spacing w:after="0" w:line="21"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Burn</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Mango</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Caffé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Mocha</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Caffé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Salted Caramel</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Caffé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Vanilla</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Swiss Chocolate</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Juice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Pacific Punch Energy + Juice</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Ascend</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Ignite</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Persist</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Cuba Libre</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(Japan)</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Hydro</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Blue Ice</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Hydro</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Purple Passion</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Hydro</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Zero Sugar</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MAXX</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Eclipse</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MAXX</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Solaris</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Mule</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(limited distribution)</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Rehab</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White Dragon Tea + Energy</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Mother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Passion</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Mutant</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Energy Drink</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Mutant</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Energy Drink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Gold Strike</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Mutant</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Energy Drink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Red Dawn</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Nalu</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Passion</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Mango</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Predator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Gold Strike</w:t>
      </w:r>
      <w:r>
        <w:rPr>
          <w:rFonts w:ascii="Times New Roman" w:cs="Times New Roman" w:eastAsia="Times New Roman" w:hAnsi="Times New Roman"/>
          <w:sz w:val="18"/>
          <w:szCs w:val="18"/>
          <w:color w:val="auto"/>
        </w:rPr>
        <w:t>®</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Relentless</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Mango</w:t>
      </w: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Ultra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Mango</w:t>
      </w:r>
    </w:p>
    <w:p>
      <w:pPr>
        <w:spacing w:after="0" w:line="19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2018, either individually or in aggregate, did not have a material adverse impact on our financial position, results of operations or liquidity.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Monster Energy® Drinks Segment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Monster Energy® Brand Energy Drinks: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Monster Energy® Drinks </w:t>
      </w:r>
      <w:r>
        <w:rPr>
          <w:rFonts w:ascii="Times New Roman" w:cs="Times New Roman" w:eastAsia="Times New Roman" w:hAnsi="Times New Roman"/>
          <w:sz w:val="20"/>
          <w:szCs w:val="20"/>
          <w:color w:val="auto"/>
        </w:rPr>
        <w:t>- a line of carbonated energy drinks. Our Monster Energy® drinks contain vitamins, minerals, nutrients, herbs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dietary ingredients (collectively, “dietary ingredients”) and are marketed through our full service distributor network. We offer the following energy drinks under the Monster Energy® drink product line: Monster Energy®, Lo-Carb Monster Energy®, Monster Assault®, Monster Energy® Fury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Juice Monster® Khaos®, Juice Monster® Ripper®, Juice Monster® Pipeline Punch®, Juice Monster® Mango Loco</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Juice Monster® Pacific Punch</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Monster Energy® Absolutely Zero, Monster Energy® Import, Monster Energy® Export, Punch Monster® Baller’s Blend®, Punch Monster® Mad Dog, M3(stylized)</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Monster Energy® Super Concentrate, Monster Mule</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Monster Cuba Libre</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Monster Energy Zero Ultra®, Monster Energy Ultra Blue®, Monster Energy Ultra Red®, Monster Energy Ultra Black®, Monster Energy Ultra Sunrise®, Monster Energy Ultra Citron®, Monster Energy Ultra Violet®, </w:t>
      </w:r>
      <w:r>
        <w:rPr>
          <w:rFonts w:ascii="Times New Roman" w:cs="Times New Roman" w:eastAsia="Times New Roman" w:hAnsi="Times New Roman"/>
          <w:sz w:val="18"/>
          <w:szCs w:val="18"/>
          <w:color w:val="auto"/>
        </w:rPr>
        <w:t>Monster Energy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Gronk,</w:t>
      </w:r>
      <w:r>
        <w:rPr>
          <w:rFonts w:ascii="Times New Roman" w:cs="Times New Roman" w:eastAsia="Times New Roman" w:hAnsi="Times New Roman"/>
          <w:sz w:val="20"/>
          <w:szCs w:val="20"/>
          <w:color w:val="auto"/>
        </w:rPr>
        <w:t xml:space="preserve"> Monster Energy® Valentino Rossi and Monster Energy® Lewis Hamilton 44.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Caffé Monster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9"/>
          <w:szCs w:val="19"/>
          <w:i w:val="1"/>
          <w:iCs w:val="1"/>
          <w:color w:val="auto"/>
        </w:rPr>
        <w:t xml:space="preserve"> Energy Coffee Drinks – </w:t>
      </w:r>
      <w:r>
        <w:rPr>
          <w:rFonts w:ascii="Times New Roman" w:cs="Times New Roman" w:eastAsia="Times New Roman" w:hAnsi="Times New Roman"/>
          <w:sz w:val="19"/>
          <w:szCs w:val="19"/>
          <w:color w:val="auto"/>
        </w:rPr>
        <w:t>a line of non-carbonated, 100% Arabica coffee, reduced fat, dairy based energy coffee drinks.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offer the following energy coffee drinks under the Caffé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product line: Vanilla, Salted Caramel and Mocha.</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Espresso Monster® Espresso + Energy Drinks </w:t>
      </w:r>
      <w:r>
        <w:rPr>
          <w:rFonts w:ascii="Times New Roman" w:cs="Times New Roman" w:eastAsia="Times New Roman" w:hAnsi="Times New Roman"/>
          <w:sz w:val="20"/>
          <w:szCs w:val="20"/>
          <w:color w:val="auto"/>
        </w:rPr>
        <w:t>– a line of non-carbonated dairy based espresso + energy drinks.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espresso + energy drinks under the Espresso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product line: Espresso and Cream and Vanilla Espresso.</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Java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Coffee + Energy Drinks </w:t>
      </w:r>
      <w:r>
        <w:rPr>
          <w:rFonts w:ascii="Times New Roman" w:cs="Times New Roman" w:eastAsia="Times New Roman" w:hAnsi="Times New Roman"/>
          <w:sz w:val="20"/>
          <w:szCs w:val="20"/>
          <w:color w:val="auto"/>
        </w:rPr>
        <w:t>– a line of non-carbonated dairy based coffee + energy drinks. We offer the following coffee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under the Java Monster® product line: Java Monster® Kona Blend, Java Monster® Loca Moca®, Java Monster® Mean Bean®, Java Monster® Vanilla Light, Java Monster® Irish Blend®, Java Monster® Salted Caramel and Java Monster® Swiss Chocolate.</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Muscle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Energy Shakes </w:t>
      </w:r>
      <w:r>
        <w:rPr>
          <w:rFonts w:ascii="Times New Roman" w:cs="Times New Roman" w:eastAsia="Times New Roman" w:hAnsi="Times New Roman"/>
          <w:sz w:val="20"/>
          <w:szCs w:val="20"/>
          <w:color w:val="auto"/>
        </w:rPr>
        <w:t>– a line of non-carbonated energy shakes containing 25-grams of protein.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shakes under the Muscle Monster® Energy Shakes product line: Vanilla and Chocolate.</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Monster MAXX® Energy Drinks </w:t>
      </w:r>
      <w:r>
        <w:rPr>
          <w:rFonts w:ascii="Times New Roman" w:cs="Times New Roman" w:eastAsia="Times New Roman" w:hAnsi="Times New Roman"/>
          <w:sz w:val="20"/>
          <w:szCs w:val="20"/>
          <w:color w:val="auto"/>
        </w:rPr>
        <w:t>– a line of carbonated energy drinks containing nitrous oxide. We offer the following energy drinks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Monster MAXX® product line: Super Dry, Eclipse and Solaris.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Monster Rehab® Tea + Energy Drinks </w:t>
      </w:r>
      <w:r>
        <w:rPr>
          <w:rFonts w:ascii="Times New Roman" w:cs="Times New Roman" w:eastAsia="Times New Roman" w:hAnsi="Times New Roman"/>
          <w:sz w:val="20"/>
          <w:szCs w:val="20"/>
          <w:color w:val="auto"/>
        </w:rPr>
        <w:t>– a line of non-carbonated energy drinks with electrolytes. We offer the following tea +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drinks under the Monster Rehab® drink line: Monster Rehab® Tea + Lemonade + Energy, Monster Rehab® Raspberry Tea + Energy, Monster Rehab® Tea + Orangeade + Energy, Monster Rehab</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Peach Tea + Energy and Monster Rehab</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White Dragon Tea + Energy.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Monster Hydro®:</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Monster Hydro® </w:t>
      </w:r>
      <w:r>
        <w:rPr>
          <w:rFonts w:ascii="Times New Roman" w:cs="Times New Roman" w:eastAsia="Times New Roman" w:hAnsi="Times New Roman"/>
          <w:sz w:val="20"/>
          <w:szCs w:val="20"/>
          <w:color w:val="auto"/>
        </w:rPr>
        <w:t>– a line of non-carbonated, lightly sweetened refreshment + energy drinks. We offer the following refreshment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under the Monster Hydro® product line: Tropical Thunder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Mean Green</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Manic Melon</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Purple Passion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Blue Ice</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and Zero Sugar.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Mutant® Energy:</w:t>
      </w:r>
    </w:p>
    <w:p>
      <w:pPr>
        <w:spacing w:after="0" w:line="21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Mutant® Energy </w:t>
      </w:r>
      <w:r>
        <w:rPr>
          <w:rFonts w:ascii="Times New Roman" w:cs="Times New Roman" w:eastAsia="Times New Roman" w:hAnsi="Times New Roman"/>
          <w:sz w:val="20"/>
          <w:szCs w:val="20"/>
          <w:color w:val="auto"/>
        </w:rPr>
        <w:t>– a line of affordable carbonated energy drinks. We offer the following affordable energy drinks under the Mutant®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Energy product line: Mutant® Energy Drink, Mutant® Energy Drink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Gold Strike® and Mutant® Energy Drink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Red Dawn®.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Strategic Brands Segment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Strategic Brands Energy Drinks:</w:t>
      </w:r>
    </w:p>
    <w:p>
      <w:pPr>
        <w:spacing w:after="0" w:line="21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BPM®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BPM® product line: Focus Berry 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Hydrate Citrus Green and Zero Orange.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BU®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BU</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w:t>
      </w:r>
    </w:p>
    <w:p>
      <w:pPr>
        <w:spacing w:after="0" w:line="211"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i w:val="1"/>
          <w:iCs w:val="1"/>
          <w:color w:val="auto"/>
        </w:rPr>
        <w:t>Burn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Burn</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Blue, Zero,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Cherry, Lemon Ice, Apple Kiwi, Mango and Passion Punch.</w:t>
      </w:r>
    </w:p>
    <w:p>
      <w:pPr>
        <w:spacing w:after="0" w:line="14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Full Throttle®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Full Throttle® product line: Citrus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Blue Agave.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Gladiator®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Gladiator® product line: Original.</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Live+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Live+ product line: Ascend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Ignite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Persist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Mother®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Mother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Sugar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Free, Frosty Berry, Passion, Tropical Blast</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and Kicked Apple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i w:val="1"/>
          <w:iCs w:val="1"/>
          <w:color w:val="auto"/>
        </w:rPr>
        <w:t>Nalu</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Nalu</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Exotic,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Passion and Frost.</w:t>
      </w:r>
    </w:p>
    <w:p>
      <w:pPr>
        <w:spacing w:after="0" w:line="13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i w:val="1"/>
          <w:iCs w:val="1"/>
          <w:color w:val="auto"/>
        </w:rPr>
        <w:t>NOS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NOS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Sugar Free,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Charged Citrus, GT Grape, Cherried Out, Power Punch and Nitro Mango.</w:t>
      </w:r>
    </w:p>
    <w:p>
      <w:pPr>
        <w:spacing w:after="0" w:line="13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0"/>
          <w:szCs w:val="20"/>
          <w:i w:val="1"/>
          <w:iCs w:val="1"/>
          <w:color w:val="auto"/>
        </w:rPr>
        <w:t>Play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and Power Play(stylized)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Play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Power Play(stylized)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color w:val="auto"/>
        </w:rPr>
        <w:t xml:space="preserve"> product line: Original, Sugar Free, Apple Kiwi, Passion Fruit and Mango.</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Predator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 line of affordable carbonated energy drinks. We offer the following energy drinks under the Predator Energy product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Gold Strike.</w:t>
      </w:r>
    </w:p>
    <w:p>
      <w:pPr>
        <w:spacing w:after="0" w:line="185"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i w:val="1"/>
          <w:iCs w:val="1"/>
          <w:color w:val="auto"/>
        </w:rPr>
        <w:t>Relentless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Relentless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Zero, Apple Kiwi, Lemon Ice, Cherry, Passion Punch and Mango.</w:t>
      </w:r>
    </w:p>
    <w:p>
      <w:pPr>
        <w:spacing w:after="0" w:line="139"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20"/>
          <w:szCs w:val="20"/>
          <w:i w:val="1"/>
          <w:iCs w:val="1"/>
          <w:color w:val="auto"/>
        </w:rPr>
        <w:t>Samurai</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Samurai</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Strawberry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Fruity.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Ultra Energy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Ultra Energy</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Original, Fury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Passion Punch and Mango.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Other Segment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AFF Third-Party Products: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AFF sells a limited number of products to independent third-party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Products</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Packaging</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products are packaged in a variety of different package types and sizes including, but not limited to, aluminum cans, aluminum Cap Cans, sleek aluminum cans, aluminum cans with re-sealable ends as well as glass bottles and polyethylene terephthalate (PET) plastic bottles.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Manufacture and Distribution</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directly manufacture finished goods, but instead outsource the manufacturing process to third-party bottlers and contract packers.</w:t>
      </w:r>
    </w:p>
    <w:p>
      <w:pPr>
        <w:spacing w:after="0" w:line="1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AFF develops and manufactures the primary flavors for our Monster Energy</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Drinks segment. We also purchase flavors, concentrates, sweeteners, juices, dietary ingredients, cans, bottles, caps, labels, trays, boxes and other ingredients for our beverage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dietary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our Strategic Brands segment, we primarily purchase concentrates and/or beverage bases from ingredient suppliers,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in the Strategic Brands segment, we may purchase flavors, concentrates, sweeteners, juices, dietary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dietary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Co-Packing Arrangements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of our finished goods are manufactured by various third-party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75" w:lineRule="exact"/>
        <w:rPr>
          <w:sz w:val="20"/>
          <w:szCs w:val="20"/>
          <w:color w:val="auto"/>
        </w:rPr>
      </w:pPr>
    </w:p>
    <w:p>
      <w:pPr>
        <w:jc w:val="both"/>
        <w:ind w:firstLine="702"/>
        <w:spacing w:after="0" w:line="249" w:lineRule="auto"/>
        <w:rPr>
          <w:sz w:val="20"/>
          <w:szCs w:val="20"/>
          <w:color w:val="auto"/>
        </w:rPr>
      </w:pPr>
      <w:r>
        <w:rPr>
          <w:rFonts w:ascii="Times New Roman" w:cs="Times New Roman" w:eastAsia="Times New Roman" w:hAnsi="Times New Roman"/>
          <w:sz w:val="20"/>
          <w:szCs w:val="20"/>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our Monster Energy® Drinks segment, we are generally responsible for arranging for the purchase and delivery to our third-party bottlers and co-packers of the containers in which our beverage products are packaged.</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products are packaged in a number of locations, both domestically and internationally, which enables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 Cans, sleek aluminum cans, aluminum cans with re-sealable ends, PET plastic bottles, caps, glass bottles, labels, flavors, juice concentrates, coffee, tea, dietary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Our production arrangements are generally of short duration or are terminable upon request. For certain of our products, including certain of our Monster Energy® brand energy drinks, our Java Monster® product line, our Espresso Monster® product line, our </w:t>
      </w:r>
      <w:r>
        <w:rPr>
          <w:rFonts w:ascii="Times New Roman" w:cs="Times New Roman" w:eastAsia="Times New Roman" w:hAnsi="Times New Roman"/>
          <w:sz w:val="21"/>
          <w:szCs w:val="21"/>
          <w:color w:val="auto"/>
        </w:rPr>
        <w:t>Caffé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Monster</w:t>
      </w:r>
      <w:r>
        <w:rPr>
          <w:rFonts w:ascii="Times New Roman" w:cs="Times New Roman" w:eastAsia="Times New Roman" w:hAnsi="Times New Roman"/>
          <w:sz w:val="19"/>
          <w:szCs w:val="19"/>
          <w:color w:val="auto"/>
        </w:rPr>
        <w:t>® product line, our Monster Hydro® product line, our Muscle Monster® product line, our Juice Monster®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product line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certain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our other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2018, we continued to expand distribution of our products in both our domestic and international markets.</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Distribution levels vary by product and geographic location. Net sales outside the United States were $1.09 billion, $909.3 million and $733.7 million for the years ended December 31, 2018, 2017 and 2016,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Monster Energy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 xml:space="preserve"> Distribution Agreements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entered into agreements with various bottlers/distributors providing for the distribution of our products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Certain of our material distribution arrangements for our Monster Energy® brand energy drinks, as amended from time to time, are described below:</w:t>
      </w:r>
    </w:p>
    <w:p>
      <w:pPr>
        <w:spacing w:after="0" w:line="173" w:lineRule="exact"/>
        <w:rPr>
          <w:sz w:val="20"/>
          <w:szCs w:val="20"/>
          <w:color w:val="auto"/>
        </w:rPr>
      </w:pPr>
    </w:p>
    <w:p>
      <w:pPr>
        <w:jc w:val="both"/>
        <w:ind w:left="660" w:hanging="490"/>
        <w:spacing w:after="0" w:line="241" w:lineRule="auto"/>
        <w:tabs>
          <w:tab w:leader="none" w:pos="6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will distribute and sell, or continue to distribute and sell, our Monster Energy® brand energy drinks.</w:t>
      </w:r>
    </w:p>
    <w:p>
      <w:pPr>
        <w:spacing w:after="0" w:line="201" w:lineRule="exact"/>
        <w:rPr>
          <w:rFonts w:ascii="Times New Roman" w:cs="Times New Roman" w:eastAsia="Times New Roman" w:hAnsi="Times New Roman"/>
          <w:sz w:val="22"/>
          <w:szCs w:val="22"/>
          <w:color w:val="auto"/>
        </w:rPr>
      </w:pPr>
    </w:p>
    <w:p>
      <w:pPr>
        <w:jc w:val="both"/>
        <w:ind w:left="660" w:right="20" w:hanging="490"/>
        <w:spacing w:after="0" w:line="257" w:lineRule="auto"/>
        <w:tabs>
          <w:tab w:leader="none" w:pos="79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Amended and Restated Distribution Agreement with Coca-Cola Refreshments (“CCR”), pursuant to which CCR distributes, directly and through certain sub-distributors, our Monster Energy® brand energy drinks in a large portion of the United States. As of March 1, 2018, all of the territory previously falling under the Amended and Restated Distribution Agreement with CCR has been assigned by CCR to various TCCC network bottlers in the United States, including CCBCC Operations, LLC and Reyes Coca-Cola Bottling.</w:t>
      </w:r>
    </w:p>
    <w:p>
      <w:pPr>
        <w:spacing w:after="0" w:line="187" w:lineRule="exact"/>
        <w:rPr>
          <w:rFonts w:ascii="Times New Roman" w:cs="Times New Roman" w:eastAsia="Times New Roman" w:hAnsi="Times New Roman"/>
          <w:sz w:val="21"/>
          <w:szCs w:val="21"/>
          <w:color w:val="auto"/>
        </w:rPr>
      </w:pPr>
    </w:p>
    <w:p>
      <w:pPr>
        <w:jc w:val="both"/>
        <w:ind w:left="660" w:hanging="490"/>
        <w:spacing w:after="0" w:line="242" w:lineRule="auto"/>
        <w:tabs>
          <w:tab w:leader="none" w:pos="7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w:t>
      </w:r>
    </w:p>
    <w:p>
      <w:pPr>
        <w:spacing w:after="0" w:line="199" w:lineRule="exact"/>
        <w:rPr>
          <w:rFonts w:ascii="Times New Roman" w:cs="Times New Roman" w:eastAsia="Times New Roman" w:hAnsi="Times New Roman"/>
          <w:sz w:val="22"/>
          <w:szCs w:val="22"/>
          <w:color w:val="auto"/>
        </w:rPr>
      </w:pPr>
    </w:p>
    <w:p>
      <w:pPr>
        <w:ind w:left="660" w:hanging="490"/>
        <w:spacing w:after="0" w:line="245" w:lineRule="auto"/>
        <w:tabs>
          <w:tab w:leader="none" w:pos="75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Additionally, we have entered into distribution agreements for certain of our Monster Energy® products with various TCCC network bottlers, both in the United States and internationally.</w:t>
      </w:r>
    </w:p>
    <w:p>
      <w:pPr>
        <w:spacing w:after="0" w:line="182"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2018, all distribution territories in the U.S. have been transitioned to TCCC network bottlers, except for those territories serviced by Big Geyser, Inc. and the Kalil Bottling Group.</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Strategic Brands Distribution Agreements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entered into agreements with various TCCC network bottlers, both in the United States and internationally, providing for the distribution and sale of our Strategic Brands energy drinks.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principal raw materials used in the manufacturing of our products are aluminum cans, aluminum Cap Cans, sleek aluminum cans, aluminum cans with re-sealable ends, PET plastic bottles, glass bottles, caps, as well as flavors, juice concentrates, glucose, sugar, sucralose, milk, cream, protein, coffee, tea, dietary ingredients and other packaging materials, the costs of which are subject to fluctuations.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AFF is the primary flavor supplier for our Monster Energy® brand energy drinks. We also purchase flavors from other suppliers as well as juices, dietary ingredients, glucose, sugar, sucralose, other sweeteners and other ingredients from independent suppliers located in the United States and abroad.</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With regard to our Java Monster®, Espresso Monster®, </w:t>
      </w:r>
      <w:r>
        <w:rPr>
          <w:rFonts w:ascii="Times New Roman" w:cs="Times New Roman" w:eastAsia="Times New Roman" w:hAnsi="Times New Roman"/>
          <w:sz w:val="21"/>
          <w:szCs w:val="21"/>
          <w:color w:val="auto"/>
        </w:rPr>
        <w:t>Caffé Monster</w:t>
      </w:r>
      <w:r>
        <w:rPr>
          <w:rFonts w:ascii="Times New Roman" w:cs="Times New Roman" w:eastAsia="Times New Roman" w:hAnsi="Times New Roman"/>
          <w:sz w:val="20"/>
          <w:szCs w:val="20"/>
          <w:color w:val="auto"/>
        </w:rPr>
        <w:t>® and Muscle Monster® product lines, the dairy, protein and retort co-packing industries are subject to shortages and increased demand from time to time, which may result in production disruption and/or higher prices.</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identified alternative suppliers for many of the ingredients contained in many of our beverages. However, industry-wide shortages of certain flavors, fruits and fruit juices, coffee, tea, dairy-based products, dietary ingredients and sweeteners have been, and could from time to time in the future be, encountered, which could interfere with and/or delay production of certain of our products.</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continually endeavor to develop back-up sources of supply for certain of our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brand and product image, taste and flavor of products, trade and consumer promotions, rapid and effective development of new and unique cutting edge products, attractive and different packaging, brand exposure and marketing as well as pricing. We also rely on our bottlers and full service beverage distributors to allocate more attention to our products than those of our competitors, provide stable and reliable distribution and secure adequate shelf space in retail outlets. Competitive pressures in the “alternative,” energy, coffee and “functional” beverage categories could cause our products to maintain or to lose market share or we could experience price erosion, which could have a material adverse effect on our business and results of operations.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have experienced and continue to experience competition from new entrants in the energy drink and energy shot categories. A number of companies who market and distribute iced teas, coffees, juice cocktails and enhanced waters in larger volume packages, such as 16-and 20-ounce glass and plastic bottles (including Bai, Sobe Life Water, BODYARMOR, Vitamin Water, CORE, Snapple, Arizona, Fuse, Ocean Spray, Honest Tea, Gold Peak Tea, Starbucks) and 12- and 16-ounce cans (such as Mountain Dew Kickstart), have added dietary supplements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w:t>
      </w:r>
    </w:p>
    <w:p>
      <w:pPr>
        <w:spacing w:after="0" w:line="18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are also subject to increasing levels of regulatory issues including in relation to the registration and/or taxation of our products in certain new international markets, which may put us at a competitive disadvantage. (See “Government Regulation” below for additional information).</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We also compete with companies that are smaller or primarily local in operation. Our products also compete with private-label brands such as those carried by grocery store chains, convenience store chains and club stores.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Domestically, our energy drinks compete directly with Red Bull, Rockstar, Amp, Venom, VPX Redline, Rip It, Xenergy, 5-Hour Energy Shots, MiO Energy, Stacker 2, VPX Bang, V8 + Energy, Uptime, hi*ball, CELSIUS, C4 and many other brands. PepsiCo also markets and/or distributes additional products in that market segment such as Pepsi Max, Mountain Dew and Mountain Dew Kickstart. Internationally, our energy drinks compete with Red Bull, Rockstar, V-Energy, Lucozade and numerous local and private-label brands that usually differ from country to country, such as HELL, Shock, Tiger, Boost, TNT, Shark, Dragon, Score, Sting, Hot 6, Battery, Bullit, Flash Up, Black, Non-Stop, Bomba, Semtex, Vive 100, Dark Dog, Speed, Guarana, M-150, Lipovitan, Bacchus, Volt, Bolt, Mr. Big, Boom, Raptor, Amp, Fusion, Hi-Tiger, Eastroc Super Drink, Carabao, Power Horse, XL, Crazy Tiger, Effect, Missile, Nocco, Adrenaline Rush and a host of other international brands.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Java Monster®, Caffé Monster® and Espresso Monster® product lines compete directly with Starbucks Frappuccino, Starbucks Doubleshot, Starbucks Doubleshot Energy Plus Coffee and other Starbucks coffee drinks, Rockstar Roasted, Dunkin Donuts, Gold Peak, Stok, High Brew, McCaf</w:t>
      </w:r>
      <w:r>
        <w:rPr>
          <w:rFonts w:ascii="Times New Roman" w:cs="Times New Roman" w:eastAsia="Times New Roman" w:hAnsi="Times New Roman"/>
          <w:sz w:val="21"/>
          <w:szCs w:val="21"/>
          <w:color w:val="auto"/>
        </w:rPr>
        <w:t>é</w:t>
      </w:r>
      <w:r>
        <w:rPr>
          <w:rFonts w:ascii="Times New Roman" w:cs="Times New Roman" w:eastAsia="Times New Roman" w:hAnsi="Times New Roman"/>
          <w:sz w:val="20"/>
          <w:szCs w:val="20"/>
          <w:color w:val="auto"/>
        </w:rPr>
        <w:t>, hi*ball and International Delight.</w:t>
      </w:r>
    </w:p>
    <w:p>
      <w:pPr>
        <w:spacing w:after="0" w:line="16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Muscle Monster® product line competes directly with Muscle Milk, Core Power, Premier Protein, Kellogg’s Special K Protein, Bolthouse Farms Protein, EAS AdvantEDGE, EAS Myoplex, and Gatorade G Series 03 Recover.</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Monster Hydro® product line competes directly with Vitamin Water, Sparkling Ice, Bai, Propel, Vita Coco, Lucozade and BODYARMOR.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20" w:lineRule="exact"/>
        <w:rPr>
          <w:sz w:val="20"/>
          <w:szCs w:val="20"/>
          <w:color w:val="auto"/>
        </w:rPr>
      </w:pPr>
    </w:p>
    <w:p>
      <w:pPr>
        <w:jc w:val="both"/>
        <w:ind w:firstLine="743"/>
        <w:spacing w:after="0" w:line="243" w:lineRule="auto"/>
        <w:rPr>
          <w:sz w:val="20"/>
          <w:szCs w:val="20"/>
          <w:color w:val="auto"/>
        </w:rPr>
      </w:pPr>
      <w:r>
        <w:rPr>
          <w:rFonts w:ascii="Times New Roman" w:cs="Times New Roman" w:eastAsia="Times New Roman" w:hAnsi="Times New Roman"/>
          <w:sz w:val="20"/>
          <w:szCs w:val="20"/>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social media, concerts, print, radio and television advertising (directly and through our sponsorships and endorsements) and coupons may also be used to promote our brands.</w:t>
      </w:r>
    </w:p>
    <w:p>
      <w:pPr>
        <w:spacing w:after="0" w:line="19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we continue to reevaluate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 appropriate, we partner with our bottlers/distributors and/or retailers to assist our marketing efforts.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increased expenditures for our sales and marketing programs by approximately 1.1% in 2018 compared to 2017. As of December 31, 2018, we employed 2,203 employees in sales and marketing activities, of which 1,424 were employed on a full-time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customers are primarily full service beverage bottlers/distributors, retail grocery, drug and specialty chains, wholesalers, club stores, mass merchandisers, convenience chains, foodservice customers and the military. Percentages of our gross sales to our various customer types for the years ended December 31, 2018, 2017 and 2016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2018</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2017</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2016</w:t>
            </w:r>
          </w:p>
        </w:tc>
        <w:tc>
          <w:tcPr>
            <w:tcW w:w="0" w:type="dxa"/>
            <w:vAlign w:val="bottom"/>
          </w:tcPr>
          <w:p>
            <w:pPr>
              <w:spacing w:after="0" w:line="20" w:lineRule="exact"/>
              <w:rPr>
                <w:sz w:val="1"/>
                <w:szCs w:val="1"/>
                <w:color w:val="auto"/>
              </w:rPr>
            </w:pPr>
          </w:p>
        </w:tc>
      </w:tr>
      <w:tr>
        <w:trPr>
          <w:trHeight w:val="471"/>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 full service bottlers/distributors</w:t>
            </w:r>
          </w:p>
        </w:tc>
        <w:tc>
          <w:tcPr>
            <w:tcW w:w="1720" w:type="dxa"/>
            <w:vAlign w:val="bottom"/>
            <w:tcBorders>
              <w:bottom w:val="single" w:sz="8" w:color="auto"/>
            </w:tcBorders>
            <w:vMerge w:val="continue"/>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280" w:type="dxa"/>
            <w:vAlign w:val="bottom"/>
            <w:gridSpan w:val="2"/>
            <w:vMerge w:val="continue"/>
          </w:tcPr>
          <w:p>
            <w:pPr>
              <w:spacing w:after="0"/>
              <w:rPr>
                <w:sz w:val="17"/>
                <w:szCs w:val="17"/>
                <w:color w:val="auto"/>
              </w:rPr>
            </w:pPr>
          </w:p>
        </w:tc>
        <w:tc>
          <w:tcPr>
            <w:tcW w:w="17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61%</w:t>
            </w:r>
          </w:p>
        </w:tc>
        <w:tc>
          <w:tcPr>
            <w:tcW w:w="17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63%</w:t>
            </w:r>
          </w:p>
        </w:tc>
        <w:tc>
          <w:tcPr>
            <w:tcW w:w="17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full service bottlers/distributors</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28%</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25%</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Club stores and mass merchandisers</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0" w:type="dxa"/>
            <w:vAlign w:val="bottom"/>
          </w:tcPr>
          <w:p>
            <w:pPr>
              <w:spacing w:after="0"/>
              <w:rPr>
                <w:sz w:val="1"/>
                <w:szCs w:val="1"/>
                <w:color w:val="auto"/>
              </w:rPr>
            </w:pPr>
          </w:p>
        </w:tc>
      </w:tr>
      <w:tr>
        <w:trPr>
          <w:trHeight w:val="258"/>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include Coca-Cola Refreshments USA, Inc., Coca-Cola Refreshments Canada Company (Coca-Cola Canada Bottling Limited from September 28, 2018), Coca-Cola Bottling Company, CCBCC Operations, LLC, United Bottling Contracts Company, LLC, Reyes Coca-Cola Bottling, Great Lakes Coca-Cola Bottling, Coca-Cola Southwest Beverages LLC, Coca-Cola of Northern New England, Swire Coca-Cola (USA), Liberty Coca-Cola Beverages and certain other TCCC independent bottlers (collectively the “TCCC North American Bottlers”), Coca-Cola European Partners, Coca-Cola Hellenic, Coca-Cola FEMSA, Coca-Cola Amatil, Swire Coca-Cola (China), COFCO Coca-Cola, Coca-Cola Beverages Africa, Coca-Cola İçecek and certain other TCCC network bottlers, Asahi Soft Drinks, Co., Ltd., Kalil Bottling Group, Wal-Mart, Inc. (including Sam’s Club), Costco Wholesale Corporation and Big Geyser, Inc. A decision by any large customer to decrease amounts purchased from us or to cease carrying our products could have a material negative effect on our financial condition and consolidated results of operations.</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TCCC, through certain consolidated subsidiaries (the “TCCC Subsidiaries”), accounted for approximately 3%, 18% and 41% of our net sales for the years ended December 31, 2018, 2017 and 2016, respectively. As part of TCCC’s North America Refranchising initiative (the “North America Refranchising”), the territories of certain TCCC Subsidiaries have been transitioned to certain independent TCCC bottlers/distributors and bottlers/distributors which TCCC accounts for under the equity method (the “TCCC Related Parties”). Accordingly, our percentage of net sales to the TCCC Subsidiaries significantly decreased for the year ended December 31, 2018.</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13% and 9% of our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6% and 2%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10%, 9% and 9% of the Company’s net sales for the years ended December 31, 2018, 2017 and 2016,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Sales of ready-to-drink beverages are somewhat seasonal, with the second and third calendar quarters accounting for the highest sales volumes. We believe that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presently have more than 10,400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(registered outside of the United States in certain jurisdictions), Monster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Energy®, </w:t>
      </w:r>
      <w:r>
        <w:rPr>
          <w:sz w:val="1"/>
          <w:szCs w:val="1"/>
          <w:color w:val="auto"/>
        </w:rPr>
        <w:drawing>
          <wp:inline distT="0" distB="0" distL="0" distR="0">
            <wp:extent cx="10287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Monster Energy Ultra®, Unleash the Beast!®, Mutant®, Monster Rehab®, Java Monster®, Muscle Monster®, Punch Monster®, Juice Monster®, Monster Hydro®, Espresso Monster®, Caffé Monster</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Monster Energy MAXX®, BU®, Nalu®, NOS®, Full Throttle®, Burn®, Mother®, Ultra Energy®, Play® and Power Play(stylized)®, Relentless®, Predator® and BPM® to be our core trademarks. We also own the intellectual property of our most important flavors for certain of our Monster Energy® Brand energy drinks in perpetuity.</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BU®, Nalu®, Burn®, Mother®, Play®, Power Play(stylized)®, Relentless®, Ultra Energy® and BPM® are registered outside of the United States in certain jurisdictions.</w:t>
      </w:r>
    </w:p>
    <w:p>
      <w:pPr>
        <w:spacing w:after="0" w:line="1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also enforce and protect our trademark rights against third parties infringing or disparaging our trademarks by opposing registration of conflicting trademarks and initiating litigation as necessary.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subject to various U.S. federal and state regulations, including but not limited to: the Federal Food, Drug and Cosmetic Act (“FD&amp;C Act”); the Occupational Safety and Health Act; various environmental statutes; the Safe Drinking Water and Toxic Enforcement Act of 1986 (“California Proposition 65”)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as discussed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Product Formulation, Labeling and Advertising. </w:t>
      </w:r>
      <w:r>
        <w:rPr>
          <w:rFonts w:ascii="Times New Roman" w:cs="Times New Roman" w:eastAsia="Times New Roman" w:hAnsi="Times New Roman"/>
          <w:sz w:val="20"/>
          <w:szCs w:val="20"/>
          <w:color w:val="auto"/>
        </w:rPr>
        <w:t>Globally, we are subject to a number of regulations applicable to the formulation,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labeling and advertising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is the result of necessary cooking,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w:t>
      </w:r>
    </w:p>
    <w:p>
      <w:pPr>
        <w:spacing w:after="0" w:line="18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addition, in May 2016, the U.S. Food and Drug Administration (the “FDA”) revised regulations with respect to serving size information and nutrition labeling on food and beverage products, including a new requirement to disclose the amount of added sugars in such products. These changes will go into effect on January 1, 2020. Further, in December 2018, the U.S. Department of Agriculture promulgated regulations requiring that, by January 1, 2022, the labels of certain bioengineered foods must include a disclosure that the food is bioengineered. We may incur significant costs to alter our existing packaging materials to comply with these and other new regulations. Additionally, these new regulations may impact, reduce and/or otherwise affect the purchase and consumption of our products by consumers.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 the City of San Francisco enacted an ordinance that would require health warnings on advertisements for certain sugar-sweetened beverages, though enforcement has been delayed due to a lawsuit challenging the ordinance. In January 2019, the U.S. Court of Appeals for the Ninth Circuit, sitting en banc, granted a preliminary injunction blocking enforcement of the ordinance, concluding that a First Amendment challenge to the ordinance was likely to succeed on the merits.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July 2012, we received a subpoena from the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Other countries, such as the member states of the Gulf Cooperation Council, Yemen, Colombia, Brazil, and the Dominican Republic, are also considering new labeling requirements, which may require us to amend our labels and warning statements. The United Kingdom Government has also suggested that it may review food labeling laws following the United Kingdom’s departure from the European Union (“Brexit”).</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Age and Other Restrictions on Energy Drink Products. </w:t>
      </w:r>
      <w:r>
        <w:rPr>
          <w:rFonts w:ascii="Times New Roman" w:cs="Times New Roman" w:eastAsia="Times New Roman" w:hAnsi="Times New Roman"/>
          <w:sz w:val="20"/>
          <w:szCs w:val="20"/>
          <w:color w:val="auto"/>
        </w:rPr>
        <w:t>Proposals to limit or restrict the sale and/or advertising of energy drinks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Latvia, Lithuania and Turkey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Latin American countries such as Chile, Colombia, and Brazil are considering age and other sales restrictions on energy drinks, as are other European countries such as the United Kingdom, Sweden, Norway, Romania and Bulgaria.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Excise Taxes on Energy Drinks. </w:t>
      </w:r>
      <w:r>
        <w:rPr>
          <w:rFonts w:ascii="Times New Roman" w:cs="Times New Roman" w:eastAsia="Times New Roman" w:hAnsi="Times New Roman"/>
          <w:sz w:val="20"/>
          <w:szCs w:val="20"/>
          <w:color w:val="auto"/>
        </w:rPr>
        <w:t>Legislation that would impose an excise tax on sweetened beverages has been proposed in the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and Philadelphia, Pennsylvania and Seattle, Washington)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and Mexico. Similar measures have been enacted but are not yet enforced in, for example, Ireland, South Africa and the United Kingdom. Other countries, including Brazil, are considering similar measures. In addition, legislation has been proposed in certain jurisdictions that would specifically impose excise taxes on energy drinks. For example, Estonia and Ukraine are considering proposals that would impose an excise tax on energy drinks. Such targeted legislation has been passed in other countries. For instance, Hungary has instituted an excise tax to which our products are subject. Bahrain, Saudi Arabia and the United Arab Emirates began applying a selective tax of 100% on energy drinks in 2017, and there are indications that similar measures may be enacted in other Gulf Cooperation Council countries.</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Limits on Caffeine Content</w:t>
      </w:r>
      <w:r>
        <w:rPr>
          <w:rFonts w:ascii="Times New Roman" w:cs="Times New Roman" w:eastAsia="Times New Roman" w:hAnsi="Times New Roman"/>
          <w:sz w:val="20"/>
          <w:szCs w:val="20"/>
          <w:color w:val="auto"/>
        </w:rPr>
        <w:t>. Legislation has been proposed to limit the amount of caffeine that may be contained in beverages,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energy drinks. Some jurisdictions where we do business have prescribed limited caffeine content for beverages. For example, on January 1, 2013, new requirements took effect in Canada that limited the amount of caffeine contained in any beverage in a single-serving can or bottle to less than 180 milligrams, and imposed limits on the concentration levels for caffeine. We adjusted the caffeine levels in certain of our Monster Energy® products that are sold in Canada to address these regulations, although the majority of our products were unaffected. Caffeine limit restrictions or restrictions on combining caffeine with other ingredients have also been implemented or proposed in other jurisdictions, including Turkey, India and Pakistan’s Punjab region. Such restrictions could require reformulations of certain of our products. However, we may not be able to satisfactorily reformulate our products in all jurisdictions that adopt similar legislation.</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Limitations on Container Size. </w:t>
      </w:r>
      <w:r>
        <w:rPr>
          <w:rFonts w:ascii="Times New Roman" w:cs="Times New Roman" w:eastAsia="Times New Roman" w:hAnsi="Times New Roman"/>
          <w:sz w:val="20"/>
          <w:szCs w:val="20"/>
          <w:color w:val="auto"/>
        </w:rPr>
        <w:t>We package our products in a variety of different package types and sizes including, for certain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Monster Energy® brand energy drinks, aluminum cans larger than 16 fluid ounces. Certain jurisdictions, such as the member states of the Gulf Cooperation Council, Yemen, Costa Rica and the Dominican Republic, are considering container size limitations on energy drinks and other beverages which may require us to change the size of our products sold in these countries. Other countries, like England, have considered and rejected proposed can size limitations although it is open to such markets to revisit these and other similar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Environmental Laws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7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Container Deposits. </w:t>
      </w:r>
      <w:r>
        <w:rPr>
          <w:rFonts w:ascii="Times New Roman" w:cs="Times New Roman" w:eastAsia="Times New Roman" w:hAnsi="Times New Roman"/>
          <w:sz w:val="19"/>
          <w:szCs w:val="19"/>
          <w:color w:val="auto"/>
        </w:rPr>
        <w:t>Various municipalities, states and foreign countries require that a deposit be charged for certain non-refillable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beverage containers. The precise requirements imposed by these measures vary by jurisdiction. Other deposit, recycling or product stewardship proposals have been, and may in the future be, introduced in certain U.S. states, counties, municipalities and in certain foreign countries.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2018, we employed a total of 3,142 employees, of which 2,354 were employed on a full-time basis. Of our 3,142 employees, we employed 939 in administrative and operational capacities and 2,203 persons in sales and marketing capacities.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http://www.sec.gov.</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xml:space="preserve">. Information contained on our website is not part of this annual report on Form 10-K. Our SEC filings (including any amendments) will be made available free of charge on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5580" w:hanging="484"/>
        <w:spacing w:after="0"/>
        <w:tabs>
          <w:tab w:leader="none" w:pos="55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5580" w:hanging="484"/>
        <w:spacing w:after="0"/>
        <w:tabs>
          <w:tab w:leader="none" w:pos="5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1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financial condition and/or operating results.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Company and TCCC have extensive commercial arrangements and, as a result, the Company’s future performance is substantially dependent on the success of its relationship with TCCC.</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transitioned certain third parties’ rights to distribute the Company’s products in most territories in the U.S. to members of TCCC’s distribution network, which largely consists of independent bottlers/distributors. In addition, TCCC has become our preferred distribution partner globally with members of TCCC’s network distributing our products internationally, including in Africa, Asia, Canada, Central and South America, Europe, Mexico and the Middle East. As we continue our international expansion, we expect TCCC’s distribution network to continue as our preferred distribution partner globally. As a result, we have reduced our distributor diversification and are now substantially dependent on TCCC’s domestic and international distribution platforms.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 While we believe that these agreements incentivize TCCC to take steps to ensure that our products receive the appropriate attention in the TCCC distribution system, there can be no assurance of this as disagreements as to the interpretation of the provisions in such agreements may arise and TCCC is a much larger company with many strategic priorities. In addition, TCCC does not control all members of its distribution system, many of which are independent companies that make their own business decisions that may not always align with TCCC’s interests. Moreover, it is possible that we may fail to recognize the expected benefits of the new distribution arrangements regardless of TCCC’s priorities or the priorities of the members of TCCC’s distribution system. In any such case, our operating results could suffer and the value of the Company’s common shares could be adversely affected.</w:t>
      </w:r>
    </w:p>
    <w:p>
      <w:pPr>
        <w:spacing w:after="0" w:line="1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October 31, 2018, the Company and TCCC mutually agreed to submit an issue to the American Arbitration Association (“AAA”) in order to obtain clarification of an exception to a provision under various agreements preventing TCCC from competing in the energy drink category. TCCC has developed three energy products that it believes it may market under such exception, relating to the Coca-Cola brand. We expect a decision will be reached during the second quarter of 2019. In addition, TCCC has indicated that it has suspended the proposed launch of such products until April 2019. While we believe that the exception does not apply to this situation, there can be no assurances that the arbitration will resolve in our favor. As the relief sought is limited, no reasonable possible range of losses, if any, can be estimated. In addition, if TCCC proceeds with the launch of such products, there can be no assurances that we will not encounter difficulties in maintaining our current revenues, market share or position in the energy drink category in such territories, which could adversely affect our business and operating results.</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derive virtually all of our revenues from energy drinks, and competitive pressure in the energy drink category could adversely affect our business and operating results.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focus is in the energy drink category, and our business is vulnerable to adverse changes impacting the energy drink category and business, which could adversely impact our business and the trading price of our common stock.</w:t>
      </w:r>
    </w:p>
    <w:p>
      <w:pPr>
        <w:spacing w:after="0" w:line="16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Virtually all of our sales are derived from our energy drinks, including our Monster Energy® brand energy drinks and our Strategic Brand energy drinks acquired from TCCC in 2015. Our Monster Energy® brand energy drinks and Strategic Brands represented 91.7% and 7.5% of net sales, respectively, for the year ended December 31, 2018.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Domestically, our energy drinks compete directly with Red Bull, Rockstar, Amp, Venom, VPX Redline, Xenergy, MiO Energy, Rip It, Starbucks Doubleshot, Starbucks Doubleshot Energy Plus Coffee, Rockstar Roasted, 5-Hour Energy Shots, Stacker 2, VPX Bang, V8+ Energy, UPTIME, hi*ball, CELSIUS, C4 and many other brands. In addition, certain large companies, such as PepsiCo, market and/or distribute products in that market segment, such as Pepsi Max, Mountain Dew and Mountain Dew Kickstart. Internationally, our energy drinks compete with Red Bull, Rockstar, V-Energy, Lucozade and numerous local and private-label brands that usually differ from country to country, such as HELL, Shock, Tiger, Boost, Speed, TNT, Shark, Hot 6, Shark Energy, Dragon, Score, Sting, Battery, Bullit, Flash Up, Black, Non-Stop, Bomba, Semtex, Vive 100, Dark Dog, Guaraná, M-150, Lipovitan, Bacchus, Volt, Bolt, Mr. Big, Boom, Raptor, Amp, Fusion, Hi-Tiger,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Eastroc Super Drink, Carabao, Power Horse, XL, Crazy Tiger, Effect, Missile, NOCCO, Adrenaline Rush and a host of other international brands. Our Java Monster®, Espresso Monster® and </w:t>
      </w:r>
      <w:r>
        <w:rPr>
          <w:rFonts w:ascii="Times New Roman" w:cs="Times New Roman" w:eastAsia="Times New Roman" w:hAnsi="Times New Roman"/>
          <w:sz w:val="21"/>
          <w:szCs w:val="21"/>
          <w:color w:val="auto"/>
        </w:rPr>
        <w:t>Caffé Monster</w:t>
      </w:r>
      <w:r>
        <w:rPr>
          <w:rFonts w:ascii="Times New Roman" w:cs="Times New Roman" w:eastAsia="Times New Roman" w:hAnsi="Times New Roman"/>
          <w:sz w:val="20"/>
          <w:szCs w:val="20"/>
          <w:color w:val="auto"/>
        </w:rPr>
        <w:t>® product lines compete directly with Starbucks Frappuccino, Starbucks Doubleshot, Starbucks Doubleshot Energy Plus Coffee and other Starbucks coffee drinks, Rockstar Roasted, Dunkin Donuts, Gold Peak Tea, Stok, High Brew, McCaf</w:t>
      </w:r>
      <w:r>
        <w:rPr>
          <w:rFonts w:ascii="Times New Roman" w:cs="Times New Roman" w:eastAsia="Times New Roman" w:hAnsi="Times New Roman"/>
          <w:sz w:val="21"/>
          <w:szCs w:val="21"/>
          <w:color w:val="auto"/>
        </w:rPr>
        <w:t>é</w:t>
      </w:r>
      <w:r>
        <w:rPr>
          <w:rFonts w:ascii="Times New Roman" w:cs="Times New Roman" w:eastAsia="Times New Roman" w:hAnsi="Times New Roman"/>
          <w:sz w:val="20"/>
          <w:szCs w:val="20"/>
          <w:color w:val="auto"/>
        </w:rPr>
        <w:t>, hi*ball and International Delight. Our Muscle Monster® product line competes directly with Muscle Milk, Core Power, Premier Protein, Kellogg’s Special K Protein, Bolthouse Farms Protein, EAS AdvantEDGE, EAS Myoplex, Gatorade G Series 03 Recover, 5-Hour and PowerBar. Our Monster Hydro® product line competes directly with Vitamin Water, Sparkling Ice, Bai, Propel, Vita Coco, Lucozade and BODYARMOR. Competitive pressures in the energy drink category could impact our revenues, cause price erosion and/or lower market share, any of which could have a material adverse effect on our business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Company, in several markets, owns multiple potentially competing brands in the energy drink category.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Strategic Brands acquired from TCCC in 2015 represented 7.5% of consolidated net sales for the year ended December 31, 2018. In several markets our Monster Energy® brand energy drinks and Strategic Brands compete with each other. Although we continue to integrate the Strategic Brands with our broader energy drink portfolio, we may encounter difficulties managing different and potentially competing brands in such shared markets, which could adversely impact our business and results of operations.</w:t>
      </w:r>
    </w:p>
    <w:p>
      <w:pPr>
        <w:spacing w:after="0" w:line="17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i w:val="1"/>
          <w:iCs w:val="1"/>
          <w:color w:val="auto"/>
        </w:rPr>
        <w:t>TCCC is a significant shareholder of the Company and may have interests that are different from the Company’s other shareholders (including current shareholders of the Company).</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of February 20, 2019, TCCC owned common shares of the Company representing approximately 19% of the total number of the Company’s outstanding common shares. TCCC has also nominated two directors to the Company’s board of directors. The number of directors that TCCC is entitled to nominate is subject to reduction in certain circumstances. In March 2018, we entered into an agreement extending TCCC’s right to nominate two directors to serve until June 2019.</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TCCC’s ownership could also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interests of TCCC may be different from or conflict with the interests of the Company’s other shareholders and, as a result, TCCC’s influence may result in the delay or prevention of potential actions or transactions, including a potential change of management or control of the Company, even if such action or transaction may be beneficial to the Company’s other shareholders. Moreover, TCCC’s ownership of a significant amount of the Company’s outstanding common shares could result in downward pressure on the trading price of the Company’s common shares if TCCC were to sell a large portion of its shares (when permitted to sell) or as a result of the perception that such a sale might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Changes in government regulation, or failure to comply with existing regulations, could adversely affect our business, financial condition and results of operations.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its label, or a production run is not in compliance with any of these regulations, we may be fined, or such products may have to be recalled, reformulated and/or have the packaging changed, which could adversely affect our business, financial condition and results of operations.</w:t>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cannot predict the effect of inquiries from and/or actions by attorneys general, other government agencies and/or quasi-government agencies into the production, advertising, marketing, promotion, labeling, ingredients, usage and/or sale of our energy drink products.</w:t>
      </w:r>
    </w:p>
    <w:p>
      <w:pPr>
        <w:spacing w:after="0" w:line="1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are subject to the risks of investigations and/or enforcement actions by state attorneys general and/or other government and/or quasi-governmental agencies relating to the advertising, marketing, promotion, ingredients, usage and/or sale of our energy drinks.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from time to time, government and/or quasi-governmental agencies may investigate the safety of caffeine and energy drinks. For example, in January 2013, the Company received and responded to inquiries from U.S. legislators in response to FDA’s investigation into the safety of caffeine in food products, particularly its effects on children and adolescents. These legislators ultimately released a report in January 2015, recommending, inter alia, that the energy drink industry not market to consumers under the age of 18 and not market their products for hydration, and that the FDA develop and release definitions and guidance for this market sector. In addition, other organizations, such as the European Food Safety Authority, have also published reports, studies, articles and opinions on caffeine and energy drinks.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regarding our products, and related unfavorable media attention, could expose us to significant liabilities and reduce demand for our products.</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been and are currently named as a defendant in personal injury lawsuits which allege that consumption of our products has been responsible for wrongful deaths and/or injuries. We do not believe that our products are responsible for such wrongful deaths and/or injuries, and we intend to vigorously defend such lawsuits.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Several 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these lawsuits.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Criticism of our energy drink products and/or criticism or a negative perception of energy drinks generally, could adversely affect us.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An unfavorable report on the health effects of caffeine,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In early 2018, certain retailers in the United Kingdom announced the introduction of voluntary retailer measures to prevent the sale of energy drinks to individuals under the age of 16. If reports, studies or articles critical of caffeine and/or energy drinks continue to be published or are published in the future, or additional voluntary measures are taken, they could adversely affect the demand for our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Increased competition could hurt our business.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the taste and flavor of our products, trade and consumer promotions, rapid and effective development of new and unique cutting edge products, attractive and different packaging, branded product advertising and pricing. Our products compete with all liquid refreshments and in some cases with products of much larger and substantially better financed competitors, including the products of numerous nationally and internationally known producers such as TCCC, PepsiCo, Red Bull GmbH and KDP. We also compete with companies that are smaller or primarily national or local in operations. Our products also compete with private-label brands such as those carried by grocery store chains, convenience store chains and club stores. The rapid growth in sales through e-commerce retailers, e-commerce websites, mobile commerce applications and subscription services, may result in a shift away from physical retail operations to digital channels.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inability to innovate successfully and to provide new cutting edge products could adversely affect our business and financial results.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Global economic uncertainties, including foreign currency exchange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European and other international markets. Unfavorable economic conditions and financial uncertainties in our major international markets, including uncertainties surrounding the United Kingdom’s impending withdrawal from the European Union, commonly referred to as “Brexit,” and increases in tariffs that may result, and unstable political conditions, including civil unrest and governmental changes, in certain of our other international markets could undermine global consumer confidence and reduce consumers’ purchasing power, thereby reducing demand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consumer preferences may reduce demand for some of our products.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 Recently, concerns have emerged regarding diet sodas and in particular, aspartame, which is contained in certain of our Strategic Brands energy drinks.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price, although there can be no assurance of our ability to do so. There is no assurance that consumers will continue to purchase our products in the future. Product lifecycles for some beverage brands, products and/or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packages may be limited to a few years before consumers’ preferences change. The beverages we currently market are in varying stages of their product lifecycles, and there can be no assurance that such beverages will become or remain profitable for us. We may be unable to achieve</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volume growth through product and packaging initiatives. We may also be unable to penetrate new markets. </w:t>
      </w:r>
      <w:r>
        <w:rPr>
          <w:rFonts w:ascii="Times New Roman" w:cs="Times New Roman" w:eastAsia="Times New Roman" w:hAnsi="Times New Roman"/>
          <w:sz w:val="21"/>
          <w:szCs w:val="21"/>
          <w:color w:val="auto"/>
        </w:rPr>
        <w:t>Additionally, as shopping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patterns are being affected by the digital evolution, with customers embracing shopping by way of mobile device applications, e-commerce retailers and e-commerce websites or platforms, we may be unable to address or anticipate changes in consumer shopping preferences. </w:t>
      </w:r>
      <w:r>
        <w:rPr>
          <w:rFonts w:ascii="Times New Roman" w:cs="Times New Roman" w:eastAsia="Times New Roman" w:hAnsi="Times New Roman"/>
          <w:sz w:val="19"/>
          <w:szCs w:val="19"/>
          <w:color w:val="auto"/>
        </w:rPr>
        <w:t>If our revenues decline, our business, financial condition and results of operations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continued expansion outside of the United States exposes us to uncertain conditions and other risks in international markets.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have continued expanding our operations internationally into a variety of new markets, including launches in China and various African and Middle Eastern countries. Our gross sales to customers outside of the United States were approximately 31%, 28% and 25% of consolidated gross sales for the years ended December 31, 2018, 2017 and 2016,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unfavorable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or regional catastrophic events could impact our operations and affect our ability to grow our business.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and/or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foreign currency exchange rates may adversely affect our operating results.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exposed to foreign currency exchange rate risk with respect to our sales, expenses, profits, assets and liabilities denominated in currencies other than the U.S. dollar. We may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Foreign currency transaction losses were $4.0 million, $3.3 million and $9.7 million for the years ended December 31, 2018, 2017 and 2016,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Default by or failure of one or more of our counterparty financial institutions could cause us to incur significant losses.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spacing w:after="0" w:line="18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acquisition of AFF in 2016 brought our primary flavor supplier in-house for the majority of our Monster Energy® brand energy drinks. However, we also procure flavors from other independent flavor suppliers. We do not manufacture finished goods, but instead outsource manufacturing of our finished goods to bottlers and other contract packers. As a result,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certain of our Monster Energy® brand energy drinks, our Muscle Monster® product line, our Java Monster® product line, our Espresso Monster® product line, our Monster Hydro® product line and certain of our other products. For example, in the second half of 2016 and into the fourth quarter of 2017, sales of our Java Monster® and Muscle Monster® product lines were adversely impacted by production capacity constraints resulting from production and maintenance issues with certain of our co-packers. While this short-term disruption in production did not significantly affect our revenues, a lengthy disruption or delay in the production of any of our products could significantly adversely affect our revenues from such products because alternative co-packing facilities in the United States and abroad with adequate long-term capacity may not be available for such products either at commercially reasonable rates and/or costs and/or within a reasonably short time period, if at all. In addition, recently there has been a consolidation of co-packers. If we are unable to maintain good relationships with our largest co-packers, or if our costs of co-packing increase, our business, financial condition and results of operations could be adversely affected.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Many of our bottlers/distributors are affiliated with and manufacture and/or distribute other soda, carbonated and non-carbonated brands and other beverage products (both alcoholic and non-alcoholic). In many cases, such products compete directly with our products.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Unilateral decisions could be taken by our bottlers/distributors, convenience and gas chains, grocery chains, specialty chain stores, club stores and other customers to discontinue carrying certain or all of our products that they are carrying at any time, which could cause our business to suffer.</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TCCC North American Bottlers, Coca-Cola European Partners, Coca-Cola Hellenic, Coca-Cola FEMSA, Coca-Cola Amatil, Swire Coca-Cola (China), COFCO Coca-Cola, Coca-Cola Beverages Africa and Coca-Cola İçecek are our primary domestic and international distributors of our products. As a result, if we are unable to maintain good relationships with the TCCC North American Bottlers, Coca-Cola European Partners, Coca-Cola Hellenic, Coca-Cola FEMSA, Coca-Cola Amatil, Swire Coca-Cola (China), COFCO Coca-Cola, Coca-Cola Beverages Africa and/or Coca-Cola İçecek, or if the TCCC North American Bottlers, Coca-Cola European Partners, Coca-Cola Hellenic, Coca-Cola FEMSA, Coca-Cola Amatil, Swire Coca-Cola (China), COFCO Coca-Cola, Coca-Cola Beverages Africa and/or Coca-Cola İçecek do not effectively focus on marketing, promoting, selling and distributing our products, sales of our products could be adversely affected.</w:t>
      </w:r>
    </w:p>
    <w:p>
      <w:pPr>
        <w:spacing w:after="0" w:line="18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TCCC, through the TCCC Subsidiaries, accounted for approximately 3%, 18% and 41% of our net sales for the years ended December 31, 2018, 2017 and 2016, respectively. A decision by certain TCCC North American Bottlers (including CCBCC Operations, LLC and Reyes Coca-Cola Bottling), Coca-Cola European Partners, Coca-Cola Hellenic, Coca-Cola FEMSA, Coca-Cola Amatil, Swire Coca-Cola (China), COFCO Coca-Cola, Coca-Cola Beverages Africa, Coca-Cola İçecek, Wal-Mart, Inc. (including Sam’s Club), or any other large customer to decrease the amount purchased from us or to cease carrying our products could have a material adverse effect on our financial condition and consolidated results of operations.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marketing efforts of our distributors are important for our success. If our brands prove to be less attractive to our existing bottlers and distributors, if we fail to attract additional bottlers and distributors, and/or our bottlers/distributors do not market, promote and distribute our products effectively, our business, financial condition and results of operations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Increases in costs and/or shortages of raw materials and/or ingredients and/or fuel and/or costs of co-packing could harm our business.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principal raw materials used by us are aluminum cans, sleek aluminum cans, aluminum Cap Cans, aluminum cans with re-sealable ends, PET plastic bottles, glass bottles, caps, flavors, juice concentrates, glucose, sugar, sucralose, milk, cream, protein, coffee, tea, dietary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 party customers. We have identified alternative suppliers for certain of the ingredients contained in many of our beverages. However, industry-wide shortages of certain flavors, fruits and fruit juices, coffee, tea, dairy-based products, dietary ingredients and sweeteners have been, and could from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time to time in the future be, encountered, which could interfere with and/or delay production of certain of our products. In addition, certain of our co-packing arrangements allow such co-packers to increase their fees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Although we generally do not use hedging agreements or alternative instruments to manage the risks associated with securing sufficient ingredients or raw materials, from time to time, we, through our aluminum can suppliers, enter into purchase agreements for the purchase of aluminum, as well as enter into purchase agreements for portions of our annual anticipated requirements for certain of our other raw materials such as glucose, sugar and sucralose. In 2018, the United States imposed tariffs on steel and aluminum as well as on goods imported from China and certain other countries. Additional tariffs imposed by the United States on a broader range of imports, or further retaliatory trade measures taken by China or other countries in response, could result in an increase in supply chain costs.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some of these raw materials, including certain sizes of cans, are available from limited suppliers.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failure to accurately estimate demand for our products could adversely affect our business and financial results.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may not correctly estimate demand for our existing products and/or new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aluminum Cap Cans, sleek aluminum cans, aluminum cans with re-sealable ends, PET plastic bottles, glass bottles, caps, labels, sucralose, flavors, dietary ingredients, juice concentrates, certain sweeteners, coffee, tea, protein and packaging materials or experience difficulties with our co-packing arrangements, including production shortages or quality issues, we might not be able to satisfy demand on a short-term basis. Moreover, industry-wide shortages of certain juice concentrates, dietary ingredients and sweeteners have been and could, from time to time in the future, be experienced, resulting in production fluctuations and/or product shortages.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do not maintain sufficient inventory levels, if we are unable to deliver our products to our customers in sufficient quantities, and/or if our customers’ or retailers’ inventory levels are too high, our operating results could be adversely affected.</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costs of packaging supplies are subject to price increases from time to time, and we may be unable to pass all or some of such increased costs on to our customers.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Many of our packaging supply contracts allow our suppliers to alter the costs they charge us for packaging supplies based on changes in the costs of the underlying commodities that are used to produce those packaging supplies, such as aluminum for cans and pulp and paper for cartons and/or trays. These changes in the prices we pay for our packaging supplies occur at certain predetermined times that vary by product and supplier. In some cases, we are able to fix the prices of certain packaging supplies and/or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intellectual property rights are critical to our success, and the loss of such rights could materially adversely affect our business.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If we lose some or all of our intellectual property rights, our business may be materially adversely affected.</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Negative publicity (whether or not warranted) concerning product safety or quality, human and workplace rights, obesity or other issues could damage our brand image and corporate reputation, and may cause our business to suffer.</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and human rights will have the desired impact on our products’ brand image and on consumer preference and demand. Product safety,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our industry. 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we sponsor or support. Likewise, campaigns by activists connecting us, or our supply chain, with human and workplace rights issues could adversely impact our corporate image and reputation. We have made a number of commitments to respect human rights, including through our Human Rights Policy, Supplier Code of Conduct, Code of Business Conduct and Ethics and our grievance procedures. Allegations, even if untrue, that we are not respecting one or more of the 30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and adverse publicity surrounding obesity and health concerns related to our products, water usage, environmental impact, labor relations or the like could negatively affect our Company’s overall reputation and brand image, which in turn could have a negative impact on our products’ acceptance by consumers.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we encounter product recalls, our business may suffer and we may incur material losses.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may be required from time to time to recall products entirely or from specific co-packers, markets or batches if such products become contaminated, damaged, mislabeled or otherwise materially non-compliant with applicable regulatory requirements. Material product recalls could adversely affect our profitability and our brand image. We do not maintain recall insurance.</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business is dependent, to a large extent, upon the services of our senior management. We do not maintain key person life insurance on any members of our senior management. The loss of services of either Rodney Sacks, Chairman and Chief Executive Officer, Hilton Schlosberg, Vice-Chairman,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Climate change may negatively affect our business.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and other ingredients used in our products and could impact the food security of communities around the world. Increased frequency or duration of extreme weather conditions could also impair production capabilities, disrupt our supply chain (including, without limitation, the availability of, and/or result in higher prices for, juice concentrates, natural flavors and dietary and other ingredients) and/or impact demand for our products. Natural disasters and extreme weather conditions, such as hurricanes, wildfires, earthquakes or floods, may affect our operations and the operation of our supply chain and unfavorably impact the demand for, or our consumers’ ability to purchase, our products. The predicted effects of climate change may also result in challenges regarding availability and quality of water, or less favorable pricing for water, which could adversely impact our business and results of operations.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effect on our operations, either positively or negatively.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changes in accounting standards or practices and/or taxation may adversely affect our financial results.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our effective tax rate could adversely affect our financial condition and results of operations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are subject to income and other taxes in both the U.S. and certain foreign jurisdictions. Therefore, we may be subjected to audits for multiple tax years in various jurisdictions at once. At any given time, events may occur which change our expectation about how any such tax audits will be resolved and thus, there could be variability in our quarterly and/or annual tax rates, because these events may change our plans for uncertain tax positions. On December 22, 2017, the President of the United States signed into law the Tax Cuts and Jobs Act (the “Tax Reform Act”) which imposes broad and complex changes to the U.S. tax code. We completed our analysis of the Tax Reform Act during 2018 and adjusted the 2017 provisional estimate to the final amounts in accordance with Staff Accounting Bulletin No. 118.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stock price may restrict sale opportunities.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such projected levels or mixes of product sales, revenues, gross margins,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2018, the high of our stock price was $70.22 and the low was $47.61.</w:t>
      </w:r>
    </w:p>
    <w:p>
      <w:pPr>
        <w:spacing w:after="0" w:line="18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Provisions in our organizational documents and control by insiders may prevent changes in control even if such changes would be beneficial to other stockholders.</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organizational documents may limit changes in control. Furthermore, as of February 20, 2019, Mr. Sacks and Mr. Schlosberg together may be deemed to beneficially own and/or exercise voting control over approximately 9.8% of our outstanding common stock. As of February 20, 2019, TCCC owned approximately 19% of our common stock.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cash flow may not be sufficient to fund our long-term goals.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debtors and/or creditors could affect the financing of our future growth.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investments in marketable securities are subject to risks which may cause losses and affect the liquidity of these investments.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At December 31, 2018, we had $637.5 million in cash and cash equivalents and $320.7 million in short-term investments. We have historically invested these amounts in U.S. treasuries, certificates of deposit, commercial paper, government agencies and municipal securities (which may have an auction reset feature),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may be required to record a significant charge to earnings if our goodwill or intangible assets become impaired.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Under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20"/>
          <w:szCs w:val="20"/>
          <w:color w:val="auto"/>
        </w:rPr>
        <w:t>We may be required to record a significant charge to earnings in our financial statements during the period in which we determine that our intangible assets have been impaired. Any such charge would adversely impact our results of operations. As of December 31, 2018, our goodwill totaled approximately $1.33 billion and other intangible assets totaled approximately $1.05 billion.</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spacing w:after="0" w:line="17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Litigation, legal proceedings, arbitrations, government and regulatory inquiries and/or proceedings could expose us to significant liabilities and thus negatively affect our financial results.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a party, from time to time, to various litigation claims and legal proceedings, arbitrations, government and regulatory inquiries and/or proceedings, including, but not limited to, intellectual property, fraud, unfair business practices, false advertising, product liability, breach of contract claims, securities actions and shareholder derivative actions. Material legal proceedings are described more fully in, “Part I, Item 3 – Legal Proceedings” and in “Part II, Item 8, Note 11” to our consolidated financial statements contained in this Form 10-K.</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i w:val="1"/>
          <w:iCs w:val="1"/>
          <w:color w:val="auto"/>
        </w:rPr>
        <w:t>We must continually maintain, protect and/or upgrade our information technology systems, including, protecting us from internal and external cybersecurity threats.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Information technology enables us to operate efficiently,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are evolving and include, but are not limited to, malicious software (malware and virus), attempts to gain unauthorized access to networks, computer systems and data and other forms of electronic security breaches that could lead to disruptions in business systems, an inability to process customer orders and/or lost customer orders, unauthorized release of confidential or otherwise protected information and corruption of data. We believe that we have adopted appropriate measures including ongoing cybersecurity risk assessments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20"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principal properties include our corporate headquarters as well as our Southern California warehouse and distribution center.</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owned corporate headquarters are located at 1 Monster Way, Corona, California 92879, consisting of (i) an approximately 141,000 square-foot, free-standing, six-story building (ENERGY STAR certified), (ii) an approximately 147,625 square-foot three-story parking structure and storage facility, which houses our approximately 14,000 square-foot quality control laboratory, and (iii) an adjacent approximately 75,426 square foot, free-standing, three-story building (pursuing ENERGY STAR certification).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owned Southern California warehouse is located in Rialto, California, consisting of an approximately 1,000,000 square-foot building which is LEED certified.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we lease many smaller office and/or warehouse spaces, both domestically and in certain international locations.</w:t>
      </w:r>
    </w:p>
    <w:p>
      <w:pPr>
        <w:spacing w:after="0" w:line="2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TCCC and certain affiliates are parties to various agreements setting forth, among other things, provisions relating to TCCC’s equity holding in the Company and the terms on which the Company’s energy products are distributed globally by members of TCCC’s distribution network. Among other provisions, the agreements restrict TCCC from competing in the energy drink category in certain territories prior to the termination of the applicable distribution coordination agreement with TCCC, with certain exceptions.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TCCC has developed three energy products that it believes it may market under the exception relating to the Coca-Cola brand. The Company believes that the exception does not apply to this situation. By mutual agreement to obtain clarification, the issue was submitted to</w:t>
      </w:r>
    </w:p>
    <w:p>
      <w:pPr>
        <w:jc w:val="both"/>
        <w:ind w:firstLine="8"/>
        <w:spacing w:after="0" w:line="242" w:lineRule="auto"/>
        <w:tabs>
          <w:tab w:leader="none" w:pos="48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on October 31, 2018. We expect a decision will be reached during the second quarter of 2019. TCCC has indicated that it has suspended the proposed launch of such products until April 2019. As the relief sought is limited, no reasonable possible range of losses, if any, can be estimated.</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is currently a defendant in a number of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2018, the Company’s consolidated balance sheet includes accrued loss contingencies of approximately $0.06 million.</w:t>
      </w:r>
    </w:p>
    <w:p>
      <w:pPr>
        <w:spacing w:after="0" w:line="1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Market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common stock trades on the Nasdaq Global Select Market under the same symbol, “MNST”. As of February 20, 2019, there were 543,148,169 shares of the Company’s common stock outstanding held by approximately 198 holders of record. The holders of record do not include those stockholders whose shares are held of record by banks, brokers and other financial institutions.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Price and Dividend Information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have not paid cash dividends to our stockholders since our inception and do not anticipate paying cash dividends in the foreseeable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On February 28, 2017, the Company’s Board of Directors authorized a share repurchase program for the purchase of up to $500.0 million of the Company’s outstanding common stock (the “February 2017 Repurchase Plan”). During the year ended December 31, 2018, the Company purchased 4.3 million shares of common stock at an average purchase price of $57.74 per share, for a total amount of $249.9 million (excluding broker commissions), under the February 2017 Repurchase Plan, which exhausted the availability under the February 2017 Repurchase Plan. Such shares are included in common stock in treasury in the accompanying consolidated balance sheet at December 31,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February 27, 2018, the Company’s Board of Directors authorized a share repurchase program for the purchase of up to $250.0 million of the Company’s outstanding common stock (the “February 2018 Repurchase Program”). During the year ended December 31, 2018, the Company purchased 5.0 million shares of common stock at an average purchase price of $49.81 per share, for a total amount of $249.9 million (excluding broker commissions), which exhausted the availability under the February 2018 Repurchase Program. Such shares are included in common stock in treasury in the accompanying consolidated balance sheet at December 31, 2018.</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May 29, 2018, the Company’s Board of Directors authorized a share repurchase program for the purchase of up to $500.0 million of the Company’s outstanding common stock (the “May 2018 Repurchase Plan”). During the year ended December 31, 2018, the Company purchased 9.0 million shares of common stock at an average purchase price of $55.55 per share, for a total amount of $499.9 million (excluding broker commissions), under the May 2018 Repurchase Plan, which exhausted the availability under the May 2018 Repurchase Plan. Such shares are included in the common stock in treasury in the accompanying consolidated balance sheet at December 31, 2018.</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August 7, 2018, the Company’s Board of Directors authorized a share repurchase program for the purchase of up to $500.0 million of the Company’s outstanding common stock (the “August 2018 Repurchase Plan”). During the year ended December 31, 2018, the Company purchased 6.0 million shares of common stock at an average purchase price of $57.11 per share, for a total amount of $340.3 million (excluding broker commissions), under the August 2018 Repurchase Plan. Such shares are included in the common stock in treasury in the accompanying consolidated balance sheet at December 31, 2018. As a result of purchases of our common stock in January 2019 and February 2019, as of February 26, 2019, $20.6 million remained available for repurchase under the August 2018 Repurchase Plan.</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2018, 34,976 shares of common stock were purchased from employees in lieu of cash payments for options exercised or withholding taxes due for a total amount of $2.1 million. While such purchases are considered common stock repurchases, they are not counted as purchases against our authorized share repurchase programs. Such shares are included in common stock in treasury in the accompanying consolidated balance sheet at December 31,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8"/>
              </w:rPr>
              <w:t>Maximum Number (or</w:t>
            </w:r>
          </w:p>
        </w:tc>
      </w:tr>
      <w:tr>
        <w:trPr>
          <w:trHeight w:val="230"/>
        </w:trPr>
        <w:tc>
          <w:tcPr>
            <w:tcW w:w="2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8"/>
              </w:rPr>
              <w:t>Approximate Dollar</w:t>
            </w:r>
          </w:p>
        </w:tc>
      </w:tr>
      <w:tr>
        <w:trPr>
          <w:trHeight w:val="230"/>
        </w:trPr>
        <w:tc>
          <w:tcPr>
            <w:tcW w:w="2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Total Number of</w:t>
            </w:r>
          </w:p>
        </w:tc>
        <w:tc>
          <w:tcPr>
            <w:tcW w:w="420" w:type="dxa"/>
            <w:vAlign w:val="bottom"/>
          </w:tcPr>
          <w:p>
            <w:pPr>
              <w:spacing w:after="0"/>
              <w:rPr>
                <w:sz w:val="19"/>
                <w:szCs w:val="19"/>
                <w:color w:val="auto"/>
              </w:rPr>
            </w:pPr>
          </w:p>
        </w:tc>
        <w:tc>
          <w:tcPr>
            <w:tcW w:w="234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7"/>
              </w:rPr>
              <w:t>Value) of Shares that</w:t>
            </w:r>
          </w:p>
        </w:tc>
      </w:tr>
      <w:tr>
        <w:trPr>
          <w:trHeight w:val="230"/>
        </w:trPr>
        <w:tc>
          <w:tcPr>
            <w:tcW w:w="2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Shares Purchased</w:t>
            </w:r>
          </w:p>
        </w:tc>
        <w:tc>
          <w:tcPr>
            <w:tcW w:w="420" w:type="dxa"/>
            <w:vAlign w:val="bottom"/>
          </w:tcPr>
          <w:p>
            <w:pPr>
              <w:spacing w:after="0"/>
              <w:rPr>
                <w:sz w:val="19"/>
                <w:szCs w:val="19"/>
                <w:color w:val="auto"/>
              </w:rPr>
            </w:pPr>
          </w:p>
        </w:tc>
        <w:tc>
          <w:tcPr>
            <w:tcW w:w="234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7"/>
              </w:rPr>
              <w:t>May Yet Be Purchased</w:t>
            </w:r>
          </w:p>
        </w:tc>
      </w:tr>
      <w:tr>
        <w:trPr>
          <w:trHeight w:val="230"/>
        </w:trPr>
        <w:tc>
          <w:tcPr>
            <w:tcW w:w="2580" w:type="dxa"/>
            <w:vAlign w:val="bottom"/>
          </w:tcPr>
          <w:p>
            <w:pPr>
              <w:spacing w:after="0"/>
              <w:rPr>
                <w:sz w:val="19"/>
                <w:szCs w:val="19"/>
                <w:color w:val="auto"/>
              </w:rPr>
            </w:pPr>
          </w:p>
        </w:tc>
        <w:tc>
          <w:tcPr>
            <w:tcW w:w="22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Total Number</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as Part of Publicly</w:t>
            </w:r>
          </w:p>
        </w:tc>
        <w:tc>
          <w:tcPr>
            <w:tcW w:w="420" w:type="dxa"/>
            <w:vAlign w:val="bottom"/>
          </w:tcPr>
          <w:p>
            <w:pPr>
              <w:spacing w:after="0"/>
              <w:rPr>
                <w:sz w:val="19"/>
                <w:szCs w:val="19"/>
                <w:color w:val="auto"/>
              </w:rPr>
            </w:pPr>
          </w:p>
        </w:tc>
        <w:tc>
          <w:tcPr>
            <w:tcW w:w="234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9"/>
              </w:rPr>
              <w:t>Under the Plans or</w:t>
            </w:r>
          </w:p>
        </w:tc>
      </w:tr>
      <w:tr>
        <w:trPr>
          <w:trHeight w:val="230"/>
        </w:trPr>
        <w:tc>
          <w:tcPr>
            <w:tcW w:w="2580" w:type="dxa"/>
            <w:vAlign w:val="bottom"/>
          </w:tcPr>
          <w:p>
            <w:pPr>
              <w:spacing w:after="0"/>
              <w:rPr>
                <w:sz w:val="19"/>
                <w:szCs w:val="19"/>
                <w:color w:val="auto"/>
              </w:rPr>
            </w:pPr>
          </w:p>
        </w:tc>
        <w:tc>
          <w:tcPr>
            <w:tcW w:w="22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8"/>
              </w:rPr>
              <w:t>of Shares</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Average Price</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Announced Plans</w:t>
            </w:r>
          </w:p>
        </w:tc>
        <w:tc>
          <w:tcPr>
            <w:tcW w:w="420" w:type="dxa"/>
            <w:vAlign w:val="bottom"/>
          </w:tcPr>
          <w:p>
            <w:pPr>
              <w:spacing w:after="0"/>
              <w:rPr>
                <w:sz w:val="19"/>
                <w:szCs w:val="19"/>
                <w:color w:val="auto"/>
              </w:rPr>
            </w:pPr>
          </w:p>
        </w:tc>
        <w:tc>
          <w:tcPr>
            <w:tcW w:w="234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9"/>
              </w:rPr>
              <w:t>Programs (In</w:t>
            </w:r>
          </w:p>
        </w:tc>
      </w:tr>
      <w:tr>
        <w:trPr>
          <w:trHeight w:val="252"/>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Period</w:t>
            </w:r>
          </w:p>
        </w:tc>
        <w:tc>
          <w:tcPr>
            <w:tcW w:w="22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20"/>
                <w:szCs w:val="20"/>
                <w:color w:val="auto"/>
                <w:w w:val="97"/>
              </w:rPr>
              <w:t>Purchased</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w w:val="97"/>
              </w:rPr>
              <w:t>per Share¹</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or Programs</w:t>
            </w:r>
          </w:p>
        </w:tc>
        <w:tc>
          <w:tcPr>
            <w:tcW w:w="4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9"/>
              </w:rPr>
              <w:t>thousands)²</w:t>
            </w:r>
          </w:p>
        </w:tc>
      </w:tr>
      <w:tr>
        <w:trPr>
          <w:trHeight w:val="200"/>
        </w:trPr>
        <w:tc>
          <w:tcPr>
            <w:tcW w:w="2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Nov 1 – Nov 30, 2018</w:t>
            </w:r>
          </w:p>
        </w:tc>
        <w:tc>
          <w:tcPr>
            <w:tcW w:w="2220" w:type="dxa"/>
            <w:vAlign w:val="bottom"/>
          </w:tcPr>
          <w:p>
            <w:pPr>
              <w:jc w:val="right"/>
              <w:ind w:right="261"/>
              <w:spacing w:after="0" w:line="200" w:lineRule="exact"/>
              <w:rPr>
                <w:sz w:val="20"/>
                <w:szCs w:val="20"/>
                <w:color w:val="auto"/>
              </w:rPr>
            </w:pPr>
            <w:r>
              <w:rPr>
                <w:rFonts w:ascii="Times New Roman" w:cs="Times New Roman" w:eastAsia="Times New Roman" w:hAnsi="Times New Roman"/>
                <w:sz w:val="20"/>
                <w:szCs w:val="20"/>
                <w:color w:val="auto"/>
              </w:rPr>
              <w:t>4,812,896</w:t>
            </w:r>
          </w:p>
        </w:tc>
        <w:tc>
          <w:tcPr>
            <w:tcW w:w="46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ind w:right="281"/>
              <w:spacing w:after="0" w:line="200" w:lineRule="exact"/>
              <w:rPr>
                <w:sz w:val="20"/>
                <w:szCs w:val="20"/>
                <w:color w:val="auto"/>
              </w:rPr>
            </w:pPr>
            <w:r>
              <w:rPr>
                <w:rFonts w:ascii="Times New Roman" w:cs="Times New Roman" w:eastAsia="Times New Roman" w:hAnsi="Times New Roman"/>
                <w:sz w:val="20"/>
                <w:szCs w:val="20"/>
                <w:color w:val="auto"/>
              </w:rPr>
              <w:t>57.41</w:t>
            </w:r>
          </w:p>
        </w:tc>
        <w:tc>
          <w:tcPr>
            <w:tcW w:w="2080" w:type="dxa"/>
            <w:vAlign w:val="bottom"/>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4,812,896</w:t>
            </w:r>
          </w:p>
        </w:tc>
        <w:tc>
          <w:tcPr>
            <w:tcW w:w="4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340" w:type="dxa"/>
            <w:vAlign w:val="bottom"/>
          </w:tcPr>
          <w:p>
            <w:pPr>
              <w:jc w:val="right"/>
              <w:ind w:right="241"/>
              <w:spacing w:after="0" w:line="200" w:lineRule="exact"/>
              <w:rPr>
                <w:sz w:val="20"/>
                <w:szCs w:val="20"/>
                <w:color w:val="auto"/>
              </w:rPr>
            </w:pPr>
            <w:r>
              <w:rPr>
                <w:rFonts w:ascii="Times New Roman" w:cs="Times New Roman" w:eastAsia="Times New Roman" w:hAnsi="Times New Roman"/>
                <w:sz w:val="20"/>
                <w:szCs w:val="20"/>
                <w:color w:val="auto"/>
              </w:rPr>
              <w:t>420,288</w:t>
            </w:r>
          </w:p>
        </w:tc>
      </w:tr>
      <w:tr>
        <w:trPr>
          <w:trHeight w:val="258"/>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Dec 1 – Dec 31, 2018</w:t>
            </w:r>
          </w:p>
        </w:tc>
        <w:tc>
          <w:tcPr>
            <w:tcW w:w="22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4,607,630</w:t>
            </w:r>
          </w:p>
        </w:tc>
        <w:tc>
          <w:tcPr>
            <w:tcW w:w="4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56.56</w:t>
            </w:r>
          </w:p>
        </w:tc>
        <w:tc>
          <w:tcPr>
            <w:tcW w:w="2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4,607,630</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159,612</w:t>
            </w:r>
          </w:p>
        </w:tc>
      </w:tr>
    </w:tbl>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¹Excluding broker commissions paid.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²Net of broker commissions paid.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graph shows a five-year comparison of cumulative total returns:</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151765</wp:posOffset>
            </wp:positionV>
            <wp:extent cx="5222875" cy="336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2287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Annual return assumes reinvestment of dividends. Cumulative total return assumes an initial investment of $100 on December 31, 2013. The Company’s self-selected peer group is comprised of TCCC, Dr Pepper Snapple Group, Inc. (through July 9, 2018), National Beverage Corporation, Jones Soda Company and PepsiCo.</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SELECTED FINANCIAL DATA</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consolidated statements of operations data set forth below with respect to each of the fiscal years ended December 31, 2016 through 2018 and the balance sheet data as of December 31, 2018 and 2017,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2015 and 2014 and the balance sheet data as of December 31, 2016, 2015 and 2014 are derived from the Company’s audited consolidated financial statements not included herein.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 except</w:t>
            </w: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2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9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2018</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2017</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2016</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2015</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2014</w:t>
            </w:r>
          </w:p>
        </w:tc>
      </w:tr>
      <w:tr>
        <w:trPr>
          <w:trHeight w:val="252"/>
        </w:trPr>
        <w:tc>
          <w:tcPr>
            <w:tcW w:w="2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r>
              <w:rPr>
                <w:rFonts w:ascii="Times New Roman" w:cs="Times New Roman" w:eastAsia="Times New Roman" w:hAnsi="Times New Roman"/>
                <w:sz w:val="12"/>
                <w:szCs w:val="12"/>
                <w:color w:val="auto"/>
              </w:rPr>
              <w:t>1,2</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3,807,183</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3,369,045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3,049,393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2,722,564</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2,464,867</w:t>
            </w:r>
          </w:p>
        </w:tc>
      </w:tr>
      <w:tr>
        <w:trPr>
          <w:trHeight w:val="274"/>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w:t>
            </w:r>
            <w:r>
              <w:rPr>
                <w:rFonts w:ascii="Times New Roman" w:cs="Times New Roman" w:eastAsia="Times New Roman" w:hAnsi="Times New Roman"/>
                <w:sz w:val="12"/>
                <w:szCs w:val="12"/>
                <w:color w:val="auto"/>
              </w:rPr>
              <w:t>1,2</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2,295,375</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2,137,690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1,942,000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1,632,301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1,339,810</w:t>
            </w:r>
          </w:p>
        </w:tc>
      </w:tr>
      <w:tr>
        <w:trPr>
          <w:trHeight w:val="268"/>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 as a</w:t>
            </w: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percentage to net sales</w:t>
            </w:r>
          </w:p>
        </w:tc>
        <w:tc>
          <w:tcPr>
            <w:tcW w:w="90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60.3%</w:t>
            </w:r>
          </w:p>
        </w:tc>
        <w:tc>
          <w:tcPr>
            <w:tcW w:w="44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63.5%</w:t>
            </w:r>
          </w:p>
        </w:tc>
        <w:tc>
          <w:tcPr>
            <w:tcW w:w="44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63.7%</w:t>
            </w:r>
          </w:p>
        </w:tc>
        <w:tc>
          <w:tcPr>
            <w:tcW w:w="44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60.0%</w:t>
            </w: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r>
      <w:tr>
        <w:trPr>
          <w:trHeight w:val="297"/>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w:t>
            </w:r>
            <w:r>
              <w:rPr>
                <w:rFonts w:ascii="Times New Roman" w:cs="Times New Roman" w:eastAsia="Times New Roman" w:hAnsi="Times New Roman"/>
                <w:sz w:val="12"/>
                <w:szCs w:val="12"/>
                <w:color w:val="auto"/>
              </w:rPr>
              <w:t>1,3</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1,283,619</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1,198,787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1,085,338</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893,653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747,505</w:t>
            </w:r>
          </w:p>
        </w:tc>
      </w:tr>
      <w:tr>
        <w:trPr>
          <w:trHeight w:val="297"/>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r>
              <w:rPr>
                <w:rFonts w:ascii="Times New Roman" w:cs="Times New Roman" w:eastAsia="Times New Roman" w:hAnsi="Times New Roman"/>
                <w:sz w:val="12"/>
                <w:szCs w:val="12"/>
                <w:color w:val="auto"/>
              </w:rPr>
              <w:t>1,3</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993,004</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820,678</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712,685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546,733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483,185</w:t>
            </w:r>
          </w:p>
        </w:tc>
      </w:tr>
      <w:tr>
        <w:trPr>
          <w:trHeight w:val="268"/>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per common</w:t>
            </w: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w:t>
            </w: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1.78</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0.97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0.96</w:t>
            </w:r>
          </w:p>
        </w:tc>
      </w:tr>
      <w:tr>
        <w:trPr>
          <w:trHeight w:val="258"/>
        </w:trPr>
        <w:tc>
          <w:tcPr>
            <w:tcW w:w="20" w:type="dxa"/>
            <w:vAlign w:val="bottom"/>
          </w:tcPr>
          <w:p>
            <w:pPr>
              <w:spacing w:after="0"/>
              <w:rPr>
                <w:sz w:val="22"/>
                <w:szCs w:val="22"/>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1.76</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1.42</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1.19</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0.95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w:t>
            </w:r>
          </w:p>
        </w:tc>
      </w:tr>
      <w:tr>
        <w:trPr>
          <w:trHeight w:val="268"/>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cash equivalents and</w:t>
            </w: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investments</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958,163</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1,203,921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600,530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2,935,375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1,194,397</w:t>
            </w:r>
          </w:p>
        </w:tc>
      </w:tr>
      <w:tr>
        <w:trPr>
          <w:trHeight w:val="297"/>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4,526,891</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4,791,012</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4,153,471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5,571,277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1,938,875</w:t>
            </w:r>
          </w:p>
        </w:tc>
      </w:tr>
      <w:tr>
        <w:trPr>
          <w:trHeight w:val="297"/>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3,610,901</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3,895,212</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3,329,709</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4,809,410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1,515,150</w:t>
            </w:r>
          </w:p>
        </w:tc>
      </w:tr>
    </w:tbl>
    <w:p>
      <w:pPr>
        <w:spacing w:after="0" w:line="208" w:lineRule="exact"/>
        <w:rPr>
          <w:sz w:val="20"/>
          <w:szCs w:val="20"/>
          <w:color w:val="auto"/>
        </w:rPr>
      </w:pPr>
    </w:p>
    <w:p>
      <w:pPr>
        <w:ind w:left="340" w:hanging="8"/>
        <w:spacing w:after="0" w:line="271" w:lineRule="auto"/>
        <w:tabs>
          <w:tab w:leader="none" w:pos="439"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i w:val="1"/>
          <w:iCs w:val="1"/>
          <w:color w:val="auto"/>
        </w:rPr>
        <w:t>Includes $44.3 million, $43.4 million, $40.3 million, $62.8 million and $15.0 million for the years ended December 31, 2018, 2017, 2016, 2015 and 2014, respectively, related to the recognition of deferred revenue.</w:t>
      </w:r>
    </w:p>
    <w:p>
      <w:pPr>
        <w:spacing w:after="0" w:line="139" w:lineRule="exact"/>
        <w:rPr>
          <w:sz w:val="20"/>
          <w:szCs w:val="20"/>
          <w:color w:val="auto"/>
        </w:rPr>
      </w:pPr>
    </w:p>
    <w:p>
      <w:pPr>
        <w:ind w:left="420" w:hanging="88"/>
        <w:spacing w:after="0"/>
        <w:tabs>
          <w:tab w:leader="none" w:pos="420" w:val="left"/>
        </w:tabs>
        <w:numPr>
          <w:ilvl w:val="0"/>
          <w:numId w:val="1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Net sales and gross profit were negatively impacted by approximately $42.2 million for the year ended December 31, 2018 as a result of the adoption of ASC 606.</w:t>
      </w:r>
    </w:p>
    <w:p>
      <w:pPr>
        <w:spacing w:after="0" w:line="206" w:lineRule="exact"/>
        <w:rPr>
          <w:sz w:val="20"/>
          <w:szCs w:val="20"/>
          <w:color w:val="auto"/>
        </w:rPr>
      </w:pPr>
    </w:p>
    <w:p>
      <w:pPr>
        <w:ind w:left="340" w:hanging="8"/>
        <w:spacing w:after="0" w:line="227" w:lineRule="auto"/>
        <w:tabs>
          <w:tab w:leader="none" w:pos="421" w:val="left"/>
        </w:tabs>
        <w:numPr>
          <w:ilvl w:val="0"/>
          <w:numId w:val="1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Includes $26.6 million, $35.4 million, $79.8 million, $224.0 million and ($0.2) million for the years ended December 31, 2018, 2017, 2016, 2015 and 2014, respectively, related to expenditures attributable to the costs associated with terminating existing distributors.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1300"/>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6"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overview provides our perspective on the individual sections of MD&amp;A. MD&amp;A includes the following sections:</w:t>
      </w:r>
    </w:p>
    <w:p>
      <w:pPr>
        <w:spacing w:after="0" w:line="212" w:lineRule="exact"/>
        <w:rPr>
          <w:sz w:val="20"/>
          <w:szCs w:val="20"/>
          <w:color w:val="auto"/>
        </w:rPr>
      </w:pPr>
    </w:p>
    <w:p>
      <w:pPr>
        <w:ind w:left="980" w:right="40" w:hanging="324"/>
        <w:spacing w:after="0" w:line="253" w:lineRule="auto"/>
        <w:tabs>
          <w:tab w:leader="none" w:pos="1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Our Business </w:t>
      </w:r>
      <w:r>
        <w:rPr>
          <w:rFonts w:ascii="Times New Roman" w:cs="Times New Roman" w:eastAsia="Times New Roman" w:hAnsi="Times New Roman"/>
          <w:sz w:val="20"/>
          <w:szCs w:val="20"/>
          <w:color w:val="auto"/>
        </w:rPr>
        <w:t>– a general description of our business, the value drivers of our business, and opportunities and risks facing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stock repurchases, acquisitions and divestitures;</w:t>
      </w:r>
    </w:p>
    <w:p>
      <w:pPr>
        <w:ind w:left="980" w:right="40" w:hanging="324"/>
        <w:spacing w:after="0" w:line="239" w:lineRule="auto"/>
        <w:tabs>
          <w:tab w:leader="none" w:pos="13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 an analysis of our consolidated results of operations for the three years presented in our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w:t>
      </w:r>
    </w:p>
    <w:p>
      <w:pPr>
        <w:spacing w:after="0" w:line="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 details of our sales measured on a quarterly basis in both dollars and cases;</w:t>
      </w: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 information about the impact that inflation may or may not have on our results;</w:t>
      </w: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Liquidity and Capital Resources </w:t>
      </w:r>
      <w:r>
        <w:rPr>
          <w:rFonts w:ascii="Times New Roman" w:cs="Times New Roman" w:eastAsia="Times New Roman" w:hAnsi="Times New Roman"/>
          <w:sz w:val="20"/>
          <w:szCs w:val="20"/>
          <w:color w:val="auto"/>
        </w:rPr>
        <w:t>– an analysis of our cash flows, sources and uses of cash and contractual obligations;</w:t>
      </w:r>
    </w:p>
    <w:p>
      <w:pPr>
        <w:ind w:left="980" w:right="60" w:hanging="324"/>
        <w:spacing w:after="0" w:line="239"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Accounting Policies and Pronouncements </w:t>
      </w:r>
      <w:r>
        <w:rPr>
          <w:rFonts w:ascii="Times New Roman" w:cs="Times New Roman" w:eastAsia="Times New Roman" w:hAnsi="Times New Roman"/>
          <w:sz w:val="20"/>
          <w:szCs w:val="20"/>
          <w:color w:val="auto"/>
        </w:rPr>
        <w:t>– a discussion of accounting policies that require critical judgments and estimates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newly issued accounting pronouncements;</w:t>
      </w:r>
    </w:p>
    <w:p>
      <w:pPr>
        <w:spacing w:after="0" w:line="1" w:lineRule="exact"/>
        <w:rPr>
          <w:rFonts w:ascii="Times New Roman" w:cs="Times New Roman" w:eastAsia="Times New Roman" w:hAnsi="Times New Roman"/>
          <w:sz w:val="18"/>
          <w:szCs w:val="18"/>
          <w:color w:val="auto"/>
        </w:rPr>
      </w:pPr>
    </w:p>
    <w:p>
      <w:pPr>
        <w:jc w:val="both"/>
        <w:ind w:left="980" w:right="40" w:hanging="324"/>
        <w:spacing w:after="0" w:line="239" w:lineRule="auto"/>
        <w:tabs>
          <w:tab w:leader="none" w:pos="1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 cautionary information about forward-looking statements and a description of certain risks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uncertainties that could cause our actual results to differ materially from the Company’s historical results or our current expectations or projections; and</w:t>
      </w:r>
    </w:p>
    <w:p>
      <w:pPr>
        <w:spacing w:after="0" w:line="1" w:lineRule="exact"/>
        <w:rPr>
          <w:rFonts w:ascii="Times New Roman" w:cs="Times New Roman" w:eastAsia="Times New Roman" w:hAnsi="Times New Roman"/>
          <w:sz w:val="18"/>
          <w:szCs w:val="18"/>
          <w:color w:val="auto"/>
        </w:rPr>
      </w:pPr>
    </w:p>
    <w:p>
      <w:pPr>
        <w:ind w:left="980" w:right="60" w:hanging="324"/>
        <w:spacing w:after="0" w:line="246" w:lineRule="auto"/>
        <w:tabs>
          <w:tab w:leader="none" w:pos="10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Market Risks </w:t>
      </w:r>
      <w:r>
        <w:rPr>
          <w:rFonts w:ascii="Times New Roman" w:cs="Times New Roman" w:eastAsia="Times New Roman" w:hAnsi="Times New Roman"/>
          <w:sz w:val="20"/>
          <w:szCs w:val="20"/>
          <w:color w:val="auto"/>
        </w:rPr>
        <w:t>– information about market risks and risk management. (See “Forward-Looking Statements” and “Part II, Item 7A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Qualitative and Quantitative Disclosures About Market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MAXX®</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 Energy®</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Espresso Monster®</w:t>
            </w:r>
          </w:p>
        </w:tc>
        <w:tc>
          <w:tcPr>
            <w:tcW w:w="7500" w:type="dxa"/>
            <w:vAlign w:val="bottom"/>
            <w:gridSpan w:val="2"/>
          </w:tcPr>
          <w:p>
            <w:pPr>
              <w:ind w:left="3000"/>
              <w:spacing w:after="0"/>
              <w:rPr>
                <w:sz w:val="20"/>
                <w:szCs w:val="20"/>
                <w:color w:val="auto"/>
              </w:rPr>
            </w:pPr>
            <w:r>
              <w:rPr>
                <w:rFonts w:ascii="Times New Roman" w:cs="Times New Roman" w:eastAsia="Times New Roman" w:hAnsi="Times New Roman"/>
                <w:sz w:val="20"/>
                <w:szCs w:val="20"/>
                <w:color w:val="auto"/>
              </w:rPr>
              <w:t>·   Play® and Power Play(stylized)®</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Hydro®</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Caffé Monster®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58"/>
        </w:trPr>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Live+</w:t>
            </w:r>
          </w:p>
        </w:tc>
        <w:tc>
          <w:tcPr>
            <w:tcW w:w="3160" w:type="dxa"/>
            <w:vAlign w:val="bottom"/>
          </w:tcPr>
          <w:p>
            <w:pPr>
              <w:ind w:left="300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Mutant®</w:t>
            </w:r>
          </w:p>
        </w:tc>
      </w:tr>
      <w:tr>
        <w:trPr>
          <w:trHeight w:val="407"/>
        </w:trPr>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6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37</w:t>
            </w:r>
          </w:p>
        </w:tc>
        <w:tc>
          <w:tcPr>
            <w:tcW w:w="4340" w:type="dxa"/>
            <w:vAlign w:val="bottom"/>
          </w:tcPr>
          <w:p>
            <w:pPr>
              <w:spacing w:after="0"/>
              <w:rPr>
                <w:sz w:val="24"/>
                <w:szCs w:val="24"/>
                <w:color w:val="auto"/>
              </w:rPr>
            </w:pPr>
          </w:p>
        </w:tc>
      </w:tr>
      <w:tr>
        <w:trPr>
          <w:trHeight w:val="138"/>
        </w:trPr>
        <w:tc>
          <w:tcPr>
            <w:tcW w:w="30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net sales of $3.81 billion for the year ended December 31, 2018 represented record annual net sales. Net sales of our Monster Energy® brand energy drinks were $3.49 billion for the year ended December 31, 2018. Net sales of our Strategic Brands were $285.8 million for the year ended December 31, 2018.</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for the year ended December 31, 2018 were negatively impacted by approximately $42.2 million as a result of the adoption of Accounting Standards Codification (“ASC”) 606. Under ASC 606, commissions paid to TCCC, based on sales to certain of the Company’s TCCC bottlers/distributors that TCCC consolidates, or to the TCCC Related Parties, are included as a reduction to net sales. Prior to January 1, 2018, commissions based on sales to the TCCC Related Parties, were included in operating expenses.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changes in foreign currency exchange rates had a favorable impact on net sales in the Monster Energy® Drinks segment of approximately $14.6 million for the year ended December 31, 2018. Net changes in foreign currency exchange rates had a favorable impact on net sales in the Strategic Brands segment of approximately $0.2 million for the year ended December 31, 2018.</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growth strategy includes expanding our international business. Gross sales to customers outside the United States amounted to $1.36 billion, $1.09 billion and $888.7 million for the years ended December 31, 2018, 2017 and 2016, respectively. Such sales were approximately 31%, 28% and 25% of gross sales for the years ended December 31, 2018, 2017 and 2016, respectively.</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customers are primarily full service beverage bottlers/distributors, retail grocery and specialty chains, wholesalers, club stores, mass merchandisers, convenience chains, foodservice customers and the military. Percentages of our gross sales to our various customer types for the years ended December 31, 2018, 2017 and 2016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full service bottlers/distributors</w:t>
            </w:r>
          </w:p>
        </w:tc>
        <w:tc>
          <w:tcPr>
            <w:tcW w:w="15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2018</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2017</w:t>
            </w:r>
          </w:p>
        </w:tc>
        <w:tc>
          <w:tcPr>
            <w:tcW w:w="150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20"/>
                <w:szCs w:val="20"/>
                <w:color w:val="auto"/>
                <w:w w:val="99"/>
              </w:rPr>
              <w:t>2016</w:t>
            </w:r>
          </w:p>
        </w:tc>
        <w:tc>
          <w:tcPr>
            <w:tcW w:w="0" w:type="dxa"/>
            <w:vAlign w:val="bottom"/>
          </w:tcPr>
          <w:p>
            <w:pPr>
              <w:spacing w:after="0"/>
              <w:rPr>
                <w:sz w:val="1"/>
                <w:szCs w:val="1"/>
                <w:color w:val="auto"/>
              </w:rPr>
            </w:pPr>
          </w:p>
        </w:tc>
      </w:tr>
      <w:tr>
        <w:trPr>
          <w:trHeight w:val="200"/>
        </w:trPr>
        <w:tc>
          <w:tcPr>
            <w:tcW w:w="6760" w:type="dxa"/>
            <w:vAlign w:val="bottom"/>
            <w:vMerge w:val="continue"/>
          </w:tcPr>
          <w:p>
            <w:pPr>
              <w:spacing w:after="0"/>
              <w:rPr>
                <w:sz w:val="17"/>
                <w:szCs w:val="17"/>
                <w:color w:val="auto"/>
              </w:rPr>
            </w:pPr>
          </w:p>
        </w:tc>
        <w:tc>
          <w:tcPr>
            <w:tcW w:w="1500" w:type="dxa"/>
            <w:vAlign w:val="bottom"/>
          </w:tcPr>
          <w:p>
            <w:pPr>
              <w:jc w:val="center"/>
              <w:ind w:right="41"/>
              <w:spacing w:after="0" w:line="200" w:lineRule="exact"/>
              <w:rPr>
                <w:sz w:val="20"/>
                <w:szCs w:val="20"/>
                <w:color w:val="auto"/>
              </w:rPr>
            </w:pPr>
            <w:r>
              <w:rPr>
                <w:rFonts w:ascii="Times New Roman" w:cs="Times New Roman" w:eastAsia="Times New Roman" w:hAnsi="Times New Roman"/>
                <w:sz w:val="20"/>
                <w:szCs w:val="20"/>
                <w:color w:val="auto"/>
                <w:w w:val="98"/>
              </w:rPr>
              <w:t>61%</w:t>
            </w:r>
          </w:p>
        </w:tc>
        <w:tc>
          <w:tcPr>
            <w:tcW w:w="16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63%</w:t>
            </w:r>
          </w:p>
        </w:tc>
        <w:tc>
          <w:tcPr>
            <w:tcW w:w="1500" w:type="dxa"/>
            <w:vAlign w:val="bottom"/>
          </w:tcPr>
          <w:p>
            <w:pPr>
              <w:jc w:val="center"/>
              <w:ind w:left="41"/>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full service bottlers/distributors</w:t>
            </w:r>
          </w:p>
        </w:tc>
        <w:tc>
          <w:tcPr>
            <w:tcW w:w="150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31%</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28%</w:t>
            </w:r>
          </w:p>
        </w:tc>
        <w:tc>
          <w:tcPr>
            <w:tcW w:w="15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8"/>
              </w:rPr>
              <w:t>25%</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Club stores and mass merchandisers</w:t>
            </w:r>
          </w:p>
        </w:tc>
        <w:tc>
          <w:tcPr>
            <w:tcW w:w="15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6%</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15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15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5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5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5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include Coca-Cola Refreshments USA, Inc., Coca-Cola Refreshments Canada Company (Coca-Cola Canada Bottling Limited from September 28, 2018), Coca-Cola Bottling Company, CCBCC Operations, LLC, United Bottling Contracts Company, LLC, Reyes Coca-Cola Bottling, Great Lakes Coca-Cola Bottling, Coca-Cola Southwest Beverages LLC, Coca-Cola of Northern New England, Swire Coca-Cola, USA, Liberty Coca-Cola Beverages, Coca-Cola European Partners, Coca-Cola Hellenic, Coca-Cola FEMSA, Coca-Cola Amatil, Swire Coca-Cola (China), COFCO Coca-Cola, Coca-Cola Beverages Africa, Coca-Cola İçecek and certain other TCCC network bottlers, Asahi Soft Drinks, Co., Ltd., Kalil Bottling Group, Wal-Mart, Inc. (including Sam’s Club), Costco Wholesale Corporation and Big Geyser, Inc. A decision by any large customer to decrease amounts purchased from us or to cease carrying our products could have a material negative effect on our financial condition and consolidated results of operations.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TCCC, through certain consolidated subsidiaries (the “TCCC Subsidiaries”), accounted for approximately 3%, 18% and 41% of our net sales for the years ended December 31, 2018, 2017 and 2016, respectively. As part of TCCC’s North America Refranchising initiative (the “North America Refranchising”), the territories of certain TCCC Subsidiaries have been transitioned to certain independent TCCC bottlers/distributors and/or TCCC Related Parties. Accordingly, our percentage of net sales to the TCCC Subsidiaries significantly decreased for the year ended December 31, 2018.</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13% and 9% of our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6% and 2%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10%, 9% and 9% of the Company’s net sales for the years ended December 31, 2018, 2017 and 2016,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continue to incur expenditures in connection with the development and introduction of new products and flavors.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Value Drivers of our Business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key value drivers of our business include the following:</w:t>
      </w:r>
    </w:p>
    <w:p>
      <w:pPr>
        <w:spacing w:after="0" w:line="212" w:lineRule="exact"/>
        <w:rPr>
          <w:sz w:val="20"/>
          <w:szCs w:val="20"/>
          <w:color w:val="auto"/>
        </w:rPr>
      </w:pPr>
    </w:p>
    <w:p>
      <w:pPr>
        <w:jc w:val="both"/>
        <w:ind w:left="980" w:hanging="324"/>
        <w:spacing w:after="0" w:line="256"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International Growth </w:t>
      </w:r>
      <w:r>
        <w:rPr>
          <w:rFonts w:ascii="Times New Roman" w:cs="Times New Roman" w:eastAsia="Times New Roman" w:hAnsi="Times New Roman"/>
          <w:sz w:val="20"/>
          <w:szCs w:val="20"/>
          <w:color w:val="auto"/>
        </w:rPr>
        <w:t>– The introduction, development and sustained profitability of our Monster Energy® brand internationally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remains a key value driver for our corporate growth. One or more of our products are distributed in approximately 155 countries and territories worldwide.</w:t>
      </w:r>
    </w:p>
    <w:p>
      <w:pPr>
        <w:spacing w:after="0" w:line="168" w:lineRule="exact"/>
        <w:rPr>
          <w:rFonts w:ascii="Times New Roman" w:cs="Times New Roman" w:eastAsia="Times New Roman" w:hAnsi="Times New Roman"/>
          <w:sz w:val="18"/>
          <w:szCs w:val="18"/>
          <w:color w:val="auto"/>
        </w:rPr>
      </w:pPr>
    </w:p>
    <w:p>
      <w:pPr>
        <w:jc w:val="both"/>
        <w:ind w:left="980" w:hanging="324"/>
        <w:spacing w:after="0" w:line="248" w:lineRule="auto"/>
        <w:tabs>
          <w:tab w:leader="none" w:pos="10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Profitable Growth </w:t>
      </w:r>
      <w:r>
        <w:rPr>
          <w:rFonts w:ascii="Times New Roman" w:cs="Times New Roman" w:eastAsia="Times New Roman" w:hAnsi="Times New Roman"/>
          <w:sz w:val="20"/>
          <w:szCs w:val="20"/>
          <w:color w:val="auto"/>
        </w:rPr>
        <w:t>– We believe “functional” value-added brands supported by marketing and innovation and targeted to a diverse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consumer base, drive profitable growth. We continue to broaden our family of products to provide more alternatives to consumers. We are focused on increasing the profit margins for both our Monster Energy® Drinks segment and our Strategic Brands segment, and believe that tailored branding, packaging, pricing and distribution channel strategies help achieve profitable growth. We are implementing these strategies with a view to continuing profitable growth.</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107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 xml:space="preserve">Cost Management </w:t>
      </w:r>
      <w:r>
        <w:rPr>
          <w:rFonts w:ascii="Times New Roman" w:cs="Times New Roman" w:eastAsia="Times New Roman" w:hAnsi="Times New Roman"/>
          <w:sz w:val="19"/>
          <w:szCs w:val="19"/>
          <w:color w:val="auto"/>
        </w:rPr>
        <w:t>– The principal focus of cost management will continue to be on reducing input procurement and production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58" w:lineRule="exact"/>
        <w:rPr>
          <w:rFonts w:ascii="Times New Roman" w:cs="Times New Roman" w:eastAsia="Times New Roman" w:hAnsi="Times New Roman"/>
          <w:sz w:val="17"/>
          <w:szCs w:val="17"/>
          <w:color w:val="auto"/>
        </w:rPr>
      </w:pPr>
    </w:p>
    <w:p>
      <w:pPr>
        <w:jc w:val="both"/>
        <w:ind w:left="980" w:hanging="324"/>
        <w:spacing w:after="0" w:line="250" w:lineRule="auto"/>
        <w:tabs>
          <w:tab w:leader="none" w:pos="10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Efficient Capital Structure </w:t>
      </w:r>
      <w:r>
        <w:rPr>
          <w:rFonts w:ascii="Times New Roman" w:cs="Times New Roman" w:eastAsia="Times New Roman" w:hAnsi="Times New Roman"/>
          <w:sz w:val="20"/>
          <w:szCs w:val="20"/>
          <w:color w:val="auto"/>
        </w:rPr>
        <w:t>– Our capital structure is designed to optimize our working capital in order to finance expansion, both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domestically and internationally. We believe that with our strong capital position, our ability to raise funds, if necessary, at a relatively low effective cost of borrowings, provides a competitive advantage. The reduction of accounts receivable and inventory days on hand will remain an area of focus.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that, subject to increases in the costs of certain raw materials being contained, these value drivers, when implemented and/or achieved in the United States and internationally, will result in: (1) improving or maintaining our product gross profit margins;</w:t>
      </w:r>
    </w:p>
    <w:p>
      <w:pPr>
        <w:ind w:firstLine="8"/>
        <w:spacing w:after="0" w:line="246" w:lineRule="auto"/>
        <w:tabs>
          <w:tab w:leader="none" w:pos="28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additional leverage over time through reduced expenses as a percentage of net operating revenues; and (3) enhancing our cost of capital. The ultimate measure of success is and will be reflected in our current and future results of operations.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and net sales, gross profit, operating income, net income and net income per share represent key measurements of the above value drivers. These measurements will continue to be a key management focus in 2019 and beyond (See “Part II, Item 7 – Results of Operations – Results of Operations for the Year Ended December 31, 2018, Compared to the Year Ended December 31, 2017”).</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As of December 31, 2018, the Company had working capital of $1.20 billion compared to $1.53 billion as of December 31, 2017. The decrease in working capital was primarily the result of the $1.34 billion of repurchases of our common stock during the year ended December 31, 2018. For the year ended December 31, 2018, our net cash provided by operating activities was approximately $1.16 billion as compared to $987.7 million for the year ended December 31, 2017. Principal uses of cash flows in 2018, were purchases of investments, repurchase of our common stock, development of our Monster Energy® brand internationally and acquisitions of property and equipment. These principal uses of cash flows are expected to be and remain our principal recurring use of cash and working capital funds in the future (See “Part II, Item 7 – Liquidity and Capital Resources”).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Opportunities, Challenges and Risks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Looking forward, our management has identified certain challenges and risks for the beverage industry and the Company, including our significant commercial relationship with TCCC and TCCC’s status as a significant shareholder of the Company, in each case as described above under “Part I, Item 1A –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addition, legislation has been proposed and/or adopted at the U.S., state, county and/or municipal level and proposed and/or adopted in certain foreign jurisdictions to restrict the sale of energy drinks (including prohibiting the sale of energy drinks at certain establishments or pursuant to certain governmental programs), limit caffeine content,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lines. We continuously strive to meet changing consumer needs through beverage innovation, choice and variety. (See “Part I, Item 1A – Risk Factors”).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other key challenges and risks that could impact our Company’s future financial results include, but are not limited to:</w:t>
      </w:r>
    </w:p>
    <w:p>
      <w:pPr>
        <w:spacing w:after="0" w:line="216" w:lineRule="exact"/>
        <w:rPr>
          <w:sz w:val="20"/>
          <w:szCs w:val="20"/>
          <w:color w:val="auto"/>
        </w:rPr>
      </w:pP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the realization of benefits from our relationship with TCCC;</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relationship risks associated with the arbitration with TCCC;</w:t>
      </w:r>
    </w:p>
    <w:p>
      <w:pPr>
        <w:ind w:left="880" w:hanging="224"/>
        <w:spacing w:after="0"/>
        <w:tabs>
          <w:tab w:leader="none" w:pos="8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our arbitration proceedings with TCCC, including TCCC developing and distributing additional energy products;</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preferences and demand for our products;</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uncertainty in the United States, Europe and other countries in which we operate;</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foreign currency exchange rate fluctuations;</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our brand image, product quality and corporate reputation;</w:t>
      </w:r>
    </w:p>
    <w:p>
      <w:pPr>
        <w:ind w:left="980" w:hanging="324"/>
        <w:spacing w:after="0" w:line="239" w:lineRule="auto"/>
        <w:tabs>
          <w:tab w:leader="none" w:pos="121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concern over various environmental, human rights and health matters, including obesity, caffeine consumption and energy drinks generally, and changes in regulation and consumer preferences in response to those concerns;</w:t>
      </w:r>
    </w:p>
    <w:p>
      <w:pPr>
        <w:spacing w:after="0" w:line="1" w:lineRule="exact"/>
        <w:rPr>
          <w:rFonts w:ascii="Times New Roman" w:cs="Times New Roman" w:eastAsia="Times New Roman" w:hAnsi="Times New Roman"/>
          <w:sz w:val="20"/>
          <w:szCs w:val="20"/>
          <w:color w:val="auto"/>
        </w:rPr>
      </w:pPr>
    </w:p>
    <w:p>
      <w:pPr>
        <w:ind w:left="980" w:hanging="324"/>
        <w:spacing w:after="0" w:line="239" w:lineRule="auto"/>
        <w:tabs>
          <w:tab w:leader="none" w:pos="131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establishing and promoting our brands internationally;</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costs of raw materials used by us;</w:t>
      </w:r>
    </w:p>
    <w:p>
      <w:pPr>
        <w:jc w:val="both"/>
        <w:ind w:left="980" w:hanging="324"/>
        <w:spacing w:after="0" w:line="239" w:lineRule="auto"/>
        <w:tabs>
          <w:tab w:leader="none" w:pos="113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imports and sources of supply, duties or tariffs, changes in related government regulations and disruptions in the timely import or export of our products and/or ingredients due to port strikes, related labor issues or other importation impediments;</w:t>
      </w:r>
    </w:p>
    <w:p>
      <w:pPr>
        <w:spacing w:after="0" w:line="1" w:lineRule="exact"/>
        <w:rPr>
          <w:rFonts w:ascii="Times New Roman" w:cs="Times New Roman" w:eastAsia="Times New Roman" w:hAnsi="Times New Roman"/>
          <w:sz w:val="20"/>
          <w:szCs w:val="20"/>
          <w:color w:val="auto"/>
        </w:rPr>
      </w:pPr>
    </w:p>
    <w:p>
      <w:pPr>
        <w:ind w:left="980" w:hanging="324"/>
        <w:spacing w:after="0" w:line="239" w:lineRule="auto"/>
        <w:tabs>
          <w:tab w:leader="none" w:pos="108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available quantities of certain package containers such as the aluminum 24-ounce Cap Can;</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co-packing availability, particularly for retort production;</w:t>
      </w:r>
    </w:p>
    <w:p>
      <w:pPr>
        <w:ind w:left="940" w:hanging="284"/>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Brexit on our business in Europe and the United Kingdom; and</w:t>
      </w:r>
    </w:p>
    <w:p>
      <w:pPr>
        <w:jc w:val="both"/>
        <w:ind w:left="980" w:hanging="324"/>
        <w:spacing w:after="0" w:line="242" w:lineRule="auto"/>
        <w:tabs>
          <w:tab w:leader="none" w:pos="123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See “Part I, Item 1A – Risk Factors” for additional information about risks and uncertainties facing our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following opportunities exist for us:</w:t>
      </w:r>
    </w:p>
    <w:p>
      <w:pPr>
        <w:spacing w:after="0" w:line="216" w:lineRule="exact"/>
        <w:rPr>
          <w:sz w:val="20"/>
          <w:szCs w:val="20"/>
          <w:color w:val="auto"/>
        </w:rPr>
      </w:pP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growth potential of our products;</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energy drink category, both domestically and internationally;</w:t>
      </w:r>
    </w:p>
    <w:p>
      <w:pPr>
        <w:ind w:left="980" w:right="20" w:hanging="324"/>
        <w:spacing w:after="0" w:line="239" w:lineRule="auto"/>
        <w:tabs>
          <w:tab w:leader="none" w:pos="104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future new product and product line introductions with the objective of increasing sales and/or contributing to higher profitability;</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new package formats designed to generate strong revenue growth;</w:t>
      </w: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package, pricing and channel opportunities to increase profitable growth;</w:t>
      </w: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strategic positioning to capitalize on industry growth;</w:t>
      </w:r>
    </w:p>
    <w:p>
      <w:pPr>
        <w:ind w:left="940" w:hanging="284"/>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broadening distribution/expansion opportunities in both domestic and international markets;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940" w:hanging="284"/>
        <w:spacing w:after="0"/>
        <w:tabs>
          <w:tab w:leader="none" w:pos="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and/or relaunching our products and new products into new domestic and international markets and channels; and</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focus on reducing our cost base.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years ended December 31, 2018, 2017 and 2016,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 vs. 17</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 vs. 16</w:t>
            </w:r>
          </w:p>
        </w:tc>
        <w:tc>
          <w:tcPr>
            <w:tcW w:w="0" w:type="dxa"/>
            <w:vAlign w:val="bottom"/>
          </w:tcPr>
          <w:p>
            <w:pPr>
              <w:spacing w:after="0"/>
              <w:rPr>
                <w:sz w:val="1"/>
                <w:szCs w:val="1"/>
                <w:color w:val="auto"/>
              </w:rPr>
            </w:pPr>
          </w:p>
        </w:tc>
      </w:tr>
      <w:tr>
        <w:trPr>
          <w:trHeight w:val="27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3,807,183</w:t>
            </w:r>
          </w:p>
        </w:tc>
        <w:tc>
          <w:tcPr>
            <w:tcW w:w="160" w:type="dxa"/>
            <w:vAlign w:val="bottom"/>
          </w:tcPr>
          <w:p>
            <w:pPr>
              <w:spacing w:after="0"/>
              <w:rPr>
                <w:sz w:val="23"/>
                <w:szCs w:val="23"/>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3,369,045</w:t>
            </w:r>
          </w:p>
        </w:tc>
        <w:tc>
          <w:tcPr>
            <w:tcW w:w="160" w:type="dxa"/>
            <w:vAlign w:val="bottom"/>
          </w:tcPr>
          <w:p>
            <w:pPr>
              <w:spacing w:after="0"/>
              <w:rPr>
                <w:sz w:val="23"/>
                <w:szCs w:val="23"/>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3,049,393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1,511,808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1,231,355</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1,107,393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2,295,375</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2,137,690</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1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3,4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1,011,756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938,903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856,662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1,283,619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1,198,787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1,085,338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58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r>
              <w:rPr>
                <w:rFonts w:ascii="Times New Roman" w:cs="Times New Roman" w:eastAsia="Times New Roman" w:hAnsi="Times New Roman"/>
                <w:sz w:val="23"/>
                <w:szCs w:val="23"/>
                <w:color w:val="auto"/>
                <w:vertAlign w:val="superscript"/>
              </w:rPr>
              <w:t>1,3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1,293,272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1,201,623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1,079,685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43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300,268</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380,945</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993,004</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820,678</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712,685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as a percentage of net sales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22"/>
                <w:szCs w:val="22"/>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2"/>
                <w:szCs w:val="22"/>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7"/>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22"/>
                <w:szCs w:val="22"/>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22"/>
                <w:szCs w:val="22"/>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51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Case sales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192-ounce case equivalents)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410,886</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359,957</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00" w:hanging="92"/>
        <w:spacing w:after="0"/>
        <w:tabs>
          <w:tab w:leader="none" w:pos="1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i w:val="1"/>
          <w:iCs w:val="1"/>
          <w:color w:val="auto"/>
        </w:rPr>
        <w:t>Includes $44.3 million, $43.4 million and $40.3 million for the years ended December 31, 2018, 2017 and 2016, respectively, related to the recognition of deferred revenue.</w:t>
      </w:r>
    </w:p>
    <w:p>
      <w:pPr>
        <w:spacing w:after="0" w:line="183" w:lineRule="exact"/>
        <w:rPr>
          <w:sz w:val="20"/>
          <w:szCs w:val="20"/>
          <w:color w:val="auto"/>
        </w:rPr>
      </w:pPr>
    </w:p>
    <w:p>
      <w:pPr>
        <w:ind w:left="80" w:hanging="72"/>
        <w:spacing w:after="0"/>
        <w:tabs>
          <w:tab w:leader="none" w:pos="80" w:val="left"/>
        </w:tabs>
        <w:numPr>
          <w:ilvl w:val="0"/>
          <w:numId w:val="21"/>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Net sales were negatively impacted by approximately $42.2 million for the year ended December 31, 2018 as a result of the adoption of ASC 606.</w:t>
      </w:r>
    </w:p>
    <w:p>
      <w:pPr>
        <w:spacing w:after="0" w:line="206" w:lineRule="exact"/>
        <w:rPr>
          <w:sz w:val="20"/>
          <w:szCs w:val="20"/>
          <w:color w:val="auto"/>
        </w:rPr>
      </w:pPr>
    </w:p>
    <w:p>
      <w:pPr>
        <w:jc w:val="center"/>
        <w:ind w:left="5640" w:right="620" w:hanging="5632"/>
        <w:spacing w:after="0" w:line="493" w:lineRule="auto"/>
        <w:tabs>
          <w:tab w:leader="none" w:pos="96" w:val="left"/>
        </w:tabs>
        <w:numPr>
          <w:ilvl w:val="0"/>
          <w:numId w:val="2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 xml:space="preserve">Includes $26.6 million, $35.4 million and $79.8 million for the years ended December 31, 2018, 2017 and 2016, respectively, related to distributor termination costs. </w:t>
      </w: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ind w:firstLine="8"/>
        <w:spacing w:after="0" w:line="241" w:lineRule="auto"/>
        <w:tabs>
          <w:tab w:leader="none" w:pos="81"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Without the adoption of ASC 606, an additional $42.2 million of commissions would have been included in operating expenses for the year ended December 31, 2018 (such commissions are included as a reduction to net sales).</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2018 Compared to the Year Ended December 31, 2017.</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$3.81 billion for the year ended December 31, 2018, an increase of approximately $438.1 million, or 13.0%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than net sales of $3.37 billion for the year ended December 31, 2017. Net sales for the year ended December 31, 2018 were negatively impacted by approximately $42.2 million as a result of the adoption of ASC 606. Net changes in foreign currency exchange rates had a favorable impact on net sales of approximately $14.8 million for the year ended December 31, 2018.</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Monster Energy® Drinks segment were $3.50 billion for the year ended December 31, 2018, an increase of approximately $450.8 million, or 14.8% higher than net sales of $3.05 billion for the year ended December 31, 2017. Net sales for the Monster Energy® Drinks segment for the year ended December 31, 2018 were negatively impacted by approximately $17.4 million as a result of the adoption of ASC 606. Net changes in foreign currency exchange rates had a favorable impact on net sales for the Monster Energy® Drinks segment of approximately $14.6 million for the year ended December 31, 2018. Net sales for the Monster Energy® Drinks segment increased primarily due to increased sales by volume of our Monster Energy® brand energy drinks as a result of increased domestic and international consumer demand.</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Net sales for the Strategic Brands segment were $285.8 million for the year ended December 31, 2018, a decrease of approximately $14.0 million, or 4.7% lower than net sales of $299.8 million for the year ended December 31, 2017. Net sales for the Strategic Brands segment for the year ended December 31, 2018 were negatively impacted by approximately $24.9 million as a result of the adoption of ASC 606. Net changes in foreign currency exchange rates had a favorable impact on net sales for the Strategic Brands segment of approximately $0.2 million for the year ended December 31, 2018.</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Other segment were $22.9 million for the year ended December 31, 2018, an increase of approximately $1.3 million, or 6.1% higher than net sales of $21.6 million for the year ended December 31, 2017.</w:t>
      </w:r>
    </w:p>
    <w:p>
      <w:pPr>
        <w:spacing w:after="0" w:line="16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Case sales, in 192-ounce case equivalents, were 410.9 million cases for the year ended December 31, 2018, an increase of approximately 50.9 million cases or 14.1% higher than case sales of 360.0 million cases for the year ended December 31, 2017. The overall average net sales per case (excluding net sales of AFF Third-Party Products of $22.9 million and $21.6 million for the years ended December 31, 2018 and 2017, respectively, as these sales do not have unit case equivalents) decreased to $9.21 for the year ended December 31, 2018, which was 1.0% lower than the average net sales per case of $9.30 for the year ended December 31, 2017, due to the adoption of ASC 606. Without the adoption of ASC 606, the overall average net sales per case increased to $9.31 for the year ended December 31, 2018, as compared to average net sales per case of $9.30 for the year ended December 31, 2017.</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$2.30 billion for the year ended December 31, 2018, an increase of approximately $157.7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7.4% higher than the gross profit of $2.14 billion for the year ended December 31, 2017. The increase in gross profit dollars was primarily the result of the $455.1 million increase in net sales of our Monster Energy® brand energy drinks for the year ended December 31, 2018.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profit as a percentage of net sales decreased to 60.3% for the year ended December 31, 2018 from 63.5% for the year ended December 31, 2017. Gross profit as a percentage of net sales, excluding the impact of ASC 606, was 60.7% for the year ended December 31, 2018.</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decrease in gross profit as a percentage of net sales was primarily attributable to (i) increases in certain input costs, principally aluminum cans, freight in and other input costs; (ii) domestic product sales mix (iii) geographical sales mix, as a result of our international sales increasing as a percentage of total net sales (our foreign operations generally have lower gross profit margins); (iv) the $42.2 million of commissions accounted for as a reduction to net sales due to the adoption of ASC 606; and (v) increases in promotional allowances as a percentage of gross sales.</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$1.01 billion for the year ended December 31, 2018, an increase of approximately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$72.9 million, or 7.8% higher than total operating expenses of $938.9 million for the year ended December 31, 2017. The increase in operating expenses was primarily due to increased out-bound freight and warehouse costs of $38.5 million, increased payroll expenses of $28.6 million (of which $4.8 million was related to an increase in stock-based compensation), increased expenditures of $14.8 million for sponsorships and endorsements, and increased expenditures of $12.1 million for other marketing expenses. The increase in operating expenses was partially offset by the $8.8 million decrease in costs associated with distributor terminations. Commissions included in operating expenses were $16.7 million, or 65.1% lower than commissions included in operating expenses of $47.7 million for the year ended December 31, 2017. Without the adoption of ASC 606, an additional $42.2 million of commissions would have been included in operating expenses for the year ended December 31, 2018 (such commissions are included as a reduction to net sales).</w:t>
      </w:r>
    </w:p>
    <w:p>
      <w:pPr>
        <w:spacing w:after="0" w:line="18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$1.28 billion for the year ended December 31, 2018, an increase of approximately $84.8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7.1% higher than operating income of $1.20 billion for the year ended December 31, 2017. Operating income as a percentage of net sales decreased to 33.7% for the year ended December 31, 2018 from 35.6% for the year ended December 31, 2017. Operating income was $180.8 million and $139.3 million for the years ended December 31, 2018 and 2017, respectively, in connection with our operations in EMEA, Asia Pacific and South America.</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Operating income for the Monster Energy® Drinks segment was $1.37 billion for the year ended December 31, 2018, an increase of approximately $106.5 million, or 8.4% higher than operating income of $1.26 billion for the year ended December 31, 2017. The increase in operating income for the Monster Energy® Drinks segment was primarily the result of the $455.1 million increase in net sales of our Monster Energy® brand energy drinks for the year ended December 31, 2018.</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Operating income for the Strategic Brands segment was $176.5 million for the year ended December 31, 2018, an increase of approximately $2.1 million, or 1.2% higher than operating income of $174.5 million for the year ended December 31, 2017.</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Operating income for the Other segment was $5.4 million for the year ended December 31, 2018, a decrease of approximately $0.2 million, or 4.0% lower than operating income of $5.6 million for the year ended December 31, 2017.</w:t>
      </w:r>
    </w:p>
    <w:p>
      <w:pPr>
        <w:spacing w:after="0" w:line="1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Other non-operating income, net, was $9.7 million for the year ended December 31, 2018, as compared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other non-operating income, net, of $2.8 million for the year ended December 31, 2017. Foreign currency transaction (losses)/gains were ($4.0) million and ($3.3) million for the years ended December 31, 2018 and 2017, respectively. Interest income was $13.8 million and $6.8 million for the years ended December 31, 2018 and 2017,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$300.3 million for the year ended December 31, 2018, a decrease of $80.7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21.2% lower than the provision for income taxes of $380.9 million for the year ended December 31, 2017. The effective combined federal, state and foreign tax rate decreased to 23.2% from 31.7% for the years ended December 31, 2018 and 2017, respectively. The decrease in the effective tax rate was primarily due to the reduction in the U.S. federal statutory tax rate as a result of the Tax Reform Act signed into law on December 22, 2017 (before considering the potential impact of further clarification of certain matters related to the Tax Reform Act), and to a reduction in certain foreign income that is subject to U.S. taxation. The decrease in the provision for income taxes was partially offset by the elimination of the domestic production deduction following the Tax Reform Act as well as a decrease in the stock based compensation tax deduction.</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$993.0 million for the year ended December 31, 2018, an increase of $172.3 million, or 21.0%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net income of $820.7 million for the year ended December 31, 2017. The increase in net income was primarily due to the $157.7 million increase in gross profit and the $80.7 million decrease in the provision for income taxes. The increase in net income was partially offset by the increase in operating expenses of $72.9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2017 Compared to the Year Ended December 31, 2016.</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$3.37 billion for the year ended December 31, 2017, an increase of approximately $319.7 million, or 10.5%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than net sales of $3.05 billion for the year ended December 31, 2016. The increase in net sales of our Monster Energy® brand energy drinks represented approximately $287.4 million of the overall increase in net sales. Net sales of our Monster Energy® brand energy drinks increased partially due to increased sales by volume as a result of increased domestic and international consumer demand. Net sales of our Strategic Brands were $299.8 million for the year ended December 31, 2017, an increase of $27.3 million, or 10.0% higher than net sales of $272.5 million for the year ended December 31, 2016. Net sales of our AFF Third-Party Products were $21.6 million for the year ended December 31, 2017, an increase of $4.6 million, or 27.0% higher than net sales of $17.0 million (effectively from April 1, 2016 to December 31, 2016) for the year ended December 31, 2016. No other individual product line contributed either a material increase or decrease to net sales for the year ended December 31, 2017.</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net sales in the Monster Energy® Drinks segment of approximately $7.6 million for the year ended December 31, 2017. Net changes in foreign currency exchange rates had a favorable impact on net sales in the Strategic Brands segment of approximately $3.7 million for the year ended December 31, 2017.</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in 192-ounce case equivalents, were 360.0 million cases for the year ended December 31, 2017, an increase of approximately 39.0 million cases or 12.2% higher than case sales of 321.0 million cases for the year ended December 31, 2016. The overall average net sales per case (excluding net sales of AFF Third-Party Products of $21.6 million and $17.0 million for the years ended December 31, 2017 and 2016, respectively, as these sales do not have unit case equivalents) decreased to $9.30 for the year ended December 31, 2017, which was 1.6% lower than the average net sales per case of $9.45 for the year ended December 31, 2016. The lower average net sales price per case was primarily attributable to the changes in geographic sales mix.</w:t>
      </w:r>
    </w:p>
    <w:p>
      <w:pPr>
        <w:spacing w:after="0" w:line="18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Net sales for the Monster Energy® Drinks segment were $3.05 billion for the year ended December 31, 2017, an increase of approximately $287.7 million, or 10.4% higher than net sales of $2.76 billion for the year ended December 31, 2016.</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Strategic Brands segment were $299.8 million for the year ended December 31, 2017, an increase of approximately $27.3 million, or 10.0% higher than net sales of $272.5 million for the year ended December 31, 2016.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Other segment were $21.6 million for the year ended December 31, 2017, an increase of approximately $4.6 million, or 27.0% higher than net sales of $17.0 million (effectively from April 1, 2016 to December 31, 2016) for the year ended December 31, 2016.</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Gross Profit. </w:t>
      </w:r>
      <w:r>
        <w:rPr>
          <w:rFonts w:ascii="Times New Roman" w:cs="Times New Roman" w:eastAsia="Times New Roman" w:hAnsi="Times New Roman"/>
          <w:sz w:val="19"/>
          <w:szCs w:val="19"/>
          <w:color w:val="auto"/>
        </w:rPr>
        <w:t>Gross profit was $2.14 billion for the year ended December 31, 2017, an increase of approximately $195.7 million,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10.1% higher than the gross profit of $1.94 billion for the year ended December 31, 2016. Gross profit as a percentage of net sales decreased to</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63.5% for the year ended December 31, 2017 from 63.7% for the year ended December 31, 2016. The increase in gross profit dollars was primarily the result of the $287.4 million increase in net sales of our Monster Energy® brand energy drinks as well as an approximately $58.3 million increase in raw material cost savings for the year ended December 31, 2017 from our acquisition of AFF in 2016 (the “AFF Transaction”). The decrease in gross profit as a percentage of net sales was primarily attributable to geographical sales mix (our foreign operations generally have lower gross profit margins) and to certain increases in other costs, which were partially offset by raw material cost savings from the AFF Transaction and changes in domestic product sales mix.</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$938.9 million for the year ended December 31, 2017,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$82.2 million, or 9.6% higher than total operating expenses of $856.7 million for the year ended December 31, 2016. The increase in operating expenses was primarily due to increased payroll expenses of $40.5 million (of which $6.4 million was related to an increase in stock-based compensation), increased expenditures of $26.6 million for sponsorships and endorsements, increased expenditures of $15.9 million for commissions, increased out-bound freight and warehouse costs of $11.1 million, increased expenditures of $9.9 million for allocated trade development and increased expenditures of $8.3 million for merchandise displays. The increase in operating expenses was partially offset by the $44.3 million decrease in costs associated with distributor terminations and to decreased expenditures of $13.9 million for professional service fees, including legal and accounting costs.</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$1.20 billion for the year ended December 31, 2017, an increase of approximately $113.4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10.5% higher than operating income of $1.09 billion for the year ended December 31, 2016. Operating income as a percentage of net sales was 35.6% for both the years ended December 31, 2017 and 2016. Operating income was $139.3 million and $101.7 million for the years ended December 31, 2017 and 2016, respectively, in connection with our operations in Africa, Asia, Australia, Europe, the Middle East and South America.</w:t>
      </w:r>
    </w:p>
    <w:p>
      <w:pPr>
        <w:spacing w:after="0" w:line="180" w:lineRule="exact"/>
        <w:rPr>
          <w:sz w:val="20"/>
          <w:szCs w:val="20"/>
          <w:color w:val="auto"/>
        </w:rPr>
      </w:pPr>
    </w:p>
    <w:p>
      <w:pPr>
        <w:jc w:val="both"/>
        <w:ind w:firstLine="743"/>
        <w:spacing w:after="0" w:line="247" w:lineRule="auto"/>
        <w:rPr>
          <w:sz w:val="20"/>
          <w:szCs w:val="20"/>
          <w:color w:val="auto"/>
        </w:rPr>
      </w:pPr>
      <w:r>
        <w:rPr>
          <w:rFonts w:ascii="Times New Roman" w:cs="Times New Roman" w:eastAsia="Times New Roman" w:hAnsi="Times New Roman"/>
          <w:sz w:val="20"/>
          <w:szCs w:val="20"/>
          <w:color w:val="auto"/>
        </w:rPr>
        <w:t>Operating income for the Monster Energy® Drinks segment was $1.26 billion for the year ended December 31, 2017, an increase of approximately $116.2 million, or 10.1% higher than operating income of $1.15 billion for the year ended December 31, 2016. The increase in operating income for the Monster Energy® Drinks segment was primarily the result of the $287.4 million increase in net sales of our Monster Energy® brand energy drinks as well an approximately $58.3 million increase in raw material cost savings for the year ended December 31, 2017 from the AFF Transaction.</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Operating income for the Strategic Brands segment was $174.5 million for the year ended December 31, 2017, an increase of approximately $11.3 million, or 7.0% higher than operating income of $163.1 million for the year ended December 31, 2016. The increase in operating income for the Strategic Brands segment was primarily due to an increase in net sales.</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Operating income for the Other segment was $5.6 million for the year ended December 31, 2017, an increase of approximately $3.3 million, or 143.3% higher than operating income of $2.3 million for the year ended December 31, 2016.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Other Income (Expense), net</w:t>
      </w:r>
      <w:r>
        <w:rPr>
          <w:rFonts w:ascii="Times New Roman" w:cs="Times New Roman" w:eastAsia="Times New Roman" w:hAnsi="Times New Roman"/>
          <w:sz w:val="20"/>
          <w:szCs w:val="20"/>
          <w:color w:val="auto"/>
        </w:rPr>
        <w:t>. Other non-operating income (expense), net, was $2.8 million for the year ended December 31, 2017,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other non-operating income (expense), net, of ($5.7) million for the year ended December 31, 2016. Foreign currency transaction losses were $3.3 million and $9.7 million for the years ended December 31, 2017 and 2016, respectively. Interest income, net, was $6.8 million and $4.0 million for the years ended December 31, 2017 and 2016, respectively.</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$380.9 million for the year ended December 31, 2017,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$13.9 million, or 3.8% higher than the provision for income taxes of $367.0 million for the year ended December 31, 2016. The effective combined federal, state and foreign tax rate decreased to 31.7% from 34.0% for the years ended December 31, 2017 and 2016, respectively. The decrease in the effective tax rate was primarily due to the increase in profits earned by foreign subsidiaries in lower tax jurisdictions relative to the United States as well as to the increase in equity compensation deductions, due in part to the increase in the related excess tax benefits recorded in net income. The decrease in the effective tax rate was partially offset by the recognition of $39.8 million of tax expense related to the revaluation of the U.S. net deferred tax asset at December 31, 2017, from 35% to the newly enacted U.S. corporate income tax rate of 21% due to the Tax Reform Act enacted on December 22, 2017.</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$820.7 million for the year ended December 31, 2017, an increase of $108.0 million, or 15.2%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net income of $712.7 million for the year ended December 31, 2016. The increase in net income was primarily due to the $195.7 million increase in gross profit. The increase in net income was partially offset by the increase in operating expenses of $82.2 million and the increase in the provision for income taxes of $13.9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$4.43 billion for the year ended December 31, 2018, an increase of approximately $568.2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14.7% higher than gross sales of $3.86 billion for the year ended December 31, 2017.</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sales of our Monster Energy® brand energy drinks were $4.02 billion for the year ended December 31, 2018, an increase of $560.9 million, or 16.2% higher than gross sales of $3.46 billion for the year ended December 31, 2017. Gross sales of our Monster Energy® brand energy drinks increased partially due to increased sales by volume as a result of increased domestic and international consumer demand.</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Gross sales of our Strategic Brands were $327.1 million for the year ended December 31, 2018, an increase of $8.6 million, or 2.7% higher than gross sales of $318.5 million for the year ended December 31, 2017.</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Gross sales of our AFF Third-Party Products were $22.9 million for the year ended December 31, 2018, an increase of $1.3 million, or 6.1% higher than gross sales of $21.6 million for the year ended December 31, 2017.</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 other individual product line contributed either a material increase or decrease to gross sales for the year ended December 31, 2018.</w:t>
      </w:r>
    </w:p>
    <w:p>
      <w:pPr>
        <w:spacing w:after="0" w:line="22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Promotional and other allowances, as described in the footnote below, were $622.3 million for the year ended December 31, 2018, an increase of $130.0 million, or 26.4% higher than promotional and other allowances of $492.3 million for the year ended December 31, 2017. Promotional and other allowances as a percentage of gross sales increased to 14.0% from 12.7% for the years ended December 31, 2018 and 2017, respectively, partially due to an increase in commissions of $42.2 million included in net sales, related to the adoption of ASC 606 described above.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702"/>
        <w:spacing w:after="0" w:line="254" w:lineRule="auto"/>
        <w:rPr>
          <w:sz w:val="20"/>
          <w:szCs w:val="20"/>
          <w:color w:val="auto"/>
        </w:rPr>
      </w:pPr>
      <w:r>
        <w:rPr>
          <w:rFonts w:ascii="Times New Roman" w:cs="Times New Roman" w:eastAsia="Times New Roman" w:hAnsi="Times New Roman"/>
          <w:sz w:val="20"/>
          <w:szCs w:val="20"/>
          <w:color w:val="auto"/>
        </w:rPr>
        <w:t>Net changes in foreign currency exchange rates had a favorable impact on gross sales in the Monster Energy® Drinks segment of approximately $21.6 million for the year ended December 31, 2018. Net changes in foreign currency exchange rates had a favorable impact on gross sales in the Strategic Brands segment of approximately $0.2 million for the year ended December 31, 2018.</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$3.86 billion for the year ended December 31, 2017, an increase of approximately $375.9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10.8% higher than gross sales of $3.49 billion for the year ended December 31, 2016. The increase in gross sales of our Monster Energy® brand energy drinks represented approximately $345.1 million of the overall increase in gross sales. Gross sales of our Monster Energy® brand energy drinks increased partially due to increased sales by volume as a result of increased domestic and international consumer demand.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Gross sales of our Strategic Brands were $318.5 million for the year ended December 31, 2017, an increase of $23.8 million, or 8.1% higher than gross sales of $294.6 million for the year ended December 31, 2016.</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Gross sales of our AFF Third-Party Products were $21.6 million for the year ended December 31, 2017, an increase of $4.4 million, or 25.7% higher than gross sales of $17.2 million for the year ended December 31, 2016.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 other individual product line contributed either a material increase or decrease to gross sales for the year ended December 31, 2017.</w:t>
      </w: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and other allowances, as described in the footnote below, were $492.3 million for the year ended December 31, 2017, an increase of $56.3 million, or 12.9% higher than promotional and other allowances of $436.1 million for the year ended December 31, 2016. Promotional and other allowances as a percentage of gross sales increased to 12.7% from 12.5% for the years ended December 31, 2017 and 2016, respectively.</w:t>
      </w:r>
    </w:p>
    <w:p>
      <w:pPr>
        <w:spacing w:after="0" w:line="180" w:lineRule="exact"/>
        <w:rPr>
          <w:sz w:val="20"/>
          <w:szCs w:val="20"/>
          <w:color w:val="auto"/>
        </w:rPr>
      </w:pPr>
    </w:p>
    <w:p>
      <w:pPr>
        <w:jc w:val="both"/>
        <w:ind w:firstLine="702"/>
        <w:spacing w:after="0" w:line="254"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gross sales in the Monster Energy® Drinks segment of approximately $11.9 million for the year ended December 31, 2017. Net changes in foreign currency exchange rates had a favorable impact on gross sales in the Strategic Brands segment of approximately $3.7 million for the year ended December 31, 2017.</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non-GAAP financial measure of gross sales with the most directly comparable GAAP financial measure of net sales: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7"/>
              </w:rPr>
              <w:t>Percentage</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Percentage</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color w:val="auto"/>
              </w:rPr>
              <w:t>2018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160" w:type="dxa"/>
            <w:vAlign w:val="bottom"/>
          </w:tcPr>
          <w:p>
            <w:pPr>
              <w:spacing w:after="0"/>
              <w:rPr>
                <w:sz w:val="21"/>
                <w:szCs w:val="21"/>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Change</w:t>
            </w:r>
          </w:p>
        </w:tc>
        <w:tc>
          <w:tcPr>
            <w:tcW w:w="0" w:type="dxa"/>
            <w:vAlign w:val="bottom"/>
          </w:tcPr>
          <w:p>
            <w:pPr>
              <w:spacing w:after="0"/>
              <w:rPr>
                <w:sz w:val="1"/>
                <w:szCs w:val="1"/>
                <w:color w:val="auto"/>
              </w:rPr>
            </w:pPr>
          </w:p>
        </w:tc>
      </w:tr>
      <w:tr>
        <w:trPr>
          <w:trHeight w:val="223"/>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sales, net of discounts and returns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18 vs. 17</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17 vs. 16</w:t>
            </w:r>
          </w:p>
        </w:tc>
        <w:tc>
          <w:tcPr>
            <w:tcW w:w="0" w:type="dxa"/>
            <w:vAlign w:val="bottom"/>
          </w:tcPr>
          <w:p>
            <w:pPr>
              <w:spacing w:after="0"/>
              <w:rPr>
                <w:sz w:val="1"/>
                <w:szCs w:val="1"/>
                <w:color w:val="auto"/>
              </w:rPr>
            </w:pPr>
          </w:p>
        </w:tc>
      </w:tr>
      <w:tr>
        <w:trPr>
          <w:trHeight w:val="200"/>
        </w:trPr>
        <w:tc>
          <w:tcPr>
            <w:tcW w:w="410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4,429,522</w:t>
            </w:r>
          </w:p>
        </w:tc>
        <w:tc>
          <w:tcPr>
            <w:tcW w:w="160" w:type="dxa"/>
            <w:vAlign w:val="bottom"/>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3,861,368</w:t>
            </w:r>
          </w:p>
        </w:tc>
        <w:tc>
          <w:tcPr>
            <w:tcW w:w="1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3,485,463</w:t>
            </w:r>
          </w:p>
        </w:tc>
        <w:tc>
          <w:tcPr>
            <w:tcW w:w="160" w:type="dxa"/>
            <w:vAlign w:val="bottom"/>
          </w:tcPr>
          <w:p>
            <w:pPr>
              <w:spacing w:after="0"/>
              <w:rPr>
                <w:sz w:val="17"/>
                <w:szCs w:val="17"/>
                <w:color w:val="auto"/>
              </w:rPr>
            </w:pPr>
          </w:p>
        </w:tc>
        <w:tc>
          <w:tcPr>
            <w:tcW w:w="1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14.7%</w:t>
            </w:r>
          </w:p>
        </w:tc>
        <w:tc>
          <w:tcPr>
            <w:tcW w:w="160" w:type="dxa"/>
            <w:vAlign w:val="bottom"/>
          </w:tcPr>
          <w:p>
            <w:pPr>
              <w:spacing w:after="0"/>
              <w:rPr>
                <w:sz w:val="17"/>
                <w:szCs w:val="17"/>
                <w:color w:val="auto"/>
              </w:rPr>
            </w:pPr>
          </w:p>
        </w:tc>
        <w:tc>
          <w:tcPr>
            <w:tcW w:w="1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Less: Promotional and other allowances***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622,339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492,323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436,070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3"/>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6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3,807,183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3,369,045</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w:t>
      </w:r>
    </w:p>
    <w:p>
      <w:pPr>
        <w:spacing w:after="0" w:line="1" w:lineRule="exact"/>
        <w:rPr>
          <w:sz w:val="20"/>
          <w:szCs w:val="20"/>
          <w:color w:val="auto"/>
        </w:rPr>
      </w:pPr>
    </w:p>
    <w:p>
      <w:pPr>
        <w:jc w:val="both"/>
        <w:ind w:firstLine="8"/>
        <w:spacing w:after="0" w:line="266" w:lineRule="auto"/>
        <w:tabs>
          <w:tab w:leader="none" w:pos="195"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2018, 2017 and 2016 were (i) to increase sales volume and trial, (ii) to address market conditions, and (iii) to secure shelf and display space at retail.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bottlers/distributors and customers, changes in the sales mix of our products and changes in and/or increased advertising and promotional expenses. (See “Part I, Item 1 – Business – Seasonality”).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70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2018</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2017</w:t>
            </w: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2016</w:t>
            </w: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2015</w:t>
            </w: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2014</w:t>
            </w:r>
          </w:p>
        </w:tc>
        <w:tc>
          <w:tcPr>
            <w:tcW w:w="0" w:type="dxa"/>
            <w:vAlign w:val="bottom"/>
          </w:tcPr>
          <w:p>
            <w:pPr>
              <w:spacing w:after="0" w:line="20" w:lineRule="exact"/>
              <w:rPr>
                <w:sz w:val="1"/>
                <w:szCs w:val="1"/>
                <w:color w:val="auto"/>
              </w:rPr>
            </w:pPr>
          </w:p>
        </w:tc>
      </w:tr>
      <w:tr>
        <w:trPr>
          <w:trHeight w:val="466"/>
        </w:trPr>
        <w:tc>
          <w:tcPr>
            <w:tcW w:w="660" w:type="dxa"/>
            <w:vAlign w:val="bottom"/>
          </w:tcPr>
          <w:p>
            <w:pPr>
              <w:spacing w:after="0"/>
              <w:rPr>
                <w:sz w:val="24"/>
                <w:szCs w:val="24"/>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Net Sales (in Thousands)</w:t>
            </w:r>
          </w:p>
        </w:tc>
        <w:tc>
          <w:tcPr>
            <w:tcW w:w="1040" w:type="dxa"/>
            <w:vAlign w:val="bottom"/>
            <w:gridSpan w:val="3"/>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4"/>
                <w:szCs w:val="14"/>
                <w:color w:val="auto"/>
              </w:rPr>
            </w:pPr>
          </w:p>
        </w:tc>
        <w:tc>
          <w:tcPr>
            <w:tcW w:w="2000" w:type="dxa"/>
            <w:vAlign w:val="bottom"/>
            <w:tcBorders>
              <w:bottom w:val="single" w:sz="8" w:color="auto"/>
            </w:tcBorders>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850,921</w:t>
            </w:r>
          </w:p>
        </w:tc>
        <w:tc>
          <w:tcPr>
            <w:tcW w:w="180" w:type="dxa"/>
            <w:vAlign w:val="bottom"/>
          </w:tcPr>
          <w:p>
            <w:pPr>
              <w:spacing w:after="0"/>
              <w:rPr>
                <w:sz w:val="14"/>
                <w:szCs w:val="1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742,146</w:t>
            </w:r>
          </w:p>
        </w:tc>
        <w:tc>
          <w:tcPr>
            <w:tcW w:w="160" w:type="dxa"/>
            <w:vAlign w:val="bottom"/>
          </w:tcPr>
          <w:p>
            <w:pPr>
              <w:spacing w:after="0"/>
              <w:rPr>
                <w:sz w:val="14"/>
                <w:szCs w:val="1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680,186</w:t>
            </w:r>
          </w:p>
        </w:tc>
        <w:tc>
          <w:tcPr>
            <w:tcW w:w="160" w:type="dxa"/>
            <w:vAlign w:val="bottom"/>
          </w:tcPr>
          <w:p>
            <w:pPr>
              <w:spacing w:after="0"/>
              <w:rPr>
                <w:sz w:val="14"/>
                <w:szCs w:val="1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626,791</w:t>
            </w:r>
          </w:p>
        </w:tc>
        <w:tc>
          <w:tcPr>
            <w:tcW w:w="160" w:type="dxa"/>
            <w:vAlign w:val="bottom"/>
          </w:tcPr>
          <w:p>
            <w:pPr>
              <w:spacing w:after="0"/>
              <w:rPr>
                <w:sz w:val="14"/>
                <w:szCs w:val="14"/>
                <w:color w:val="auto"/>
              </w:rPr>
            </w:pPr>
          </w:p>
        </w:tc>
        <w:tc>
          <w:tcPr>
            <w:tcW w:w="3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536,129</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304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2</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1,015,873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907,068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827,488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693,722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687,199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3</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1,016,160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909,476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787,954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756,619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635,972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4</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924,229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810,355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753,765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645,432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605,567</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3,807,183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3,369,045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6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w w:val="98"/>
              </w:rPr>
              <w:t>Less: AFF third party net sales (in Thousands)</w:t>
            </w:r>
          </w:p>
        </w:tc>
        <w:tc>
          <w:tcPr>
            <w:tcW w:w="920" w:type="dxa"/>
            <w:vAlign w:val="bottom"/>
            <w:gridSpan w:val="2"/>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(5,539)</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3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304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(4,657)</w:t>
            </w:r>
          </w:p>
        </w:tc>
        <w:tc>
          <w:tcPr>
            <w:tcW w:w="1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2</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(6,623)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3</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(6,573)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4</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(5,067)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(22,920)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(21,605)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(17,011)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8"/>
              </w:rPr>
              <w:t>Adjusted Net Sales (in Thousands)¹</w:t>
            </w:r>
          </w:p>
        </w:tc>
        <w:tc>
          <w:tcPr>
            <w:tcW w:w="22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60" w:type="dxa"/>
            <w:vAlign w:val="bottom"/>
          </w:tcPr>
          <w:p>
            <w:pPr>
              <w:spacing w:after="0"/>
              <w:rPr>
                <w:sz w:val="24"/>
                <w:szCs w:val="24"/>
                <w:color w:val="auto"/>
              </w:rPr>
            </w:pPr>
          </w:p>
        </w:tc>
        <w:tc>
          <w:tcPr>
            <w:tcW w:w="2820" w:type="dxa"/>
            <w:vAlign w:val="bottom"/>
            <w:tcBorders>
              <w:bottom w:val="single" w:sz="8" w:color="auto"/>
            </w:tcBorders>
            <w:gridSpan w:val="3"/>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846,264</w:t>
            </w:r>
          </w:p>
        </w:tc>
        <w:tc>
          <w:tcPr>
            <w:tcW w:w="18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736,607</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680,186</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626,791</w:t>
            </w:r>
          </w:p>
        </w:tc>
        <w:tc>
          <w:tcPr>
            <w:tcW w:w="160" w:type="dxa"/>
            <w:vAlign w:val="bottom"/>
          </w:tcPr>
          <w:p>
            <w:pPr>
              <w:spacing w:after="0"/>
              <w:rPr>
                <w:sz w:val="24"/>
                <w:szCs w:val="24"/>
                <w:color w:val="auto"/>
              </w:rPr>
            </w:pPr>
          </w:p>
        </w:tc>
        <w:tc>
          <w:tcPr>
            <w:tcW w:w="3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536,129</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304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2</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1,009,250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900,894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693,722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687,199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3</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1,009,587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904,276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782,268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756,619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635,972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4</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919,162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805,663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749,075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645,432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605,567</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3,784,263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3,347,440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3,032,382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7"/>
              </w:rPr>
              <w:t>Unit Case Volume / Sales (in Thousands)</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92,315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79,992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72,653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57,779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51,926</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304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2</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110,057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97,233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68,037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65,587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3</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111,038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96,184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81,274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62,204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4</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97,476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86,548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77,966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67,531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58,563</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410,886</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359,957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320,960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274,621</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238,280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Adjusted Average Net Sales Per Case</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9.17</w:t>
            </w:r>
          </w:p>
        </w:tc>
        <w:tc>
          <w:tcPr>
            <w:tcW w:w="18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9.21</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160" w:type="dxa"/>
            <w:vAlign w:val="bottom"/>
          </w:tcPr>
          <w:p>
            <w:pPr>
              <w:spacing w:after="0"/>
              <w:rPr>
                <w:sz w:val="24"/>
                <w:szCs w:val="24"/>
                <w:color w:val="auto"/>
              </w:rPr>
            </w:pPr>
          </w:p>
        </w:tc>
        <w:tc>
          <w:tcPr>
            <w:tcW w:w="3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10.85</w:t>
            </w:r>
          </w:p>
        </w:tc>
        <w:tc>
          <w:tcPr>
            <w:tcW w:w="160" w:type="dxa"/>
            <w:vAlign w:val="bottom"/>
          </w:tcPr>
          <w:p>
            <w:pPr>
              <w:spacing w:after="0"/>
              <w:rPr>
                <w:sz w:val="24"/>
                <w:szCs w:val="24"/>
                <w:color w:val="auto"/>
              </w:rPr>
            </w:pPr>
          </w:p>
        </w:tc>
        <w:tc>
          <w:tcPr>
            <w:tcW w:w="3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10.32</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960" w:type="dxa"/>
            <w:vAlign w:val="bottom"/>
            <w:tcBorders>
              <w:top w:val="single" w:sz="8" w:color="auto"/>
            </w:tcBorders>
            <w:gridSpan w:val="4"/>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2</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3</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9.09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Quarter 4</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9.43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10.34</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9.21</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9.30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9.45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Excludes Other segment net sales of $22.9 million, $21.6 million and $17.0 million for the years ended December 31, 2018, 2017 and 2016, respectively, comprised of sales of our AFF Third-Party Products to independent third parties as these sales do not have unit case equivalents.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22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w w:val="99"/>
              </w:rPr>
              <w:t>The following represents case sales by segment for the years ended December 31: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thousands, except average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color w:val="auto"/>
              </w:rPr>
              <w:t>net sales per case)</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color w:val="auto"/>
              </w:rPr>
              <w:t>2018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restart"/>
          </w:tcPr>
          <w:p>
            <w:pPr>
              <w:jc w:val="right"/>
              <w:ind w:right="421"/>
              <w:spacing w:after="0"/>
              <w:rPr>
                <w:sz w:val="20"/>
                <w:szCs w:val="20"/>
                <w:color w:val="auto"/>
              </w:rPr>
            </w:pPr>
            <w:r>
              <w:rPr>
                <w:rFonts w:ascii="Times New Roman" w:cs="Times New Roman" w:eastAsia="Times New Roman" w:hAnsi="Times New Roman"/>
                <w:sz w:val="20"/>
                <w:szCs w:val="20"/>
                <w:color w:val="auto"/>
              </w:rPr>
              <w:t>2017</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vMerge w:val="restart"/>
          </w:tcPr>
          <w:p>
            <w:pPr>
              <w:jc w:val="right"/>
              <w:ind w:right="421"/>
              <w:spacing w:after="0"/>
              <w:rPr>
                <w:sz w:val="20"/>
                <w:szCs w:val="20"/>
                <w:color w:val="auto"/>
              </w:rPr>
            </w:pPr>
            <w:r>
              <w:rPr>
                <w:rFonts w:ascii="Times New Roman" w:cs="Times New Roman" w:eastAsia="Times New Roman" w:hAnsi="Times New Roman"/>
                <w:sz w:val="20"/>
                <w:szCs w:val="20"/>
                <w:color w:val="auto"/>
              </w:rPr>
              <w:t>2016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restart"/>
          </w:tcPr>
          <w:p>
            <w:pPr>
              <w:jc w:val="right"/>
              <w:ind w:right="421"/>
              <w:spacing w:after="0"/>
              <w:rPr>
                <w:sz w:val="20"/>
                <w:szCs w:val="20"/>
                <w:color w:val="auto"/>
              </w:rPr>
            </w:pPr>
            <w:r>
              <w:rPr>
                <w:rFonts w:ascii="Times New Roman" w:cs="Times New Roman" w:eastAsia="Times New Roman" w:hAnsi="Times New Roman"/>
                <w:sz w:val="20"/>
                <w:szCs w:val="20"/>
                <w:color w:val="auto"/>
              </w:rPr>
              <w:t>2015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10"/>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40" w:type="dxa"/>
            <w:vAlign w:val="bottom"/>
            <w:gridSpan w:val="3"/>
            <w:vMerge w:val="continue"/>
          </w:tcPr>
          <w:p>
            <w:pPr>
              <w:spacing w:after="0"/>
              <w:rPr>
                <w:sz w:val="17"/>
                <w:szCs w:val="17"/>
                <w:color w:val="auto"/>
              </w:rPr>
            </w:pPr>
          </w:p>
        </w:tc>
        <w:tc>
          <w:tcPr>
            <w:tcW w:w="34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3,807,183</w:t>
            </w:r>
          </w:p>
        </w:tc>
        <w:tc>
          <w:tcPr>
            <w:tcW w:w="160" w:type="dxa"/>
            <w:vAlign w:val="bottom"/>
          </w:tcPr>
          <w:p>
            <w:pPr>
              <w:spacing w:after="0"/>
              <w:rPr>
                <w:sz w:val="17"/>
                <w:szCs w:val="17"/>
                <w:color w:val="auto"/>
              </w:rPr>
            </w:pPr>
          </w:p>
        </w:tc>
        <w:tc>
          <w:tcPr>
            <w:tcW w:w="3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3,369,045</w:t>
            </w:r>
          </w:p>
        </w:tc>
        <w:tc>
          <w:tcPr>
            <w:tcW w:w="160" w:type="dxa"/>
            <w:vAlign w:val="bottom"/>
          </w:tcPr>
          <w:p>
            <w:pPr>
              <w:spacing w:after="0"/>
              <w:rPr>
                <w:sz w:val="17"/>
                <w:szCs w:val="17"/>
                <w:color w:val="auto"/>
              </w:rPr>
            </w:pPr>
          </w:p>
        </w:tc>
        <w:tc>
          <w:tcPr>
            <w:tcW w:w="460" w:type="dxa"/>
            <w:vAlign w:val="bottom"/>
          </w:tcPr>
          <w:p>
            <w:pPr>
              <w:jc w:val="right"/>
              <w:ind w:right="2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3,049,393</w:t>
            </w:r>
          </w:p>
        </w:tc>
        <w:tc>
          <w:tcPr>
            <w:tcW w:w="160" w:type="dxa"/>
            <w:vAlign w:val="bottom"/>
          </w:tcPr>
          <w:p>
            <w:pPr>
              <w:spacing w:after="0"/>
              <w:rPr>
                <w:sz w:val="17"/>
                <w:szCs w:val="17"/>
                <w:color w:val="auto"/>
              </w:rPr>
            </w:pPr>
          </w:p>
        </w:tc>
        <w:tc>
          <w:tcPr>
            <w:tcW w:w="3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7"/>
                <w:szCs w:val="17"/>
                <w:color w:val="auto"/>
              </w:rPr>
            </w:pPr>
          </w:p>
        </w:tc>
        <w:tc>
          <w:tcPr>
            <w:tcW w:w="34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AFF third-party sales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Adjusted net sales¹</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40" w:type="dxa"/>
            <w:vAlign w:val="bottom"/>
            <w:gridSpan w:val="3"/>
            <w:vMerge w:val="continue"/>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3,784,263</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3,347,440</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3,032,382</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Case sales by segment: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5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Monster Energy® Drinks</w:t>
            </w: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338,880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289,105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256,323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228,628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210,444</w:t>
            </w:r>
          </w:p>
        </w:tc>
        <w:tc>
          <w:tcPr>
            <w:tcW w:w="0" w:type="dxa"/>
            <w:vAlign w:val="bottom"/>
          </w:tcPr>
          <w:p>
            <w:pPr>
              <w:spacing w:after="0"/>
              <w:rPr>
                <w:sz w:val="1"/>
                <w:szCs w:val="1"/>
                <w:color w:val="auto"/>
              </w:rPr>
            </w:pPr>
          </w:p>
        </w:tc>
      </w:tr>
      <w:tr>
        <w:trPr>
          <w:trHeight w:val="230"/>
        </w:trPr>
        <w:tc>
          <w:tcPr>
            <w:tcW w:w="3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72,006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70,852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64,637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34,791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5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27,836</w:t>
            </w:r>
          </w:p>
        </w:tc>
        <w:tc>
          <w:tcPr>
            <w:tcW w:w="0" w:type="dxa"/>
            <w:vAlign w:val="bottom"/>
          </w:tcPr>
          <w:p>
            <w:pPr>
              <w:spacing w:after="0"/>
              <w:rPr>
                <w:sz w:val="1"/>
                <w:szCs w:val="1"/>
                <w:color w:val="auto"/>
              </w:rPr>
            </w:pPr>
          </w:p>
        </w:tc>
      </w:tr>
      <w:tr>
        <w:trPr>
          <w:trHeight w:val="23"/>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 case sales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410,886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359,957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320,960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274,621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238,280</w:t>
            </w:r>
          </w:p>
        </w:tc>
        <w:tc>
          <w:tcPr>
            <w:tcW w:w="0" w:type="dxa"/>
            <w:vAlign w:val="bottom"/>
          </w:tcPr>
          <w:p>
            <w:pPr>
              <w:spacing w:after="0"/>
              <w:rPr>
                <w:sz w:val="1"/>
                <w:szCs w:val="1"/>
                <w:color w:val="auto"/>
              </w:rPr>
            </w:pPr>
          </w:p>
        </w:tc>
      </w:tr>
      <w:tr>
        <w:trPr>
          <w:trHeight w:val="23"/>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Average net sales per case</w:t>
            </w:r>
            <w:r>
              <w:rPr>
                <w:rFonts w:ascii="Times New Roman" w:cs="Times New Roman" w:eastAsia="Times New Roman" w:hAnsi="Times New Roman"/>
                <w:sz w:val="12"/>
                <w:szCs w:val="12"/>
                <w:color w:val="auto"/>
              </w:rPr>
              <w:t>2</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40" w:type="dxa"/>
            <w:vAlign w:val="bottom"/>
            <w:gridSpan w:val="3"/>
            <w:vMerge w:val="continue"/>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9.21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9.30</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9.45</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5"/>
          <w:szCs w:val="25"/>
          <w:i w:val="1"/>
          <w:iCs w:val="1"/>
          <w:color w:val="auto"/>
          <w:vertAlign w:val="superscript"/>
        </w:rPr>
        <w:t>1</w:t>
      </w:r>
      <w:r>
        <w:rPr>
          <w:rFonts w:ascii="Times New Roman" w:cs="Times New Roman" w:eastAsia="Times New Roman" w:hAnsi="Times New Roman"/>
          <w:sz w:val="16"/>
          <w:szCs w:val="16"/>
          <w:i w:val="1"/>
          <w:iCs w:val="1"/>
          <w:color w:val="auto"/>
        </w:rPr>
        <w:t>Excludes Other segment net sales of $22.9 million, $21.6 million and $17.0 million for the years ended December 31, 2018, 2017 and 2016, respectively, comprised of sales of our AFF Third-Party Products to independent third parties as these sales do not have unit case equivalents.</w:t>
      </w:r>
    </w:p>
    <w:p>
      <w:pPr>
        <w:spacing w:after="0" w:line="18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5"/>
          <w:szCs w:val="25"/>
          <w:i w:val="1"/>
          <w:iCs w:val="1"/>
          <w:color w:val="auto"/>
          <w:vertAlign w:val="superscript"/>
        </w:rPr>
        <w:t>2</w:t>
      </w:r>
      <w:r>
        <w:rPr>
          <w:rFonts w:ascii="Times New Roman" w:cs="Times New Roman" w:eastAsia="Times New Roman" w:hAnsi="Times New Roman"/>
          <w:sz w:val="16"/>
          <w:szCs w:val="16"/>
          <w:i w:val="1"/>
          <w:iCs w:val="1"/>
          <w:color w:val="auto"/>
        </w:rPr>
        <w:t>Without the adoption of ASC 606, the overall average net sales per case increased to $9.31 for year ended December 31, 2018, as compared to average net sales per case of $9.30 for the year ended December 31, 2017.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do not believe that inflation had a significant impact on our results of operations for the years ended December 31, 2018, 2017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$1.16 billion for the year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2018, as compared with cash provided by operating activities of $987.7 million for the year ended December 31, 2017.</w:t>
      </w:r>
    </w:p>
    <w:p>
      <w:pPr>
        <w:spacing w:after="0" w:line="1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2018, cash provided by operating activities was primarily attributable to net income earned of $993.0 million and adjustments for certain non-cash expenses, consisting of $57.1 million of stock-based compensation and $57.0 million of depreciation and other amortization. For the year ended December 31, 2018, cash provided by operating activities also increased due to a $98.7 million decrease in prepaid income taxes, an $11.7 million increase in accrued promotional allowances, an $18.1 million increase in accrued liabilities, a $10.0 million decrease in distributor receivables, a $9.9 million increase in accounts payable, a $5.5 million increase in accrued compensation and a $1.9 million increase in income taxes payable. For the year ended December 31, 2018, cash used in operating activities was primarily attributable to a $48.4 million increase in accounts receivable, a $26.1 million increase in inventories, a $20.0 million decrease in deferred revenue and a $6.7 million increase in prepaid expenses and other current assets.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2017, cash provided by operating activities was primarily attributable to net income earned of $820.7 million and adjustments for certain non-cash expenses, consisting of $52.3 million of stock-based compensation and $48.9 million of depreciation and other amortization. For the year ended December 31, 2017, cash provided by operating activities also increased due to a $125.0 million decrease in the TCCC Transaction receivables, a $67.9 million decrease in deferred income taxes, a $29.6 million increase in accounts payable, a $21.1 million increase in accrued promotional allowances, an $11.8 million decrease in accounts receivable, a $4.5 million increase in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accrued compensation and a $4.7 million decrease in distributor receivables. For the year ended December 31, 2017, cash used in operating activities was primarily attributable to a $71.3 million increase in prepaid income taxes, an $88.9 million increase in inventories, a $19.9 million decrease in deferred revenue, a $8.2 million decrease in accrued distributor terminations, a $4.5 million decrease in accrued liabilities, a $3.6 million decrease in income taxes payable and a $2.4 million increase in prepaid expenses and other current assets.</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(used in) investing activities. </w:t>
      </w:r>
      <w:r>
        <w:rPr>
          <w:rFonts w:ascii="Times New Roman" w:cs="Times New Roman" w:eastAsia="Times New Roman" w:hAnsi="Times New Roman"/>
          <w:sz w:val="20"/>
          <w:szCs w:val="20"/>
          <w:color w:val="auto"/>
        </w:rPr>
        <w:t>Net cash provided by investing activities was $273.0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2018 as compared to cash used in investing activities of $531.5 million for the year ended December 31, 2017.</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both the years ended December 31, 2018 and 2017, cash provided by investing activities was primarily attributable to sales of available-for-sale investments. For both the years ended December 31, 2018 and 2017, cash used in investing activities was primarily attributable to purchases of available-for-sale investments. For both the years ended December 31, 2018 and 2017,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improvements to real property and acquisition, defense and maintenance of trademarks.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Cash flows used in financing activities. </w:t>
      </w:r>
      <w:r>
        <w:rPr>
          <w:rFonts w:ascii="Times New Roman" w:cs="Times New Roman" w:eastAsia="Times New Roman" w:hAnsi="Times New Roman"/>
          <w:sz w:val="20"/>
          <w:szCs w:val="20"/>
          <w:color w:val="auto"/>
        </w:rPr>
        <w:t>Cash used in financing activities was $1.32 billion for the year ended December 31, 2018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cash used in financing activities of $311.1 million for the year ended December 31, 2017. The cash flows used in financing activities for both the years ended December 31, 2018 and 2017 was primarily the result of the repurchases of our common stock. The cash flows provided by financing activities for both the years ended December 31, 2018, and 2017 was primarily attributable to the issuance of our common stock.</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 </w:t>
      </w:r>
      <w:r>
        <w:rPr>
          <w:rFonts w:ascii="Times New Roman" w:cs="Times New Roman" w:eastAsia="Times New Roman" w:hAnsi="Times New Roman"/>
          <w:sz w:val="20"/>
          <w:szCs w:val="20"/>
          <w:color w:val="auto"/>
        </w:rPr>
        <w:t>As of December 31, 2018, we had $637.5 million in cash and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and $320.7 million in short-term investments. We have historically invested these amounts in U.S. treasuries, U.S. government agency securities and municipal securities (which may have an auction reset feature),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Of our $637.5 million of cash and cash equivalents held at December 31, 2018, $341.8 million was held by our foreign subsidiaries. No short-term or long-term investments were held by our foreign subsidiaries at December 31, 2018. We do not currently intend, nor do we foresee a need, to repatriate undistributed earnings of our foreign subsidiaries, other than to repay certain intercompany debt owed to our U.S. operations.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at this time we estimate that capital expenditures (exclusive of common stock repurchases) are likely to be approximately $100.0 million through December 31, 2019. However, future business opportunities may cause a change in this estimate.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22"/>
                <w:szCs w:val="22"/>
                <w:color w:val="auto"/>
                <w:w w:val="97"/>
              </w:rPr>
              <w:t>Payments due by period (in thousands)</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09"/>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80"/>
              <w:spacing w:after="0" w:line="209" w:lineRule="exact"/>
              <w:rPr>
                <w:sz w:val="20"/>
                <w:szCs w:val="20"/>
                <w:color w:val="auto"/>
              </w:rPr>
            </w:pPr>
            <w:r>
              <w:rPr>
                <w:rFonts w:ascii="Times New Roman" w:cs="Times New Roman" w:eastAsia="Times New Roman" w:hAnsi="Times New Roman"/>
                <w:sz w:val="22"/>
                <w:szCs w:val="22"/>
                <w:color w:val="auto"/>
                <w:w w:val="97"/>
              </w:rPr>
              <w:t>Less than</w:t>
            </w:r>
          </w:p>
        </w:tc>
        <w:tc>
          <w:tcPr>
            <w:tcW w:w="340" w:type="dxa"/>
            <w:vAlign w:val="bottom"/>
          </w:tcPr>
          <w:p>
            <w:pPr>
              <w:spacing w:after="0"/>
              <w:rPr>
                <w:sz w:val="18"/>
                <w:szCs w:val="18"/>
                <w:color w:val="auto"/>
              </w:rPr>
            </w:pPr>
          </w:p>
        </w:tc>
        <w:tc>
          <w:tcPr>
            <w:tcW w:w="1120" w:type="dxa"/>
            <w:vAlign w:val="bottom"/>
          </w:tcPr>
          <w:p>
            <w:pPr>
              <w:jc w:val="right"/>
              <w:ind w:right="512"/>
              <w:spacing w:after="0" w:line="209" w:lineRule="exact"/>
              <w:rPr>
                <w:sz w:val="20"/>
                <w:szCs w:val="20"/>
                <w:color w:val="auto"/>
              </w:rPr>
            </w:pPr>
            <w:r>
              <w:rPr>
                <w:rFonts w:ascii="Times New Roman" w:cs="Times New Roman" w:eastAsia="Times New Roman" w:hAnsi="Times New Roman"/>
                <w:sz w:val="22"/>
                <w:szCs w:val="22"/>
                <w:color w:val="auto"/>
              </w:rPr>
              <w:t>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92"/>
              <w:spacing w:after="0" w:line="209" w:lineRule="exact"/>
              <w:rPr>
                <w:sz w:val="20"/>
                <w:szCs w:val="20"/>
                <w:color w:val="auto"/>
              </w:rPr>
            </w:pPr>
            <w:r>
              <w:rPr>
                <w:rFonts w:ascii="Times New Roman" w:cs="Times New Roman" w:eastAsia="Times New Roman" w:hAnsi="Times New Roman"/>
                <w:sz w:val="22"/>
                <w:szCs w:val="22"/>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72"/>
              <w:spacing w:after="0" w:line="209" w:lineRule="exact"/>
              <w:rPr>
                <w:sz w:val="20"/>
                <w:szCs w:val="20"/>
                <w:color w:val="auto"/>
              </w:rPr>
            </w:pPr>
            <w:r>
              <w:rPr>
                <w:rFonts w:ascii="Times New Roman" w:cs="Times New Roman" w:eastAsia="Times New Roman" w:hAnsi="Times New Roman"/>
                <w:sz w:val="22"/>
                <w:szCs w:val="22"/>
                <w:color w:val="auto"/>
              </w:rPr>
              <w:t>More than</w:t>
            </w:r>
          </w:p>
        </w:tc>
      </w:tr>
      <w:tr>
        <w:trPr>
          <w:trHeight w:val="271"/>
        </w:trPr>
        <w:tc>
          <w:tcPr>
            <w:tcW w:w="35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Obligations</w:t>
            </w:r>
          </w:p>
        </w:tc>
        <w:tc>
          <w:tcPr>
            <w:tcW w:w="34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Total</w:t>
            </w:r>
          </w:p>
        </w:tc>
        <w:tc>
          <w:tcPr>
            <w:tcW w:w="22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9"/>
              </w:rPr>
              <w:t>1 year</w:t>
            </w:r>
          </w:p>
        </w:tc>
        <w:tc>
          <w:tcPr>
            <w:tcW w:w="34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22"/>
                <w:szCs w:val="22"/>
                <w:color w:val="auto"/>
                <w:w w:val="98"/>
              </w:rPr>
              <w:t>years</w:t>
            </w:r>
          </w:p>
        </w:tc>
        <w:tc>
          <w:tcPr>
            <w:tcW w:w="32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years</w:t>
            </w:r>
          </w:p>
        </w:tc>
        <w:tc>
          <w:tcPr>
            <w:tcW w:w="220" w:type="dxa"/>
            <w:vAlign w:val="bottom"/>
          </w:tcPr>
          <w:p>
            <w:pPr>
              <w:spacing w:after="0"/>
              <w:rPr>
                <w:sz w:val="23"/>
                <w:szCs w:val="23"/>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5 years</w:t>
            </w:r>
          </w:p>
        </w:tc>
      </w:tr>
      <w:tr>
        <w:trPr>
          <w:trHeight w:val="425"/>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Contractual Obligations¹</w:t>
            </w:r>
          </w:p>
        </w:tc>
        <w:tc>
          <w:tcPr>
            <w:tcW w:w="3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190,186</w:t>
            </w:r>
          </w:p>
        </w:tc>
        <w:tc>
          <w:tcPr>
            <w:tcW w:w="16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99,004</w:t>
            </w:r>
          </w:p>
        </w:tc>
        <w:tc>
          <w:tcPr>
            <w:tcW w:w="160" w:type="dxa"/>
            <w:vAlign w:val="bottom"/>
          </w:tcPr>
          <w:p>
            <w:pPr>
              <w:spacing w:after="0"/>
              <w:rPr>
                <w:sz w:val="24"/>
                <w:szCs w:val="24"/>
                <w:color w:val="auto"/>
              </w:rPr>
            </w:pPr>
          </w:p>
        </w:tc>
        <w:tc>
          <w:tcPr>
            <w:tcW w:w="3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75,149</w:t>
            </w:r>
          </w:p>
        </w:tc>
        <w:tc>
          <w:tcPr>
            <w:tcW w:w="160" w:type="dxa"/>
            <w:vAlign w:val="bottom"/>
          </w:tcPr>
          <w:p>
            <w:pPr>
              <w:spacing w:after="0"/>
              <w:rPr>
                <w:sz w:val="24"/>
                <w:szCs w:val="24"/>
                <w:color w:val="auto"/>
              </w:rPr>
            </w:pPr>
          </w:p>
        </w:tc>
        <w:tc>
          <w:tcPr>
            <w:tcW w:w="3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16,033</w:t>
            </w:r>
          </w:p>
        </w:tc>
        <w:tc>
          <w:tcPr>
            <w:tcW w:w="16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Leases</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27,968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3,954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5,359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3,795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14,860</w:t>
            </w:r>
          </w:p>
        </w:tc>
      </w:tr>
      <w:tr>
        <w:trPr>
          <w:trHeight w:val="271"/>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Purchase Commitments²</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49,777</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49,777</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3540" w:type="dxa"/>
            <w:vAlign w:val="bottom"/>
          </w:tcPr>
          <w:p>
            <w:pPr>
              <w:spacing w:after="0"/>
              <w:rPr>
                <w:sz w:val="20"/>
                <w:szCs w:val="20"/>
                <w:color w:val="auto"/>
              </w:rPr>
            </w:pPr>
          </w:p>
        </w:tc>
        <w:tc>
          <w:tcPr>
            <w:tcW w:w="340" w:type="dxa"/>
            <w:vAlign w:val="bottom"/>
            <w:tcBorders>
              <w:bottom w:val="single" w:sz="8" w:color="auto"/>
            </w:tcBorders>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268,767</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153,571</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80,508</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19,828</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14,860</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¹</w:t>
      </w:r>
      <w:r>
        <w:rPr>
          <w:rFonts w:ascii="Times New Roman" w:cs="Times New Roman" w:eastAsia="Times New Roman" w:hAnsi="Times New Roman"/>
          <w:sz w:val="16"/>
          <w:szCs w:val="16"/>
          <w:color w:val="auto"/>
        </w:rPr>
        <w:t>Contractual obligations include our obligations related to sponsorships and other commitments.</w:t>
      </w:r>
    </w:p>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²</w:t>
      </w:r>
      <w:r>
        <w:rPr>
          <w:rFonts w:ascii="Times New Roman" w:cs="Times New Roman" w:eastAsia="Times New Roman" w:hAnsi="Times New Roman"/>
          <w:sz w:val="16"/>
          <w:szCs w:val="16"/>
          <w:color w:val="auto"/>
        </w:rPr>
        <w:t>Purchase commitments include obligations made by us and our subsidiaries to various suppliers for raw materials used in the production of our products. These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vary in terms, but are generally satisfied within one year.</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$5.0 million of unrecognized tax benefits have been recorded as liabilities as of December 31, 2018. It is expected that any change in the amount of unrecognized tax benefit within the next 12 months will not be significant. In addition, $0.9 million of potential penalties and interest have been recorded as liabilities as of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Policies and Pronouncements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Business Combinations </w:t>
      </w:r>
      <w:r>
        <w:rPr>
          <w:rFonts w:ascii="Times New Roman" w:cs="Times New Roman" w:eastAsia="Times New Roman" w:hAnsi="Times New Roman"/>
          <w:sz w:val="20"/>
          <w:szCs w:val="20"/>
          <w:color w:val="auto"/>
        </w:rPr>
        <w:t>– Business acquisitions are accounted for in accordance with Financial Accounting Standards Board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76" w:lineRule="exact"/>
        <w:rPr>
          <w:sz w:val="20"/>
          <w:szCs w:val="20"/>
          <w:color w:val="auto"/>
        </w:rPr>
      </w:pPr>
    </w:p>
    <w:p>
      <w:pPr>
        <w:jc w:val="both"/>
        <w:ind w:firstLine="702"/>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 of factors.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 and computer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 net tangible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 For the years ended December 31, 2018, 2017 and 2016 there were no impairments recorded.</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of trademarks that represent the Company’s exclusive ownership of the Monster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Energy®, </w:t>
      </w:r>
      <w:r>
        <w:rPr>
          <w:sz w:val="1"/>
          <w:szCs w:val="1"/>
          <w:color w:val="auto"/>
        </w:rPr>
        <w:drawing>
          <wp:inline distT="0" distB="0" distL="0" distR="0">
            <wp:extent cx="10287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Unleash the Beast!®, Monster Rehab®, Mutant®, Java Monster®, Monster Hydro®, Espresso Monster®, Caffé Monster</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Monster Energy Extra Strength Nitrous Technology®, Muscle Monster®, Punch Monster®, Juice Monster®, M3(stylized)®, BU®, Nalu®, NOS®, Full Throttle®, Burn®, Mother®, Ultra Energy®, Play® and Power Play(stylized)®, Gladiator®, Relentless®, Samurai®, Predator® and BPM® trademarks, all used in connection with the manufacture, sale and distribution of beverages. The Company also owns in its own right a number of other trademarks, flavors and formulas in the United States, as well as in a number of countries around the world. In addition, in 2016, we secured the intellectual property of our most important flavors for certain of our Monster Energy® Brand energy drinks in perpetuity.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intangibles with finite useful lives over their respective useful lives. For the years ended December 31, 2018, 2017 and 2016 there were no impairments recorded.</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Long-Lived Assets </w:t>
      </w:r>
      <w:r>
        <w:rPr>
          <w:rFonts w:ascii="Times New Roman" w:cs="Times New Roman" w:eastAsia="Times New Roman" w:hAnsi="Times New Roman"/>
          <w:sz w:val="20"/>
          <w:szCs w:val="20"/>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2018, 2017 and 2016, there were no impairment indicators identified. Long-lived assets held for sale are recorded at the lower of their carrying amount or fair value less cost to sell.</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2018, 2017 and 2016,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2018 have terms of three months or less. We do not enter into forward currency exchange contracts for speculation or trading purposes.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Company’s Monster Energy® Drinks segment generates net operating revenues by selling ready-to-drink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2018 or December 31, 2017.</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excludes from revenues all taxes assessed by a governmental authority that are imposed on the sale of its products and collected from customers.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Distribution expenses to transport the Company’s products, where applicable, and warehousing expense after manufacture are accounted for within operating expenses.</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0" w:lineRule="exact"/>
        <w:rPr>
          <w:sz w:val="20"/>
          <w:szCs w:val="20"/>
          <w:color w:val="auto"/>
        </w:rPr>
      </w:pPr>
    </w:p>
    <w:p>
      <w:pPr>
        <w:ind w:left="1280" w:hanging="300"/>
        <w:spacing w:after="0"/>
        <w:tabs>
          <w:tab w:leader="none" w:pos="1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20"/>
          <w:szCs w:val="20"/>
          <w:color w:val="auto"/>
        </w:rPr>
      </w:pPr>
    </w:p>
    <w:p>
      <w:pPr>
        <w:ind w:left="1300" w:hanging="320"/>
        <w:spacing w:after="0" w:line="239" w:lineRule="auto"/>
        <w:tabs>
          <w:tab w:leader="none" w:pos="140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Times New Roman" w:cs="Times New Roman" w:eastAsia="Times New Roman" w:hAnsi="Times New Roman"/>
          <w:sz w:val="20"/>
          <w:szCs w:val="20"/>
          <w:color w:val="auto"/>
        </w:rPr>
      </w:pPr>
    </w:p>
    <w:p>
      <w:pPr>
        <w:ind w:left="1300" w:hanging="320"/>
        <w:spacing w:after="0" w:line="239" w:lineRule="auto"/>
        <w:tabs>
          <w:tab w:leader="none" w:pos="131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w:t>
      </w:r>
    </w:p>
    <w:p>
      <w:pPr>
        <w:ind w:left="1300" w:hanging="320"/>
        <w:spacing w:after="0" w:line="239" w:lineRule="auto"/>
        <w:tabs>
          <w:tab w:leader="none" w:pos="131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ind w:left="1300" w:hanging="320"/>
        <w:spacing w:after="0" w:line="239" w:lineRule="auto"/>
        <w:tabs>
          <w:tab w:leader="none" w:pos="127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paid to TCCC based on our sales to the TCCC Subsidiaries and/or the TCCC Related Parties.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20 years.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also enters into license agreements that generate revenues associated with third-party sales of non-beverage products bearing our trademarks including, but not limited to, clothing, hats, t-shirts, jackets, helmets and automotive wheels.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flavors, concentrates and/or beverage bases, the costs of raw materials utilized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manufacture of beverages, co-packing fees, repacking fees, in-bound freight charges, as well as internal transfer costs, warehouse expenses incurred prior to the manufacture of the Company’s finished products and certain quality control costs. In addition,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 ASC 740.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5"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our extensive commercial arrangements with TCCC on our future performance;</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relationship risks associated with the arbitration with TCCC;</w:t>
      </w: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our arbitration proceedings with TCCC, including TCCC developing and distributing additional energy products;</w:t>
      </w:r>
    </w:p>
    <w:p>
      <w:pPr>
        <w:ind w:left="340" w:right="20" w:hanging="332"/>
        <w:spacing w:after="0" w:line="239" w:lineRule="auto"/>
        <w:tabs>
          <w:tab w:leader="none" w:pos="39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being one of our significant shareholders and the potential divergence of TCCC’s interests from those of our other shareholders;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4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slowing of and/or decline in the sales growth rates of the energy drink category and/or the U.S. convenience store market generally;</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3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inventory levels of our bottlers/distributors, planned or otherwise, and the resultant impact on our revenues;</w:t>
      </w:r>
    </w:p>
    <w:p>
      <w:pPr>
        <w:ind w:left="340" w:right="140" w:hanging="332"/>
        <w:spacing w:after="0" w:line="252" w:lineRule="auto"/>
        <w:tabs>
          <w:tab w:leader="none" w:pos="313"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jc w:val="both"/>
        <w:ind w:left="340" w:hanging="332"/>
        <w:spacing w:after="0" w:line="239" w:lineRule="auto"/>
        <w:tabs>
          <w:tab w:leader="none" w:pos="40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20"/>
          <w:szCs w:val="20"/>
          <w:color w:val="auto"/>
        </w:rPr>
      </w:pPr>
    </w:p>
    <w:p>
      <w:pPr>
        <w:ind w:left="340" w:hanging="332"/>
        <w:spacing w:after="0" w:line="246" w:lineRule="auto"/>
        <w:tabs>
          <w:tab w:leader="none" w:pos="38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regulations and evolving industry standards regarding consumer privacy and data use and security, including with respect to the General Data Protection Regulation approved by the European Union;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from certain of our operations outside the United States;</w:t>
      </w:r>
    </w:p>
    <w:p>
      <w:pPr>
        <w:spacing w:after="0" w:line="21" w:lineRule="exact"/>
        <w:rPr>
          <w:rFonts w:ascii="Times New Roman" w:cs="Times New Roman" w:eastAsia="Times New Roman" w:hAnsi="Times New Roman"/>
          <w:sz w:val="20"/>
          <w:szCs w:val="20"/>
          <w:color w:val="auto"/>
        </w:rPr>
      </w:pPr>
    </w:p>
    <w:p>
      <w:pPr>
        <w:ind w:left="340" w:hanging="332"/>
        <w:spacing w:after="0" w:line="239" w:lineRule="auto"/>
        <w:tabs>
          <w:tab w:leader="none" w:pos="4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our products in international markets in which they are sold, thereby reducing freight costs and/or product damages;</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absorb, reduce, or pass on to our bottlers/distributors increases in freight costs;</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340" w:hanging="332"/>
        <w:spacing w:after="0" w:line="239" w:lineRule="auto"/>
        <w:tabs>
          <w:tab w:leader="none" w:pos="37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Implications of the Tax Reform Act;</w:t>
      </w:r>
    </w:p>
    <w:p>
      <w:pPr>
        <w:ind w:left="340" w:right="320" w:hanging="332"/>
        <w:spacing w:after="0" w:line="239" w:lineRule="auto"/>
        <w:tabs>
          <w:tab w:leader="none" w:pos="30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or other governmental agencies or bodies;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42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other litigation;</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resolution of tax matters;</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and volatility in the domestic and global economies, including risk of counterparty default or failure;</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our expansion plans and general operating activities;</w:t>
      </w:r>
    </w:p>
    <w:p>
      <w:pPr>
        <w:jc w:val="both"/>
        <w:ind w:left="340" w:hanging="332"/>
        <w:spacing w:after="0" w:line="239" w:lineRule="auto"/>
        <w:tabs>
          <w:tab w:leader="none" w:pos="31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surrounding obesity and health concerns related to our products, water usage, environmental impact, human rights and labor and workplace laws;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related and/or for other reasons, including changes in product category consumption;</w:t>
      </w:r>
    </w:p>
    <w:p>
      <w:pPr>
        <w:ind w:left="340" w:hanging="332"/>
        <w:spacing w:after="0" w:line="239" w:lineRule="auto"/>
        <w:tabs>
          <w:tab w:leader="none" w:pos="39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cost and availability of certain key ingredients, as well as disruptions to the supply chain, as a result of climate change and extreme weather conditions;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41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competitive products and pricing pressures and our ability to gain or maintain our share of sales in the marketplace as a result of actions by competitors;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and/or maintain price increases;</w:t>
      </w: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ind w:left="340" w:hanging="332"/>
        <w:spacing w:after="0" w:line="239" w:lineRule="auto"/>
        <w:tabs>
          <w:tab w:leader="none" w:pos="4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and/or achieve growth for our Monster Energy® brand energy drinks and/or our other products, including the Strategic Brands acquired from TCCC;</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41" w:lineRule="auto"/>
        <w:tabs>
          <w:tab w:leader="none" w:pos="4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340" w:hanging="332"/>
        <w:spacing w:after="0" w:line="241" w:lineRule="auto"/>
        <w:tabs>
          <w:tab w:leader="none" w:pos="33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FD&amp;C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8" w:lineRule="exact"/>
        <w:rPr>
          <w:rFonts w:ascii="Times New Roman" w:cs="Times New Roman" w:eastAsia="Times New Roman" w:hAnsi="Times New Roman"/>
          <w:sz w:val="20"/>
          <w:szCs w:val="20"/>
          <w:color w:val="auto"/>
        </w:rPr>
      </w:pPr>
    </w:p>
    <w:p>
      <w:pPr>
        <w:jc w:val="both"/>
        <w:ind w:left="340" w:right="20" w:hanging="332"/>
        <w:spacing w:after="0" w:line="239" w:lineRule="auto"/>
        <w:tabs>
          <w:tab w:leader="none" w:pos="47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due to port strikes and related labor issues;</w:t>
      </w: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press, articles, comments and/or media attention;</w:t>
      </w:r>
    </w:p>
    <w:p>
      <w:pPr>
        <w:jc w:val="both"/>
        <w:ind w:left="340" w:right="20" w:hanging="332"/>
        <w:spacing w:after="0" w:line="239" w:lineRule="auto"/>
        <w:tabs>
          <w:tab w:leader="none" w:pos="33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4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shortages that may be experienced in the procurement of containers and/or other raw materials including, without limitation, PET containers used for our Monster Hydro® energy drinks and 24-ounce aluminum Cap Cans;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on our cost of sales of corporate activity among the limited number of suppliers from whom we purchase certain raw materials;</w:t>
      </w:r>
    </w:p>
    <w:p>
      <w:pPr>
        <w:spacing w:after="0" w:line="11" w:lineRule="exact"/>
        <w:rPr>
          <w:rFonts w:ascii="Times New Roman" w:cs="Times New Roman" w:eastAsia="Times New Roman" w:hAnsi="Times New Roman"/>
          <w:sz w:val="19"/>
          <w:szCs w:val="19"/>
          <w:color w:val="auto"/>
        </w:rPr>
      </w:pPr>
    </w:p>
    <w:p>
      <w:pPr>
        <w:ind w:left="340" w:hanging="332"/>
        <w:spacing w:after="0" w:line="239" w:lineRule="auto"/>
        <w:tabs>
          <w:tab w:leader="none" w:pos="33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41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6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or political instability in one or more of our international markets;</w:t>
      </w:r>
    </w:p>
    <w:p>
      <w:pPr>
        <w:ind w:left="340" w:right="20" w:hanging="332"/>
        <w:spacing w:after="0" w:line="239" w:lineRule="auto"/>
        <w:tabs>
          <w:tab w:leader="none" w:pos="4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9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retailer consolidation on our business;</w:t>
      </w: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sports marketing endeavors both domestically and internationally;</w:t>
      </w: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economic and political changes and local or international catastrophic events;</w:t>
      </w: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recalls of our products and/or defective production;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340" w:hanging="332"/>
        <w:spacing w:after="0" w:line="247" w:lineRule="auto"/>
        <w:tabs>
          <w:tab w:leader="none" w:pos="37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ind w:left="300" w:hanging="292"/>
        <w:spacing w:after="0"/>
        <w:tabs>
          <w:tab w:leader="none" w:pos="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340" w:hanging="332"/>
        <w:spacing w:after="0" w:line="239" w:lineRule="auto"/>
        <w:tabs>
          <w:tab w:leader="none" w:pos="34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 as well as negatively impact the motivation of equity award grantees;</w:t>
      </w:r>
    </w:p>
    <w:p>
      <w:pPr>
        <w:spacing w:after="0" w:line="1" w:lineRule="exact"/>
        <w:rPr>
          <w:rFonts w:ascii="Times New Roman" w:cs="Times New Roman" w:eastAsia="Times New Roman" w:hAnsi="Times New Roman"/>
          <w:sz w:val="20"/>
          <w:szCs w:val="20"/>
          <w:color w:val="auto"/>
        </w:rPr>
      </w:pPr>
    </w:p>
    <w:p>
      <w:pPr>
        <w:ind w:left="340" w:right="60" w:hanging="332"/>
        <w:spacing w:after="0" w:line="239" w:lineRule="auto"/>
        <w:tabs>
          <w:tab w:leader="none" w:pos="3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and/or contract packers to manufacture our products on a timely basis or at all;</w:t>
      </w:r>
    </w:p>
    <w:p>
      <w:pPr>
        <w:ind w:left="300" w:hanging="292"/>
        <w:spacing w:after="0"/>
        <w:tabs>
          <w:tab w:leader="none" w:pos="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w:t>
      </w:r>
    </w:p>
    <w:p>
      <w:pPr>
        <w:ind w:left="340" w:hanging="332"/>
        <w:spacing w:after="0" w:line="239" w:lineRule="auto"/>
        <w:tabs>
          <w:tab w:leader="none" w:pos="31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juice concentrates, increases in the price of aluminum for cans, as well as sugar and other sweeteners, glucose, sucrose, milk, cream, protein, coffee and tea, all of which are used in some or many of our products), 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use derivative financial instruments to protect ourselves from fluctuations in interest rates and generally do not hedge against fluctuations in commodity prices.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gross sales to customers outside of the United States were approximately 31% and 28% of consolidated gross sales for the years ended December 31, 2018 and 2017, respectively. Our growth strategy includes expanding our international business. As a result, we are subject to risks from changes in foreign currency exchange rates. During the year ended December 31, 2018,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2018 have terms of three months or less. We do not enter into forward currency exchange contracts for speculation or trading purposes.</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FASB ASC 815. Therefore, gains and losses on our foreign currency exchange contracts are recognized in other expense,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2018 to be significant.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of December 31, 2018, we had $637.5 million in cash and cash equivalents and $320.7 million in short-term investments including certificates of deposit, commercial paper, U.S. government agency securities, U.S. treasuries, variable rate demand notes and municipal securities (which may have an auction reset feature). Certain of these investments are subject to general credit, liquidity, market and interest rate risks.</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to be furnished in response to this Item 8 follows the signature page and Index to Exhibits hereto at pages 72 through 115.</w:t>
      </w:r>
    </w:p>
    <w:p>
      <w:pPr>
        <w:spacing w:after="0" w:line="156" w:lineRule="exact"/>
        <w:rPr>
          <w:sz w:val="20"/>
          <w:szCs w:val="20"/>
          <w:color w:val="auto"/>
        </w:rPr>
      </w:pPr>
    </w:p>
    <w:p>
      <w:pPr>
        <w:ind w:right="1080"/>
        <w:spacing w:after="0" w:line="27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Evaluation of Disclosure Controls and Procedures </w:t>
      </w:r>
      <w:r>
        <w:rPr>
          <w:rFonts w:ascii="Times New Roman" w:cs="Times New Roman" w:eastAsia="Times New Roman" w:hAnsi="Times New Roman"/>
          <w:sz w:val="19"/>
          <w:szCs w:val="19"/>
          <w:color w:val="auto"/>
        </w:rPr>
        <w:t>– Under the supervision and with the participation of the Company’s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w:t>
      </w:r>
    </w:p>
    <w:p>
      <w:pPr>
        <w:spacing w:after="0" w:line="4" w:lineRule="exact"/>
        <w:rPr>
          <w:sz w:val="20"/>
          <w:szCs w:val="20"/>
          <w:color w:val="auto"/>
        </w:rPr>
      </w:pPr>
    </w:p>
    <w:p>
      <w:pPr>
        <w:jc w:val="both"/>
        <w:ind w:right="20" w:firstLine="8"/>
        <w:spacing w:after="0" w:line="242" w:lineRule="auto"/>
        <w:tabs>
          <w:tab w:leader="none" w:pos="29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8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color w:val="auto"/>
        </w:rPr>
        <w:t>– Our management is responsible for establishing and maintaining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2018, based on the framework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management’s evaluation under the framework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our management concluded that our internal control over financial reporting was effective as of December 31, 2018.</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internal control over financial reporting as of December 31, 2018, has been audited by Deloitte &amp; Touche LLP, an independent registered public accounting firm, as stated in their attestation report, which is included herein.</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December 31, 2018, that have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Monster Beverage Corporation</w:t>
      </w:r>
    </w:p>
    <w:p>
      <w:pPr>
        <w:spacing w:after="0"/>
        <w:rPr>
          <w:sz w:val="20"/>
          <w:szCs w:val="20"/>
          <w:color w:val="auto"/>
        </w:rPr>
      </w:pPr>
      <w:r>
        <w:rPr>
          <w:rFonts w:ascii="Times New Roman" w:cs="Times New Roman" w:eastAsia="Times New Roman" w:hAnsi="Times New Roman"/>
          <w:sz w:val="19"/>
          <w:szCs w:val="19"/>
          <w:color w:val="auto"/>
        </w:rPr>
        <w:t>Corona, California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218"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Monster Beverage Corporation and subsidiaries (the “Company”) as of December 31, 2018, based on criteria established in </w:t>
      </w:r>
      <w:r>
        <w:rPr>
          <w:rFonts w:ascii="Times New Roman" w:cs="Times New Roman" w:eastAsia="Times New Roman" w:hAnsi="Times New Roman"/>
          <w:sz w:val="19"/>
          <w:szCs w:val="19"/>
          <w:i w:val="1"/>
          <w:iCs w:val="1"/>
          <w:color w:val="auto"/>
        </w:rPr>
        <w:t>Internal Control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COSO.</w:t>
      </w:r>
    </w:p>
    <w:p>
      <w:pPr>
        <w:spacing w:after="0" w:line="185"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(“PCAOB”), the consolidated financial statements and financial statement schedule as of and for the year ended December 31, 2018, of the Company and our report dated February 28, 2019, expressed an unqualified opinion on those financial statements and financial statement schedule.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18"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ind w:firstLine="396"/>
        <w:spacing w:after="0" w:line="24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18"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Costa Mesa, California</w:t>
      </w:r>
    </w:p>
    <w:p>
      <w:pPr>
        <w:spacing w:after="0"/>
        <w:rPr>
          <w:sz w:val="20"/>
          <w:szCs w:val="20"/>
          <w:color w:val="auto"/>
        </w:rPr>
      </w:pPr>
      <w:r>
        <w:rPr>
          <w:rFonts w:ascii="Times New Roman" w:cs="Times New Roman" w:eastAsia="Times New Roman" w:hAnsi="Times New Roman"/>
          <w:sz w:val="19"/>
          <w:szCs w:val="19"/>
          <w:color w:val="auto"/>
        </w:rPr>
        <w:t>February 28, 2019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February 26, 2019, our Board of Directors authorized a new share repurchase program for the purchase of up to $500.0 million of the Company’s outstanding common stock (the “February 2019 Repurchase Plan”). As of February 26, 2019, $20.6 million remained available for grant under the August 2018 Repurchase Plan. The aggregate amount available to repurchase the Company’s common stock is currently $520.6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regarding our directors is included under the caption “Proposal One – Election of Directors” in our Proxy Statement for our 2019 Annual Meeting of Stockholders to be filed with the SEC within 120 days after the end of the fiscal year ended December 31, 2018 (the “2019 Proxy Statement”) and is incorporated herein by reference.</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compliance with Section 16(a) of the Exchange Act is included under the caption “Section 16(a) Beneficial Ownership Reporting Compliance” in our 2019 Proxy Statement and is incorporated herein by reference.</w:t>
      </w:r>
    </w:p>
    <w:p>
      <w:pPr>
        <w:spacing w:after="0" w:line="160"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19"/>
          <w:szCs w:val="19"/>
          <w:color w:val="auto"/>
        </w:rPr>
        <w:t>Information concerning the Audit Committee and the Audit Committee Financial Expert is reported under the caption “Audit Committee; Report of the Audit Committee; Duties and Responsibilities” in our 2019 Proxy Statement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The Code of Business Conduct and Ethics and any amendment thereto, as well as any waivers that are required to be disclosed by the rules of the SEC or NASDAQ, may be obtained at </w:t>
      </w:r>
      <w:r>
        <w:rPr>
          <w:rFonts w:ascii="Times New Roman" w:cs="Times New Roman" w:eastAsia="Times New Roman" w:hAnsi="Times New Roman"/>
          <w:sz w:val="20"/>
          <w:szCs w:val="20"/>
          <w:u w:val="single" w:color="auto"/>
          <w:color w:val="auto"/>
        </w:rPr>
        <w:t>http://investors.monsterbevcorp.com/governance.cfm</w:t>
      </w:r>
      <w:r>
        <w:rPr>
          <w:rFonts w:ascii="Times New Roman" w:cs="Times New Roman" w:eastAsia="Times New Roman" w:hAnsi="Times New Roman"/>
          <w:sz w:val="20"/>
          <w:szCs w:val="20"/>
          <w:color w:val="auto"/>
        </w:rPr>
        <w:t xml:space="preserve"> or at no cost to you by writing or telephoning us at the following address or telephone number: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5580" w:hanging="484"/>
        <w:spacing w:after="0"/>
        <w:tabs>
          <w:tab w:leader="none" w:pos="5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5580" w:hanging="484"/>
        <w:spacing w:after="0"/>
        <w:tabs>
          <w:tab w:leader="none" w:pos="5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1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2019 Proxy Statement and is incorporated herein by reference.</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disclosure set forth in Item 5, “Market for the Registrant’s Common Equity, Related Stockholder Matters and Issuer Repurchases of Equity Securities”, of this report is incorporated herein.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ind w:firstLine="8"/>
        <w:spacing w:after="0" w:line="271" w:lineRule="auto"/>
        <w:tabs>
          <w:tab w:leader="none" w:pos="27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executive officers and all of the Company’s current directors and executive officers as a group is reported under the caption “Principal Stockholders and Security Ownership of Management” in our 2019 Proxy Statement and is incorporated herein by reference.</w:t>
      </w:r>
    </w:p>
    <w:p>
      <w:pPr>
        <w:spacing w:after="0" w:line="15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certain relationships and related transactions is reported under the caption “Certain Relationships and Related Transactions and Director Independence” in our 2019 Proxy Statement and is incorporated herein by reference.</w:t>
      </w:r>
    </w:p>
    <w:p>
      <w:pPr>
        <w:spacing w:after="0" w:line="15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2019 Proxy Statement and is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20" w:type="dxa"/>
            <w:vAlign w:val="bottom"/>
          </w:tcPr>
          <w:p>
            <w:pPr>
              <w:spacing w:after="0"/>
              <w:rPr>
                <w:sz w:val="22"/>
                <w:szCs w:val="22"/>
                <w:color w:val="auto"/>
              </w:rPr>
            </w:pPr>
          </w:p>
        </w:tc>
        <w:tc>
          <w:tcPr>
            <w:tcW w:w="7820" w:type="dxa"/>
            <w:vAlign w:val="bottom"/>
            <w:gridSpan w:val="2"/>
          </w:tcPr>
          <w:p>
            <w:pPr>
              <w:ind w:left="430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580" w:type="dxa"/>
            <w:vAlign w:val="bottom"/>
          </w:tcPr>
          <w:p>
            <w:pPr>
              <w:spacing w:after="0"/>
              <w:rPr>
                <w:sz w:val="22"/>
                <w:szCs w:val="22"/>
                <w:color w:val="auto"/>
              </w:rPr>
            </w:pPr>
          </w:p>
        </w:tc>
      </w:tr>
      <w:tr>
        <w:trPr>
          <w:trHeight w:val="446"/>
        </w:trPr>
        <w:tc>
          <w:tcPr>
            <w:tcW w:w="102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ITEM 15.</w:t>
            </w:r>
          </w:p>
        </w:tc>
        <w:tc>
          <w:tcPr>
            <w:tcW w:w="78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EXHIBITS AND FINANCIAL STATEMENT SCHEDULES</w:t>
            </w:r>
          </w:p>
        </w:tc>
        <w:tc>
          <w:tcPr>
            <w:tcW w:w="2580" w:type="dxa"/>
            <w:vAlign w:val="bottom"/>
          </w:tcPr>
          <w:p>
            <w:pPr>
              <w:spacing w:after="0"/>
              <w:rPr>
                <w:sz w:val="24"/>
                <w:szCs w:val="24"/>
                <w:color w:val="auto"/>
              </w:rPr>
            </w:pPr>
          </w:p>
        </w:tc>
      </w:tr>
      <w:tr>
        <w:trPr>
          <w:trHeight w:val="446"/>
        </w:trPr>
        <w:tc>
          <w:tcPr>
            <w:tcW w:w="102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(a)</w:t>
            </w:r>
          </w:p>
        </w:tc>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documents are filed as a part of this Form 10-K:</w:t>
            </w:r>
          </w:p>
        </w:tc>
        <w:tc>
          <w:tcPr>
            <w:tcW w:w="258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7820" w:type="dxa"/>
            <w:vAlign w:val="bottom"/>
            <w:gridSpan w:val="2"/>
          </w:tcPr>
          <w:p>
            <w:pPr>
              <w:spacing w:after="0"/>
              <w:rPr>
                <w:rFonts w:ascii="Times New Roman" w:cs="Times New Roman" w:eastAsia="Times New Roman" w:hAnsi="Times New Roman"/>
                <w:sz w:val="20"/>
                <w:szCs w:val="20"/>
                <w:color w:val="0000EE"/>
              </w:rPr>
            </w:pPr>
            <w:hyperlink w:anchor="page72">
              <w:r>
                <w:rPr>
                  <w:rFonts w:ascii="Times New Roman" w:cs="Times New Roman" w:eastAsia="Times New Roman" w:hAnsi="Times New Roman"/>
                  <w:sz w:val="20"/>
                  <w:szCs w:val="20"/>
                  <w:color w:val="0000EE"/>
                </w:rPr>
                <w:t>Report of Independent Registered Public Accounting Firm</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465"/>
        </w:trPr>
        <w:tc>
          <w:tcPr>
            <w:tcW w:w="1020" w:type="dxa"/>
            <w:vAlign w:val="bottom"/>
          </w:tcPr>
          <w:p>
            <w:pPr>
              <w:spacing w:after="0"/>
              <w:rPr>
                <w:sz w:val="24"/>
                <w:szCs w:val="24"/>
                <w:color w:val="auto"/>
              </w:rPr>
            </w:pPr>
          </w:p>
        </w:tc>
        <w:tc>
          <w:tcPr>
            <w:tcW w:w="46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31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5120" w:type="dxa"/>
            <w:vAlign w:val="bottom"/>
            <w:tcBorders>
              <w:bottom w:val="single" w:sz="8" w:color="0000EE"/>
            </w:tcBorders>
            <w:gridSpan w:val="3"/>
          </w:tcPr>
          <w:p>
            <w:pPr>
              <w:spacing w:after="0" w:line="190" w:lineRule="exact"/>
              <w:rPr>
                <w:rFonts w:ascii="Times New Roman" w:cs="Times New Roman" w:eastAsia="Times New Roman" w:hAnsi="Times New Roman"/>
                <w:sz w:val="20"/>
                <w:szCs w:val="20"/>
                <w:color w:val="0000EE"/>
                <w:w w:val="98"/>
              </w:rPr>
            </w:pPr>
            <w:hyperlink w:anchor="page73">
              <w:r>
                <w:rPr>
                  <w:rFonts w:ascii="Times New Roman" w:cs="Times New Roman" w:eastAsia="Times New Roman" w:hAnsi="Times New Roman"/>
                  <w:sz w:val="20"/>
                  <w:szCs w:val="20"/>
                  <w:color w:val="0000EE"/>
                  <w:w w:val="98"/>
                </w:rPr>
                <w:t>Consolidated Balance Sheets as of December 31, 2018 and 2017</w:t>
              </w:r>
            </w:hyperlink>
          </w:p>
        </w:tc>
        <w:tc>
          <w:tcPr>
            <w:tcW w:w="4080" w:type="dxa"/>
            <w:vAlign w:val="bottom"/>
            <w:gridSpan w:val="5"/>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200" w:type="dxa"/>
            <w:vAlign w:val="bottom"/>
            <w:gridSpan w:val="8"/>
          </w:tcPr>
          <w:p>
            <w:pPr>
              <w:spacing w:after="0" w:line="209" w:lineRule="exact"/>
              <w:rPr>
                <w:rFonts w:ascii="Times New Roman" w:cs="Times New Roman" w:eastAsia="Times New Roman" w:hAnsi="Times New Roman"/>
                <w:sz w:val="20"/>
                <w:szCs w:val="20"/>
                <w:color w:val="0000EE"/>
              </w:rPr>
            </w:pPr>
            <w:hyperlink w:anchor="page74">
              <w:r>
                <w:rPr>
                  <w:rFonts w:ascii="Times New Roman" w:cs="Times New Roman" w:eastAsia="Times New Roman" w:hAnsi="Times New Roman"/>
                  <w:sz w:val="20"/>
                  <w:szCs w:val="20"/>
                  <w:color w:val="0000EE"/>
                </w:rPr>
                <w:t>Consolidated Statements of Income for the years ended December 31, 2018, 2017 and 2016</w:t>
              </w:r>
            </w:hyperlink>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560" w:type="dxa"/>
            <w:vAlign w:val="bottom"/>
            <w:tcBorders>
              <w:bottom w:val="single" w:sz="8" w:color="0000EE"/>
            </w:tcBorders>
            <w:gridSpan w:val="7"/>
          </w:tcPr>
          <w:p>
            <w:pPr>
              <w:spacing w:after="0" w:line="209" w:lineRule="exact"/>
              <w:rPr>
                <w:rFonts w:ascii="Times New Roman" w:cs="Times New Roman" w:eastAsia="Times New Roman" w:hAnsi="Times New Roman"/>
                <w:sz w:val="20"/>
                <w:szCs w:val="20"/>
                <w:color w:val="0000EE"/>
                <w:w w:val="98"/>
              </w:rPr>
            </w:pPr>
            <w:hyperlink w:anchor="page75">
              <w:r>
                <w:rPr>
                  <w:rFonts w:ascii="Times New Roman" w:cs="Times New Roman" w:eastAsia="Times New Roman" w:hAnsi="Times New Roman"/>
                  <w:sz w:val="20"/>
                  <w:szCs w:val="20"/>
                  <w:color w:val="0000EE"/>
                  <w:w w:val="98"/>
                </w:rPr>
                <w:t>Consolidated Statements of Comprehensive Income for the years ended December 31, 2018, 2017 and 2016</w:t>
              </w:r>
            </w:hyperlink>
          </w:p>
        </w:tc>
        <w:tc>
          <w:tcPr>
            <w:tcW w:w="6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200" w:type="dxa"/>
            <w:vAlign w:val="bottom"/>
            <w:gridSpan w:val="8"/>
          </w:tcPr>
          <w:p>
            <w:pPr>
              <w:spacing w:after="0" w:line="209" w:lineRule="exact"/>
              <w:rPr>
                <w:rFonts w:ascii="Times New Roman" w:cs="Times New Roman" w:eastAsia="Times New Roman" w:hAnsi="Times New Roman"/>
                <w:sz w:val="20"/>
                <w:szCs w:val="20"/>
                <w:color w:val="0000EE"/>
              </w:rPr>
            </w:pPr>
            <w:hyperlink w:anchor="page76">
              <w:r>
                <w:rPr>
                  <w:rFonts w:ascii="Times New Roman" w:cs="Times New Roman" w:eastAsia="Times New Roman" w:hAnsi="Times New Roman"/>
                  <w:sz w:val="20"/>
                  <w:szCs w:val="20"/>
                  <w:color w:val="0000EE"/>
                </w:rPr>
                <w:t>Consolidated Statements of Stockholders’ Equity for the years ended December 31, 2018, 2017 and 2016</w:t>
              </w:r>
            </w:hyperlink>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5"/>
          </w:tcPr>
          <w:p>
            <w:pPr>
              <w:spacing w:after="0" w:line="209" w:lineRule="exact"/>
              <w:rPr>
                <w:rFonts w:ascii="Times New Roman" w:cs="Times New Roman" w:eastAsia="Times New Roman" w:hAnsi="Times New Roman"/>
                <w:sz w:val="20"/>
                <w:szCs w:val="20"/>
                <w:color w:val="0000EE"/>
                <w:w w:val="98"/>
              </w:rPr>
            </w:pPr>
            <w:hyperlink w:anchor="page77">
              <w:r>
                <w:rPr>
                  <w:rFonts w:ascii="Times New Roman" w:cs="Times New Roman" w:eastAsia="Times New Roman" w:hAnsi="Times New Roman"/>
                  <w:sz w:val="20"/>
                  <w:szCs w:val="20"/>
                  <w:color w:val="0000EE"/>
                  <w:w w:val="98"/>
                </w:rPr>
                <w:t>Consolidated Statements of Cash Flows for the years ended December 31, 2018, 2017 and 2016</w:t>
              </w:r>
            </w:hyperlink>
          </w:p>
        </w:tc>
        <w:tc>
          <w:tcPr>
            <w:tcW w:w="740" w:type="dxa"/>
            <w:vAlign w:val="bottom"/>
            <w:tcBorders>
              <w:top w:val="single" w:sz="8" w:color="0000EE"/>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200" w:type="dxa"/>
            <w:vAlign w:val="bottom"/>
            <w:gridSpan w:val="8"/>
          </w:tcPr>
          <w:p>
            <w:pPr>
              <w:spacing w:after="0" w:line="209" w:lineRule="exact"/>
              <w:rPr>
                <w:rFonts w:ascii="Times New Roman" w:cs="Times New Roman" w:eastAsia="Times New Roman" w:hAnsi="Times New Roman"/>
                <w:sz w:val="20"/>
                <w:szCs w:val="20"/>
                <w:color w:val="0000EE"/>
              </w:rPr>
            </w:pPr>
            <w:hyperlink w:anchor="page79">
              <w:r>
                <w:rPr>
                  <w:rFonts w:ascii="Times New Roman" w:cs="Times New Roman" w:eastAsia="Times New Roman" w:hAnsi="Times New Roman"/>
                  <w:sz w:val="20"/>
                  <w:szCs w:val="20"/>
                  <w:color w:val="0000EE"/>
                </w:rPr>
                <w:t>Notes to Consolidated Financial Statements</w:t>
              </w:r>
            </w:hyperlink>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9460" w:type="dxa"/>
            <w:vAlign w:val="bottom"/>
            <w:gridSpan w:val="9"/>
          </w:tcPr>
          <w:p>
            <w:pPr>
              <w:spacing w:after="0"/>
              <w:rPr>
                <w:rFonts w:ascii="Times New Roman" w:cs="Times New Roman" w:eastAsia="Times New Roman" w:hAnsi="Times New Roman"/>
                <w:sz w:val="20"/>
                <w:szCs w:val="20"/>
                <w:color w:val="0000EE"/>
              </w:rPr>
            </w:pPr>
            <w:hyperlink w:anchor="page115">
              <w:r>
                <w:rPr>
                  <w:rFonts w:ascii="Times New Roman" w:cs="Times New Roman" w:eastAsia="Times New Roman" w:hAnsi="Times New Roman"/>
                  <w:sz w:val="20"/>
                  <w:szCs w:val="20"/>
                  <w:color w:val="0000EE"/>
                </w:rPr>
                <w:t>Financial Statement Schedule:</w:t>
              </w:r>
            </w:hyperlink>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260" w:type="dxa"/>
            <w:vAlign w:val="bottom"/>
            <w:tcBorders>
              <w:bottom w:val="single" w:sz="8" w:color="0000EE"/>
            </w:tcBorders>
            <w:gridSpan w:val="4"/>
          </w:tcPr>
          <w:p>
            <w:pPr>
              <w:spacing w:after="0" w:line="209" w:lineRule="exact"/>
              <w:rPr>
                <w:rFonts w:ascii="Times New Roman" w:cs="Times New Roman" w:eastAsia="Times New Roman" w:hAnsi="Times New Roman"/>
                <w:sz w:val="20"/>
                <w:szCs w:val="20"/>
                <w:color w:val="0000EE"/>
                <w:w w:val="98"/>
              </w:rPr>
            </w:pPr>
            <w:hyperlink w:anchor="page115">
              <w:r>
                <w:rPr>
                  <w:rFonts w:ascii="Times New Roman" w:cs="Times New Roman" w:eastAsia="Times New Roman" w:hAnsi="Times New Roman"/>
                  <w:sz w:val="20"/>
                  <w:szCs w:val="20"/>
                  <w:color w:val="0000EE"/>
                  <w:w w:val="98"/>
                </w:rPr>
                <w:t>Valuation and Qualifying Accounts for the years ended December 31, 2018, 2017 and 2016</w:t>
              </w:r>
            </w:hyperlink>
          </w:p>
        </w:tc>
        <w:tc>
          <w:tcPr>
            <w:tcW w:w="1940" w:type="dxa"/>
            <w:vAlign w:val="bottom"/>
            <w:gridSpan w:val="4"/>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Exhibits:</w:t>
      </w:r>
    </w:p>
    <w:p>
      <w:pPr>
        <w:spacing w:after="0" w:line="22" w:lineRule="exact"/>
        <w:rPr>
          <w:sz w:val="20"/>
          <w:szCs w:val="20"/>
          <w:color w:val="auto"/>
        </w:rPr>
      </w:pPr>
    </w:p>
    <w:p>
      <w:pPr>
        <w:ind w:left="1280" w:right="1620"/>
        <w:spacing w:after="0" w:line="246" w:lineRule="auto"/>
        <w:rPr>
          <w:sz w:val="20"/>
          <w:szCs w:val="20"/>
          <w:color w:val="auto"/>
        </w:rPr>
      </w:pPr>
      <w:r>
        <w:rPr>
          <w:rFonts w:ascii="Times New Roman" w:cs="Times New Roman" w:eastAsia="Times New Roman" w:hAnsi="Times New Roman"/>
          <w:sz w:val="20"/>
          <w:szCs w:val="20"/>
          <w:color w:val="auto"/>
        </w:rPr>
        <w:t>The Exhibits listed in the Index of Exhibits, which appears immediately preceding the signature page and is incorporated herein by reference, as filed as part of this Form 10-K.</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2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tbl>
      <w:tblPr>
        <w:tblLayout w:type="fixed"/>
        <w:tblInd w:w="0" w:type="dxa"/>
        <w:tblCellMar>
          <w:top w:w="0" w:type="dxa"/>
          <w:left w:w="0" w:type="dxa"/>
          <w:bottom w:w="0" w:type="dxa"/>
          <w:right w:w="0" w:type="dxa"/>
        </w:tblCellMar>
      </w:tblPr>
      <w:tr>
        <w:trPr>
          <w:trHeight w:val="178"/>
        </w:trPr>
        <w:tc>
          <w:tcPr>
            <w:tcW w:w="40" w:type="dxa"/>
            <w:vAlign w:val="bottom"/>
            <w:tcBorders>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top w:val="single" w:sz="8" w:color="auto"/>
            </w:tcBorders>
          </w:tcPr>
          <w:p>
            <w:pPr>
              <w:spacing w:after="0"/>
              <w:rPr>
                <w:sz w:val="15"/>
                <w:szCs w:val="15"/>
                <w:color w:val="auto"/>
              </w:rPr>
            </w:pPr>
          </w:p>
        </w:tc>
        <w:tc>
          <w:tcPr>
            <w:tcW w:w="8880" w:type="dxa"/>
            <w:vAlign w:val="bottom"/>
            <w:tcBorders>
              <w:top w:val="single" w:sz="8" w:color="auto"/>
              <w:bottom w:val="single" w:sz="8" w:color="0000EE"/>
            </w:tcBorders>
            <w:gridSpan w:val="13"/>
          </w:tcPr>
          <w:p>
            <w:pPr>
              <w:spacing w:after="0" w:line="178" w:lineRule="exact"/>
              <w:rPr>
                <w:rFonts w:ascii="Times New Roman" w:cs="Times New Roman" w:eastAsia="Times New Roman" w:hAnsi="Times New Roman"/>
                <w:sz w:val="20"/>
                <w:szCs w:val="20"/>
                <w:color w:val="0000EE"/>
                <w:w w:val="98"/>
              </w:rPr>
            </w:pPr>
            <w:hyperlink r:id="rId81">
              <w:r>
                <w:rPr>
                  <w:rFonts w:ascii="Times New Roman" w:cs="Times New Roman" w:eastAsia="Times New Roman" w:hAnsi="Times New Roman"/>
                  <w:sz w:val="20"/>
                  <w:szCs w:val="20"/>
                  <w:color w:val="0000EE"/>
                  <w:w w:val="98"/>
                </w:rPr>
                <w:t>Transaction Agreement, dated as of August 14, 2014, by and among Monster Beverage Corporation, New Laser</w:t>
              </w:r>
            </w:hyperlink>
          </w:p>
        </w:tc>
        <w:tc>
          <w:tcPr>
            <w:tcW w:w="1100" w:type="dxa"/>
            <w:vAlign w:val="bottom"/>
            <w:tcBorders>
              <w:top w:val="single" w:sz="8" w:color="auto"/>
              <w:right w:val="single" w:sz="8" w:color="auto"/>
            </w:tcBorders>
            <w:gridSpan w:val="15"/>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60" w:type="dxa"/>
            <w:vAlign w:val="bottom"/>
            <w:tcBorders>
              <w:bottom w:val="single" w:sz="8" w:color="0000EE"/>
            </w:tcBorders>
            <w:gridSpan w:val="26"/>
          </w:tcPr>
          <w:p>
            <w:pPr>
              <w:spacing w:after="0" w:line="209" w:lineRule="exact"/>
              <w:rPr>
                <w:rFonts w:ascii="Times New Roman" w:cs="Times New Roman" w:eastAsia="Times New Roman" w:hAnsi="Times New Roman"/>
                <w:sz w:val="20"/>
                <w:szCs w:val="20"/>
                <w:color w:val="0000EE"/>
                <w:w w:val="98"/>
              </w:rPr>
            </w:pPr>
            <w:hyperlink r:id="rId81">
              <w:r>
                <w:rPr>
                  <w:rFonts w:ascii="Times New Roman" w:cs="Times New Roman" w:eastAsia="Times New Roman" w:hAnsi="Times New Roman"/>
                  <w:sz w:val="20"/>
                  <w:szCs w:val="20"/>
                  <w:color w:val="0000EE"/>
                  <w:w w:val="98"/>
                </w:rPr>
                <w:t>Corporation, New Laser Merger Corp, The Coca-Cola Company and European Refreshments (incorporated by reference to</w:t>
              </w:r>
            </w:hyperlink>
          </w:p>
        </w:tc>
        <w:tc>
          <w:tcPr>
            <w:tcW w:w="22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1">
              <w:r>
                <w:rPr>
                  <w:rFonts w:ascii="Times New Roman" w:cs="Times New Roman" w:eastAsia="Times New Roman" w:hAnsi="Times New Roman"/>
                  <w:sz w:val="20"/>
                  <w:szCs w:val="20"/>
                  <w:color w:val="0000EE"/>
                </w:rPr>
                <w:t>Exhibit 2.1 to our Form 8-K dated August 18, 2014).</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15"/>
                <w:szCs w:val="15"/>
                <w:color w:val="auto"/>
              </w:rPr>
            </w:pPr>
          </w:p>
        </w:tc>
        <w:tc>
          <w:tcPr>
            <w:tcW w:w="9580" w:type="dxa"/>
            <w:vAlign w:val="bottom"/>
            <w:tcBorders>
              <w:bottom w:val="single" w:sz="8" w:color="0000EE"/>
            </w:tcBorders>
            <w:gridSpan w:val="21"/>
          </w:tcPr>
          <w:p>
            <w:pPr>
              <w:spacing w:after="0" w:line="183" w:lineRule="exact"/>
              <w:rPr>
                <w:rFonts w:ascii="Times New Roman" w:cs="Times New Roman" w:eastAsia="Times New Roman" w:hAnsi="Times New Roman"/>
                <w:sz w:val="20"/>
                <w:szCs w:val="20"/>
                <w:color w:val="0000EE"/>
                <w:w w:val="98"/>
              </w:rPr>
            </w:pPr>
            <w:hyperlink r:id="rId82">
              <w:r>
                <w:rPr>
                  <w:rFonts w:ascii="Times New Roman" w:cs="Times New Roman" w:eastAsia="Times New Roman" w:hAnsi="Times New Roman"/>
                  <w:sz w:val="20"/>
                  <w:szCs w:val="20"/>
                  <w:color w:val="0000EE"/>
                  <w:w w:val="98"/>
                </w:rPr>
                <w:t>Amendment to Transaction Agreement, dated as of March 16, 2018, by and among Monster Beverage Corporation, New</w:t>
              </w:r>
            </w:hyperlink>
          </w:p>
        </w:tc>
        <w:tc>
          <w:tcPr>
            <w:tcW w:w="400" w:type="dxa"/>
            <w:vAlign w:val="bottom"/>
            <w:tcBorders>
              <w:right w:val="single" w:sz="8" w:color="auto"/>
            </w:tcBorders>
            <w:gridSpan w:val="7"/>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20" w:type="dxa"/>
            <w:vAlign w:val="bottom"/>
            <w:tcBorders>
              <w:bottom w:val="single" w:sz="8" w:color="0000EE"/>
            </w:tcBorders>
            <w:gridSpan w:val="17"/>
          </w:tcPr>
          <w:p>
            <w:pPr>
              <w:spacing w:after="0" w:line="209" w:lineRule="exact"/>
              <w:rPr>
                <w:rFonts w:ascii="Times New Roman" w:cs="Times New Roman" w:eastAsia="Times New Roman" w:hAnsi="Times New Roman"/>
                <w:sz w:val="20"/>
                <w:szCs w:val="20"/>
                <w:color w:val="0000EE"/>
                <w:w w:val="98"/>
              </w:rPr>
            </w:pPr>
            <w:hyperlink r:id="rId82">
              <w:r>
                <w:rPr>
                  <w:rFonts w:ascii="Times New Roman" w:cs="Times New Roman" w:eastAsia="Times New Roman" w:hAnsi="Times New Roman"/>
                  <w:sz w:val="20"/>
                  <w:szCs w:val="20"/>
                  <w:color w:val="0000EE"/>
                  <w:w w:val="98"/>
                </w:rPr>
                <w:t>Laser Corporation, New Laser Merger Corp., The Coca-Cola Company and European Refreshments (incorporated by</w:t>
              </w:r>
            </w:hyperlink>
          </w:p>
        </w:tc>
        <w:tc>
          <w:tcPr>
            <w:tcW w:w="660" w:type="dxa"/>
            <w:vAlign w:val="bottom"/>
            <w:tcBorders>
              <w:right w:val="single" w:sz="8" w:color="auto"/>
            </w:tcBorders>
            <w:gridSpan w:val="11"/>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2">
              <w:r>
                <w:rPr>
                  <w:rFonts w:ascii="Times New Roman" w:cs="Times New Roman" w:eastAsia="Times New Roman" w:hAnsi="Times New Roman"/>
                  <w:sz w:val="20"/>
                  <w:szCs w:val="20"/>
                  <w:color w:val="0000EE"/>
                </w:rPr>
                <w:t>reference to Exhibit 2.1 to our Form 8-K dated March 20, 2018).</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83">
              <w:r>
                <w:rPr>
                  <w:rFonts w:ascii="Times New Roman" w:cs="Times New Roman" w:eastAsia="Times New Roman" w:hAnsi="Times New Roman"/>
                  <w:sz w:val="20"/>
                  <w:szCs w:val="20"/>
                  <w:color w:val="0000EE"/>
                </w:rPr>
                <w:t>Asset Transfer Agreement, dated as of August 14, 2014, by and among Monster Beverage Corporation, New Laser</w:t>
              </w:r>
            </w:hyperlink>
          </w:p>
        </w:tc>
        <w:tc>
          <w:tcPr>
            <w:tcW w:w="140" w:type="dxa"/>
            <w:vAlign w:val="bottom"/>
          </w:tcPr>
          <w:p>
            <w:pPr>
              <w:spacing w:after="0"/>
              <w:rPr>
                <w:sz w:val="15"/>
                <w:szCs w:val="15"/>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3">
              <w:r>
                <w:rPr>
                  <w:rFonts w:ascii="Times New Roman" w:cs="Times New Roman" w:eastAsia="Times New Roman" w:hAnsi="Times New Roman"/>
                  <w:sz w:val="20"/>
                  <w:szCs w:val="20"/>
                  <w:color w:val="0000EE"/>
                </w:rPr>
                <w:t>Corporation and The Coca-Cola Company Refreshments (incorporated by reference to Exhibit 2.2 to our Form 8-K dated</w:t>
              </w:r>
            </w:hyperlink>
          </w:p>
        </w:tc>
        <w:tc>
          <w:tcPr>
            <w:tcW w:w="140" w:type="dxa"/>
            <w:vAlign w:val="bottom"/>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tcBorders>
              <w:top w:val="single" w:sz="8" w:color="0000EE"/>
            </w:tcBorders>
            <w:gridSpan w:val="23"/>
          </w:tcPr>
          <w:p>
            <w:pPr>
              <w:spacing w:after="0" w:line="209" w:lineRule="exact"/>
              <w:rPr>
                <w:rFonts w:ascii="Times New Roman" w:cs="Times New Roman" w:eastAsia="Times New Roman" w:hAnsi="Times New Roman"/>
                <w:sz w:val="20"/>
                <w:szCs w:val="20"/>
                <w:color w:val="0000EE"/>
              </w:rPr>
            </w:pPr>
            <w:hyperlink r:id="rId83">
              <w:r>
                <w:rPr>
                  <w:rFonts w:ascii="Times New Roman" w:cs="Times New Roman" w:eastAsia="Times New Roman" w:hAnsi="Times New Roman"/>
                  <w:sz w:val="20"/>
                  <w:szCs w:val="20"/>
                  <w:color w:val="0000EE"/>
                </w:rPr>
                <w:t>August 18, 2014).</w:t>
              </w:r>
            </w:hyperlink>
          </w:p>
        </w:tc>
        <w:tc>
          <w:tcPr>
            <w:tcW w:w="360" w:type="dxa"/>
            <w:vAlign w:val="bottom"/>
            <w:tcBorders>
              <w:right w:val="single" w:sz="8" w:color="auto"/>
            </w:tcBorders>
            <w:gridSpan w:val="5"/>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5"/>
                <w:szCs w:val="15"/>
                <w:color w:val="auto"/>
              </w:rPr>
            </w:pPr>
          </w:p>
        </w:tc>
        <w:tc>
          <w:tcPr>
            <w:tcW w:w="9740" w:type="dxa"/>
            <w:vAlign w:val="bottom"/>
            <w:tcBorders>
              <w:bottom w:val="single" w:sz="8" w:color="0000EE"/>
            </w:tcBorders>
            <w:gridSpan w:val="25"/>
          </w:tcPr>
          <w:p>
            <w:pPr>
              <w:spacing w:after="0" w:line="183" w:lineRule="exact"/>
              <w:rPr>
                <w:rFonts w:ascii="Times New Roman" w:cs="Times New Roman" w:eastAsia="Times New Roman" w:hAnsi="Times New Roman"/>
                <w:sz w:val="20"/>
                <w:szCs w:val="20"/>
                <w:color w:val="0000EE"/>
                <w:w w:val="98"/>
              </w:rPr>
            </w:pPr>
            <w:hyperlink r:id="rId84">
              <w:r>
                <w:rPr>
                  <w:rFonts w:ascii="Times New Roman" w:cs="Times New Roman" w:eastAsia="Times New Roman" w:hAnsi="Times New Roman"/>
                  <w:sz w:val="20"/>
                  <w:szCs w:val="20"/>
                  <w:color w:val="0000EE"/>
                  <w:w w:val="98"/>
                </w:rPr>
                <w:t>Certificate of Incorporation of the Company, as amended (incorporated by reference to Exhibit 3.1 to our Form 10-Q dated</w:t>
              </w:r>
            </w:hyperlink>
          </w:p>
        </w:tc>
        <w:tc>
          <w:tcPr>
            <w:tcW w:w="240" w:type="dxa"/>
            <w:vAlign w:val="bottom"/>
            <w:tcBorders>
              <w:right w:val="single" w:sz="8" w:color="auto"/>
            </w:tcBorders>
            <w:gridSpan w:val="3"/>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4">
              <w:r>
                <w:rPr>
                  <w:rFonts w:ascii="Times New Roman" w:cs="Times New Roman" w:eastAsia="Times New Roman" w:hAnsi="Times New Roman"/>
                  <w:sz w:val="20"/>
                  <w:szCs w:val="20"/>
                  <w:color w:val="0000EE"/>
                </w:rPr>
                <w:t>November 7, 2016).</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5"/>
                <w:szCs w:val="15"/>
                <w:color w:val="auto"/>
              </w:rPr>
            </w:pPr>
          </w:p>
        </w:tc>
        <w:tc>
          <w:tcPr>
            <w:tcW w:w="9560" w:type="dxa"/>
            <w:vAlign w:val="bottom"/>
            <w:tcBorders>
              <w:bottom w:val="single" w:sz="8" w:color="0000EE"/>
            </w:tcBorders>
            <w:gridSpan w:val="20"/>
          </w:tcPr>
          <w:p>
            <w:pPr>
              <w:spacing w:after="0" w:line="183" w:lineRule="exact"/>
              <w:rPr>
                <w:rFonts w:ascii="Times New Roman" w:cs="Times New Roman" w:eastAsia="Times New Roman" w:hAnsi="Times New Roman"/>
                <w:sz w:val="20"/>
                <w:szCs w:val="20"/>
                <w:color w:val="0000EE"/>
                <w:w w:val="98"/>
              </w:rPr>
            </w:pPr>
            <w:hyperlink r:id="rId85">
              <w:r>
                <w:rPr>
                  <w:rFonts w:ascii="Times New Roman" w:cs="Times New Roman" w:eastAsia="Times New Roman" w:hAnsi="Times New Roman"/>
                  <w:sz w:val="20"/>
                  <w:szCs w:val="20"/>
                  <w:color w:val="0000EE"/>
                  <w:w w:val="98"/>
                </w:rPr>
                <w:t>Second Amended and Restated Bylaws of the Company (incorporated by reference to Exhibit 3.2 to our Form 8-K dated</w:t>
              </w:r>
            </w:hyperlink>
          </w:p>
        </w:tc>
        <w:tc>
          <w:tcPr>
            <w:tcW w:w="420" w:type="dxa"/>
            <w:vAlign w:val="bottom"/>
            <w:tcBorders>
              <w:right w:val="single" w:sz="8" w:color="auto"/>
            </w:tcBorders>
            <w:gridSpan w:val="8"/>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5">
              <w:r>
                <w:rPr>
                  <w:rFonts w:ascii="Times New Roman" w:cs="Times New Roman" w:eastAsia="Times New Roman" w:hAnsi="Times New Roman"/>
                  <w:sz w:val="20"/>
                  <w:szCs w:val="20"/>
                  <w:color w:val="0000EE"/>
                </w:rPr>
                <w:t>April 16, 2018).</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w w:val="99"/>
              </w:rPr>
            </w:pPr>
            <w:hyperlink r:id="rId86">
              <w:r>
                <w:rPr>
                  <w:rFonts w:ascii="Times New Roman" w:cs="Times New Roman" w:eastAsia="Times New Roman" w:hAnsi="Times New Roman"/>
                  <w:sz w:val="20"/>
                  <w:szCs w:val="20"/>
                  <w:color w:val="0000EE"/>
                  <w:w w:val="99"/>
                </w:rPr>
                <w:t>Amended and Restated Distribution Coordination Agreement, dated as of June 12, 2015, between Monster Energy Company</w:t>
              </w:r>
            </w:hyperlink>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80" w:type="dxa"/>
            <w:vAlign w:val="bottom"/>
            <w:tcBorders>
              <w:top w:val="single" w:sz="8" w:color="0000EE"/>
            </w:tcBorders>
            <w:gridSpan w:val="27"/>
          </w:tcPr>
          <w:p>
            <w:pPr>
              <w:spacing w:after="0" w:line="209" w:lineRule="exact"/>
              <w:rPr>
                <w:rFonts w:ascii="Times New Roman" w:cs="Times New Roman" w:eastAsia="Times New Roman" w:hAnsi="Times New Roman"/>
                <w:sz w:val="20"/>
                <w:szCs w:val="20"/>
                <w:color w:val="0000EE"/>
              </w:rPr>
            </w:pPr>
            <w:hyperlink r:id="rId86">
              <w:r>
                <w:rPr>
                  <w:rFonts w:ascii="Times New Roman" w:cs="Times New Roman" w:eastAsia="Times New Roman" w:hAnsi="Times New Roman"/>
                  <w:sz w:val="20"/>
                  <w:szCs w:val="20"/>
                  <w:color w:val="0000EE"/>
                </w:rPr>
                <w:t>and The Coca-Cola Company (incorporated by reference to Exhibit 10.1 to our 10-Q dated August 10, 2015).</w:t>
              </w:r>
            </w:hyperlink>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5"/>
                <w:szCs w:val="15"/>
                <w:color w:val="auto"/>
              </w:rPr>
            </w:pPr>
          </w:p>
        </w:tc>
        <w:tc>
          <w:tcPr>
            <w:tcW w:w="9520" w:type="dxa"/>
            <w:vAlign w:val="bottom"/>
            <w:tcBorders>
              <w:bottom w:val="single" w:sz="8" w:color="0000EE"/>
            </w:tcBorders>
            <w:gridSpan w:val="19"/>
          </w:tcPr>
          <w:p>
            <w:pPr>
              <w:spacing w:after="0" w:line="183" w:lineRule="exact"/>
              <w:rPr>
                <w:rFonts w:ascii="Times New Roman" w:cs="Times New Roman" w:eastAsia="Times New Roman" w:hAnsi="Times New Roman"/>
                <w:sz w:val="20"/>
                <w:szCs w:val="20"/>
                <w:color w:val="0000EE"/>
                <w:w w:val="98"/>
              </w:rPr>
            </w:pPr>
            <w:hyperlink r:id="rId87">
              <w:r>
                <w:rPr>
                  <w:rFonts w:ascii="Times New Roman" w:cs="Times New Roman" w:eastAsia="Times New Roman" w:hAnsi="Times New Roman"/>
                  <w:sz w:val="20"/>
                  <w:szCs w:val="20"/>
                  <w:color w:val="0000EE"/>
                  <w:w w:val="98"/>
                </w:rPr>
                <w:t>Amended and Restated International Distribution Coordination Agreement, dated as of June 12, 2015, between Monster</w:t>
              </w:r>
            </w:hyperlink>
          </w:p>
        </w:tc>
        <w:tc>
          <w:tcPr>
            <w:tcW w:w="460" w:type="dxa"/>
            <w:vAlign w:val="bottom"/>
            <w:tcBorders>
              <w:right w:val="single" w:sz="8" w:color="auto"/>
            </w:tcBorders>
            <w:gridSpan w:val="9"/>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bottom w:val="single" w:sz="8" w:color="0000EE"/>
            </w:tcBorders>
            <w:gridSpan w:val="25"/>
          </w:tcPr>
          <w:p>
            <w:pPr>
              <w:spacing w:after="0" w:line="209" w:lineRule="exact"/>
              <w:rPr>
                <w:rFonts w:ascii="Times New Roman" w:cs="Times New Roman" w:eastAsia="Times New Roman" w:hAnsi="Times New Roman"/>
                <w:sz w:val="20"/>
                <w:szCs w:val="20"/>
                <w:color w:val="0000EE"/>
                <w:w w:val="98"/>
              </w:rPr>
            </w:pPr>
            <w:hyperlink r:id="rId87">
              <w:r>
                <w:rPr>
                  <w:rFonts w:ascii="Times New Roman" w:cs="Times New Roman" w:eastAsia="Times New Roman" w:hAnsi="Times New Roman"/>
                  <w:sz w:val="20"/>
                  <w:szCs w:val="20"/>
                  <w:color w:val="0000EE"/>
                  <w:w w:val="98"/>
                </w:rPr>
                <w:t>Energy Ltd. and Monster Energy Company and The Coca-Cola Company (incorporated by reference to Exhibit 10.2 to our</w:t>
              </w:r>
            </w:hyperlink>
          </w:p>
        </w:tc>
        <w:tc>
          <w:tcPr>
            <w:tcW w:w="240" w:type="dxa"/>
            <w:vAlign w:val="bottom"/>
            <w:tcBorders>
              <w:right w:val="single" w:sz="8" w:color="auto"/>
            </w:tcBorders>
            <w:gridSpan w:val="3"/>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87">
              <w:r>
                <w:rPr>
                  <w:rFonts w:ascii="Times New Roman" w:cs="Times New Roman" w:eastAsia="Times New Roman" w:hAnsi="Times New Roman"/>
                  <w:sz w:val="20"/>
                  <w:szCs w:val="20"/>
                  <w:color w:val="0000EE"/>
                </w:rPr>
                <w:t>10-Q dated August 10, 2015).</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88">
              <w:r>
                <w:rPr>
                  <w:rFonts w:ascii="Times New Roman" w:cs="Times New Roman" w:eastAsia="Times New Roman" w:hAnsi="Times New Roman"/>
                  <w:sz w:val="20"/>
                  <w:szCs w:val="20"/>
                  <w:color w:val="0000EE"/>
                </w:rPr>
                <w:t>Form of Indemnification Agreement (to be provided by Hansen Natural Corporation to its directors) (incorporated by</w:t>
              </w:r>
            </w:hyperlink>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top w:val="single" w:sz="8" w:color="0000EE"/>
            </w:tcBorders>
            <w:gridSpan w:val="16"/>
          </w:tcPr>
          <w:p>
            <w:pPr>
              <w:spacing w:after="0" w:line="209" w:lineRule="exact"/>
              <w:rPr>
                <w:rFonts w:ascii="Times New Roman" w:cs="Times New Roman" w:eastAsia="Times New Roman" w:hAnsi="Times New Roman"/>
                <w:sz w:val="20"/>
                <w:szCs w:val="20"/>
                <w:color w:val="0000EE"/>
              </w:rPr>
            </w:pPr>
            <w:hyperlink r:id="rId88">
              <w:r>
                <w:rPr>
                  <w:rFonts w:ascii="Times New Roman" w:cs="Times New Roman" w:eastAsia="Times New Roman" w:hAnsi="Times New Roman"/>
                  <w:sz w:val="20"/>
                  <w:szCs w:val="20"/>
                  <w:color w:val="0000EE"/>
                </w:rPr>
                <w:t>reference to Exhibit 10.1 to our Form 8-K dated November 14, 2005).</w:t>
              </w:r>
            </w:hyperlink>
          </w:p>
        </w:tc>
        <w:tc>
          <w:tcPr>
            <w:tcW w:w="680" w:type="dxa"/>
            <w:vAlign w:val="bottom"/>
            <w:tcBorders>
              <w:right w:val="single" w:sz="8" w:color="auto"/>
            </w:tcBorders>
            <w:gridSpan w:val="12"/>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89">
              <w:r>
                <w:rPr>
                  <w:rFonts w:ascii="Times New Roman" w:cs="Times New Roman" w:eastAsia="Times New Roman" w:hAnsi="Times New Roman"/>
                  <w:sz w:val="20"/>
                  <w:szCs w:val="20"/>
                  <w:color w:val="0000EE"/>
                </w:rPr>
                <w:t>Hansen Natural Corporation 2001 Amended and Restated Stock Option Plan (incorporated by reference to Exhibit A to our</w:t>
              </w:r>
            </w:hyperlink>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60" w:type="dxa"/>
            <w:vAlign w:val="bottom"/>
            <w:tcBorders>
              <w:top w:val="single" w:sz="8" w:color="0000EE"/>
            </w:tcBorders>
            <w:gridSpan w:val="26"/>
          </w:tcPr>
          <w:p>
            <w:pPr>
              <w:spacing w:after="0" w:line="209" w:lineRule="exact"/>
              <w:rPr>
                <w:rFonts w:ascii="Times New Roman" w:cs="Times New Roman" w:eastAsia="Times New Roman" w:hAnsi="Times New Roman"/>
                <w:sz w:val="20"/>
                <w:szCs w:val="20"/>
                <w:color w:val="0000EE"/>
              </w:rPr>
            </w:pPr>
            <w:hyperlink r:id="rId89">
              <w:r>
                <w:rPr>
                  <w:rFonts w:ascii="Times New Roman" w:cs="Times New Roman" w:eastAsia="Times New Roman" w:hAnsi="Times New Roman"/>
                  <w:sz w:val="20"/>
                  <w:szCs w:val="20"/>
                  <w:color w:val="0000EE"/>
                </w:rPr>
                <w:t>Proxy Statement dated September 25, 2007).</w:t>
              </w:r>
            </w:hyperlink>
          </w:p>
        </w:tc>
        <w:tc>
          <w:tcPr>
            <w:tcW w:w="22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15"/>
                <w:szCs w:val="15"/>
                <w:color w:val="auto"/>
              </w:rPr>
            </w:pPr>
          </w:p>
        </w:tc>
        <w:tc>
          <w:tcPr>
            <w:tcW w:w="9720" w:type="dxa"/>
            <w:vAlign w:val="bottom"/>
            <w:tcBorders>
              <w:bottom w:val="single" w:sz="8" w:color="0000EE"/>
            </w:tcBorders>
            <w:gridSpan w:val="24"/>
          </w:tcPr>
          <w:p>
            <w:pPr>
              <w:spacing w:after="0" w:line="183" w:lineRule="exact"/>
              <w:rPr>
                <w:rFonts w:ascii="Times New Roman" w:cs="Times New Roman" w:eastAsia="Times New Roman" w:hAnsi="Times New Roman"/>
                <w:sz w:val="20"/>
                <w:szCs w:val="20"/>
                <w:color w:val="0000EE"/>
                <w:w w:val="98"/>
              </w:rPr>
            </w:pPr>
            <w:hyperlink r:id="rId90">
              <w:r>
                <w:rPr>
                  <w:rFonts w:ascii="Times New Roman" w:cs="Times New Roman" w:eastAsia="Times New Roman" w:hAnsi="Times New Roman"/>
                  <w:sz w:val="20"/>
                  <w:szCs w:val="20"/>
                  <w:color w:val="0000EE"/>
                  <w:w w:val="98"/>
                </w:rPr>
                <w:t>Form of Restricted Stock Unit Agreement pursuant to the 2009 Hansen Natural Corporation Stock Incentive Plan for Non-</w:t>
              </w:r>
            </w:hyperlink>
          </w:p>
        </w:tc>
        <w:tc>
          <w:tcPr>
            <w:tcW w:w="260" w:type="dxa"/>
            <w:vAlign w:val="bottom"/>
            <w:tcBorders>
              <w:right w:val="single" w:sz="8" w:color="auto"/>
            </w:tcBorders>
            <w:gridSpan w:val="4"/>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90">
              <w:r>
                <w:rPr>
                  <w:rFonts w:ascii="Times New Roman" w:cs="Times New Roman" w:eastAsia="Times New Roman" w:hAnsi="Times New Roman"/>
                  <w:sz w:val="20"/>
                  <w:szCs w:val="20"/>
                  <w:color w:val="0000EE"/>
                </w:rPr>
                <w:t>Employee Directors (incorporated by reference to Exhibit 10.1 to our Form 10-Q dated August 5, 2016).</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91">
              <w:r>
                <w:rPr>
                  <w:rFonts w:ascii="Times New Roman" w:cs="Times New Roman" w:eastAsia="Times New Roman" w:hAnsi="Times New Roman"/>
                  <w:sz w:val="20"/>
                  <w:szCs w:val="20"/>
                  <w:color w:val="0000EE"/>
                </w:rPr>
                <w:t>Form of Restricted Stock Agreement (incorporated by reference to Exhibit 10.1 to our Form 10-Q dated August 9, 2011).</w:t>
              </w:r>
            </w:hyperlink>
          </w:p>
        </w:tc>
        <w:tc>
          <w:tcPr>
            <w:tcW w:w="140" w:type="dxa"/>
            <w:vAlign w:val="bottom"/>
          </w:tcPr>
          <w:p>
            <w:pPr>
              <w:spacing w:after="0"/>
              <w:rPr>
                <w:sz w:val="15"/>
                <w:szCs w:val="15"/>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92">
              <w:r>
                <w:rPr>
                  <w:rFonts w:ascii="Times New Roman" w:cs="Times New Roman" w:eastAsia="Times New Roman" w:hAnsi="Times New Roman"/>
                  <w:sz w:val="20"/>
                  <w:szCs w:val="20"/>
                  <w:color w:val="0000EE"/>
                </w:rPr>
                <w:t>Monster Beverage Corporation 2011 Omnibus Incentive Plan (incorporated by reference to Exhibit 10.1 to our Form 8-K</w:t>
              </w:r>
            </w:hyperlink>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0" w:type="dxa"/>
            <w:vAlign w:val="bottom"/>
            <w:tcBorders>
              <w:top w:val="single" w:sz="8" w:color="0000EE"/>
            </w:tcBorders>
            <w:gridSpan w:val="22"/>
          </w:tcPr>
          <w:p>
            <w:pPr>
              <w:spacing w:after="0" w:line="209" w:lineRule="exact"/>
              <w:rPr>
                <w:rFonts w:ascii="Times New Roman" w:cs="Times New Roman" w:eastAsia="Times New Roman" w:hAnsi="Times New Roman"/>
                <w:sz w:val="20"/>
                <w:szCs w:val="20"/>
                <w:color w:val="0000EE"/>
              </w:rPr>
            </w:pPr>
            <w:hyperlink r:id="rId92">
              <w:r>
                <w:rPr>
                  <w:rFonts w:ascii="Times New Roman" w:cs="Times New Roman" w:eastAsia="Times New Roman" w:hAnsi="Times New Roman"/>
                  <w:sz w:val="20"/>
                  <w:szCs w:val="20"/>
                  <w:color w:val="0000EE"/>
                </w:rPr>
                <w:t>dated May 24, 2011).</w:t>
              </w:r>
            </w:hyperlink>
          </w:p>
        </w:tc>
        <w:tc>
          <w:tcPr>
            <w:tcW w:w="380" w:type="dxa"/>
            <w:vAlign w:val="bottom"/>
            <w:tcBorders>
              <w:right w:val="single" w:sz="8" w:color="auto"/>
            </w:tcBorders>
            <w:gridSpan w:val="6"/>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15"/>
                <w:szCs w:val="15"/>
                <w:color w:val="auto"/>
              </w:rPr>
            </w:pPr>
          </w:p>
        </w:tc>
        <w:tc>
          <w:tcPr>
            <w:tcW w:w="9280" w:type="dxa"/>
            <w:vAlign w:val="bottom"/>
            <w:tcBorders>
              <w:bottom w:val="single" w:sz="8" w:color="0000EE"/>
            </w:tcBorders>
            <w:gridSpan w:val="15"/>
          </w:tcPr>
          <w:p>
            <w:pPr>
              <w:spacing w:after="0" w:line="183" w:lineRule="exact"/>
              <w:rPr>
                <w:rFonts w:ascii="Times New Roman" w:cs="Times New Roman" w:eastAsia="Times New Roman" w:hAnsi="Times New Roman"/>
                <w:sz w:val="20"/>
                <w:szCs w:val="20"/>
                <w:color w:val="0000EE"/>
                <w:w w:val="98"/>
              </w:rPr>
            </w:pPr>
            <w:hyperlink r:id="rId93">
              <w:r>
                <w:rPr>
                  <w:rFonts w:ascii="Times New Roman" w:cs="Times New Roman" w:eastAsia="Times New Roman" w:hAnsi="Times New Roman"/>
                  <w:sz w:val="20"/>
                  <w:szCs w:val="20"/>
                  <w:color w:val="0000EE"/>
                  <w:w w:val="98"/>
                </w:rPr>
                <w:t>Employment Agreement between Monster Beverage Corporation and Rodney C. Sacks (incorporated by reference to</w:t>
              </w:r>
            </w:hyperlink>
          </w:p>
        </w:tc>
        <w:tc>
          <w:tcPr>
            <w:tcW w:w="700" w:type="dxa"/>
            <w:vAlign w:val="bottom"/>
            <w:tcBorders>
              <w:right w:val="single" w:sz="8" w:color="auto"/>
            </w:tcBorders>
            <w:gridSpan w:val="13"/>
          </w:tcPr>
          <w:p>
            <w:pPr>
              <w:spacing w:after="0"/>
              <w:rPr>
                <w:sz w:val="15"/>
                <w:szCs w:val="15"/>
                <w:color w:val="auto"/>
              </w:rPr>
            </w:pPr>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28"/>
          </w:tcPr>
          <w:p>
            <w:pPr>
              <w:spacing w:after="0" w:line="209" w:lineRule="exact"/>
              <w:rPr>
                <w:rFonts w:ascii="Times New Roman" w:cs="Times New Roman" w:eastAsia="Times New Roman" w:hAnsi="Times New Roman"/>
                <w:sz w:val="20"/>
                <w:szCs w:val="20"/>
                <w:color w:val="0000EE"/>
              </w:rPr>
            </w:pPr>
            <w:hyperlink r:id="rId93">
              <w:r>
                <w:rPr>
                  <w:rFonts w:ascii="Times New Roman" w:cs="Times New Roman" w:eastAsia="Times New Roman" w:hAnsi="Times New Roman"/>
                  <w:sz w:val="20"/>
                  <w:szCs w:val="20"/>
                  <w:color w:val="0000EE"/>
                </w:rPr>
                <w:t>Exhibit 10.1 to our Form 8-K dated March 19, 2014).</w:t>
              </w:r>
            </w:hyperlink>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94">
              <w:r>
                <w:rPr>
                  <w:rFonts w:ascii="Times New Roman" w:cs="Times New Roman" w:eastAsia="Times New Roman" w:hAnsi="Times New Roman"/>
                  <w:sz w:val="20"/>
                  <w:szCs w:val="20"/>
                  <w:color w:val="0000EE"/>
                </w:rPr>
                <w:t>Employment Agreement between Monster Beverage Corporation and Hilton H. Schlosberg (incorporated by reference to</w:t>
              </w:r>
            </w:hyperlink>
          </w:p>
        </w:tc>
        <w:tc>
          <w:tcPr>
            <w:tcW w:w="140" w:type="dxa"/>
            <w:vAlign w:val="bottom"/>
          </w:tcPr>
          <w:p>
            <w:pPr>
              <w:spacing w:after="0"/>
              <w:rPr>
                <w:sz w:val="15"/>
                <w:szCs w:val="15"/>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top w:val="single" w:sz="8" w:color="0000EE"/>
            </w:tcBorders>
            <w:gridSpan w:val="21"/>
          </w:tcPr>
          <w:p>
            <w:pPr>
              <w:spacing w:after="0" w:line="209" w:lineRule="exact"/>
              <w:rPr>
                <w:rFonts w:ascii="Times New Roman" w:cs="Times New Roman" w:eastAsia="Times New Roman" w:hAnsi="Times New Roman"/>
                <w:sz w:val="20"/>
                <w:szCs w:val="20"/>
                <w:color w:val="0000EE"/>
              </w:rPr>
            </w:pPr>
            <w:hyperlink r:id="rId94">
              <w:r>
                <w:rPr>
                  <w:rFonts w:ascii="Times New Roman" w:cs="Times New Roman" w:eastAsia="Times New Roman" w:hAnsi="Times New Roman"/>
                  <w:sz w:val="20"/>
                  <w:szCs w:val="20"/>
                  <w:color w:val="0000EE"/>
                </w:rPr>
                <w:t>Exhibit 10.2 to our Form 8-K dated March 19, 2014).</w:t>
              </w:r>
            </w:hyperlink>
          </w:p>
        </w:tc>
        <w:tc>
          <w:tcPr>
            <w:tcW w:w="400" w:type="dxa"/>
            <w:vAlign w:val="bottom"/>
            <w:tcBorders>
              <w:right w:val="single" w:sz="8" w:color="auto"/>
            </w:tcBorders>
            <w:gridSpan w:val="7"/>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15"/>
                <w:szCs w:val="15"/>
                <w:color w:val="auto"/>
              </w:rPr>
            </w:pPr>
          </w:p>
        </w:tc>
        <w:tc>
          <w:tcPr>
            <w:tcW w:w="9980" w:type="dxa"/>
            <w:vAlign w:val="bottom"/>
            <w:tcBorders>
              <w:right w:val="single" w:sz="8" w:color="auto"/>
            </w:tcBorders>
            <w:gridSpan w:val="28"/>
          </w:tcPr>
          <w:p>
            <w:pPr>
              <w:spacing w:after="0" w:line="183" w:lineRule="exact"/>
              <w:rPr>
                <w:rFonts w:ascii="Times New Roman" w:cs="Times New Roman" w:eastAsia="Times New Roman" w:hAnsi="Times New Roman"/>
                <w:sz w:val="20"/>
                <w:szCs w:val="20"/>
                <w:color w:val="0000EE"/>
              </w:rPr>
            </w:pPr>
            <w:hyperlink r:id="rId95">
              <w:r>
                <w:rPr>
                  <w:rFonts w:ascii="Times New Roman" w:cs="Times New Roman" w:eastAsia="Times New Roman" w:hAnsi="Times New Roman"/>
                  <w:sz w:val="20"/>
                  <w:szCs w:val="20"/>
                  <w:color w:val="0000EE"/>
                </w:rPr>
                <w:t>Form of Stock Option Agreement (incorporated by reference to Exhibit 10.10 to our Form 10-K dated March 1, 2018).</w:t>
              </w:r>
            </w:hyperlink>
          </w:p>
        </w:tc>
        <w:tc>
          <w:tcPr>
            <w:tcW w:w="140" w:type="dxa"/>
            <w:vAlign w:val="bottom"/>
          </w:tcPr>
          <w:p>
            <w:pPr>
              <w:spacing w:after="0"/>
              <w:rPr>
                <w:sz w:val="15"/>
                <w:szCs w:val="15"/>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80" w:type="dxa"/>
            <w:vAlign w:val="bottom"/>
            <w:gridSpan w:val="10"/>
          </w:tcPr>
          <w:p>
            <w:pPr>
              <w:jc w:val="right"/>
              <w:ind w:right="660"/>
              <w:spacing w:after="0"/>
              <w:rPr>
                <w:sz w:val="20"/>
                <w:szCs w:val="20"/>
                <w:color w:val="auto"/>
              </w:rPr>
            </w:pPr>
            <w:r>
              <w:rPr>
                <w:rFonts w:ascii="Times New Roman" w:cs="Times New Roman" w:eastAsia="Times New Roman" w:hAnsi="Times New Roman"/>
                <w:sz w:val="16"/>
                <w:szCs w:val="16"/>
                <w:color w:val="auto"/>
              </w:rPr>
              <w:t>68</w:t>
            </w:r>
          </w:p>
        </w:tc>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8"/>
        </w:trPr>
        <w:tc>
          <w:tcPr>
            <w:tcW w:w="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4" w:lineRule="exact"/>
        <w:rPr>
          <w:sz w:val="20"/>
          <w:szCs w:val="20"/>
          <w:color w:val="auto"/>
        </w:rPr>
      </w:pPr>
    </w:p>
    <w:tbl>
      <w:tblPr>
        <w:tblLayout w:type="fixed"/>
        <w:tblInd w:w="30" w:type="dxa"/>
        <w:tblCellMar>
          <w:top w:w="0" w:type="dxa"/>
          <w:left w:w="0" w:type="dxa"/>
          <w:bottom w:w="0" w:type="dxa"/>
          <w:right w:w="0" w:type="dxa"/>
        </w:tblCellMar>
      </w:tblPr>
      <w:tr>
        <w:trPr>
          <w:trHeight w:val="203"/>
        </w:trPr>
        <w:tc>
          <w:tcPr>
            <w:tcW w:w="1260" w:type="dxa"/>
            <w:vAlign w:val="bottom"/>
            <w:tcBorders>
              <w:top w:val="single" w:sz="8" w:color="auto"/>
              <w:left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10.11+</w:t>
            </w:r>
          </w:p>
        </w:tc>
        <w:tc>
          <w:tcPr>
            <w:tcW w:w="60" w:type="dxa"/>
            <w:vAlign w:val="bottom"/>
            <w:tcBorders>
              <w:top w:val="single" w:sz="8" w:color="auto"/>
            </w:tcBorders>
          </w:tcPr>
          <w:p>
            <w:pPr>
              <w:spacing w:after="0"/>
              <w:rPr>
                <w:sz w:val="17"/>
                <w:szCs w:val="17"/>
                <w:color w:val="auto"/>
              </w:rPr>
            </w:pPr>
          </w:p>
        </w:tc>
        <w:tc>
          <w:tcPr>
            <w:tcW w:w="9560" w:type="dxa"/>
            <w:vAlign w:val="bottom"/>
            <w:tcBorders>
              <w:top w:val="single" w:sz="8" w:color="auto"/>
              <w:bottom w:val="single" w:sz="8" w:color="0000EE"/>
            </w:tcBorders>
            <w:gridSpan w:val="11"/>
          </w:tcPr>
          <w:p>
            <w:pPr>
              <w:spacing w:after="0" w:line="203" w:lineRule="exact"/>
              <w:rPr>
                <w:rFonts w:ascii="Times New Roman" w:cs="Times New Roman" w:eastAsia="Times New Roman" w:hAnsi="Times New Roman"/>
                <w:sz w:val="20"/>
                <w:szCs w:val="20"/>
                <w:color w:val="0000EE"/>
                <w:w w:val="98"/>
              </w:rPr>
            </w:pPr>
            <w:hyperlink r:id="rId98">
              <w:r>
                <w:rPr>
                  <w:rFonts w:ascii="Times New Roman" w:cs="Times New Roman" w:eastAsia="Times New Roman" w:hAnsi="Times New Roman"/>
                  <w:sz w:val="20"/>
                  <w:szCs w:val="20"/>
                  <w:color w:val="0000EE"/>
                  <w:w w:val="98"/>
                </w:rPr>
                <w:t>Form of Stock Option Agreement of Chief Executive Officer and President and Chief Financial Officer (incorporated by</w:t>
              </w:r>
            </w:hyperlink>
          </w:p>
        </w:tc>
        <w:tc>
          <w:tcPr>
            <w:tcW w:w="420" w:type="dxa"/>
            <w:vAlign w:val="bottom"/>
            <w:tcBorders>
              <w:top w:val="single" w:sz="8" w:color="auto"/>
              <w:right w:val="single" w:sz="8" w:color="auto"/>
            </w:tcBorders>
            <w:gridSpan w:val="4"/>
          </w:tcPr>
          <w:p>
            <w:pPr>
              <w:spacing w:after="0"/>
              <w:rPr>
                <w:sz w:val="17"/>
                <w:szCs w:val="17"/>
                <w:color w:val="auto"/>
              </w:rPr>
            </w:pPr>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15"/>
          </w:tcPr>
          <w:p>
            <w:pPr>
              <w:spacing w:after="0" w:line="209" w:lineRule="exact"/>
              <w:rPr>
                <w:rFonts w:ascii="Times New Roman" w:cs="Times New Roman" w:eastAsia="Times New Roman" w:hAnsi="Times New Roman"/>
                <w:sz w:val="20"/>
                <w:szCs w:val="20"/>
                <w:color w:val="0000EE"/>
              </w:rPr>
            </w:pPr>
            <w:hyperlink r:id="rId98">
              <w:r>
                <w:rPr>
                  <w:rFonts w:ascii="Times New Roman" w:cs="Times New Roman" w:eastAsia="Times New Roman" w:hAnsi="Times New Roman"/>
                  <w:sz w:val="20"/>
                  <w:szCs w:val="20"/>
                  <w:color w:val="0000EE"/>
                </w:rPr>
                <w:t>reference to Exhibit 10.11 to our Form 10-K dated March 1, 2018).</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15"/>
                <w:szCs w:val="15"/>
                <w:color w:val="auto"/>
              </w:rPr>
            </w:pPr>
          </w:p>
        </w:tc>
        <w:tc>
          <w:tcPr>
            <w:tcW w:w="9980" w:type="dxa"/>
            <w:vAlign w:val="bottom"/>
            <w:tcBorders>
              <w:right w:val="single" w:sz="8" w:color="auto"/>
            </w:tcBorders>
            <w:gridSpan w:val="15"/>
          </w:tcPr>
          <w:p>
            <w:pPr>
              <w:spacing w:after="0" w:line="183" w:lineRule="exact"/>
              <w:rPr>
                <w:rFonts w:ascii="Times New Roman" w:cs="Times New Roman" w:eastAsia="Times New Roman" w:hAnsi="Times New Roman"/>
                <w:sz w:val="20"/>
                <w:szCs w:val="20"/>
                <w:color w:val="0000EE"/>
              </w:rPr>
            </w:pPr>
            <w:hyperlink r:id="rId99">
              <w:r>
                <w:rPr>
                  <w:rFonts w:ascii="Times New Roman" w:cs="Times New Roman" w:eastAsia="Times New Roman" w:hAnsi="Times New Roman"/>
                  <w:sz w:val="20"/>
                  <w:szCs w:val="20"/>
                  <w:color w:val="0000EE"/>
                </w:rPr>
                <w:t>Monster Beverage Corporation 2017 Compensation Plan for Non-Employee Directors (incorporated by reference to</w:t>
              </w:r>
            </w:hyperlink>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80" w:type="dxa"/>
            <w:vAlign w:val="bottom"/>
            <w:tcBorders>
              <w:top w:val="single" w:sz="8" w:color="0000EE"/>
            </w:tcBorders>
            <w:gridSpan w:val="9"/>
          </w:tcPr>
          <w:p>
            <w:pPr>
              <w:spacing w:after="0" w:line="209" w:lineRule="exact"/>
              <w:rPr>
                <w:rFonts w:ascii="Times New Roman" w:cs="Times New Roman" w:eastAsia="Times New Roman" w:hAnsi="Times New Roman"/>
                <w:sz w:val="20"/>
                <w:szCs w:val="20"/>
                <w:color w:val="0000EE"/>
              </w:rPr>
            </w:pPr>
            <w:hyperlink r:id="rId99">
              <w:r>
                <w:rPr>
                  <w:rFonts w:ascii="Times New Roman" w:cs="Times New Roman" w:eastAsia="Times New Roman" w:hAnsi="Times New Roman"/>
                  <w:sz w:val="20"/>
                  <w:szCs w:val="20"/>
                  <w:color w:val="0000EE"/>
                </w:rPr>
                <w:t>Exhibit 4.1 to our Form S-8 dated June 21, 2017).</w:t>
              </w:r>
            </w:hyperlink>
          </w:p>
        </w:tc>
        <w:tc>
          <w:tcPr>
            <w:tcW w:w="800" w:type="dxa"/>
            <w:vAlign w:val="bottom"/>
            <w:tcBorders>
              <w:right w:val="single" w:sz="8" w:color="auto"/>
            </w:tcBorders>
            <w:gridSpan w:val="6"/>
          </w:tcPr>
          <w:p>
            <w:pPr>
              <w:spacing w:after="0"/>
              <w:rPr>
                <w:sz w:val="18"/>
                <w:szCs w:val="18"/>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15"/>
                <w:szCs w:val="15"/>
                <w:color w:val="auto"/>
              </w:rPr>
            </w:pPr>
          </w:p>
        </w:tc>
        <w:tc>
          <w:tcPr>
            <w:tcW w:w="9500" w:type="dxa"/>
            <w:vAlign w:val="bottom"/>
            <w:tcBorders>
              <w:bottom w:val="single" w:sz="8" w:color="0000EE"/>
            </w:tcBorders>
            <w:gridSpan w:val="10"/>
          </w:tcPr>
          <w:p>
            <w:pPr>
              <w:spacing w:after="0" w:line="183" w:lineRule="exact"/>
              <w:rPr>
                <w:rFonts w:ascii="Times New Roman" w:cs="Times New Roman" w:eastAsia="Times New Roman" w:hAnsi="Times New Roman"/>
                <w:sz w:val="20"/>
                <w:szCs w:val="20"/>
                <w:color w:val="0000EE"/>
                <w:w w:val="98"/>
              </w:rPr>
            </w:pPr>
            <w:hyperlink r:id="rId100">
              <w:r>
                <w:rPr>
                  <w:rFonts w:ascii="Times New Roman" w:cs="Times New Roman" w:eastAsia="Times New Roman" w:hAnsi="Times New Roman"/>
                  <w:sz w:val="20"/>
                  <w:szCs w:val="20"/>
                  <w:color w:val="0000EE"/>
                  <w:w w:val="98"/>
                </w:rPr>
                <w:t>Monster Beverage Corporation Deferred Compensation Plan for Non-Employee Directors (incorporated by reference to</w:t>
              </w:r>
            </w:hyperlink>
          </w:p>
        </w:tc>
        <w:tc>
          <w:tcPr>
            <w:tcW w:w="480" w:type="dxa"/>
            <w:vAlign w:val="bottom"/>
            <w:tcBorders>
              <w:right w:val="single" w:sz="8" w:color="auto"/>
            </w:tcBorders>
            <w:gridSpan w:val="5"/>
          </w:tcPr>
          <w:p>
            <w:pPr>
              <w:spacing w:after="0"/>
              <w:rPr>
                <w:sz w:val="15"/>
                <w:szCs w:val="15"/>
                <w:color w:val="auto"/>
              </w:rPr>
            </w:pPr>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15"/>
          </w:tcPr>
          <w:p>
            <w:pPr>
              <w:spacing w:after="0" w:line="209" w:lineRule="exact"/>
              <w:rPr>
                <w:rFonts w:ascii="Times New Roman" w:cs="Times New Roman" w:eastAsia="Times New Roman" w:hAnsi="Times New Roman"/>
                <w:sz w:val="20"/>
                <w:szCs w:val="20"/>
                <w:color w:val="0000EE"/>
              </w:rPr>
            </w:pPr>
            <w:hyperlink r:id="rId100">
              <w:r>
                <w:rPr>
                  <w:rFonts w:ascii="Times New Roman" w:cs="Times New Roman" w:eastAsia="Times New Roman" w:hAnsi="Times New Roman"/>
                  <w:sz w:val="20"/>
                  <w:szCs w:val="20"/>
                  <w:color w:val="0000EE"/>
                </w:rPr>
                <w:t>Exhibit 4.2 to our Form S-8 dated June 21, 2017).</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15"/>
                <w:szCs w:val="15"/>
                <w:color w:val="auto"/>
              </w:rPr>
            </w:pPr>
          </w:p>
        </w:tc>
        <w:tc>
          <w:tcPr>
            <w:tcW w:w="9060" w:type="dxa"/>
            <w:vAlign w:val="bottom"/>
            <w:tcBorders>
              <w:bottom w:val="single" w:sz="8" w:color="0000EE"/>
            </w:tcBorders>
            <w:gridSpan w:val="8"/>
          </w:tcPr>
          <w:p>
            <w:pPr>
              <w:spacing w:after="0" w:line="183" w:lineRule="exact"/>
              <w:rPr>
                <w:rFonts w:ascii="Times New Roman" w:cs="Times New Roman" w:eastAsia="Times New Roman" w:hAnsi="Times New Roman"/>
                <w:sz w:val="20"/>
                <w:szCs w:val="20"/>
                <w:color w:val="0000EE"/>
                <w:w w:val="98"/>
              </w:rPr>
            </w:pPr>
            <w:hyperlink r:id="rId101">
              <w:r>
                <w:rPr>
                  <w:rFonts w:ascii="Times New Roman" w:cs="Times New Roman" w:eastAsia="Times New Roman" w:hAnsi="Times New Roman"/>
                  <w:sz w:val="20"/>
                  <w:szCs w:val="20"/>
                  <w:color w:val="0000EE"/>
                  <w:w w:val="98"/>
                </w:rPr>
                <w:t>Amended and Restated Monster Beverage Corporation Deferred Compensation Plan (incorporated by reference to</w:t>
              </w:r>
            </w:hyperlink>
          </w:p>
        </w:tc>
        <w:tc>
          <w:tcPr>
            <w:tcW w:w="920" w:type="dxa"/>
            <w:vAlign w:val="bottom"/>
            <w:tcBorders>
              <w:right w:val="single" w:sz="8" w:color="auto"/>
            </w:tcBorders>
            <w:gridSpan w:val="7"/>
          </w:tcPr>
          <w:p>
            <w:pPr>
              <w:spacing w:after="0"/>
              <w:rPr>
                <w:sz w:val="15"/>
                <w:szCs w:val="15"/>
                <w:color w:val="auto"/>
              </w:rPr>
            </w:pPr>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15"/>
          </w:tcPr>
          <w:p>
            <w:pPr>
              <w:spacing w:after="0" w:line="209" w:lineRule="exact"/>
              <w:rPr>
                <w:rFonts w:ascii="Times New Roman" w:cs="Times New Roman" w:eastAsia="Times New Roman" w:hAnsi="Times New Roman"/>
                <w:sz w:val="20"/>
                <w:szCs w:val="20"/>
                <w:color w:val="0000EE"/>
              </w:rPr>
            </w:pPr>
            <w:hyperlink r:id="rId101">
              <w:r>
                <w:rPr>
                  <w:rFonts w:ascii="Times New Roman" w:cs="Times New Roman" w:eastAsia="Times New Roman" w:hAnsi="Times New Roman"/>
                  <w:sz w:val="20"/>
                  <w:szCs w:val="20"/>
                  <w:color w:val="0000EE"/>
                </w:rPr>
                <w:t>Exhibit 10.14 to our Form 10-K dated March 1, 2018).</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5"/>
                <w:szCs w:val="15"/>
                <w:color w:val="auto"/>
              </w:rPr>
            </w:pPr>
          </w:p>
        </w:tc>
        <w:tc>
          <w:tcPr>
            <w:tcW w:w="9980" w:type="dxa"/>
            <w:vAlign w:val="bottom"/>
            <w:tcBorders>
              <w:right w:val="single" w:sz="8" w:color="auto"/>
            </w:tcBorders>
            <w:gridSpan w:val="15"/>
          </w:tcPr>
          <w:p>
            <w:pPr>
              <w:spacing w:after="0" w:line="183" w:lineRule="exact"/>
              <w:rPr>
                <w:rFonts w:ascii="Times New Roman" w:cs="Times New Roman" w:eastAsia="Times New Roman" w:hAnsi="Times New Roman"/>
                <w:sz w:val="20"/>
                <w:szCs w:val="20"/>
                <w:color w:val="0000EE"/>
              </w:rPr>
            </w:pPr>
            <w:hyperlink w:anchor="page115">
              <w:r>
                <w:rPr>
                  <w:rFonts w:ascii="Times New Roman" w:cs="Times New Roman" w:eastAsia="Times New Roman" w:hAnsi="Times New Roman"/>
                  <w:sz w:val="20"/>
                  <w:szCs w:val="20"/>
                  <w:color w:val="0000EE"/>
                </w:rPr>
                <w:t>Subsidiaries</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15"/>
                <w:szCs w:val="15"/>
                <w:color w:val="auto"/>
              </w:rPr>
            </w:pPr>
          </w:p>
        </w:tc>
        <w:tc>
          <w:tcPr>
            <w:tcW w:w="9980" w:type="dxa"/>
            <w:vAlign w:val="bottom"/>
            <w:tcBorders>
              <w:right w:val="single" w:sz="8" w:color="auto"/>
            </w:tcBorders>
            <w:gridSpan w:val="15"/>
          </w:tcPr>
          <w:p>
            <w:pPr>
              <w:spacing w:after="0" w:line="183" w:lineRule="exact"/>
              <w:rPr>
                <w:rFonts w:ascii="Times New Roman" w:cs="Times New Roman" w:eastAsia="Times New Roman" w:hAnsi="Times New Roman"/>
                <w:sz w:val="20"/>
                <w:szCs w:val="20"/>
                <w:color w:val="0000EE"/>
              </w:rPr>
            </w:pPr>
            <w:hyperlink w:anchor="page117">
              <w:r>
                <w:rPr>
                  <w:rFonts w:ascii="Times New Roman" w:cs="Times New Roman" w:eastAsia="Times New Roman" w:hAnsi="Times New Roman"/>
                  <w:sz w:val="20"/>
                  <w:szCs w:val="20"/>
                  <w:color w:val="0000EE"/>
                </w:rPr>
                <w:t>Consent of Independent Registered Public Accounting Firm</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15"/>
                <w:szCs w:val="15"/>
                <w:color w:val="auto"/>
              </w:rPr>
            </w:pPr>
          </w:p>
        </w:tc>
        <w:tc>
          <w:tcPr>
            <w:tcW w:w="9860" w:type="dxa"/>
            <w:vAlign w:val="bottom"/>
            <w:tcBorders>
              <w:bottom w:val="single" w:sz="8" w:color="0000EE"/>
            </w:tcBorders>
            <w:gridSpan w:val="14"/>
          </w:tcPr>
          <w:p>
            <w:pPr>
              <w:spacing w:after="0" w:line="183" w:lineRule="exact"/>
              <w:rPr>
                <w:rFonts w:ascii="Times New Roman" w:cs="Times New Roman" w:eastAsia="Times New Roman" w:hAnsi="Times New Roman"/>
                <w:sz w:val="20"/>
                <w:szCs w:val="20"/>
                <w:color w:val="0000EE"/>
                <w:w w:val="98"/>
              </w:rPr>
            </w:pPr>
            <w:hyperlink w:anchor="page118">
              <w:r>
                <w:rPr>
                  <w:rFonts w:ascii="Times New Roman" w:cs="Times New Roman" w:eastAsia="Times New Roman" w:hAnsi="Times New Roman"/>
                  <w:sz w:val="20"/>
                  <w:szCs w:val="20"/>
                  <w:color w:val="0000EE"/>
                  <w:w w:val="98"/>
                </w:rPr>
                <w:t>Certification by CEO pursuant to Rule 13A-14(a) or 15D-14(a) of the Securities Exchange Act of 1934, as adopted pursuant</w:t>
              </w:r>
            </w:hyperlink>
          </w:p>
        </w:tc>
        <w:tc>
          <w:tcPr>
            <w:tcW w:w="120" w:type="dxa"/>
            <w:vAlign w:val="bottom"/>
            <w:tcBorders>
              <w:right w:val="single" w:sz="8" w:color="auto"/>
            </w:tcBorders>
          </w:tcPr>
          <w:p>
            <w:pPr>
              <w:spacing w:after="0"/>
              <w:rPr>
                <w:sz w:val="15"/>
                <w:szCs w:val="15"/>
                <w:color w:val="auto"/>
              </w:rPr>
            </w:pPr>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980" w:type="dxa"/>
            <w:vAlign w:val="bottom"/>
            <w:tcBorders>
              <w:right w:val="single" w:sz="8" w:color="auto"/>
            </w:tcBorders>
            <w:gridSpan w:val="15"/>
          </w:tcPr>
          <w:p>
            <w:pPr>
              <w:spacing w:after="0" w:line="209" w:lineRule="exact"/>
              <w:rPr>
                <w:rFonts w:ascii="Times New Roman" w:cs="Times New Roman" w:eastAsia="Times New Roman" w:hAnsi="Times New Roman"/>
                <w:sz w:val="20"/>
                <w:szCs w:val="20"/>
                <w:color w:val="0000EE"/>
              </w:rPr>
            </w:pPr>
            <w:hyperlink w:anchor="page118">
              <w:r>
                <w:rPr>
                  <w:rFonts w:ascii="Times New Roman" w:cs="Times New Roman" w:eastAsia="Times New Roman" w:hAnsi="Times New Roman"/>
                  <w:sz w:val="20"/>
                  <w:szCs w:val="20"/>
                  <w:color w:val="0000EE"/>
                </w:rPr>
                <w:t>to Section 302 of the Sarbanes-Oxley Act of 2002 *</w:t>
              </w:r>
            </w:hyperlink>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15"/>
                <w:szCs w:val="15"/>
                <w:color w:val="auto"/>
              </w:rPr>
            </w:pPr>
          </w:p>
        </w:tc>
        <w:tc>
          <w:tcPr>
            <w:tcW w:w="9980" w:type="dxa"/>
            <w:vAlign w:val="bottom"/>
            <w:tcBorders>
              <w:right w:val="single" w:sz="8" w:color="auto"/>
            </w:tcBorders>
            <w:gridSpan w:val="15"/>
          </w:tcPr>
          <w:p>
            <w:pPr>
              <w:spacing w:after="0" w:line="183" w:lineRule="exact"/>
              <w:rPr>
                <w:rFonts w:ascii="Times New Roman" w:cs="Times New Roman" w:eastAsia="Times New Roman" w:hAnsi="Times New Roman"/>
                <w:sz w:val="20"/>
                <w:szCs w:val="20"/>
                <w:color w:val="0000EE"/>
              </w:rPr>
            </w:pPr>
            <w:hyperlink w:anchor="page119">
              <w:r>
                <w:rPr>
                  <w:rFonts w:ascii="Times New Roman" w:cs="Times New Roman" w:eastAsia="Times New Roman" w:hAnsi="Times New Roman"/>
                  <w:sz w:val="20"/>
                  <w:szCs w:val="20"/>
                  <w:color w:val="0000EE"/>
                </w:rPr>
                <w:t>Certification by CFO pursuant to Rule 13A-14(a) or 15D-14(a) of the Securities Exchange Act of 1934, as adopted pursuant</w:t>
              </w:r>
            </w:hyperlink>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tcBorders>
              <w:top w:val="single" w:sz="8" w:color="0000EE"/>
            </w:tcBorders>
            <w:gridSpan w:val="13"/>
          </w:tcPr>
          <w:p>
            <w:pPr>
              <w:spacing w:after="0" w:line="209" w:lineRule="exact"/>
              <w:rPr>
                <w:rFonts w:ascii="Times New Roman" w:cs="Times New Roman" w:eastAsia="Times New Roman" w:hAnsi="Times New Roman"/>
                <w:sz w:val="20"/>
                <w:szCs w:val="20"/>
                <w:color w:val="0000EE"/>
              </w:rPr>
            </w:pPr>
            <w:hyperlink w:anchor="page119">
              <w:r>
                <w:rPr>
                  <w:rFonts w:ascii="Times New Roman" w:cs="Times New Roman" w:eastAsia="Times New Roman" w:hAnsi="Times New Roman"/>
                  <w:sz w:val="20"/>
                  <w:szCs w:val="20"/>
                  <w:color w:val="0000EE"/>
                </w:rPr>
                <w:t>to Section 302 of the Sarbanes-Oxley Act of 2002 *</w:t>
              </w:r>
            </w:hyperlink>
          </w:p>
        </w:tc>
        <w:tc>
          <w:tcPr>
            <w:tcW w:w="140" w:type="dxa"/>
            <w:vAlign w:val="bottom"/>
            <w:tcBorders>
              <w:right w:val="single" w:sz="8" w:color="auto"/>
            </w:tcBorders>
            <w:gridSpan w:val="2"/>
          </w:tcPr>
          <w:p>
            <w:pPr>
              <w:spacing w:after="0"/>
              <w:rPr>
                <w:sz w:val="18"/>
                <w:szCs w:val="18"/>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9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15"/>
                <w:szCs w:val="15"/>
                <w:color w:val="auto"/>
              </w:rPr>
            </w:pPr>
          </w:p>
        </w:tc>
        <w:tc>
          <w:tcPr>
            <w:tcW w:w="9980" w:type="dxa"/>
            <w:vAlign w:val="bottom"/>
            <w:tcBorders>
              <w:right w:val="single" w:sz="8" w:color="auto"/>
            </w:tcBorders>
            <w:gridSpan w:val="15"/>
          </w:tcPr>
          <w:p>
            <w:pPr>
              <w:spacing w:after="0" w:line="183" w:lineRule="exact"/>
              <w:rPr>
                <w:rFonts w:ascii="Times New Roman" w:cs="Times New Roman" w:eastAsia="Times New Roman" w:hAnsi="Times New Roman"/>
                <w:sz w:val="20"/>
                <w:szCs w:val="20"/>
                <w:color w:val="0000EE"/>
              </w:rPr>
            </w:pPr>
            <w:hyperlink w:anchor="page121">
              <w:r>
                <w:rPr>
                  <w:rFonts w:ascii="Times New Roman" w:cs="Times New Roman" w:eastAsia="Times New Roman" w:hAnsi="Times New Roman"/>
                  <w:sz w:val="20"/>
                  <w:szCs w:val="20"/>
                  <w:color w:val="0000EE"/>
                </w:rPr>
                <w:t>Certification by CEO pursuant to 18 U.S.C. Section 1350, as adopted pursuant to Section 906 of the Sarbanes-Oxley Act of</w:t>
              </w:r>
            </w:hyperlink>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0000EE"/>
            </w:tcBorders>
            <w:gridSpan w:val="2"/>
          </w:tcPr>
          <w:p>
            <w:pPr>
              <w:spacing w:after="0" w:line="209" w:lineRule="exact"/>
              <w:rPr>
                <w:rFonts w:ascii="Times New Roman" w:cs="Times New Roman" w:eastAsia="Times New Roman" w:hAnsi="Times New Roman"/>
                <w:sz w:val="20"/>
                <w:szCs w:val="20"/>
                <w:color w:val="0000EE"/>
              </w:rPr>
            </w:pPr>
            <w:hyperlink w:anchor="page121">
              <w:r>
                <w:rPr>
                  <w:rFonts w:ascii="Times New Roman" w:cs="Times New Roman" w:eastAsia="Times New Roman" w:hAnsi="Times New Roman"/>
                  <w:sz w:val="20"/>
                  <w:szCs w:val="20"/>
                  <w:color w:val="0000EE"/>
                </w:rPr>
                <w:t>2002 *</w:t>
              </w:r>
            </w:hyperlink>
          </w:p>
        </w:tc>
        <w:tc>
          <w:tcPr>
            <w:tcW w:w="29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26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15"/>
                <w:szCs w:val="15"/>
                <w:color w:val="auto"/>
              </w:rPr>
            </w:pPr>
          </w:p>
        </w:tc>
        <w:tc>
          <w:tcPr>
            <w:tcW w:w="9780" w:type="dxa"/>
            <w:vAlign w:val="bottom"/>
            <w:tcBorders>
              <w:bottom w:val="single" w:sz="8" w:color="0000EE"/>
            </w:tcBorders>
            <w:gridSpan w:val="12"/>
          </w:tcPr>
          <w:p>
            <w:pPr>
              <w:spacing w:after="0" w:line="183" w:lineRule="exact"/>
              <w:rPr>
                <w:rFonts w:ascii="Times New Roman" w:cs="Times New Roman" w:eastAsia="Times New Roman" w:hAnsi="Times New Roman"/>
                <w:sz w:val="20"/>
                <w:szCs w:val="20"/>
                <w:color w:val="0000EE"/>
                <w:w w:val="98"/>
              </w:rPr>
            </w:pPr>
            <w:hyperlink w:anchor="page122">
              <w:r>
                <w:rPr>
                  <w:rFonts w:ascii="Times New Roman" w:cs="Times New Roman" w:eastAsia="Times New Roman" w:hAnsi="Times New Roman"/>
                  <w:sz w:val="20"/>
                  <w:szCs w:val="20"/>
                  <w:color w:val="0000EE"/>
                  <w:w w:val="98"/>
                </w:rPr>
                <w:t>Certification by CFO pursuant to 18 U.S.C. Section 1350, as adopted pursuant to Section 906 of the Sarbanes-Oxley Act of</w:t>
              </w:r>
            </w:hyperlink>
          </w:p>
        </w:tc>
        <w:tc>
          <w:tcPr>
            <w:tcW w:w="200" w:type="dxa"/>
            <w:vAlign w:val="bottom"/>
            <w:tcBorders>
              <w:right w:val="single" w:sz="8" w:color="auto"/>
            </w:tcBorders>
            <w:gridSpan w:val="3"/>
          </w:tcPr>
          <w:p>
            <w:pPr>
              <w:spacing w:after="0"/>
              <w:rPr>
                <w:sz w:val="15"/>
                <w:szCs w:val="15"/>
                <w:color w:val="auto"/>
              </w:rPr>
            </w:pPr>
          </w:p>
        </w:tc>
      </w:tr>
      <w:tr>
        <w:trPr>
          <w:trHeight w:val="210"/>
        </w:trPr>
        <w:tc>
          <w:tcPr>
            <w:tcW w:w="1260" w:type="dxa"/>
            <w:vAlign w:val="bottom"/>
            <w:tcBorders>
              <w:left w:val="single" w:sz="8" w:color="auto"/>
              <w:right w:val="single" w:sz="8" w:color="auto"/>
            </w:tcBorders>
          </w:tcPr>
          <w:p>
            <w:pPr>
              <w:spacing w:after="0"/>
              <w:rPr>
                <w:sz w:val="18"/>
                <w:szCs w:val="18"/>
                <w:color w:val="auto"/>
              </w:rPr>
            </w:pPr>
          </w:p>
        </w:tc>
        <w:tc>
          <w:tcPr>
            <w:tcW w:w="1040" w:type="dxa"/>
            <w:vAlign w:val="bottom"/>
            <w:gridSpan w:val="3"/>
          </w:tcPr>
          <w:p>
            <w:pPr>
              <w:ind w:left="60"/>
              <w:spacing w:after="0" w:line="209" w:lineRule="exact"/>
              <w:rPr>
                <w:rFonts w:ascii="Times New Roman" w:cs="Times New Roman" w:eastAsia="Times New Roman" w:hAnsi="Times New Roman"/>
                <w:sz w:val="20"/>
                <w:szCs w:val="20"/>
                <w:color w:val="0000EE"/>
              </w:rPr>
            </w:pPr>
            <w:hyperlink w:anchor="page122">
              <w:r>
                <w:rPr>
                  <w:rFonts w:ascii="Times New Roman" w:cs="Times New Roman" w:eastAsia="Times New Roman" w:hAnsi="Times New Roman"/>
                  <w:sz w:val="20"/>
                  <w:szCs w:val="20"/>
                  <w:color w:val="0000EE"/>
                </w:rPr>
                <w:t>2002 *</w:t>
              </w:r>
            </w:hyperlink>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00"/>
        </w:trPr>
        <w:tc>
          <w:tcPr>
            <w:tcW w:w="126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9980" w:type="dxa"/>
            <w:vAlign w:val="bottom"/>
            <w:tcBorders>
              <w:right w:val="single" w:sz="8" w:color="auto"/>
            </w:tcBorders>
            <w:gridSpan w:val="15"/>
          </w:tcPr>
          <w:p>
            <w:pPr>
              <w:spacing w:after="0" w:line="200" w:lineRule="exact"/>
              <w:rPr>
                <w:sz w:val="20"/>
                <w:szCs w:val="20"/>
                <w:color w:val="auto"/>
              </w:rPr>
            </w:pPr>
            <w:r>
              <w:rPr>
                <w:rFonts w:ascii="Times New Roman" w:cs="Times New Roman" w:eastAsia="Times New Roman" w:hAnsi="Times New Roman"/>
                <w:sz w:val="20"/>
                <w:szCs w:val="20"/>
                <w:color w:val="auto"/>
              </w:rPr>
              <w:t>The following materials from Monster Beverage Corporation’s Annual Report on Form 10-K for the fiscal year ended</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98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December 31, 2018 are furnished herewith, formatted in XBRL (eXtensible Business Reporting Language): (i) the</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98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2018 and 2017, (ii) the Consolidated Statements of Income for the years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98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ended December 31, 2018, 2017 and 2016, (iii) Consolidated Statements of Comprehensive Income for the years ended</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98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December 31, 2018, 2017 and 2016, (iv) the Consolidated Statements of Stockholders’ Equity for the years ended</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98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December 31, 2018, 2017 and 2016, (v) Consolidated Statements of Cash Flows for the years ended December 31, 2018,</w:t>
            </w:r>
          </w:p>
        </w:tc>
      </w:tr>
      <w:tr>
        <w:trPr>
          <w:trHeight w:val="25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980" w:type="dxa"/>
            <w:vAlign w:val="bottom"/>
            <w:tcBorders>
              <w:bottom w:val="single" w:sz="8" w:color="auto"/>
              <w:right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2017 and 2016, and (vi) the Notes to Consolidated Financial Statements.</w:t>
            </w:r>
          </w:p>
        </w:tc>
      </w:tr>
    </w:tbl>
    <w:p>
      <w:pPr>
        <w:spacing w:after="0" w:line="361"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Filed herewith.</w:t>
      </w:r>
    </w:p>
    <w:p>
      <w:pPr>
        <w:ind w:left="260" w:hanging="252"/>
        <w:spacing w:after="0" w:line="187" w:lineRule="auto"/>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Management contract or compensatory plans or arrangements.</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RODNEY C. SACKS</w:t>
            </w:r>
          </w:p>
        </w:tc>
        <w:tc>
          <w:tcPr>
            <w:tcW w:w="466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Rodney C. Sacks</w:t>
            </w:r>
          </w:p>
        </w:tc>
        <w:tc>
          <w:tcPr>
            <w:tcW w:w="292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8"/>
              </w:rPr>
              <w:t>Date: February 28, 2019</w:t>
            </w:r>
          </w:p>
        </w:tc>
      </w:tr>
      <w:tr>
        <w:trPr>
          <w:trHeight w:val="256"/>
        </w:trPr>
        <w:tc>
          <w:tcPr>
            <w:tcW w:w="1980" w:type="dxa"/>
            <w:vAlign w:val="bottom"/>
          </w:tcPr>
          <w:p>
            <w:pPr>
              <w:spacing w:after="0"/>
              <w:rPr>
                <w:sz w:val="22"/>
                <w:szCs w:val="22"/>
                <w:color w:val="auto"/>
              </w:rPr>
            </w:pPr>
          </w:p>
        </w:tc>
        <w:tc>
          <w:tcPr>
            <w:tcW w:w="466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Chairman of the Board</w:t>
            </w:r>
          </w:p>
        </w:tc>
        <w:tc>
          <w:tcPr>
            <w:tcW w:w="2920" w:type="dxa"/>
            <w:vAlign w:val="bottom"/>
          </w:tcPr>
          <w:p>
            <w:pPr>
              <w:spacing w:after="0"/>
              <w:rPr>
                <w:sz w:val="22"/>
                <w:szCs w:val="22"/>
                <w:color w:val="auto"/>
              </w:rPr>
            </w:pPr>
          </w:p>
        </w:tc>
      </w:tr>
    </w:tbl>
    <w:p>
      <w:pPr>
        <w:spacing w:after="0" w:line="18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60"/>
          </w:cols>
          <w:pgMar w:left="240" w:top="121" w:right="19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3666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Rodney C. Sacks</w:t>
      </w:r>
    </w:p>
    <w:p>
      <w:pPr>
        <w:spacing w:after="0" w:line="227" w:lineRule="exact"/>
        <w:rPr>
          <w:sz w:val="20"/>
          <w:szCs w:val="20"/>
          <w:color w:val="auto"/>
        </w:rPr>
      </w:pPr>
    </w:p>
    <w:p>
      <w:pPr>
        <w:ind w:right="900"/>
        <w:spacing w:after="0" w:line="325" w:lineRule="auto"/>
        <w:rPr>
          <w:sz w:val="20"/>
          <w:szCs w:val="20"/>
          <w:color w:val="auto"/>
        </w:rPr>
      </w:pPr>
      <w:r>
        <w:rPr>
          <w:rFonts w:ascii="Times New Roman" w:cs="Times New Roman" w:eastAsia="Times New Roman" w:hAnsi="Times New Roman"/>
          <w:sz w:val="19"/>
          <w:szCs w:val="19"/>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3666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7"/>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of the Board of Directors and Chief Executive</w:t>
            </w: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February 28, 2019</w:t>
            </w:r>
          </w:p>
        </w:tc>
      </w:tr>
      <w:tr>
        <w:trPr>
          <w:trHeight w:val="258"/>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Officer (principal executive officer)</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57"/>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Chairman of the Board of Directors, President,</w:t>
            </w: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February 28, 2019</w:t>
            </w: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Operating Officer, Chief Financial Officer and</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Secretary (principal financial officer, controller and</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3440" w:space="720"/>
            <w:col w:w="7300"/>
          </w:cols>
          <w:pgMar w:left="240" w:top="121" w:right="19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NORMAN C. EPSTEIN</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Norman C. Epstein</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J. HALL</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Mark J. Hall</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GARY P. FAYARD</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Gary P. Fayard</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BENJAMIN M. POLK</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Benjamin M. Polk</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SYDNEY SELATI</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Sydney Selati</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6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HAROLD C. TABER, JR.</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Harold C. Taber, Jr.</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6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S. VIDERGAUZ</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Mark S. Vidergauz</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451"/>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KATHY N. WALLER</w:t>
            </w:r>
          </w:p>
        </w:tc>
        <w:tc>
          <w:tcPr>
            <w:tcW w:w="1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Director</w:t>
            </w:r>
          </w:p>
        </w:tc>
        <w:tc>
          <w:tcPr>
            <w:tcW w:w="6240" w:type="dxa"/>
            <w:vAlign w:val="bottom"/>
          </w:tcPr>
          <w:p>
            <w:pPr>
              <w:ind w:left="3920"/>
              <w:spacing w:after="0"/>
              <w:rPr>
                <w:sz w:val="20"/>
                <w:szCs w:val="20"/>
                <w:color w:val="auto"/>
              </w:rPr>
            </w:pPr>
            <w:r>
              <w:rPr>
                <w:rFonts w:ascii="Times New Roman" w:cs="Times New Roman" w:eastAsia="Times New Roman" w:hAnsi="Times New Roman"/>
                <w:sz w:val="20"/>
                <w:szCs w:val="20"/>
                <w:color w:val="auto"/>
              </w:rPr>
              <w:t>February 28, 2019</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Kathy N. Waller</w:t>
            </w: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r>
      <w:tr>
        <w:trPr>
          <w:trHeight w:val="384"/>
        </w:trPr>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70</w:t>
            </w:r>
          </w:p>
        </w:tc>
      </w:tr>
      <w:tr>
        <w:trPr>
          <w:trHeight w:val="138"/>
        </w:trPr>
        <w:tc>
          <w:tcPr>
            <w:tcW w:w="37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14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MONSTER BEVERAGE CORPORATION AND SUBSIDIARIES</w:t>
            </w:r>
          </w:p>
        </w:tc>
        <w:tc>
          <w:tcPr>
            <w:tcW w:w="22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20"/>
                <w:szCs w:val="20"/>
                <w:color w:val="auto"/>
              </w:rPr>
              <w:t>Page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40" w:type="dxa"/>
            <w:vAlign w:val="bottom"/>
            <w:gridSpan w:val="10"/>
            <w:vMerge w:val="continue"/>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9140" w:type="dxa"/>
            <w:vAlign w:val="bottom"/>
            <w:gridSpan w:val="10"/>
          </w:tcPr>
          <w:p>
            <w:pPr>
              <w:spacing w:after="0"/>
              <w:rPr>
                <w:rFonts w:ascii="Times New Roman" w:cs="Times New Roman" w:eastAsia="Times New Roman" w:hAnsi="Times New Roman"/>
                <w:sz w:val="20"/>
                <w:szCs w:val="20"/>
                <w:color w:val="0000EE"/>
              </w:rPr>
            </w:pPr>
            <w:hyperlink w:anchor="page72">
              <w:r>
                <w:rPr>
                  <w:rFonts w:ascii="Times New Roman" w:cs="Times New Roman" w:eastAsia="Times New Roman" w:hAnsi="Times New Roman"/>
                  <w:sz w:val="20"/>
                  <w:szCs w:val="20"/>
                  <w:color w:val="0000EE"/>
                </w:rPr>
                <w:t>Report of Independent Registered Public Accounting Firm</w:t>
              </w:r>
            </w:hyperlink>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8"/>
              </w:rPr>
            </w:pPr>
            <w:hyperlink w:anchor="page73">
              <w:r>
                <w:rPr>
                  <w:rFonts w:ascii="Times New Roman" w:cs="Times New Roman" w:eastAsia="Times New Roman" w:hAnsi="Times New Roman"/>
                  <w:sz w:val="20"/>
                  <w:szCs w:val="20"/>
                  <w:color w:val="0000EE"/>
                  <w:w w:val="98"/>
                </w:rPr>
                <w:t>Consolidated Balance Sheets as of December 31, 2018 and 2017</w:t>
              </w:r>
            </w:hyperlink>
          </w:p>
        </w:tc>
        <w:tc>
          <w:tcPr>
            <w:tcW w:w="4020" w:type="dxa"/>
            <w:vAlign w:val="bottom"/>
            <w:gridSpan w:val="6"/>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140" w:type="dxa"/>
            <w:vAlign w:val="bottom"/>
            <w:gridSpan w:val="10"/>
          </w:tcPr>
          <w:p>
            <w:pPr>
              <w:spacing w:after="0"/>
              <w:rPr>
                <w:rFonts w:ascii="Times New Roman" w:cs="Times New Roman" w:eastAsia="Times New Roman" w:hAnsi="Times New Roman"/>
                <w:sz w:val="20"/>
                <w:szCs w:val="20"/>
                <w:color w:val="0000EE"/>
              </w:rPr>
            </w:pPr>
            <w:hyperlink w:anchor="page74">
              <w:r>
                <w:rPr>
                  <w:rFonts w:ascii="Times New Roman" w:cs="Times New Roman" w:eastAsia="Times New Roman" w:hAnsi="Times New Roman"/>
                  <w:sz w:val="20"/>
                  <w:szCs w:val="20"/>
                  <w:color w:val="0000EE"/>
                </w:rPr>
                <w:t>Consolidated Statements of Income for the years ended December 31, 2018, 2017 and 2016</w:t>
              </w:r>
            </w:hyperlink>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40" w:type="dxa"/>
            <w:vAlign w:val="bottom"/>
            <w:gridSpan w:val="10"/>
          </w:tcPr>
          <w:p>
            <w:pPr>
              <w:spacing w:after="0"/>
              <w:rPr>
                <w:rFonts w:ascii="Times New Roman" w:cs="Times New Roman" w:eastAsia="Times New Roman" w:hAnsi="Times New Roman"/>
                <w:sz w:val="20"/>
                <w:szCs w:val="20"/>
                <w:color w:val="0000EE"/>
              </w:rPr>
            </w:pPr>
            <w:hyperlink w:anchor="page75">
              <w:r>
                <w:rPr>
                  <w:rFonts w:ascii="Times New Roman" w:cs="Times New Roman" w:eastAsia="Times New Roman" w:hAnsi="Times New Roman"/>
                  <w:sz w:val="20"/>
                  <w:szCs w:val="20"/>
                  <w:color w:val="0000EE"/>
                </w:rPr>
                <w:t>Consolidated Statements of Comprehensive Income for the years ended December 31, 2018, 2017 and 2016</w:t>
              </w:r>
            </w:hyperlink>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3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20"/>
                <w:szCs w:val="20"/>
                <w:color w:val="0000EE"/>
                <w:w w:val="98"/>
              </w:rPr>
            </w:pPr>
            <w:hyperlink w:anchor="page76">
              <w:r>
                <w:rPr>
                  <w:rFonts w:ascii="Times New Roman" w:cs="Times New Roman" w:eastAsia="Times New Roman" w:hAnsi="Times New Roman"/>
                  <w:sz w:val="20"/>
                  <w:szCs w:val="20"/>
                  <w:color w:val="0000EE"/>
                  <w:w w:val="98"/>
                </w:rPr>
                <w:t>Consolidated Statements of Stockholders’ Equity for the years ended December 31, 2018, 2017 and 2016</w:t>
              </w:r>
            </w:hyperlink>
          </w:p>
        </w:tc>
        <w:tc>
          <w:tcPr>
            <w:tcW w:w="200" w:type="dxa"/>
            <w:vAlign w:val="bottom"/>
            <w:tcBorders>
              <w:top w:val="single" w:sz="8" w:color="0000EE"/>
            </w:tcBorders>
          </w:tcPr>
          <w:p>
            <w:pPr>
              <w:spacing w:after="0"/>
              <w:rPr>
                <w:sz w:val="24"/>
                <w:szCs w:val="24"/>
                <w:color w:val="auto"/>
              </w:rPr>
            </w:pPr>
          </w:p>
        </w:tc>
        <w:tc>
          <w:tcPr>
            <w:tcW w:w="580" w:type="dxa"/>
            <w:vAlign w:val="bottom"/>
            <w:gridSpan w:val="2"/>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140" w:type="dxa"/>
            <w:vAlign w:val="bottom"/>
            <w:gridSpan w:val="10"/>
          </w:tcPr>
          <w:p>
            <w:pPr>
              <w:spacing w:after="0"/>
              <w:rPr>
                <w:rFonts w:ascii="Times New Roman" w:cs="Times New Roman" w:eastAsia="Times New Roman" w:hAnsi="Times New Roman"/>
                <w:sz w:val="20"/>
                <w:szCs w:val="20"/>
                <w:color w:val="0000EE"/>
              </w:rPr>
            </w:pPr>
            <w:hyperlink w:anchor="page77">
              <w:r>
                <w:rPr>
                  <w:rFonts w:ascii="Times New Roman" w:cs="Times New Roman" w:eastAsia="Times New Roman" w:hAnsi="Times New Roman"/>
                  <w:sz w:val="20"/>
                  <w:szCs w:val="20"/>
                  <w:color w:val="0000EE"/>
                </w:rPr>
                <w:t>Consolidated Statements of Cash Flows for the years ended December 31, 2018, 2017 and 2016</w:t>
              </w:r>
            </w:hyperlink>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79">
              <w:r>
                <w:rPr>
                  <w:rFonts w:ascii="Times New Roman" w:cs="Times New Roman" w:eastAsia="Times New Roman" w:hAnsi="Times New Roman"/>
                  <w:sz w:val="20"/>
                  <w:szCs w:val="20"/>
                  <w:color w:val="0000EE"/>
                  <w:w w:val="9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1540" w:type="dxa"/>
            <w:vAlign w:val="bottom"/>
            <w:gridSpan w:val="4"/>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9020" w:type="dxa"/>
            <w:vAlign w:val="bottom"/>
            <w:tcBorders>
              <w:bottom w:val="single" w:sz="8" w:color="0000EE"/>
            </w:tcBorders>
            <w:gridSpan w:val="9"/>
          </w:tcPr>
          <w:p>
            <w:pPr>
              <w:spacing w:after="0"/>
              <w:rPr>
                <w:rFonts w:ascii="Times New Roman" w:cs="Times New Roman" w:eastAsia="Times New Roman" w:hAnsi="Times New Roman"/>
                <w:sz w:val="20"/>
                <w:szCs w:val="20"/>
                <w:color w:val="0000EE"/>
                <w:w w:val="98"/>
              </w:rPr>
            </w:pPr>
            <w:hyperlink w:anchor="page115">
              <w:r>
                <w:rPr>
                  <w:rFonts w:ascii="Times New Roman" w:cs="Times New Roman" w:eastAsia="Times New Roman" w:hAnsi="Times New Roman"/>
                  <w:sz w:val="20"/>
                  <w:szCs w:val="20"/>
                  <w:color w:val="0000EE"/>
                  <w:w w:val="98"/>
                </w:rPr>
                <w:t>Financial Statement Schedule – Valuation and Qualifying Accounts for the years ended December 31, 2018, 2017</w:t>
              </w:r>
            </w:hyperlink>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7"/>
              </w:rPr>
            </w:pPr>
            <w:hyperlink w:anchor="page115">
              <w:r>
                <w:rPr>
                  <w:rFonts w:ascii="Times New Roman" w:cs="Times New Roman" w:eastAsia="Times New Roman" w:hAnsi="Times New Roman"/>
                  <w:sz w:val="20"/>
                  <w:szCs w:val="20"/>
                  <w:color w:val="0000EE"/>
                  <w:w w:val="97"/>
                </w:rPr>
                <w:t>and 2016</w:t>
              </w:r>
            </w:hyperlink>
          </w:p>
        </w:tc>
        <w:tc>
          <w:tcPr>
            <w:tcW w:w="8400" w:type="dxa"/>
            <w:vAlign w:val="bottom"/>
            <w:gridSpan w:val="9"/>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7260" w:type="dxa"/>
            <w:vAlign w:val="bottom"/>
            <w:gridSpan w:val="5"/>
          </w:tcPr>
          <w:p>
            <w:pPr>
              <w:ind w:left="5640"/>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4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Monster Beverage Corporation and subsidiaries (the “Company”) as of December 31, 2018 and 2017, the related consolidated statements of income, comprehensive income, stockholders’ equity and cash flows, for each of the three years in the period ended December 31, 2018, and the related notes and the schedule listed in the Index at Item 15(a)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and our report dated February 28,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DECEMBER 31, 2018 AND 2017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40" w:type="dxa"/>
            <w:vAlign w:val="bottom"/>
            <w:gridSpan w:val="3"/>
            <w:vMerge w:val="restart"/>
          </w:tcPr>
          <w:p>
            <w:pPr>
              <w:jc w:val="center"/>
              <w:ind w:right="40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22"/>
                <w:szCs w:val="22"/>
                <w:color w:val="auto"/>
              </w:rPr>
            </w:pPr>
          </w:p>
        </w:tc>
        <w:tc>
          <w:tcPr>
            <w:tcW w:w="40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637,513</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528,622</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320,650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672,933</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484,562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449,476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277,705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255,745</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40,877</w:t>
            </w:r>
          </w:p>
        </w:tc>
        <w:tc>
          <w:tcPr>
            <w:tcW w:w="0" w:type="dxa"/>
            <w:vAlign w:val="bottom"/>
          </w:tcPr>
          <w:p>
            <w:pPr>
              <w:spacing w:after="0"/>
              <w:rPr>
                <w:sz w:val="1"/>
                <w:szCs w:val="1"/>
                <w:color w:val="auto"/>
              </w:rPr>
            </w:pPr>
          </w:p>
        </w:tc>
      </w:tr>
      <w:tr>
        <w:trPr>
          <w:trHeight w:val="210"/>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38,831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138,724</w:t>
            </w:r>
          </w:p>
        </w:tc>
        <w:tc>
          <w:tcPr>
            <w:tcW w:w="0" w:type="dxa"/>
            <w:vAlign w:val="bottom"/>
          </w:tcPr>
          <w:p>
            <w:pPr>
              <w:spacing w:after="0"/>
              <w:rPr>
                <w:sz w:val="1"/>
                <w:szCs w:val="1"/>
                <w:color w:val="auto"/>
              </w:rPr>
            </w:pPr>
          </w:p>
        </w:tc>
      </w:tr>
      <w:tr>
        <w:trPr>
          <w:trHeight w:val="210"/>
        </w:trPr>
        <w:tc>
          <w:tcPr>
            <w:tcW w:w="844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1,804,170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2,086,377</w:t>
            </w:r>
          </w:p>
        </w:tc>
        <w:tc>
          <w:tcPr>
            <w:tcW w:w="0" w:type="dxa"/>
            <w:vAlign w:val="bottom"/>
          </w:tcPr>
          <w:p>
            <w:pPr>
              <w:spacing w:after="0"/>
              <w:rPr>
                <w:sz w:val="1"/>
                <w:szCs w:val="1"/>
                <w:color w:val="auto"/>
              </w:rPr>
            </w:pPr>
          </w:p>
        </w:tc>
      </w:tr>
      <w:tr>
        <w:trPr>
          <w:trHeight w:val="397"/>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243,051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230,276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85,687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92,333</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1,331,643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1,331,643</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1,045,878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1,034,085</w:t>
            </w:r>
          </w:p>
        </w:tc>
        <w:tc>
          <w:tcPr>
            <w:tcW w:w="0" w:type="dxa"/>
            <w:vAlign w:val="bottom"/>
          </w:tcPr>
          <w:p>
            <w:pPr>
              <w:spacing w:after="0"/>
              <w:rPr>
                <w:sz w:val="1"/>
                <w:szCs w:val="1"/>
                <w:color w:val="auto"/>
              </w:rPr>
            </w:pPr>
          </w:p>
        </w:tc>
      </w:tr>
      <w:tr>
        <w:trPr>
          <w:trHeight w:val="210"/>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16,462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13,932</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6100" w:type="dxa"/>
            <w:vAlign w:val="bottom"/>
            <w:gridSpan w:val="4"/>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4,526,891</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4,791,012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100" w:type="dxa"/>
            <w:vAlign w:val="bottom"/>
            <w:gridSpan w:val="4"/>
            <w:vMerge w:val="restart"/>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40" w:type="dxa"/>
            <w:vAlign w:val="bottom"/>
          </w:tcPr>
          <w:p>
            <w:pPr>
              <w:spacing w:after="0"/>
              <w:rPr>
                <w:sz w:val="24"/>
                <w:szCs w:val="24"/>
                <w:color w:val="auto"/>
              </w:rPr>
            </w:pPr>
          </w:p>
        </w:tc>
        <w:tc>
          <w:tcPr>
            <w:tcW w:w="61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22"/>
                <w:szCs w:val="22"/>
                <w:color w:val="auto"/>
              </w:rPr>
            </w:pPr>
          </w:p>
        </w:tc>
        <w:tc>
          <w:tcPr>
            <w:tcW w:w="2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248,760</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245,910</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112,507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87,475</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145,741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137,998</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43,236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34,996</w:t>
            </w:r>
          </w:p>
        </w:tc>
        <w:tc>
          <w:tcPr>
            <w:tcW w:w="0" w:type="dxa"/>
            <w:vAlign w:val="bottom"/>
          </w:tcPr>
          <w:p>
            <w:pPr>
              <w:spacing w:after="0"/>
              <w:rPr>
                <w:sz w:val="1"/>
                <w:szCs w:val="1"/>
                <w:color w:val="auto"/>
              </w:rPr>
            </w:pPr>
          </w:p>
        </w:tc>
      </w:tr>
      <w:tr>
        <w:trPr>
          <w:trHeight w:val="210"/>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10,189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10,645</w:t>
            </w:r>
          </w:p>
        </w:tc>
        <w:tc>
          <w:tcPr>
            <w:tcW w:w="0" w:type="dxa"/>
            <w:vAlign w:val="bottom"/>
          </w:tcPr>
          <w:p>
            <w:pPr>
              <w:spacing w:after="0"/>
              <w:rPr>
                <w:sz w:val="1"/>
                <w:szCs w:val="1"/>
                <w:color w:val="auto"/>
              </w:rPr>
            </w:pPr>
          </w:p>
        </w:tc>
      </w:tr>
      <w:tr>
        <w:trPr>
          <w:trHeight w:val="210"/>
        </w:trPr>
        <w:tc>
          <w:tcPr>
            <w:tcW w:w="84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601,145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560,351</w:t>
            </w:r>
          </w:p>
        </w:tc>
        <w:tc>
          <w:tcPr>
            <w:tcW w:w="0" w:type="dxa"/>
            <w:vAlign w:val="bottom"/>
          </w:tcPr>
          <w:p>
            <w:pPr>
              <w:spacing w:after="0"/>
              <w:rPr>
                <w:sz w:val="1"/>
                <w:szCs w:val="1"/>
                <w:color w:val="auto"/>
              </w:rPr>
            </w:pPr>
          </w:p>
        </w:tc>
      </w:tr>
      <w:tr>
        <w:trPr>
          <w:trHeight w:val="405"/>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312,224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334,354</w:t>
            </w:r>
          </w:p>
        </w:tc>
        <w:tc>
          <w:tcPr>
            <w:tcW w:w="0" w:type="dxa"/>
            <w:vAlign w:val="bottom"/>
          </w:tcPr>
          <w:p>
            <w:pPr>
              <w:spacing w:after="0"/>
              <w:rPr>
                <w:sz w:val="1"/>
                <w:szCs w:val="1"/>
                <w:color w:val="auto"/>
              </w:rPr>
            </w:pPr>
          </w:p>
        </w:tc>
      </w:tr>
      <w:tr>
        <w:trPr>
          <w:trHeight w:val="419"/>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419"/>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1,250,000 shares authorized; 630,970 shares issued and 543,676 shares outstanding as of</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December 31, 2018; 629,255 shares issued and 566,298 shares outstanding as of December 31, 2017</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4,238,170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4,150,628</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3,914,645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2,928,226</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w:t>
            </w:r>
          </w:p>
        </w:tc>
        <w:tc>
          <w:tcPr>
            <w:tcW w:w="0" w:type="dxa"/>
            <w:vAlign w:val="bottom"/>
          </w:tcPr>
          <w:p>
            <w:pPr>
              <w:spacing w:after="0"/>
              <w:rPr>
                <w:sz w:val="1"/>
                <w:szCs w:val="1"/>
                <w:color w:val="auto"/>
              </w:rPr>
            </w:pPr>
          </w:p>
        </w:tc>
      </w:tr>
      <w:tr>
        <w:trPr>
          <w:trHeight w:val="203"/>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87,294 shares and 62,957 shares as of December 31, 2018 and December 31, 2017,</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(4,512,205)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(3,170,129)</w:t>
            </w:r>
          </w:p>
        </w:tc>
        <w:tc>
          <w:tcPr>
            <w:tcW w:w="0" w:type="dxa"/>
            <w:vAlign w:val="bottom"/>
          </w:tcPr>
          <w:p>
            <w:pPr>
              <w:spacing w:after="0"/>
              <w:rPr>
                <w:sz w:val="1"/>
                <w:szCs w:val="1"/>
                <w:color w:val="auto"/>
              </w:rPr>
            </w:pPr>
          </w:p>
        </w:tc>
      </w:tr>
      <w:tr>
        <w:trPr>
          <w:trHeight w:val="202"/>
        </w:trPr>
        <w:tc>
          <w:tcPr>
            <w:tcW w:w="84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3,610,901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3,895,212</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6100" w:type="dxa"/>
            <w:vAlign w:val="bottom"/>
            <w:gridSpan w:val="4"/>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4,526,891</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4,791,012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2018, 2017 AND 2016</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3,807,183</w:t>
            </w:r>
          </w:p>
        </w:tc>
        <w:tc>
          <w:tcPr>
            <w:tcW w:w="2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3,369,045</w:t>
            </w:r>
          </w:p>
        </w:tc>
        <w:tc>
          <w:tcPr>
            <w:tcW w:w="24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3,049,393</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1,511,808</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1,231,355</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1,107,393</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2,295,375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2,137,690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1,942,000</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1,011,756</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938,903</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856,662</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1,283,619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1,198,787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1,085,338</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1,293,272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1,201,623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1,079,685</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300,268</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380,945</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367,000</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993,004</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820,678</w:t>
            </w:r>
          </w:p>
        </w:tc>
        <w:tc>
          <w:tcPr>
            <w:tcW w:w="24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712,685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AND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557,166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566,782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587,874</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564,254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577,141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599,819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2018, 2017 AND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2018</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200"/>
        </w:trPr>
        <w:tc>
          <w:tcPr>
            <w:tcW w:w="6820" w:type="dxa"/>
            <w:vAlign w:val="bottom"/>
            <w:vMerge w:val="continue"/>
          </w:tcPr>
          <w:p>
            <w:pPr>
              <w:spacing w:after="0"/>
              <w:rPr>
                <w:sz w:val="17"/>
                <w:szCs w:val="17"/>
                <w:color w:val="auto"/>
              </w:rPr>
            </w:pPr>
          </w:p>
        </w:tc>
        <w:tc>
          <w:tcPr>
            <w:tcW w:w="3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993,004</w:t>
            </w:r>
          </w:p>
        </w:tc>
        <w:tc>
          <w:tcPr>
            <w:tcW w:w="240" w:type="dxa"/>
            <w:vAlign w:val="bottom"/>
          </w:tcPr>
          <w:p>
            <w:pPr>
              <w:spacing w:after="0"/>
              <w:rPr>
                <w:sz w:val="17"/>
                <w:szCs w:val="17"/>
                <w:color w:val="auto"/>
              </w:rPr>
            </w:pPr>
          </w:p>
        </w:tc>
        <w:tc>
          <w:tcPr>
            <w:tcW w:w="32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820,678</w:t>
            </w:r>
          </w:p>
        </w:tc>
        <w:tc>
          <w:tcPr>
            <w:tcW w:w="240" w:type="dxa"/>
            <w:vAlign w:val="bottom"/>
          </w:tcPr>
          <w:p>
            <w:pPr>
              <w:spacing w:after="0"/>
              <w:rPr>
                <w:sz w:val="17"/>
                <w:szCs w:val="17"/>
                <w:color w:val="auto"/>
              </w:rPr>
            </w:pPr>
          </w:p>
        </w:tc>
        <w:tc>
          <w:tcPr>
            <w:tcW w:w="3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712,685</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foreign currency translation adjustment, net of tax</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Change in net unrealized gains (losses)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0" w:type="dxa"/>
            <w:vAlign w:val="bottom"/>
          </w:tcPr>
          <w:p>
            <w:pPr>
              <w:spacing w:after="0"/>
              <w:rPr>
                <w:sz w:val="1"/>
                <w:szCs w:val="1"/>
                <w:color w:val="auto"/>
              </w:rPr>
            </w:pPr>
          </w:p>
        </w:tc>
      </w:tr>
      <w:tr>
        <w:trPr>
          <w:trHeight w:val="230"/>
        </w:trPr>
        <w:tc>
          <w:tcPr>
            <w:tcW w:w="68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Reclassification adjustment for net gains included in net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8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Net change in available-for-sale investments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752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(648)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(193)</w:t>
            </w:r>
          </w:p>
        </w:tc>
        <w:tc>
          <w:tcPr>
            <w:tcW w:w="0" w:type="dxa"/>
            <w:vAlign w:val="bottom"/>
          </w:tcPr>
          <w:p>
            <w:pPr>
              <w:spacing w:after="0"/>
              <w:rPr>
                <w:sz w:val="1"/>
                <w:szCs w:val="1"/>
                <w:color w:val="auto"/>
              </w:rPr>
            </w:pPr>
          </w:p>
        </w:tc>
      </w:tr>
      <w:tr>
        <w:trPr>
          <w:trHeight w:val="23"/>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(16,205)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6,590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(1,371)</w:t>
            </w:r>
          </w:p>
        </w:tc>
        <w:tc>
          <w:tcPr>
            <w:tcW w:w="0" w:type="dxa"/>
            <w:vAlign w:val="bottom"/>
          </w:tcPr>
          <w:p>
            <w:pPr>
              <w:spacing w:after="0"/>
              <w:rPr>
                <w:sz w:val="1"/>
                <w:szCs w:val="1"/>
                <w:color w:val="auto"/>
              </w:rPr>
            </w:pPr>
          </w:p>
        </w:tc>
      </w:tr>
      <w:tr>
        <w:trPr>
          <w:trHeight w:val="23"/>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976,799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827,268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711,314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2018, 2017 AND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9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20" w:type="dxa"/>
            <w:vAlign w:val="bottom"/>
            <w:gridSpan w:val="5"/>
            <w:vMerge w:val="continue"/>
          </w:tcPr>
          <w:p>
            <w:pPr>
              <w:spacing w:after="0"/>
              <w:rPr>
                <w:sz w:val="15"/>
                <w:szCs w:val="15"/>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9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3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14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January 1, 2016</w:t>
            </w: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621,057</w:t>
            </w:r>
          </w:p>
        </w:tc>
        <w:tc>
          <w:tcPr>
            <w:tcW w:w="16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3,105</w:t>
            </w:r>
          </w:p>
        </w:tc>
        <w:tc>
          <w:tcPr>
            <w:tcW w:w="1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3,989,787</w:t>
            </w:r>
          </w:p>
        </w:tc>
        <w:tc>
          <w:tcPr>
            <w:tcW w:w="16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1,394,863</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(21,878)</w:t>
            </w:r>
          </w:p>
        </w:tc>
        <w:tc>
          <w:tcPr>
            <w:tcW w:w="16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(12,357)</w:t>
            </w:r>
          </w:p>
        </w:tc>
        <w:tc>
          <w:tcPr>
            <w:tcW w:w="16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(556,467)</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4,809,410</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45,848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45,848</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16,441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16,452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 sale</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arrangements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(2,252,484)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(2,252,484)</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712,685</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712,685</w:t>
            </w:r>
          </w:p>
        </w:tc>
        <w:tc>
          <w:tcPr>
            <w:tcW w:w="0" w:type="dxa"/>
            <w:vAlign w:val="bottom"/>
          </w:tcPr>
          <w:p>
            <w:pPr>
              <w:spacing w:after="0"/>
              <w:rPr>
                <w:sz w:val="1"/>
                <w:szCs w:val="1"/>
                <w:color w:val="auto"/>
              </w:rPr>
            </w:pPr>
          </w:p>
        </w:tc>
      </w:tr>
      <w:tr>
        <w:trPr>
          <w:trHeight w:val="281"/>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623,201</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3,116</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4,051,245</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2,107,548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(23,249)</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(56,635)</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(2,808,951)</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3,329,709</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52,282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52,282</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6,054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52,596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52,626</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 sale</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Reversal of excess tax benefits from</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based payment arrangements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(361,178)</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7,238</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7,238</w:t>
            </w: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820,678</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820,678</w:t>
            </w:r>
          </w:p>
        </w:tc>
        <w:tc>
          <w:tcPr>
            <w:tcW w:w="0" w:type="dxa"/>
            <w:vAlign w:val="bottom"/>
          </w:tcPr>
          <w:p>
            <w:pPr>
              <w:spacing w:after="0"/>
              <w:rPr>
                <w:sz w:val="1"/>
                <w:szCs w:val="1"/>
                <w:color w:val="auto"/>
              </w:rPr>
            </w:pPr>
          </w:p>
        </w:tc>
      </w:tr>
      <w:tr>
        <w:trPr>
          <w:trHeight w:val="281"/>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629,255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3,146</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4,150,628</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2,928,226</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(16,659)</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(62,957)</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(3,170,129)</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3,895,212</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57,111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57,111</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27,843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27,852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available-for- sale</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752</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Adjustment to excess tax benefits from</w:t>
            </w: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2,588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periods</w:t>
            </w: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ASU No. 2016-16 adoption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(1,342,076)</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1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0" w:type="dxa"/>
            <w:vAlign w:val="bottom"/>
          </w:tcPr>
          <w:p>
            <w:pPr>
              <w:spacing w:after="0"/>
              <w:rPr>
                <w:sz w:val="1"/>
                <w:szCs w:val="1"/>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993,004</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993,004</w:t>
            </w: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630,970</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3,155</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4,238,170</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3,914,645</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(32,864)</w:t>
            </w:r>
          </w:p>
        </w:tc>
        <w:tc>
          <w:tcPr>
            <w:tcW w:w="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(87,294)</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(4,512,205)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3,610,901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2018, 2017 AND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172"/>
        </w:trPr>
        <w:tc>
          <w:tcPr>
            <w:tcW w:w="7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993,004</w:t>
            </w:r>
          </w:p>
        </w:tc>
        <w:tc>
          <w:tcPr>
            <w:tcW w:w="300" w:type="dxa"/>
            <w:vAlign w:val="bottom"/>
          </w:tcPr>
          <w:p>
            <w:pPr>
              <w:spacing w:after="0"/>
              <w:rPr>
                <w:sz w:val="17"/>
                <w:szCs w:val="17"/>
                <w:color w:val="auto"/>
              </w:rPr>
            </w:pP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820,678</w:t>
            </w:r>
          </w:p>
        </w:tc>
        <w:tc>
          <w:tcPr>
            <w:tcW w:w="3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712,685</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40,845</w:t>
            </w: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45,848</w:t>
            </w: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(19,092)</w:t>
            </w:r>
          </w:p>
        </w:tc>
        <w:tc>
          <w:tcPr>
            <w:tcW w:w="0" w:type="dxa"/>
            <w:vAlign w:val="bottom"/>
          </w:tcPr>
          <w:p>
            <w:pPr>
              <w:spacing w:after="0"/>
              <w:rPr>
                <w:sz w:val="1"/>
                <w:szCs w:val="1"/>
                <w:color w:val="auto"/>
              </w:rPr>
            </w:pPr>
          </w:p>
        </w:tc>
      </w:tr>
      <w:tr>
        <w:trPr>
          <w:trHeight w:val="203"/>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 net of acquisitions and divestitures: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(86,382)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TCCC Transaction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Distributor receivables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(19,981)</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(88,867)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20,875</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(48,023)</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45,340</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8,051</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4,375</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13,819</w:t>
            </w:r>
          </w:p>
        </w:tc>
        <w:tc>
          <w:tcPr>
            <w:tcW w:w="0" w:type="dxa"/>
            <w:vAlign w:val="bottom"/>
          </w:tcPr>
          <w:p>
            <w:pPr>
              <w:spacing w:after="0"/>
              <w:rPr>
                <w:sz w:val="1"/>
                <w:szCs w:val="1"/>
                <w:color w:val="auto"/>
              </w:rPr>
            </w:pPr>
          </w:p>
        </w:tc>
      </w:tr>
      <w:tr>
        <w:trPr>
          <w:trHeight w:val="210"/>
        </w:trPr>
        <w:tc>
          <w:tcPr>
            <w:tcW w:w="72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1,161,881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987,731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701,355</w:t>
            </w:r>
          </w:p>
        </w:tc>
        <w:tc>
          <w:tcPr>
            <w:tcW w:w="0" w:type="dxa"/>
            <w:vAlign w:val="bottom"/>
          </w:tcPr>
          <w:p>
            <w:pPr>
              <w:spacing w:after="0"/>
              <w:rPr>
                <w:sz w:val="1"/>
                <w:szCs w:val="1"/>
                <w:color w:val="auto"/>
              </w:rPr>
            </w:pPr>
          </w:p>
        </w:tc>
      </w:tr>
      <w:tr>
        <w:trPr>
          <w:trHeight w:val="302"/>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held-to-maturity investments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868,304</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1,181,484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533,183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120,987</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AFF assets,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(688,485)</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held-to-maturity investments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(152,050)</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(826,084)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(971,813)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(300,426)</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(99,819)</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72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272,956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(531,541)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(256,193)</w:t>
            </w:r>
          </w:p>
        </w:tc>
        <w:tc>
          <w:tcPr>
            <w:tcW w:w="0" w:type="dxa"/>
            <w:vAlign w:val="bottom"/>
          </w:tcPr>
          <w:p>
            <w:pPr>
              <w:spacing w:after="0"/>
              <w:rPr>
                <w:sz w:val="1"/>
                <w:szCs w:val="1"/>
                <w:color w:val="auto"/>
              </w:rPr>
            </w:pPr>
          </w:p>
        </w:tc>
      </w:tr>
      <w:tr>
        <w:trPr>
          <w:trHeight w:val="302"/>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16,405</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(1,342,076)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(361,178)</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(2,252,437)</w:t>
            </w:r>
          </w:p>
        </w:tc>
        <w:tc>
          <w:tcPr>
            <w:tcW w:w="0" w:type="dxa"/>
            <w:vAlign w:val="bottom"/>
          </w:tcPr>
          <w:p>
            <w:pPr>
              <w:spacing w:after="0"/>
              <w:rPr>
                <w:sz w:val="1"/>
                <w:szCs w:val="1"/>
                <w:color w:val="auto"/>
              </w:rPr>
            </w:pPr>
          </w:p>
        </w:tc>
      </w:tr>
      <w:tr>
        <w:trPr>
          <w:trHeight w:val="202"/>
        </w:trPr>
        <w:tc>
          <w:tcPr>
            <w:tcW w:w="72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(1,316,111)</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(311,135)</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(2,238,391)</w:t>
            </w:r>
          </w:p>
        </w:tc>
        <w:tc>
          <w:tcPr>
            <w:tcW w:w="0" w:type="dxa"/>
            <w:vAlign w:val="bottom"/>
          </w:tcPr>
          <w:p>
            <w:pPr>
              <w:spacing w:after="0"/>
              <w:rPr>
                <w:sz w:val="1"/>
                <w:szCs w:val="1"/>
                <w:color w:val="auto"/>
              </w:rPr>
            </w:pPr>
          </w:p>
        </w:tc>
      </w:tr>
      <w:tr>
        <w:trPr>
          <w:trHeight w:val="312"/>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0" w:type="dxa"/>
            <w:vAlign w:val="bottom"/>
          </w:tcPr>
          <w:p>
            <w:pPr>
              <w:spacing w:after="0"/>
              <w:rPr>
                <w:sz w:val="1"/>
                <w:szCs w:val="1"/>
                <w:color w:val="auto"/>
              </w:rPr>
            </w:pP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108,891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151,040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(1,797,835)</w:t>
            </w: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528,622</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377,582</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2,175,417</w:t>
            </w: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637,513</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528,622</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377,582</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4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200,767</w:t>
            </w:r>
          </w:p>
        </w:tc>
        <w:tc>
          <w:tcPr>
            <w:tcW w:w="300" w:type="dxa"/>
            <w:vAlign w:val="bottom"/>
          </w:tcPr>
          <w:p>
            <w:pPr>
              <w:spacing w:after="0"/>
              <w:rPr>
                <w:sz w:val="16"/>
                <w:szCs w:val="16"/>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389,490</w:t>
            </w:r>
          </w:p>
        </w:tc>
        <w:tc>
          <w:tcPr>
            <w:tcW w:w="300" w:type="dxa"/>
            <w:vAlign w:val="bottom"/>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431,273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6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CASH FLOWS (Continued) FOR THE YEARS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2018, 2017 and 2016, the Company entered into capital leases of $1.5 million, $2.7 million and $2.6 million, respectively, for the acquisition of promotional vehicles.</w:t>
      </w:r>
    </w:p>
    <w:p>
      <w:pPr>
        <w:spacing w:after="0" w:line="16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Accounts payable included equipment purchases of $0.7 million, $2.3 million and $0.1 million as of December 31, 2018, 2017 and 2016, respectively.</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Accrued liabilities included equipment purchases of $0.0 million, $3.8 million and $4.6 million as of December 31, 2018, 2017 and 2016, respectively.</w:t>
      </w:r>
    </w:p>
    <w:p>
      <w:pPr>
        <w:spacing w:after="0" w:line="16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Accrued liabilities included additions to intangibles of $10.8 million, $3.7 million and $3.8 million as of December 31, 2018, 2017 and 2016, respectively.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SUMMARY OF SIGNIFICANT ACCOUNTING POLICIES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Organization </w:t>
      </w:r>
      <w:r>
        <w:rPr>
          <w:rFonts w:ascii="Times New Roman" w:cs="Times New Roman" w:eastAsia="Times New Roman" w:hAnsi="Times New Roman"/>
          <w:sz w:val="20"/>
          <w:szCs w:val="20"/>
          <w:color w:val="auto"/>
        </w:rPr>
        <w:t>– Monster Beverage Corporation (the “Company”) was incorporated in the state of Delaware. The Company is a holding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has no operating business except through its consolidated subsidiaries.</w:t>
      </w:r>
    </w:p>
    <w:p>
      <w:pPr>
        <w:spacing w:after="0" w:line="152" w:lineRule="exact"/>
        <w:rPr>
          <w:sz w:val="20"/>
          <w:szCs w:val="20"/>
          <w:color w:val="auto"/>
        </w:rPr>
      </w:pPr>
    </w:p>
    <w:p>
      <w:pPr>
        <w:jc w:val="both"/>
        <w:ind w:firstLine="702"/>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Nature of Operations </w:t>
      </w:r>
      <w:r>
        <w:rPr>
          <w:rFonts w:ascii="Times New Roman" w:cs="Times New Roman" w:eastAsia="Times New Roman" w:hAnsi="Times New Roman"/>
          <w:sz w:val="20"/>
          <w:szCs w:val="20"/>
          <w:color w:val="auto"/>
        </w:rPr>
        <w:t>– The Company develops, markets, sells and distributes energy drink beverages and concentrates for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 beverages, primarily under the following brand names: Monster Energy®, Monster Energy Ultra®, Monster Rehab</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Monster MAXX®, Java Monster®, Muscle Monster®, Punch Monster®, Juice Monster®, Monster Hydro®, Espresso Monster®, Caffé Monster®, Nalu®, NOS®, Full Throttle®, Burn®, Mother®, Ultra Energy®, Play® and Power Play(stylized)®, Relentless®, BPM®, Predator®, Mutant®, BU® and Live+.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w:t>
      </w:r>
      <w:r>
        <w:rPr>
          <w:rFonts w:ascii="Times New Roman" w:cs="Times New Roman" w:eastAsia="Times New Roman" w:hAnsi="Times New Roman"/>
          <w:sz w:val="20"/>
          <w:szCs w:val="20"/>
          <w:color w:val="auto"/>
        </w:rPr>
        <w:t>– The accompanying consolidated financial statements have been prepared in accordance with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principles generally accepted in the United States of America (“GAAP”) and include the accounts of the Company and its consolidated subsidiaries.</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 Company consolidates all entities that it controls by ownership of a majority voting interest.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balances and transactions have been eliminated in consolidation.</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Business Combinations </w:t>
      </w:r>
      <w:r>
        <w:rPr>
          <w:rFonts w:ascii="Times New Roman" w:cs="Times New Roman" w:eastAsia="Times New Roman" w:hAnsi="Times New Roman"/>
          <w:sz w:val="19"/>
          <w:szCs w:val="19"/>
          <w:color w:val="auto"/>
        </w:rPr>
        <w:t>– Business acquisitions are accounted for in accordance with Financial Accounting Standards Board (“FASB”)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76" w:lineRule="exact"/>
        <w:rPr>
          <w:sz w:val="20"/>
          <w:szCs w:val="20"/>
          <w:color w:val="auto"/>
        </w:rPr>
      </w:pPr>
    </w:p>
    <w:p>
      <w:pPr>
        <w:jc w:val="both"/>
        <w:ind w:firstLine="702"/>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(See Note 4). 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2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 of factors.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 and computer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 net tangible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 For the years ended December 31, 2018, 2017 and 2016 there were no impairments recorded.</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primarily of trademarks that represent the Company’s exclusive ownership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Monster Energy®, </w:t>
      </w:r>
      <w:r>
        <w:rPr>
          <w:sz w:val="1"/>
          <w:szCs w:val="1"/>
          <w:color w:val="auto"/>
        </w:rPr>
        <w:drawing>
          <wp:inline distT="0" distB="0" distL="0" distR="0">
            <wp:extent cx="10287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Unleash the Beast!®, Monster Rehab®, Mutant®, Java Monster®, Monster Hydro®, Monster MAXX®, Muscle Monster®, Punch Monster®, Juice Monster®, Espresso Monster®, Caffé Monster®, M3(stylized)®, BU®, Nalu®, NOS®, Full Throttle®, Burn®, Mother®, Ultra Energy®, Play® and Power Play(stylized)®, Predator®, Gladiator®, Relentless®, Samurai® and BPM®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years ended December 31, 2018, 2017 and 2016 there were no impairments recorded.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Long-Lived Assets </w:t>
      </w:r>
      <w:r>
        <w:rPr>
          <w:rFonts w:ascii="Times New Roman" w:cs="Times New Roman" w:eastAsia="Times New Roman" w:hAnsi="Times New Roman"/>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2018, 2017 and 2016, there were no impairment indicators identified. Long-lived assets held for sale are recorded at the lower of their carrying amount or fair value less cost to sell.</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Foreign Currency Translation and Transactions </w:t>
      </w:r>
      <w:r>
        <w:rPr>
          <w:rFonts w:ascii="Times New Roman" w:cs="Times New Roman" w:eastAsia="Times New Roman" w:hAnsi="Times New Roman"/>
          <w:sz w:val="19"/>
          <w:szCs w:val="19"/>
          <w:color w:val="auto"/>
        </w:rPr>
        <w:t>– The accounts of the Company’s foreign subsidiaries are translated in accordance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2018, 2017 and 2016, the Company entered into forward currency exchange contracts with financial institutions to create an economic hedge to specifically manage a portion of the foreign exchange risk exposure associated with certain consolidated subsidiaries non-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functional currency denominated assets and liabilities. All foreign currency exchange contracts outstanding as of December 31, 2018 have terms of three months or less. The Company does not enter into forward currency exchange contracts for speculation or trading purposes.</w:t>
      </w:r>
    </w:p>
    <w:p>
      <w:pPr>
        <w:spacing w:after="0" w:line="1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 815. Therefore, gains and losses on the Company’s foreign currency exchange contracts are recognized in other expense, net, in the consolidated statements of income, and are largely offset by the changes in the fair value of the underlying economically hedged item. For the years ended December 31, 2018, 2017 and 2016, aggregate foreign currency transaction losses, including the gains or losses on forward currency exchange contracts, amounted to $4.0 million, $3.3 million and $9.7 million, respectively, and have been recorded in other income (expense), net, in the accompanying consolidated statements of income.</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 has three operating and reportable segments, (i) Monster Energy® Drinks segment (“Monster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which is primarily comprised of the Company’s Monster Energy® drinks, (ii) Strategic Brands segment (“Strategic Brands”), which is primarily comprised of the various energy drink brands acquired from TCCC in 2015 as well as the Company’s Predator® energy drinks, and (iii) Other segment (“Other”), which is comprised of certain products sold by American Fruits &amp; Flavors LLC, a wholly-owned subsidiary of the Company, to independent third-party customers.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2018 or December 31, 2017.</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excludes from revenues all taxes assessed by a governmental authority that are imposed on the sale of its products and collected from customers.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Distribution expenses to transport the Company’s products, where applicable, and warehousing expense after manufacture are accounted for within operating expenses.</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0" w:lineRule="exact"/>
        <w:rPr>
          <w:sz w:val="20"/>
          <w:szCs w:val="20"/>
          <w:color w:val="auto"/>
        </w:rPr>
      </w:pPr>
    </w:p>
    <w:p>
      <w:pPr>
        <w:ind w:left="1280" w:hanging="300"/>
        <w:spacing w:after="0"/>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20"/>
          <w:szCs w:val="20"/>
          <w:color w:val="auto"/>
        </w:rPr>
      </w:pPr>
    </w:p>
    <w:p>
      <w:pPr>
        <w:ind w:left="1300" w:hanging="320"/>
        <w:spacing w:after="0" w:line="239" w:lineRule="auto"/>
        <w:tabs>
          <w:tab w:leader="none" w:pos="140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Times New Roman" w:cs="Times New Roman" w:eastAsia="Times New Roman" w:hAnsi="Times New Roman"/>
          <w:sz w:val="20"/>
          <w:szCs w:val="20"/>
          <w:color w:val="auto"/>
        </w:rPr>
      </w:pPr>
    </w:p>
    <w:p>
      <w:pPr>
        <w:ind w:left="1300" w:hanging="320"/>
        <w:spacing w:after="0" w:line="239" w:lineRule="auto"/>
        <w:tabs>
          <w:tab w:leader="none" w:pos="131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w:t>
      </w:r>
    </w:p>
    <w:p>
      <w:pPr>
        <w:ind w:left="1300" w:hanging="320"/>
        <w:spacing w:after="0" w:line="239" w:lineRule="auto"/>
        <w:tabs>
          <w:tab w:leader="none" w:pos="131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ind w:left="1300" w:hanging="320"/>
        <w:spacing w:after="0" w:line="239" w:lineRule="auto"/>
        <w:tabs>
          <w:tab w:leader="none" w:pos="127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paid to TCCC based on the Company’s sales to the TCCC Subsidiaries and/or the TCCC Related Parties.</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20 years.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also enters into license agreements that generate revenues associated with third-party sales of non-beverage products bearing our trademarks including, but not limited to, clothing, hats, t-shirts, jackets, helmets and automotive wheels.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flavors, concentrates and/or beverage bases, the costs of raw materials utilized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i w:val="1"/>
          <w:iCs w:val="1"/>
          <w:color w:val="auto"/>
        </w:rPr>
        <w:t xml:space="preserve">Freight-Out Costs </w:t>
      </w:r>
      <w:r>
        <w:rPr>
          <w:rFonts w:ascii="Times New Roman" w:cs="Times New Roman" w:eastAsia="Times New Roman" w:hAnsi="Times New Roman"/>
          <w:sz w:val="19"/>
          <w:szCs w:val="19"/>
          <w:color w:val="auto"/>
        </w:rPr>
        <w:t>– For the years ended December 31, 2018, 2017 and 2016, freight-out costs amounted to $128.5 million, $91.9</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million and $83.6 million, respectively, and have been recorded in operating expenses in the accompanying consolidated statements of income.</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Advertising and Promotional Expenses </w:t>
      </w:r>
      <w:r>
        <w:rPr>
          <w:rFonts w:ascii="Times New Roman" w:cs="Times New Roman" w:eastAsia="Times New Roman" w:hAnsi="Times New Roman"/>
          <w:sz w:val="19"/>
          <w:szCs w:val="19"/>
          <w:color w:val="auto"/>
        </w:rPr>
        <w:t>– The Company accounts for advertising production costs by expensing such production costs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the periodic performance compliance provisions of the contracts. Advertising and promotional expenses, including, but not limited to, production costs amounted to $353.9 million, $324.0 million and $270.6 million for the years ended December 31, 2018, 2017 and 2016, respectively. Advertising and promotional expenses are included in operating expenses in the accompanying consolidated statements of income.</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 ASC 740.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accounts for stock-based compensation under the provisions of FASB ASC 718.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14).</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Net Income Per Common Share </w:t>
      </w:r>
      <w:r>
        <w:rPr>
          <w:rFonts w:ascii="Times New Roman" w:cs="Times New Roman" w:eastAsia="Times New Roman" w:hAnsi="Times New Roman"/>
          <w:sz w:val="20"/>
          <w:szCs w:val="20"/>
          <w:color w:val="auto"/>
        </w:rPr>
        <w:t>– In accordance with FASB ASC 260, net income per common share, on a basic and diluted basis,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Concentration of Risk – </w:t>
      </w:r>
      <w:r>
        <w:rPr>
          <w:rFonts w:ascii="Times New Roman" w:cs="Times New Roman" w:eastAsia="Times New Roman" w:hAnsi="Times New Roman"/>
          <w:sz w:val="20"/>
          <w:szCs w:val="20"/>
          <w:color w:val="auto"/>
        </w:rPr>
        <w:t>Certain of the Company’s products utilize components (raw materials and/or co-packing services) from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Coca-Cola Company (“TCCC”), through certain wholly-owned subsidiaries (the “TCCC Subsidiaries”), accounted for approximately 3%, 18% and 41% of the Company’s net sales for the years ended December 31, 2018, 2017 and 2016, respectively. As part of TCCC’s North America Refranchising initiative (the “North America Refranchising”), the territories of certain TCCC Subsidiaries have been transitioned to certain independent/non wholly-owned TCCC bottlers/distributors. Accordingly, the Company’s percentage of net sales classified as sales to the TCCC Subsidiaries decreased for the years ended December 31, 2018 and 2017.</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13% and 9%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6% and 2%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10%, 9% and 9% of the Company’s net sales for the years ended December 31, 2018, 2017 and 2016, respectively.</w:t>
      </w:r>
    </w:p>
    <w:p>
      <w:pPr>
        <w:spacing w:after="0" w:line="1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Credit Risk </w:t>
      </w:r>
      <w:r>
        <w:rPr>
          <w:rFonts w:ascii="Times New Roman" w:cs="Times New Roman" w:eastAsia="Times New Roman" w:hAnsi="Times New Roman"/>
          <w:sz w:val="20"/>
          <w:szCs w:val="20"/>
          <w:color w:val="auto"/>
        </w:rPr>
        <w:t>– The Company sells its products nationally and internationally, primarily to full service beverage distributors, retail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grocery and specialty chains, wholesalers, club stores, mass merchandisers, convenience chains and foodservice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the Company’s financial instruments, including cash and cash equivalents,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receivable, accounts payable and accrued liabilities, approximate fair value due to the relatively short maturity of the respective instruments.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GAAP requires management to make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52525"/>
        </w:rPr>
        <w:t>Recently issued accounting pronouncements not yet adopted</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252525"/>
        </w:rPr>
        <w:t xml:space="preserve">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w:t>
      </w:r>
      <w:r>
        <w:rPr>
          <w:rFonts w:ascii="Times New Roman" w:cs="Times New Roman" w:eastAsia="Times New Roman" w:hAnsi="Times New Roman"/>
          <w:sz w:val="20"/>
          <w:szCs w:val="20"/>
          <w:color w:val="000000"/>
        </w:rPr>
        <w:t>The Company is currently evaluating the impact</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of ASU No. 2018-15 on its financial position, results of operations and liquidity.</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 xml:space="preserve">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Company is currently evaluating the impact of ASU No. 2018-14 on its financial position, results of operations and liquidity.</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52525"/>
        </w:rPr>
        <w:t xml:space="preserve">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 applied on a retrospective basis and others on a prospective basis. </w:t>
      </w:r>
      <w:r>
        <w:rPr>
          <w:rFonts w:ascii="Times New Roman" w:cs="Times New Roman" w:eastAsia="Times New Roman" w:hAnsi="Times New Roman"/>
          <w:sz w:val="20"/>
          <w:szCs w:val="20"/>
          <w:color w:val="000000"/>
        </w:rPr>
        <w:t>The Company is currently evaluating the impact of ASU No. 2018-13 on its financial position, results of operations and</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liquidity.</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 xml:space="preserve">In February 2018, the FASB issued ASU No. 2018-02, “Income Statement - Reporting Comprehensive Income (Topic 220)”, which amends the previous guidance to allow for certain tax effects “stranded” in accumulated other comprehensive income, which are impacted by the </w:t>
      </w:r>
      <w:r>
        <w:rPr>
          <w:rFonts w:ascii="Times New Roman" w:cs="Times New Roman" w:eastAsia="Times New Roman" w:hAnsi="Times New Roman"/>
          <w:sz w:val="20"/>
          <w:szCs w:val="20"/>
          <w:color w:val="000000"/>
        </w:rPr>
        <w:t>Tax Cuts and Jobs Act (the “Tax Reform Act”)</w:t>
      </w:r>
      <w:r>
        <w:rPr>
          <w:rFonts w:ascii="Times New Roman" w:cs="Times New Roman" w:eastAsia="Times New Roman" w:hAnsi="Times New Roman"/>
          <w:sz w:val="20"/>
          <w:szCs w:val="20"/>
          <w:color w:val="252525"/>
        </w:rPr>
        <w:t>, to be reclassified from accumulated other comprehensive income into retained earnings. This amendment pertains only to those items impacted by the new tax law and will not apply to any future tax effects stranded in accumulated other comprehensive income. This standard is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52525"/>
        </w:rPr>
        <w:t xml:space="preserve">effective for fiscal years beginning after December 15, 2018, and allows for early adoption. </w:t>
      </w:r>
      <w:r>
        <w:rPr>
          <w:rFonts w:ascii="Times New Roman" w:cs="Times New Roman" w:eastAsia="Times New Roman" w:hAnsi="Times New Roman"/>
          <w:sz w:val="20"/>
          <w:szCs w:val="20"/>
          <w:color w:val="000000"/>
        </w:rPr>
        <w:t>The Company has completed its evaluation of the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impact of ASU No. 2018-02 and determined that there are no “stranded” tax effects in accumulated other comprehensive income to be reclassified.</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 xml:space="preserve">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Times New Roman" w:cs="Times New Roman" w:eastAsia="Times New Roman" w:hAnsi="Times New Roman"/>
          <w:sz w:val="20"/>
          <w:szCs w:val="20"/>
          <w:color w:val="000000"/>
        </w:rPr>
        <w:t>The Company is currently evaluating</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the impact of ASU No. 2017-04 on its financial position, results of operations and liquidity.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The Company will adopt ASU No. 2016-02 in the first quarter of 2019 utilizing the modified retrospective transition method. In July 2018, the FASB further amended ASU No. 2016-02 and the Company will elect the transition provision permitting it to record existing operating leases on the Consolidated Balance Sheet without adjusting comparative periods. Further, the Company intends to elect the package of practical expedients allowing it to not reassess prior conclusions related to expired or existing contracts that are or that contain leases, lease classification and the accounting for initial direct costs. These practical expedients must be elected as a package and applied consistently. Operating leases with a term of 12 months or less will not be recorded on the Consolidated Balance Sheet. The Company does not expect that the adoption of ASU No. 2016-02 will have a material impact on its financial position, results of operations and liquidity. In conjunction with the adoption of ASU No. 2016-02, the Company is implementing a software solution to manage and account for leases as well as updating business processes and internal controls.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adopted accounting pronouncements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Previous GAAP prohibited the recognition of current and deferred income taxes for an intra-entity asset transfer until the asset had been sold to an outside party. FASB ASU No. 2016-16 established the requirement that an entity recognize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Times New Roman" w:cs="Times New Roman" w:eastAsia="Times New Roman" w:hAnsi="Times New Roman"/>
          <w:sz w:val="20"/>
          <w:szCs w:val="20"/>
          <w:color w:val="000000"/>
        </w:rPr>
        <w:t>The Company adopted ASU No. 2016-16 effective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recognizes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 See Note 2.</w:t>
      </w:r>
    </w:p>
    <w:p>
      <w:pPr>
        <w:spacing w:after="0" w:line="187"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adoption of ASC 606, commissions paid to TCCC based on sales to certain of the Company’s bottlers/distributors who are</w:t>
      </w:r>
    </w:p>
    <w:p>
      <w:pPr>
        <w:spacing w:after="0" w:line="22" w:lineRule="exact"/>
        <w:rPr>
          <w:sz w:val="20"/>
          <w:szCs w:val="20"/>
          <w:color w:val="auto"/>
        </w:rPr>
      </w:pPr>
    </w:p>
    <w:p>
      <w:pPr>
        <w:ind w:right="20" w:firstLine="8"/>
        <w:spacing w:after="0" w:line="246" w:lineRule="auto"/>
        <w:tabs>
          <w:tab w:leader="none" w:pos="25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subsidiaries of TCCC (the “TCCC Subsidiaries”), (ii) accounted for under the equity method by TCCC (the “TCCC Related Parties”) and (iii) those not included in (i) or (ii) (the “TCCC Independent Bottlers”) are accounted for as follows:</w:t>
      </w:r>
    </w:p>
    <w:p>
      <w:pPr>
        <w:spacing w:after="0" w:line="178" w:lineRule="exact"/>
        <w:rPr>
          <w:sz w:val="20"/>
          <w:szCs w:val="20"/>
          <w:color w:val="auto"/>
        </w:rPr>
      </w:pPr>
    </w:p>
    <w:tbl>
      <w:tblPr>
        <w:tblLayout w:type="fixed"/>
        <w:tblInd w:w="1240" w:type="dxa"/>
        <w:tblCellMar>
          <w:top w:w="0" w:type="dxa"/>
          <w:left w:w="0" w:type="dxa"/>
          <w:bottom w:w="0" w:type="dxa"/>
          <w:right w:w="0" w:type="dxa"/>
        </w:tblCellMar>
      </w:tblPr>
      <w:tr>
        <w:trPr>
          <w:trHeight w:val="242"/>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2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9"/>
                <w:szCs w:val="19"/>
                <w:color w:val="auto"/>
              </w:rPr>
              <w:t>Year Ended December 31, 2018</w:t>
            </w:r>
          </w:p>
        </w:tc>
      </w:tr>
      <w:tr>
        <w:trPr>
          <w:trHeight w:val="183"/>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Pr>
          <w:p>
            <w:pPr>
              <w:jc w:val="center"/>
              <w:spacing w:after="0" w:line="183" w:lineRule="exact"/>
              <w:rPr>
                <w:sz w:val="20"/>
                <w:szCs w:val="20"/>
                <w:color w:val="auto"/>
              </w:rPr>
            </w:pPr>
            <w:r>
              <w:rPr>
                <w:rFonts w:ascii="Times New Roman" w:cs="Times New Roman" w:eastAsia="Times New Roman" w:hAnsi="Times New Roman"/>
                <w:sz w:val="19"/>
                <w:szCs w:val="19"/>
                <w:color w:val="auto"/>
                <w:w w:val="99"/>
              </w:rPr>
              <w:t>Without Adoption of</w:t>
            </w:r>
          </w:p>
        </w:tc>
      </w:tr>
      <w:tr>
        <w:trPr>
          <w:trHeight w:val="242"/>
        </w:trPr>
        <w:tc>
          <w:tcPr>
            <w:tcW w:w="3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Commissions Related To:</w:t>
            </w:r>
          </w:p>
        </w:tc>
        <w:tc>
          <w:tcPr>
            <w:tcW w:w="2600" w:type="dxa"/>
            <w:vAlign w:val="bottom"/>
            <w:gridSpan w:val="2"/>
          </w:tcPr>
          <w:p>
            <w:pPr>
              <w:ind w:left="680"/>
              <w:spacing w:after="0"/>
              <w:rPr>
                <w:sz w:val="20"/>
                <w:szCs w:val="20"/>
                <w:color w:val="auto"/>
              </w:rPr>
            </w:pPr>
            <w:r>
              <w:rPr>
                <w:rFonts w:ascii="Times New Roman" w:cs="Times New Roman" w:eastAsia="Times New Roman" w:hAnsi="Times New Roman"/>
                <w:sz w:val="19"/>
                <w:szCs w:val="19"/>
                <w:color w:val="auto"/>
              </w:rPr>
              <w:t>As Reported</w:t>
            </w:r>
          </w:p>
        </w:tc>
        <w:tc>
          <w:tcPr>
            <w:tcW w:w="2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ASC 606</w:t>
            </w:r>
          </w:p>
        </w:tc>
      </w:tr>
      <w:tr>
        <w:trPr>
          <w:trHeight w:val="183"/>
        </w:trPr>
        <w:tc>
          <w:tcPr>
            <w:tcW w:w="324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TCCC Subsidiaries</w:t>
            </w:r>
          </w:p>
        </w:tc>
        <w:tc>
          <w:tcPr>
            <w:tcW w:w="280" w:type="dxa"/>
            <w:vAlign w:val="bottom"/>
          </w:tcPr>
          <w:p>
            <w:pPr>
              <w:spacing w:after="0"/>
              <w:rPr>
                <w:sz w:val="15"/>
                <w:szCs w:val="15"/>
                <w:color w:val="auto"/>
              </w:rPr>
            </w:pPr>
          </w:p>
        </w:tc>
        <w:tc>
          <w:tcPr>
            <w:tcW w:w="23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Reduction to net sales</w:t>
            </w:r>
          </w:p>
        </w:tc>
        <w:tc>
          <w:tcPr>
            <w:tcW w:w="280" w:type="dxa"/>
            <w:vAlign w:val="bottom"/>
          </w:tcPr>
          <w:p>
            <w:pPr>
              <w:spacing w:after="0"/>
              <w:rPr>
                <w:sz w:val="15"/>
                <w:szCs w:val="15"/>
                <w:color w:val="auto"/>
              </w:rPr>
            </w:pPr>
          </w:p>
        </w:tc>
        <w:tc>
          <w:tcPr>
            <w:tcW w:w="23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Reduction to net sales</w:t>
            </w:r>
          </w:p>
        </w:tc>
      </w:tr>
      <w:tr>
        <w:trPr>
          <w:trHeight w:val="216"/>
        </w:trPr>
        <w:tc>
          <w:tcPr>
            <w:tcW w:w="352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TCCC Related Parties</w:t>
            </w:r>
          </w:p>
        </w:tc>
        <w:tc>
          <w:tcPr>
            <w:tcW w:w="260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Reduction to net sales</w:t>
            </w:r>
          </w:p>
        </w:tc>
        <w:tc>
          <w:tcPr>
            <w:tcW w:w="23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Operating expenses</w:t>
            </w:r>
          </w:p>
        </w:tc>
      </w:tr>
      <w:tr>
        <w:trPr>
          <w:trHeight w:val="244"/>
        </w:trPr>
        <w:tc>
          <w:tcPr>
            <w:tcW w:w="3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TCCC Independent Bottlers</w:t>
            </w:r>
          </w:p>
        </w:tc>
        <w:tc>
          <w:tcPr>
            <w:tcW w:w="2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r>
    </w:tbl>
    <w:p>
      <w:pPr>
        <w:spacing w:after="0" w:line="19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impact of the adoption of ASC 606 on the Company’s consolidated statement of income for the year ended December 31, 2018 was as follows:</w:t>
      </w:r>
    </w:p>
    <w:p>
      <w:pPr>
        <w:spacing w:after="0" w:line="1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15240</wp:posOffset>
            </wp:positionV>
            <wp:extent cx="3490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rPr>
              <w:t>Decrease due to</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80"/>
              <w:spacing w:after="0" w:line="216" w:lineRule="exact"/>
              <w:rPr>
                <w:sz w:val="20"/>
                <w:szCs w:val="20"/>
                <w:color w:val="auto"/>
              </w:rPr>
            </w:pPr>
            <w:r>
              <w:rPr>
                <w:rFonts w:ascii="Times New Roman" w:cs="Times New Roman" w:eastAsia="Times New Roman" w:hAnsi="Times New Roman"/>
                <w:sz w:val="19"/>
                <w:szCs w:val="19"/>
                <w:color w:val="auto"/>
                <w:w w:val="99"/>
              </w:rPr>
              <w:t>Without Adoption</w:t>
            </w:r>
          </w:p>
        </w:tc>
        <w:tc>
          <w:tcPr>
            <w:tcW w:w="160" w:type="dxa"/>
            <w:vAlign w:val="bottom"/>
          </w:tcPr>
          <w:p>
            <w:pPr>
              <w:spacing w:after="0"/>
              <w:rPr>
                <w:sz w:val="18"/>
                <w:szCs w:val="18"/>
                <w:color w:val="auto"/>
              </w:rPr>
            </w:pPr>
          </w:p>
        </w:tc>
        <w:tc>
          <w:tcPr>
            <w:tcW w:w="1500" w:type="dxa"/>
            <w:vAlign w:val="bottom"/>
          </w:tcPr>
          <w:p>
            <w:pPr>
              <w:jc w:val="center"/>
              <w:ind w:right="65"/>
              <w:spacing w:after="0" w:line="216" w:lineRule="exact"/>
              <w:rPr>
                <w:sz w:val="20"/>
                <w:szCs w:val="20"/>
                <w:color w:val="auto"/>
              </w:rPr>
            </w:pPr>
            <w:r>
              <w:rPr>
                <w:rFonts w:ascii="Times New Roman" w:cs="Times New Roman" w:eastAsia="Times New Roman" w:hAnsi="Times New Roman"/>
                <w:sz w:val="19"/>
                <w:szCs w:val="19"/>
                <w:color w:val="auto"/>
                <w:w w:val="99"/>
              </w:rPr>
              <w:t>Adoption of ASC</w:t>
            </w:r>
          </w:p>
        </w:tc>
        <w:tc>
          <w:tcPr>
            <w:tcW w:w="0" w:type="dxa"/>
            <w:vAlign w:val="bottom"/>
          </w:tcPr>
          <w:p>
            <w:pPr>
              <w:spacing w:after="0"/>
              <w:rPr>
                <w:sz w:val="1"/>
                <w:szCs w:val="1"/>
                <w:color w:val="auto"/>
              </w:rPr>
            </w:pPr>
          </w:p>
        </w:tc>
      </w:tr>
      <w:tr>
        <w:trPr>
          <w:trHeight w:val="242"/>
        </w:trPr>
        <w:tc>
          <w:tcPr>
            <w:tcW w:w="3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260" w:type="dxa"/>
            <w:vAlign w:val="bottom"/>
          </w:tcPr>
          <w:p>
            <w:pPr>
              <w:spacing w:after="0"/>
              <w:rPr>
                <w:sz w:val="21"/>
                <w:szCs w:val="21"/>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As Reported</w:t>
            </w:r>
          </w:p>
        </w:tc>
        <w:tc>
          <w:tcPr>
            <w:tcW w:w="160" w:type="dxa"/>
            <w:vAlign w:val="bottom"/>
          </w:tcPr>
          <w:p>
            <w:pPr>
              <w:spacing w:after="0"/>
              <w:rPr>
                <w:sz w:val="21"/>
                <w:szCs w:val="21"/>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color w:val="auto"/>
                <w:w w:val="99"/>
              </w:rPr>
              <w:t>of ASC 606</w:t>
            </w:r>
          </w:p>
        </w:tc>
        <w:tc>
          <w:tcPr>
            <w:tcW w:w="160" w:type="dxa"/>
            <w:vAlign w:val="bottom"/>
          </w:tcPr>
          <w:p>
            <w:pPr>
              <w:spacing w:after="0"/>
              <w:rPr>
                <w:sz w:val="21"/>
                <w:szCs w:val="21"/>
                <w:color w:val="auto"/>
              </w:rPr>
            </w:pPr>
          </w:p>
        </w:tc>
        <w:tc>
          <w:tcPr>
            <w:tcW w:w="150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rPr>
              <w:t>606</w:t>
            </w:r>
          </w:p>
        </w:tc>
        <w:tc>
          <w:tcPr>
            <w:tcW w:w="0" w:type="dxa"/>
            <w:vAlign w:val="bottom"/>
          </w:tcPr>
          <w:p>
            <w:pPr>
              <w:spacing w:after="0"/>
              <w:rPr>
                <w:sz w:val="1"/>
                <w:szCs w:val="1"/>
                <w:color w:val="auto"/>
              </w:rPr>
            </w:pPr>
          </w:p>
        </w:tc>
      </w:tr>
      <w:tr>
        <w:trPr>
          <w:trHeight w:val="183"/>
        </w:trPr>
        <w:tc>
          <w:tcPr>
            <w:tcW w:w="3020" w:type="dxa"/>
            <w:vAlign w:val="bottom"/>
            <w:vMerge w:val="continue"/>
          </w:tcPr>
          <w:p>
            <w:pPr>
              <w:spacing w:after="0"/>
              <w:rPr>
                <w:sz w:val="15"/>
                <w:szCs w:val="15"/>
                <w:color w:val="auto"/>
              </w:rPr>
            </w:pPr>
          </w:p>
        </w:tc>
        <w:tc>
          <w:tcPr>
            <w:tcW w:w="26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4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3,807,183</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5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3,849,424</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(42,241)</w:t>
            </w:r>
          </w:p>
        </w:tc>
        <w:tc>
          <w:tcPr>
            <w:tcW w:w="0" w:type="dxa"/>
            <w:vAlign w:val="bottom"/>
          </w:tcPr>
          <w:p>
            <w:pPr>
              <w:spacing w:after="0"/>
              <w:rPr>
                <w:sz w:val="1"/>
                <w:szCs w:val="1"/>
                <w:color w:val="auto"/>
              </w:rPr>
            </w:pPr>
          </w:p>
        </w:tc>
      </w:tr>
      <w:tr>
        <w:trPr>
          <w:trHeight w:val="244"/>
        </w:trPr>
        <w:tc>
          <w:tcPr>
            <w:tcW w:w="302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1,011,756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1,053,997</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82" w:lineRule="exact"/>
        <w:rPr>
          <w:sz w:val="20"/>
          <w:szCs w:val="20"/>
          <w:color w:val="auto"/>
        </w:rPr>
      </w:pPr>
    </w:p>
    <w:p>
      <w:pPr>
        <w:sectPr>
          <w:pgSz w:w="11900" w:h="16838" w:orient="portrait"/>
          <w:cols w:equalWidth="0" w:num="2">
            <w:col w:w="9500" w:space="40"/>
            <w:col w:w="1880"/>
          </w:cols>
          <w:pgMar w:left="240" w:top="121" w:right="239" w:bottom="1440" w:gutter="0" w:footer="0" w:header="0"/>
          <w:type w:val="continuous"/>
        </w:sectPr>
      </w:pPr>
    </w:p>
    <w:p>
      <w:pPr>
        <w:ind w:firstLine="656"/>
        <w:spacing w:after="0" w:line="227" w:lineRule="auto"/>
        <w:tabs>
          <w:tab w:leader="none" w:pos="760" w:val="left"/>
        </w:tabs>
        <w:numPr>
          <w:ilvl w:val="0"/>
          <w:numId w:val="4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TCCC commissions based on sales to the TCCC Related Parties. There were no other identified changes to our revenue recognition policies as a result of the adoption of ASC 606.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52525"/>
        </w:rPr>
        <w:t>The following table disaggregates the Company’s revenue by geographical markets and reportable segments: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9"/>
                <w:szCs w:val="19"/>
                <w:color w:val="auto"/>
              </w:rPr>
              <w:t>Year Ended December 31, 2018</w:t>
            </w: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center"/>
              <w:ind w:right="500"/>
              <w:spacing w:after="0" w:line="183" w:lineRule="exact"/>
              <w:rPr>
                <w:sz w:val="20"/>
                <w:szCs w:val="20"/>
                <w:color w:val="auto"/>
              </w:rPr>
            </w:pPr>
            <w:r>
              <w:rPr>
                <w:rFonts w:ascii="Times New Roman" w:cs="Times New Roman" w:eastAsia="Times New Roman" w:hAnsi="Times New Roman"/>
                <w:sz w:val="19"/>
                <w:szCs w:val="19"/>
                <w:color w:val="auto"/>
                <w:w w:val="94"/>
              </w:rPr>
              <w:t>Latin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500"/>
              <w:spacing w:after="0" w:line="216" w:lineRule="exact"/>
              <w:rPr>
                <w:sz w:val="20"/>
                <w:szCs w:val="20"/>
                <w:color w:val="auto"/>
              </w:rPr>
            </w:pPr>
            <w:r>
              <w:rPr>
                <w:rFonts w:ascii="Times New Roman" w:cs="Times New Roman" w:eastAsia="Times New Roman" w:hAnsi="Times New Roman"/>
                <w:sz w:val="19"/>
                <w:szCs w:val="19"/>
                <w:color w:val="auto"/>
              </w:rPr>
              <w:t>America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520"/>
              <w:spacing w:after="0" w:line="216" w:lineRule="exact"/>
              <w:rPr>
                <w:sz w:val="20"/>
                <w:szCs w:val="20"/>
                <w:color w:val="auto"/>
              </w:rPr>
            </w:pPr>
            <w:r>
              <w:rPr>
                <w:rFonts w:ascii="Times New Roman" w:cs="Times New Roman" w:eastAsia="Times New Roman" w:hAnsi="Times New Roman"/>
                <w:sz w:val="19"/>
                <w:szCs w:val="19"/>
                <w:color w:val="auto"/>
                <w:w w:val="99"/>
              </w:rPr>
              <w:t>U.S.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500"/>
              <w:spacing w:after="0" w:line="216" w:lineRule="exact"/>
              <w:rPr>
                <w:sz w:val="20"/>
                <w:szCs w:val="20"/>
                <w:color w:val="auto"/>
              </w:rPr>
            </w:pPr>
            <w:r>
              <w:rPr>
                <w:rFonts w:ascii="Times New Roman" w:cs="Times New Roman" w:eastAsia="Times New Roman" w:hAnsi="Times New Roman"/>
                <w:sz w:val="19"/>
                <w:szCs w:val="19"/>
                <w:color w:val="auto"/>
                <w:w w:val="94"/>
              </w:rPr>
              <w:t>and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Net Sales</w:t>
            </w:r>
          </w:p>
        </w:tc>
        <w:tc>
          <w:tcPr>
            <w:tcW w:w="28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9"/>
                <w:szCs w:val="19"/>
                <w:color w:val="auto"/>
                <w:w w:val="98"/>
              </w:rPr>
              <w:t>Canada</w:t>
            </w:r>
          </w:p>
        </w:tc>
        <w:tc>
          <w:tcPr>
            <w:tcW w:w="280" w:type="dxa"/>
            <w:vAlign w:val="bottom"/>
          </w:tcPr>
          <w:p>
            <w:pPr>
              <w:spacing w:after="0"/>
              <w:rPr>
                <w:sz w:val="21"/>
                <w:szCs w:val="21"/>
                <w:color w:val="auto"/>
              </w:rPr>
            </w:pPr>
          </w:p>
        </w:tc>
        <w:tc>
          <w:tcPr>
            <w:tcW w:w="138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9"/>
                <w:szCs w:val="19"/>
                <w:color w:val="auto"/>
              </w:rPr>
              <w:t>EMEA</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Asia Pacific</w:t>
            </w:r>
          </w:p>
        </w:tc>
        <w:tc>
          <w:tcPr>
            <w:tcW w:w="280" w:type="dxa"/>
            <w:vAlign w:val="bottom"/>
          </w:tcPr>
          <w:p>
            <w:pPr>
              <w:spacing w:after="0"/>
              <w:rPr>
                <w:sz w:val="21"/>
                <w:szCs w:val="21"/>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9"/>
              </w:rPr>
              <w:t>Caribbean</w:t>
            </w:r>
          </w:p>
        </w:tc>
        <w:tc>
          <w:tcPr>
            <w:tcW w:w="340" w:type="dxa"/>
            <w:vAlign w:val="bottom"/>
          </w:tcPr>
          <w:p>
            <w:pPr>
              <w:spacing w:after="0"/>
              <w:rPr>
                <w:sz w:val="21"/>
                <w:szCs w:val="21"/>
                <w:color w:val="auto"/>
              </w:rPr>
            </w:pPr>
          </w:p>
        </w:tc>
        <w:tc>
          <w:tcPr>
            <w:tcW w:w="1100" w:type="dxa"/>
            <w:vAlign w:val="bottom"/>
          </w:tcPr>
          <w:p>
            <w:pPr>
              <w:jc w:val="right"/>
              <w:ind w:right="425"/>
              <w:spacing w:after="0"/>
              <w:rPr>
                <w:sz w:val="20"/>
                <w:szCs w:val="20"/>
                <w:color w:val="auto"/>
              </w:rPr>
            </w:pPr>
            <w:r>
              <w:rPr>
                <w:rFonts w:ascii="Times New Roman" w:cs="Times New Roman" w:eastAsia="Times New Roman" w:hAnsi="Times New Roman"/>
                <w:sz w:val="19"/>
                <w:szCs w:val="19"/>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Monster Energy® Drinks</w:t>
            </w:r>
          </w:p>
        </w:tc>
        <w:tc>
          <w:tcPr>
            <w:tcW w:w="240" w:type="dxa"/>
            <w:vAlign w:val="bottom"/>
          </w:tcPr>
          <w:p>
            <w:pPr>
              <w:spacing w:after="0"/>
              <w:rPr>
                <w:sz w:val="15"/>
                <w:szCs w:val="15"/>
                <w:color w:val="auto"/>
              </w:rPr>
            </w:pPr>
          </w:p>
        </w:tc>
        <w:tc>
          <w:tcPr>
            <w:tcW w:w="280" w:type="dxa"/>
            <w:vAlign w:val="bottom"/>
            <w:tcBorders>
              <w:top w:val="single" w:sz="8" w:color="auto"/>
            </w:tcBorders>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2,627,000</w:t>
            </w:r>
          </w:p>
        </w:tc>
        <w:tc>
          <w:tcPr>
            <w:tcW w:w="240" w:type="dxa"/>
            <w:vAlign w:val="bottom"/>
          </w:tcPr>
          <w:p>
            <w:pPr>
              <w:spacing w:after="0"/>
              <w:rPr>
                <w:sz w:val="15"/>
                <w:szCs w:val="15"/>
                <w:color w:val="auto"/>
              </w:rPr>
            </w:pPr>
          </w:p>
        </w:tc>
        <w:tc>
          <w:tcPr>
            <w:tcW w:w="280" w:type="dxa"/>
            <w:vAlign w:val="bottom"/>
            <w:tcBorders>
              <w:top w:val="single" w:sz="8" w:color="auto"/>
            </w:tcBorders>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500,826</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225,172</w:t>
            </w:r>
          </w:p>
        </w:tc>
        <w:tc>
          <w:tcPr>
            <w:tcW w:w="220" w:type="dxa"/>
            <w:vAlign w:val="bottom"/>
          </w:tcPr>
          <w:p>
            <w:pPr>
              <w:spacing w:after="0"/>
              <w:rPr>
                <w:sz w:val="15"/>
                <w:szCs w:val="15"/>
                <w:color w:val="auto"/>
              </w:rPr>
            </w:pPr>
          </w:p>
        </w:tc>
        <w:tc>
          <w:tcPr>
            <w:tcW w:w="280" w:type="dxa"/>
            <w:vAlign w:val="bottom"/>
            <w:tcBorders>
              <w:top w:val="single" w:sz="8" w:color="auto"/>
            </w:tcBorders>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145,429</w:t>
            </w:r>
          </w:p>
        </w:tc>
        <w:tc>
          <w:tcPr>
            <w:tcW w:w="220" w:type="dxa"/>
            <w:vAlign w:val="bottom"/>
          </w:tcPr>
          <w:p>
            <w:pPr>
              <w:spacing w:after="0"/>
              <w:rPr>
                <w:sz w:val="15"/>
                <w:szCs w:val="15"/>
                <w:color w:val="auto"/>
              </w:rPr>
            </w:pPr>
          </w:p>
        </w:tc>
        <w:tc>
          <w:tcPr>
            <w:tcW w:w="340" w:type="dxa"/>
            <w:vAlign w:val="bottom"/>
            <w:tcBorders>
              <w:top w:val="single" w:sz="8" w:color="auto"/>
            </w:tcBorders>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3,498,427</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color w:val="auto"/>
              </w:rPr>
              <w:t>Strategic Brands</w:t>
            </w:r>
          </w:p>
        </w:tc>
        <w:tc>
          <w:tcPr>
            <w:tcW w:w="28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179,677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77,841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26,254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285,836</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color w:val="auto"/>
              </w:rPr>
              <w:t>Other</w:t>
            </w:r>
          </w:p>
        </w:tc>
        <w:tc>
          <w:tcPr>
            <w:tcW w:w="28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22,920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22,920</w:t>
            </w:r>
          </w:p>
        </w:tc>
        <w:tc>
          <w:tcPr>
            <w:tcW w:w="0" w:type="dxa"/>
            <w:vAlign w:val="bottom"/>
          </w:tcPr>
          <w:p>
            <w:pPr>
              <w:spacing w:after="0"/>
              <w:rPr>
                <w:sz w:val="1"/>
                <w:szCs w:val="1"/>
                <w:color w:val="auto"/>
              </w:rPr>
            </w:pPr>
          </w:p>
        </w:tc>
      </w:tr>
      <w:tr>
        <w:trPr>
          <w:trHeight w:val="26"/>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Total Net Sales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20" w:type="dxa"/>
            <w:vAlign w:val="bottom"/>
            <w:gridSpan w:val="3"/>
            <w:vMerge w:val="continue"/>
          </w:tcPr>
          <w:p>
            <w:pPr>
              <w:spacing w:after="0"/>
              <w:rPr>
                <w:sz w:val="18"/>
                <w:szCs w:val="18"/>
                <w:color w:val="auto"/>
              </w:rPr>
            </w:pPr>
          </w:p>
        </w:tc>
        <w:tc>
          <w:tcPr>
            <w:tcW w:w="28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2,829,597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578,667</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251,426</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147,493</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3,807,183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252525"/>
          <w:vertAlign w:val="superscript"/>
        </w:rPr>
        <w:t>2</w:t>
      </w:r>
      <w:r>
        <w:rPr>
          <w:rFonts w:ascii="Times New Roman" w:cs="Times New Roman" w:eastAsia="Times New Roman" w:hAnsi="Times New Roman"/>
          <w:sz w:val="16"/>
          <w:szCs w:val="16"/>
          <w:i w:val="1"/>
          <w:iCs w:val="1"/>
          <w:color w:val="252525"/>
        </w:rPr>
        <w:t>Europe, Middle East and Africa (“EMEA”)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52525"/>
        </w:rPr>
        <w:t>Contract Liabilities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252525"/>
        </w:rPr>
        <w:t>Amounts received from certain bottlers/distributors at inception of their distribution contracts or at the inception of certain sales/marketing programs are accounted for as deferred revenue. As of December 31, 2018, the Company had $356.3 million of deferred revenue, which is included in current and long-term deferred revenue in the Company’s consolidated balance sheet. As of December 31, 2017, the Company had $377.6 million of deferred revenue, which is included in current and long-term deferred revenue in the Company’s consolidated balance sheet. During the years ended December 31, 2018 and 2017, $44.3 million and $43.4 million, respectively, of deferred revenue, was recognized in net sales. See Note 18.</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Continuous</w:t>
            </w:r>
          </w:p>
        </w:tc>
        <w:tc>
          <w:tcPr>
            <w:tcW w:w="10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Continuous</w:t>
            </w:r>
          </w:p>
        </w:tc>
        <w:tc>
          <w:tcPr>
            <w:tcW w:w="100" w:type="dxa"/>
            <w:vAlign w:val="bottom"/>
          </w:tcPr>
          <w:p>
            <w:pPr>
              <w:spacing w:after="0"/>
              <w:rPr>
                <w:sz w:val="15"/>
                <w:szCs w:val="15"/>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left="163"/>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040" w:type="dxa"/>
            <w:vAlign w:val="bottom"/>
          </w:tcPr>
          <w:p>
            <w:pPr>
              <w:jc w:val="center"/>
              <w:ind w:left="2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left="14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040" w:type="dxa"/>
            <w:vAlign w:val="bottom"/>
          </w:tcPr>
          <w:p>
            <w:pPr>
              <w:jc w:val="center"/>
              <w:ind w:left="2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Amortized</w:t>
            </w:r>
          </w:p>
        </w:tc>
        <w:tc>
          <w:tcPr>
            <w:tcW w:w="920" w:type="dxa"/>
            <w:vAlign w:val="bottom"/>
          </w:tcPr>
          <w:p>
            <w:pPr>
              <w:jc w:val="center"/>
              <w:ind w:left="143"/>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60" w:type="dxa"/>
            <w:vAlign w:val="bottom"/>
          </w:tcPr>
          <w:p>
            <w:pPr>
              <w:spacing w:after="0"/>
              <w:rPr>
                <w:sz w:val="14"/>
                <w:szCs w:val="14"/>
                <w:color w:val="auto"/>
              </w:rPr>
            </w:pPr>
          </w:p>
        </w:tc>
        <w:tc>
          <w:tcPr>
            <w:tcW w:w="10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Fair</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04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100" w:type="dxa"/>
            <w:vAlign w:val="bottom"/>
          </w:tcPr>
          <w:p>
            <w:pPr>
              <w:spacing w:after="0"/>
              <w:rPr>
                <w:sz w:val="14"/>
                <w:szCs w:val="14"/>
                <w:color w:val="auto"/>
              </w:rPr>
            </w:pPr>
          </w:p>
        </w:tc>
      </w:tr>
      <w:tr>
        <w:trPr>
          <w:trHeight w:val="186"/>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Cost</w:t>
            </w:r>
          </w:p>
        </w:tc>
        <w:tc>
          <w:tcPr>
            <w:tcW w:w="92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5"/>
                <w:szCs w:val="15"/>
                <w:color w:val="auto"/>
              </w:rPr>
              <w:t>Gains</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Losses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w w:val="94"/>
              </w:rPr>
              <w:t>Value</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Months</w:t>
            </w:r>
          </w:p>
        </w:tc>
        <w:tc>
          <w:tcPr>
            <w:tcW w:w="10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Months</w:t>
            </w:r>
          </w:p>
        </w:tc>
        <w:tc>
          <w:tcPr>
            <w:tcW w:w="100" w:type="dxa"/>
            <w:vAlign w:val="bottom"/>
            <w:tcBorders>
              <w:bottom w:val="single" w:sz="8" w:color="auto"/>
            </w:tcBorders>
          </w:tcPr>
          <w:p>
            <w:pPr>
              <w:spacing w:after="0"/>
              <w:rPr>
                <w:sz w:val="16"/>
                <w:szCs w:val="16"/>
                <w:color w:val="auto"/>
              </w:rPr>
            </w:pPr>
          </w:p>
        </w:tc>
      </w:tr>
      <w:tr>
        <w:trPr>
          <w:trHeight w:val="145"/>
        </w:trPr>
        <w:tc>
          <w:tcPr>
            <w:tcW w:w="364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52,838</w:t>
            </w:r>
          </w:p>
        </w:tc>
        <w:tc>
          <w:tcPr>
            <w:tcW w:w="180" w:type="dxa"/>
            <w:vAlign w:val="bottom"/>
          </w:tcPr>
          <w:p>
            <w:pPr>
              <w:spacing w:after="0"/>
              <w:rPr>
                <w:sz w:val="14"/>
                <w:szCs w:val="14"/>
                <w:color w:val="auto"/>
              </w:rPr>
            </w:pPr>
          </w:p>
        </w:tc>
        <w:tc>
          <w:tcPr>
            <w:tcW w:w="920" w:type="dxa"/>
            <w:vAlign w:val="bottom"/>
          </w:tcPr>
          <w:p>
            <w:pPr>
              <w:jc w:val="right"/>
              <w:ind w:right="7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6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52,838</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tcPr>
          <w:p>
            <w:pPr>
              <w:jc w:val="right"/>
              <w:ind w:right="8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14,075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151,690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151,644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19,943</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treasuries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78,189</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78,157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73"/>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4,005</w:t>
            </w: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4,005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320,740</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7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320,650</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8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14"/>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Continuous</w:t>
            </w:r>
          </w:p>
        </w:tc>
        <w:tc>
          <w:tcPr>
            <w:tcW w:w="10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Continuous</w:t>
            </w: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left="163"/>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040" w:type="dxa"/>
            <w:vAlign w:val="bottom"/>
          </w:tcPr>
          <w:p>
            <w:pPr>
              <w:jc w:val="center"/>
              <w:ind w:left="2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left="14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040" w:type="dxa"/>
            <w:vAlign w:val="bottom"/>
          </w:tcPr>
          <w:p>
            <w:pPr>
              <w:jc w:val="center"/>
              <w:ind w:left="2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Amortized</w:t>
            </w:r>
          </w:p>
        </w:tc>
        <w:tc>
          <w:tcPr>
            <w:tcW w:w="920" w:type="dxa"/>
            <w:vAlign w:val="bottom"/>
          </w:tcPr>
          <w:p>
            <w:pPr>
              <w:jc w:val="center"/>
              <w:ind w:left="143"/>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60" w:type="dxa"/>
            <w:vAlign w:val="bottom"/>
          </w:tcPr>
          <w:p>
            <w:pPr>
              <w:spacing w:after="0"/>
              <w:rPr>
                <w:sz w:val="14"/>
                <w:szCs w:val="14"/>
                <w:color w:val="auto"/>
              </w:rPr>
            </w:pPr>
          </w:p>
        </w:tc>
        <w:tc>
          <w:tcPr>
            <w:tcW w:w="10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Fair</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04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100" w:type="dxa"/>
            <w:vAlign w:val="bottom"/>
          </w:tcPr>
          <w:p>
            <w:pPr>
              <w:spacing w:after="0"/>
              <w:rPr>
                <w:sz w:val="14"/>
                <w:szCs w:val="14"/>
                <w:color w:val="auto"/>
              </w:rPr>
            </w:pPr>
          </w:p>
        </w:tc>
      </w:tr>
      <w:tr>
        <w:trPr>
          <w:trHeight w:val="186"/>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Cost</w:t>
            </w:r>
          </w:p>
        </w:tc>
        <w:tc>
          <w:tcPr>
            <w:tcW w:w="92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5"/>
                <w:szCs w:val="15"/>
                <w:color w:val="auto"/>
              </w:rPr>
              <w:t>Gains</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Losses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w w:val="94"/>
              </w:rPr>
              <w:t>Value</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Months</w:t>
            </w:r>
          </w:p>
        </w:tc>
        <w:tc>
          <w:tcPr>
            <w:tcW w:w="10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5"/>
                <w:szCs w:val="15"/>
                <w:color w:val="auto"/>
              </w:rPr>
              <w:t>Months</w:t>
            </w:r>
          </w:p>
        </w:tc>
        <w:tc>
          <w:tcPr>
            <w:tcW w:w="100" w:type="dxa"/>
            <w:vAlign w:val="bottom"/>
            <w:tcBorders>
              <w:bottom w:val="single" w:sz="8" w:color="auto"/>
            </w:tcBorders>
          </w:tcPr>
          <w:p>
            <w:pPr>
              <w:spacing w:after="0"/>
              <w:rPr>
                <w:sz w:val="16"/>
                <w:szCs w:val="16"/>
                <w:color w:val="auto"/>
              </w:rPr>
            </w:pPr>
          </w:p>
        </w:tc>
      </w:tr>
      <w:tr>
        <w:trPr>
          <w:trHeight w:val="145"/>
        </w:trPr>
        <w:tc>
          <w:tcPr>
            <w:tcW w:w="364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81,026</w:t>
            </w:r>
          </w:p>
        </w:tc>
        <w:tc>
          <w:tcPr>
            <w:tcW w:w="180" w:type="dxa"/>
            <w:vAlign w:val="bottom"/>
          </w:tcPr>
          <w:p>
            <w:pPr>
              <w:spacing w:after="0"/>
              <w:rPr>
                <w:sz w:val="14"/>
                <w:szCs w:val="14"/>
                <w:color w:val="auto"/>
              </w:rPr>
            </w:pPr>
          </w:p>
        </w:tc>
        <w:tc>
          <w:tcPr>
            <w:tcW w:w="920" w:type="dxa"/>
            <w:vAlign w:val="bottom"/>
          </w:tcPr>
          <w:p>
            <w:pPr>
              <w:jc w:val="right"/>
              <w:ind w:right="7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6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81,026</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tcPr>
          <w:p>
            <w:pPr>
              <w:jc w:val="right"/>
              <w:ind w:right="8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11,869</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469,604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468,865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740</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61,307</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61,219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49,954</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49,954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2,369</w:t>
            </w: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2,366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2"/>
        </w:trPr>
        <w:tc>
          <w:tcPr>
            <w:tcW w:w="364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676,129</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7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831</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675,299</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831</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8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2018 and 2017, realized gains or losses recognized on the sale of investments were not significant.</w:t>
      </w:r>
    </w:p>
    <w:p>
      <w:pPr>
        <w:spacing w:after="0" w:line="1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Company’s investments at December 31, 2018 and 2017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785"/>
              <w:spacing w:after="0"/>
              <w:rPr>
                <w:sz w:val="20"/>
                <w:szCs w:val="20"/>
                <w:color w:val="auto"/>
              </w:rPr>
            </w:pPr>
            <w:r>
              <w:rPr>
                <w:rFonts w:ascii="Times New Roman" w:cs="Times New Roman" w:eastAsia="Times New Roman" w:hAnsi="Times New Roman"/>
                <w:sz w:val="19"/>
                <w:szCs w:val="19"/>
                <w:color w:val="auto"/>
              </w:rPr>
              <w:t>December 31, 2018</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65"/>
              <w:spacing w:after="0"/>
              <w:rPr>
                <w:sz w:val="20"/>
                <w:szCs w:val="20"/>
                <w:color w:val="auto"/>
              </w:rPr>
            </w:pPr>
            <w:r>
              <w:rPr>
                <w:rFonts w:ascii="Times New Roman" w:cs="Times New Roman" w:eastAsia="Times New Roman" w:hAnsi="Times New Roman"/>
                <w:sz w:val="19"/>
                <w:szCs w:val="19"/>
                <w:color w:val="auto"/>
              </w:rPr>
              <w:t>December 31, 2017</w:t>
            </w:r>
          </w:p>
        </w:tc>
        <w:tc>
          <w:tcPr>
            <w:tcW w:w="0" w:type="dxa"/>
            <w:vAlign w:val="bottom"/>
          </w:tcPr>
          <w:p>
            <w:pPr>
              <w:spacing w:after="0"/>
              <w:rPr>
                <w:sz w:val="1"/>
                <w:szCs w:val="1"/>
                <w:color w:val="auto"/>
              </w:rPr>
            </w:pPr>
          </w:p>
        </w:tc>
      </w:tr>
      <w:tr>
        <w:trPr>
          <w:trHeight w:val="426"/>
        </w:trPr>
        <w:tc>
          <w:tcPr>
            <w:tcW w:w="47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Less than 1 year:</w:t>
            </w:r>
          </w:p>
        </w:tc>
        <w:tc>
          <w:tcPr>
            <w:tcW w:w="1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Fair Value</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240" w:type="dxa"/>
            <w:vAlign w:val="bottom"/>
          </w:tcPr>
          <w:p>
            <w:pPr>
              <w:jc w:val="right"/>
              <w:ind w:right="265"/>
              <w:spacing w:after="0"/>
              <w:rPr>
                <w:sz w:val="20"/>
                <w:szCs w:val="20"/>
                <w:color w:val="auto"/>
              </w:rPr>
            </w:pPr>
            <w:r>
              <w:rPr>
                <w:rFonts w:ascii="Times New Roman" w:cs="Times New Roman" w:eastAsia="Times New Roman" w:hAnsi="Times New Roman"/>
                <w:sz w:val="19"/>
                <w:szCs w:val="19"/>
                <w:color w:val="auto"/>
              </w:rPr>
              <w:t>Fair Value</w:t>
            </w:r>
          </w:p>
        </w:tc>
        <w:tc>
          <w:tcPr>
            <w:tcW w:w="0" w:type="dxa"/>
            <w:vAlign w:val="bottom"/>
          </w:tcPr>
          <w:p>
            <w:pPr>
              <w:spacing w:after="0"/>
              <w:rPr>
                <w:sz w:val="1"/>
                <w:szCs w:val="1"/>
                <w:color w:val="auto"/>
              </w:rPr>
            </w:pPr>
          </w:p>
        </w:tc>
      </w:tr>
      <w:tr>
        <w:trPr>
          <w:trHeight w:val="170"/>
        </w:trPr>
        <w:tc>
          <w:tcPr>
            <w:tcW w:w="474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Commercial paper</w:t>
            </w:r>
          </w:p>
        </w:tc>
        <w:tc>
          <w:tcPr>
            <w:tcW w:w="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52,838</w:t>
            </w:r>
          </w:p>
        </w:tc>
        <w:tc>
          <w:tcPr>
            <w:tcW w:w="260" w:type="dxa"/>
            <w:vAlign w:val="bottom"/>
          </w:tcPr>
          <w:p>
            <w:pPr>
              <w:spacing w:after="0"/>
              <w:rPr>
                <w:sz w:val="18"/>
                <w:szCs w:val="18"/>
                <w:color w:val="auto"/>
              </w:rPr>
            </w:pPr>
          </w:p>
        </w:tc>
        <w:tc>
          <w:tcPr>
            <w:tcW w:w="2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52,838</w:t>
            </w:r>
          </w:p>
        </w:tc>
        <w:tc>
          <w:tcPr>
            <w:tcW w:w="240" w:type="dxa"/>
            <w:vAlign w:val="bottom"/>
          </w:tcPr>
          <w:p>
            <w:pPr>
              <w:spacing w:after="0"/>
              <w:rPr>
                <w:sz w:val="18"/>
                <w:szCs w:val="18"/>
                <w:color w:val="auto"/>
              </w:rPr>
            </w:pPr>
          </w:p>
        </w:tc>
        <w:tc>
          <w:tcPr>
            <w:tcW w:w="480" w:type="dxa"/>
            <w:vAlign w:val="bottom"/>
          </w:tcPr>
          <w:p>
            <w:pPr>
              <w:jc w:val="right"/>
              <w:ind w:right="2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81,026</w:t>
            </w:r>
          </w:p>
        </w:tc>
        <w:tc>
          <w:tcPr>
            <w:tcW w:w="240" w:type="dxa"/>
            <w:vAlign w:val="bottom"/>
          </w:tcPr>
          <w:p>
            <w:pPr>
              <w:spacing w:after="0"/>
              <w:rPr>
                <w:sz w:val="18"/>
                <w:szCs w:val="18"/>
                <w:color w:val="auto"/>
              </w:rPr>
            </w:pPr>
          </w:p>
        </w:tc>
        <w:tc>
          <w:tcPr>
            <w:tcW w:w="2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81,026</w:t>
            </w: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151,690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151,644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469,604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468,865</w:t>
            </w: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19,931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61,307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61,219</w:t>
            </w: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Certificates of deposit</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14,075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14,075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11,869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11,869</w:t>
            </w: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U.S. treasuries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78,189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78,157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1 -10 years: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2,366</w:t>
            </w: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6,366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6,366</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11 - 20 years: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28,377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28,377</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21 - 30 years: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4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15,211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15,211</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320,740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320,650</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676,129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675,299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FASB ASC 820 provides a framework for measuring fair value and requires expanded disclosures regarding fair value measurements.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77" w:lineRule="exact"/>
        <w:rPr>
          <w:sz w:val="20"/>
          <w:szCs w:val="20"/>
          <w:color w:val="auto"/>
        </w:rPr>
      </w:pPr>
    </w:p>
    <w:p>
      <w:pPr>
        <w:ind w:left="620" w:hanging="288"/>
        <w:spacing w:after="0"/>
        <w:tabs>
          <w:tab w:leader="none" w:pos="6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 prices in markets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active; or other inputs that are observable or can be corroborated by observable market data for substantially the full term of the related assets or liabilities.</w:t>
      </w:r>
    </w:p>
    <w:p>
      <w:pPr>
        <w:spacing w:after="0" w:line="168" w:lineRule="exact"/>
        <w:rPr>
          <w:rFonts w:ascii="Times New Roman" w:cs="Times New Roman" w:eastAsia="Times New Roman" w:hAnsi="Times New Roman"/>
          <w:sz w:val="20"/>
          <w:szCs w:val="20"/>
          <w:color w:val="auto"/>
        </w:rPr>
      </w:pPr>
    </w:p>
    <w:p>
      <w:pPr>
        <w:ind w:left="660" w:hanging="328"/>
        <w:spacing w:after="0" w:line="273" w:lineRule="auto"/>
        <w:tabs>
          <w:tab w:leader="none" w:pos="70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15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FASB ASC 820 requires the use of observable market inputs (quoted market prices) when measuring fair value and requires a Level 1 quoted price to be used to measure fair value whenever possible.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Company’s financial assets that are recorded at fair value on a recurring basis, segregated among the appropriate levels within the fair value hierarchy at: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 2018</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2</w:t>
            </w:r>
          </w:p>
        </w:tc>
        <w:tc>
          <w:tcPr>
            <w:tcW w:w="1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393,936</w:t>
            </w:r>
          </w:p>
        </w:tc>
        <w:tc>
          <w:tcPr>
            <w:tcW w:w="3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8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393,936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191,358</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191,358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14,075</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60,422</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60,422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4,005</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4,005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177,118</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177,118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39,092</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39,092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U.S. treasuries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78,157</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78,157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(492)</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585,294</w:t>
            </w:r>
          </w:p>
        </w:tc>
        <w:tc>
          <w:tcPr>
            <w:tcW w:w="3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372,377</w:t>
            </w:r>
          </w:p>
        </w:tc>
        <w:tc>
          <w:tcPr>
            <w:tcW w:w="1220" w:type="dxa"/>
            <w:vAlign w:val="bottom"/>
            <w:tcBorders>
              <w:bottom w:val="single" w:sz="8" w:color="auto"/>
            </w:tcBorders>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957,671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585,294</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52,219</w:t>
            </w:r>
          </w:p>
        </w:tc>
        <w:tc>
          <w:tcPr>
            <w:tcW w:w="122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637,513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320,650</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320,650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43</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(535)</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585,294</w:t>
            </w:r>
          </w:p>
        </w:tc>
        <w:tc>
          <w:tcPr>
            <w:tcW w:w="3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372,377</w:t>
            </w:r>
          </w:p>
        </w:tc>
        <w:tc>
          <w:tcPr>
            <w:tcW w:w="1220" w:type="dxa"/>
            <w:vAlign w:val="bottom"/>
            <w:tcBorders>
              <w:bottom w:val="single" w:sz="8" w:color="auto"/>
            </w:tcBorders>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957,671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 2017</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2</w:t>
            </w:r>
          </w:p>
        </w:tc>
        <w:tc>
          <w:tcPr>
            <w:tcW w:w="1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310,885</w:t>
            </w:r>
          </w:p>
        </w:tc>
        <w:tc>
          <w:tcPr>
            <w:tcW w:w="3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8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310,885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112,848</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112,848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15,720</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15,720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99,903</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99,903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49,954</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49,954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529,984</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529,984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81,230</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81,230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U.S. treasuries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3,397</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3,397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(1,484)</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423,733</w:t>
            </w:r>
          </w:p>
        </w:tc>
        <w:tc>
          <w:tcPr>
            <w:tcW w:w="3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778,704</w:t>
            </w:r>
          </w:p>
        </w:tc>
        <w:tc>
          <w:tcPr>
            <w:tcW w:w="1220" w:type="dxa"/>
            <w:vAlign w:val="bottom"/>
            <w:tcBorders>
              <w:bottom w:val="single" w:sz="8" w:color="auto"/>
            </w:tcBorders>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1,202,437</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423,733</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104,889</w:t>
            </w:r>
          </w:p>
        </w:tc>
        <w:tc>
          <w:tcPr>
            <w:tcW w:w="122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528,622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672,933</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672,933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95</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2,366</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2,366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(1,579)</w:t>
            </w:r>
          </w:p>
        </w:tc>
        <w:tc>
          <w:tcPr>
            <w:tcW w:w="1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423,733</w:t>
            </w:r>
          </w:p>
        </w:tc>
        <w:tc>
          <w:tcPr>
            <w:tcW w:w="3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778,704</w:t>
            </w:r>
          </w:p>
        </w:tc>
        <w:tc>
          <w:tcPr>
            <w:tcW w:w="1220" w:type="dxa"/>
            <w:vAlign w:val="bottom"/>
            <w:tcBorders>
              <w:bottom w:val="single" w:sz="8" w:color="auto"/>
            </w:tcBorders>
          </w:tcPr>
          <w:p>
            <w:pPr>
              <w:jc w:val="right"/>
              <w:ind w:right="8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1,202,437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All of the Company’s short-term investments are classified within Level 1 or Level 2 within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U.S. treasuries, certificates of deposit, VRDNs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2018 and 2017, and there were no changes in the Company’s valuation techniques.</w:t>
      </w:r>
    </w:p>
    <w:p>
      <w:pPr>
        <w:sectPr>
          <w:pgSz w:w="11900" w:h="16838" w:orient="portrait"/>
          <w:cols w:equalWidth="0" w:num="1">
            <w:col w:w="11420"/>
          </w:cols>
          <w:pgMar w:left="240" w:top="121" w:right="2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16"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years ended December 31, 2018, 2017 and 2016, respectively,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that were outstanding as of December 31, 2018 have terms of three months or less. The Company does not enter into forward currency exchange contracts for speculation or trading purposes.</w:t>
      </w:r>
    </w:p>
    <w:p>
      <w:pPr>
        <w:spacing w:after="0" w:line="185"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 815. Therefore, gains and losses on the Company’s foreign currency exchange contracts are recognized in other income (expense), net, in the consolidated statements of income, and are largely offset by the changes in the fair value of the underlying economically hedged item.</w:t>
      </w:r>
    </w:p>
    <w:p>
      <w:pPr>
        <w:spacing w:after="0" w:line="175"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consolidated balance sheets consist of the following at:</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December 31,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80" w:type="dxa"/>
            <w:vAlign w:val="bottom"/>
            <w:tcBorders>
              <w:top w:val="single" w:sz="8" w:color="auto"/>
            </w:tcBorders>
            <w:gridSpan w:val="2"/>
          </w:tcPr>
          <w:p>
            <w:pPr>
              <w:jc w:val="center"/>
              <w:ind w:right="280"/>
              <w:spacing w:after="0" w:line="200"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160" w:type="dxa"/>
            <w:vAlign w:val="bottom"/>
          </w:tcPr>
          <w:p>
            <w:pPr>
              <w:spacing w:after="0"/>
              <w:rPr>
                <w:sz w:val="19"/>
                <w:szCs w:val="19"/>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Notional</w:t>
            </w:r>
          </w:p>
        </w:tc>
        <w:tc>
          <w:tcPr>
            <w:tcW w:w="24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Fair</w:t>
            </w: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2"/>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FASB ASC 815-20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20"/>
                <w:szCs w:val="20"/>
                <w:color w:val="auto"/>
              </w:rPr>
              <w:t>Amount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Value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Balance Sheet Location</w:t>
            </w:r>
          </w:p>
        </w:tc>
        <w:tc>
          <w:tcPr>
            <w:tcW w:w="40" w:type="dxa"/>
            <w:vAlign w:val="bottom"/>
          </w:tcPr>
          <w:p>
            <w:pPr>
              <w:spacing w:after="0"/>
              <w:rPr>
                <w:sz w:val="21"/>
                <w:szCs w:val="21"/>
                <w:color w:val="auto"/>
              </w:rPr>
            </w:pPr>
          </w:p>
        </w:tc>
      </w:tr>
      <w:tr>
        <w:trPr>
          <w:trHeight w:val="254"/>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548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SGD/pay USD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8,341</w:t>
            </w:r>
          </w:p>
        </w:tc>
        <w:tc>
          <w:tcPr>
            <w:tcW w:w="260" w:type="dxa"/>
            <w:vAlign w:val="bottom"/>
          </w:tcPr>
          <w:p>
            <w:pPr>
              <w:spacing w:after="0"/>
              <w:rPr>
                <w:sz w:val="19"/>
                <w:szCs w:val="19"/>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19"/>
                <w:szCs w:val="19"/>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19"/>
                <w:szCs w:val="19"/>
                <w:color w:val="auto"/>
              </w:rPr>
            </w:pPr>
          </w:p>
        </w:tc>
      </w:tr>
      <w:tr>
        <w:trPr>
          <w:trHeight w:val="258"/>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NOK/pay USD</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spacing w:after="0"/>
              <w:rPr>
                <w:sz w:val="22"/>
                <w:szCs w:val="22"/>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22"/>
                <w:szCs w:val="22"/>
                <w:color w:val="auto"/>
              </w:rPr>
            </w:pPr>
          </w:p>
        </w:tc>
      </w:tr>
      <w:tr>
        <w:trPr>
          <w:trHeight w:val="63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48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GBP</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40,648</w:t>
            </w:r>
          </w:p>
        </w:tc>
        <w:tc>
          <w:tcPr>
            <w:tcW w:w="260" w:type="dxa"/>
            <w:vAlign w:val="bottom"/>
          </w:tcPr>
          <w:p>
            <w:pPr>
              <w:spacing w:after="0"/>
              <w:rPr>
                <w:sz w:val="19"/>
                <w:szCs w:val="19"/>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(323)</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AUD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(105)</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ZAR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(68)</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COP</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NZD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58"/>
        </w:trPr>
        <w:tc>
          <w:tcPr>
            <w:tcW w:w="5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Receive USD/pay EUR</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6,894</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22"/>
                <w:szCs w:val="22"/>
                <w:color w:val="auto"/>
              </w:rPr>
            </w:pPr>
          </w:p>
        </w:tc>
      </w:tr>
      <w:tr>
        <w:trPr>
          <w:trHeight w:val="407"/>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083"/>
              <w:spacing w:after="0"/>
              <w:rPr>
                <w:sz w:val="20"/>
                <w:szCs w:val="20"/>
                <w:color w:val="auto"/>
              </w:rPr>
            </w:pPr>
            <w:r>
              <w:rPr>
                <w:rFonts w:ascii="Times New Roman" w:cs="Times New Roman" w:eastAsia="Times New Roman" w:hAnsi="Times New Roman"/>
                <w:sz w:val="16"/>
                <w:szCs w:val="16"/>
                <w:color w:val="auto"/>
                <w:w w:val="87"/>
              </w:rPr>
              <w:t>93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51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December 31, 2017</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460" w:type="dxa"/>
            <w:vAlign w:val="bottom"/>
            <w:tcBorders>
              <w:top w:val="single" w:sz="8" w:color="auto"/>
            </w:tcBorders>
            <w:gridSpan w:val="2"/>
          </w:tcPr>
          <w:p>
            <w:pPr>
              <w:jc w:val="center"/>
              <w:ind w:right="300"/>
              <w:spacing w:after="0" w:line="200"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Fair</w:t>
            </w:r>
          </w:p>
        </w:tc>
        <w:tc>
          <w:tcPr>
            <w:tcW w:w="274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54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FASB ASC 815-20</w:t>
            </w: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Notional Amount</w:t>
            </w:r>
          </w:p>
        </w:tc>
        <w:tc>
          <w:tcPr>
            <w:tcW w:w="240" w:type="dxa"/>
            <w:vAlign w:val="bottom"/>
          </w:tcPr>
          <w:p>
            <w:pPr>
              <w:spacing w:after="0"/>
              <w:rPr>
                <w:sz w:val="21"/>
                <w:szCs w:val="21"/>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rPr>
              <w:t>Value</w:t>
            </w:r>
          </w:p>
        </w:tc>
        <w:tc>
          <w:tcPr>
            <w:tcW w:w="27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Balance Sheet Location</w:t>
            </w:r>
          </w:p>
        </w:tc>
      </w:tr>
      <w:tr>
        <w:trPr>
          <w:trHeight w:val="200"/>
        </w:trPr>
        <w:tc>
          <w:tcPr>
            <w:tcW w:w="20" w:type="dxa"/>
            <w:vAlign w:val="bottom"/>
          </w:tcPr>
          <w:p>
            <w:pPr>
              <w:spacing w:after="0"/>
              <w:rPr>
                <w:sz w:val="17"/>
                <w:szCs w:val="17"/>
                <w:color w:val="auto"/>
              </w:rPr>
            </w:pPr>
          </w:p>
        </w:tc>
        <w:tc>
          <w:tcPr>
            <w:tcW w:w="51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Assets:</w:t>
            </w: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CAD/pay USD</w:t>
            </w: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w:t>
            </w:r>
          </w:p>
        </w:tc>
        <w:tc>
          <w:tcPr>
            <w:tcW w:w="260" w:type="dxa"/>
            <w:vAlign w:val="bottom"/>
          </w:tcPr>
          <w:p>
            <w:pPr>
              <w:spacing w:after="0"/>
              <w:rPr>
                <w:sz w:val="19"/>
                <w:szCs w:val="19"/>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3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SGD/pay USD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NOK/pay USD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BRL</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258"/>
        </w:trPr>
        <w:tc>
          <w:tcPr>
            <w:tcW w:w="20" w:type="dxa"/>
            <w:vAlign w:val="bottom"/>
          </w:tcPr>
          <w:p>
            <w:pPr>
              <w:spacing w:after="0"/>
              <w:rPr>
                <w:sz w:val="22"/>
                <w:szCs w:val="22"/>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COP</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2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63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GBP</w:t>
            </w: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31,342</w:t>
            </w:r>
          </w:p>
        </w:tc>
        <w:tc>
          <w:tcPr>
            <w:tcW w:w="260" w:type="dxa"/>
            <w:vAlign w:val="bottom"/>
          </w:tcPr>
          <w:p>
            <w:pPr>
              <w:spacing w:after="0"/>
              <w:rPr>
                <w:sz w:val="19"/>
                <w:szCs w:val="19"/>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(334)</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EUR</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(642)</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AUD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(177)</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ZAR</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(222)</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MXN</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(126)</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NZD</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(18)</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20" w:type="dxa"/>
            <w:vAlign w:val="bottom"/>
          </w:tcPr>
          <w:p>
            <w:pPr>
              <w:spacing w:after="0"/>
              <w:rPr>
                <w:sz w:val="19"/>
                <w:szCs w:val="19"/>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TRY</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(52)</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58"/>
        </w:trPr>
        <w:tc>
          <w:tcPr>
            <w:tcW w:w="20" w:type="dxa"/>
            <w:vAlign w:val="bottom"/>
          </w:tcPr>
          <w:p>
            <w:pPr>
              <w:spacing w:after="0"/>
              <w:rPr>
                <w:sz w:val="22"/>
                <w:szCs w:val="22"/>
                <w:color w:val="auto"/>
              </w:rPr>
            </w:pPr>
          </w:p>
        </w:tc>
        <w:tc>
          <w:tcPr>
            <w:tcW w:w="54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Receive USD/pay CLP</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(8)</w:t>
            </w: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r>
    </w:tbl>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gain (loss) on derivative instruments in the consolidated statements of income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gridSpan w:val="4"/>
          </w:tcPr>
          <w:p>
            <w:pPr>
              <w:jc w:val="center"/>
              <w:ind w:right="20"/>
              <w:spacing w:after="0"/>
              <w:rPr>
                <w:sz w:val="20"/>
                <w:szCs w:val="20"/>
                <w:color w:val="auto"/>
              </w:rPr>
            </w:pPr>
            <w:r>
              <w:rPr>
                <w:rFonts w:ascii="Times New Roman" w:cs="Times New Roman" w:eastAsia="Times New Roman" w:hAnsi="Times New Roman"/>
                <w:sz w:val="20"/>
                <w:szCs w:val="20"/>
                <w:color w:val="auto"/>
                <w:w w:val="98"/>
              </w:rPr>
              <w:t>Amount of gain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8"/>
              </w:rPr>
              <w:t>recognized in income 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derivatives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color w:val="auto"/>
                <w:w w:val="98"/>
              </w:rPr>
              <w:t>Derivatives not designated as</w:t>
            </w:r>
          </w:p>
        </w:tc>
        <w:tc>
          <w:tcPr>
            <w:tcW w:w="2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Location of gain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500"/>
              <w:spacing w:after="0" w:line="223" w:lineRule="exact"/>
              <w:rPr>
                <w:sz w:val="20"/>
                <w:szCs w:val="20"/>
                <w:color w:val="auto"/>
              </w:rPr>
            </w:pPr>
            <w:r>
              <w:rPr>
                <w:rFonts w:ascii="Times New Roman" w:cs="Times New Roman" w:eastAsia="Times New Roman" w:hAnsi="Times New Roman"/>
                <w:sz w:val="20"/>
                <w:szCs w:val="20"/>
                <w:color w:val="auto"/>
                <w:w w:val="98"/>
              </w:rPr>
              <w:t>Year ended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2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recognized in income on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December 31,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8"/>
              </w:rPr>
              <w:t>December 31,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December 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FASB ASC 815-20</w:t>
            </w:r>
          </w:p>
        </w:tc>
        <w:tc>
          <w:tcPr>
            <w:tcW w:w="2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derivatives</w:t>
            </w:r>
          </w:p>
        </w:tc>
        <w:tc>
          <w:tcPr>
            <w:tcW w:w="320" w:type="dxa"/>
            <w:vAlign w:val="bottom"/>
          </w:tcPr>
          <w:p>
            <w:pPr>
              <w:spacing w:after="0"/>
              <w:rPr>
                <w:sz w:val="21"/>
                <w:szCs w:val="21"/>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4"/>
              </w:rPr>
              <w:t>2017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Foreign currency exchange contracts</w:t>
            </w:r>
          </w:p>
        </w:tc>
        <w:tc>
          <w:tcPr>
            <w:tcW w:w="260" w:type="dxa"/>
            <w:vAlign w:val="bottom"/>
          </w:tcPr>
          <w:p>
            <w:pPr>
              <w:spacing w:after="0"/>
              <w:rPr>
                <w:sz w:val="19"/>
                <w:szCs w:val="19"/>
                <w:color w:val="auto"/>
              </w:rPr>
            </w:pPr>
          </w:p>
        </w:tc>
        <w:tc>
          <w:tcPr>
            <w:tcW w:w="268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Other income (expense), net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9,737</w:t>
            </w: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(13,733)</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vMerge w:val="restart"/>
          </w:tcPr>
          <w:p>
            <w:pPr>
              <w:jc w:val="right"/>
              <w:ind w:right="645"/>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 December 31: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2018</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200"/>
        </w:trPr>
        <w:tc>
          <w:tcPr>
            <w:tcW w:w="7280" w:type="dxa"/>
            <w:vAlign w:val="bottom"/>
            <w:vMerge w:val="continue"/>
          </w:tcPr>
          <w:p>
            <w:pPr>
              <w:spacing w:after="0"/>
              <w:rPr>
                <w:sz w:val="17"/>
                <w:szCs w:val="17"/>
                <w:color w:val="auto"/>
              </w:rPr>
            </w:pPr>
          </w:p>
        </w:tc>
        <w:tc>
          <w:tcPr>
            <w:tcW w:w="3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94,421</w:t>
            </w:r>
          </w:p>
        </w:tc>
        <w:tc>
          <w:tcPr>
            <w:tcW w:w="460" w:type="dxa"/>
            <w:vAlign w:val="bottom"/>
          </w:tcPr>
          <w:p>
            <w:pPr>
              <w:spacing w:after="0"/>
              <w:rPr>
                <w:sz w:val="17"/>
                <w:szCs w:val="17"/>
                <w:color w:val="auto"/>
              </w:rPr>
            </w:pPr>
          </w:p>
        </w:tc>
        <w:tc>
          <w:tcPr>
            <w:tcW w:w="3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78,834</w:t>
            </w: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183,284</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176,911</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277,705</w:t>
            </w:r>
          </w:p>
        </w:tc>
        <w:tc>
          <w:tcPr>
            <w:tcW w:w="4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255,745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Land</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2018</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200"/>
        </w:trPr>
        <w:tc>
          <w:tcPr>
            <w:tcW w:w="7280" w:type="dxa"/>
            <w:vAlign w:val="bottom"/>
            <w:vMerge w:val="continue"/>
          </w:tcPr>
          <w:p>
            <w:pPr>
              <w:spacing w:after="0"/>
              <w:rPr>
                <w:sz w:val="17"/>
                <w:szCs w:val="17"/>
                <w:color w:val="auto"/>
              </w:rPr>
            </w:pPr>
          </w:p>
        </w:tc>
        <w:tc>
          <w:tcPr>
            <w:tcW w:w="3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44,261</w:t>
            </w:r>
          </w:p>
        </w:tc>
        <w:tc>
          <w:tcPr>
            <w:tcW w:w="460" w:type="dxa"/>
            <w:vAlign w:val="bottom"/>
          </w:tcPr>
          <w:p>
            <w:pPr>
              <w:spacing w:after="0"/>
              <w:rPr>
                <w:sz w:val="17"/>
                <w:szCs w:val="17"/>
                <w:color w:val="auto"/>
              </w:rPr>
            </w:pPr>
          </w:p>
        </w:tc>
        <w:tc>
          <w:tcPr>
            <w:tcW w:w="3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47,373</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5,909</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3,109</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6,932</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6,461</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Office and computer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18,717</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14,506</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183,727</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148,434</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115,242</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107,374</w:t>
            </w: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39,026</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38,179</w:t>
            </w:r>
          </w:p>
        </w:tc>
        <w:tc>
          <w:tcPr>
            <w:tcW w:w="0" w:type="dxa"/>
            <w:vAlign w:val="bottom"/>
          </w:tcPr>
          <w:p>
            <w:pPr>
              <w:spacing w:after="0"/>
              <w:rPr>
                <w:sz w:val="1"/>
                <w:szCs w:val="1"/>
                <w:color w:val="auto"/>
              </w:rPr>
            </w:pPr>
          </w:p>
        </w:tc>
      </w:tr>
      <w:tr>
        <w:trPr>
          <w:trHeight w:val="200"/>
        </w:trPr>
        <w:tc>
          <w:tcPr>
            <w:tcW w:w="7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417,092</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369,086</w:t>
            </w: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(174,041)</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(138,810)</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243,051</w:t>
            </w:r>
          </w:p>
        </w:tc>
        <w:tc>
          <w:tcPr>
            <w:tcW w:w="46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230,276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Total depreciation and amortization expense recorded was $45.0 million, $37.0 million and $30.2 million for the years ended December 31, 2018, 2017 and 2016, respectively.</w:t>
      </w:r>
    </w:p>
    <w:p>
      <w:pPr>
        <w:spacing w:after="0" w:line="160"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a roll-forward of goodwill for the years ended December 31, 2018 and 2017 by reportable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Monster</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Energy®</w:t>
            </w:r>
          </w:p>
        </w:tc>
        <w:tc>
          <w:tcPr>
            <w:tcW w:w="26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Strategic</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Drinks</w:t>
            </w:r>
          </w:p>
        </w:tc>
        <w:tc>
          <w:tcPr>
            <w:tcW w:w="26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Brands</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40" w:type="dxa"/>
            <w:vAlign w:val="bottom"/>
            <w:vMerge w:val="continue"/>
          </w:tcPr>
          <w:p>
            <w:pPr>
              <w:spacing w:after="0"/>
              <w:rPr>
                <w:sz w:val="16"/>
                <w:szCs w:val="16"/>
                <w:color w:val="auto"/>
              </w:rPr>
            </w:pPr>
          </w:p>
        </w:tc>
        <w:tc>
          <w:tcPr>
            <w:tcW w:w="2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693,644</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637,999</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8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6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1,331,643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Monster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Energy®</w:t>
            </w:r>
          </w:p>
        </w:tc>
        <w:tc>
          <w:tcPr>
            <w:tcW w:w="26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Strategic</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Drinks</w:t>
            </w:r>
          </w:p>
        </w:tc>
        <w:tc>
          <w:tcPr>
            <w:tcW w:w="26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Brands</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40" w:type="dxa"/>
            <w:vAlign w:val="bottom"/>
            <w:vMerge w:val="continue"/>
          </w:tcPr>
          <w:p>
            <w:pPr>
              <w:spacing w:after="0"/>
              <w:rPr>
                <w:sz w:val="16"/>
                <w:szCs w:val="16"/>
                <w:color w:val="auto"/>
              </w:rPr>
            </w:pPr>
          </w:p>
        </w:tc>
        <w:tc>
          <w:tcPr>
            <w:tcW w:w="2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693,644</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637,999</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8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6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1,331,643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consist of the following at:</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December 31,</w:t>
            </w:r>
          </w:p>
        </w:tc>
        <w:tc>
          <w:tcPr>
            <w:tcW w:w="160" w:type="dxa"/>
            <w:vAlign w:val="bottom"/>
          </w:tcPr>
          <w:p>
            <w:pPr>
              <w:spacing w:after="0"/>
              <w:rPr>
                <w:sz w:val="24"/>
                <w:szCs w:val="24"/>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December 31,</w:t>
            </w:r>
          </w:p>
        </w:tc>
        <w:tc>
          <w:tcPr>
            <w:tcW w:w="0" w:type="dxa"/>
            <w:vAlign w:val="bottom"/>
          </w:tcPr>
          <w:p>
            <w:pPr>
              <w:spacing w:after="0"/>
              <w:rPr>
                <w:sz w:val="1"/>
                <w:szCs w:val="1"/>
                <w:color w:val="auto"/>
              </w:rPr>
            </w:pPr>
          </w:p>
        </w:tc>
      </w:tr>
      <w:tr>
        <w:trPr>
          <w:trHeight w:val="252"/>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Amortizing intangibles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2018</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71,350</w:t>
            </w:r>
          </w:p>
        </w:tc>
        <w:tc>
          <w:tcPr>
            <w:tcW w:w="22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71,400</w:t>
            </w:r>
          </w:p>
        </w:tc>
        <w:tc>
          <w:tcPr>
            <w:tcW w:w="0" w:type="dxa"/>
            <w:vAlign w:val="bottom"/>
          </w:tcPr>
          <w:p>
            <w:pPr>
              <w:spacing w:after="0"/>
              <w:rPr>
                <w:sz w:val="1"/>
                <w:szCs w:val="1"/>
                <w:color w:val="auto"/>
              </w:rPr>
            </w:pPr>
          </w:p>
        </w:tc>
      </w:tr>
      <w:tr>
        <w:trPr>
          <w:trHeight w:val="25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(38,311)</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(26,383)</w:t>
            </w:r>
          </w:p>
        </w:tc>
        <w:tc>
          <w:tcPr>
            <w:tcW w:w="0" w:type="dxa"/>
            <w:vAlign w:val="bottom"/>
          </w:tcPr>
          <w:p>
            <w:pPr>
              <w:spacing w:after="0"/>
              <w:rPr>
                <w:sz w:val="1"/>
                <w:szCs w:val="1"/>
                <w:color w:val="auto"/>
              </w:rPr>
            </w:pPr>
          </w:p>
        </w:tc>
      </w:tr>
      <w:tr>
        <w:trPr>
          <w:trHeight w:val="200"/>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33,039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45,017</w:t>
            </w:r>
          </w:p>
        </w:tc>
        <w:tc>
          <w:tcPr>
            <w:tcW w:w="0" w:type="dxa"/>
            <w:vAlign w:val="bottom"/>
          </w:tcPr>
          <w:p>
            <w:pPr>
              <w:spacing w:after="0"/>
              <w:rPr>
                <w:sz w:val="1"/>
                <w:szCs w:val="1"/>
                <w:color w:val="auto"/>
              </w:rPr>
            </w:pPr>
          </w:p>
        </w:tc>
      </w:tr>
      <w:tr>
        <w:trPr>
          <w:trHeight w:val="25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Non-amortizing intangibles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1,012,839</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989,068</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1,045,878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1,034,085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$11.9 million, $11.9 million and $10.6 million for the years ended December 31, 2018, 2017 and 2016,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is the future estimated amortization expense related to amortizing intangibles as of December 31, 2018:</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Year Ending December 31:</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0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40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11,847</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2020</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7,965</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2021</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4,722</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2022</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4,697</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2023</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1,404</w:t>
            </w:r>
          </w:p>
        </w:tc>
      </w:tr>
      <w:tr>
        <w:trPr>
          <w:trHeight w:val="242"/>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2024 and thereafter</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2,404</w:t>
            </w:r>
          </w:p>
        </w:tc>
      </w:tr>
      <w:tr>
        <w:trPr>
          <w:trHeight w:val="210"/>
        </w:trPr>
        <w:tc>
          <w:tcPr>
            <w:tcW w:w="3340" w:type="dxa"/>
            <w:vAlign w:val="bottom"/>
          </w:tcPr>
          <w:p>
            <w:pPr>
              <w:spacing w:after="0"/>
              <w:rPr>
                <w:sz w:val="18"/>
                <w:szCs w:val="18"/>
                <w:color w:val="auto"/>
              </w:rPr>
            </w:pPr>
          </w:p>
        </w:tc>
        <w:tc>
          <w:tcPr>
            <w:tcW w:w="400" w:type="dxa"/>
            <w:vAlign w:val="bottom"/>
            <w:tcBorders>
              <w:bottom w:val="single" w:sz="8" w:color="auto"/>
            </w:tcBorders>
          </w:tcPr>
          <w:p>
            <w:pPr>
              <w:jc w:val="right"/>
              <w:ind w:right="1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33,039</w:t>
            </w:r>
          </w:p>
        </w:tc>
      </w:tr>
      <w:tr>
        <w:trPr>
          <w:trHeight w:val="20"/>
        </w:trPr>
        <w:tc>
          <w:tcPr>
            <w:tcW w:w="3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2018, non-amortizing intangibles primarily consist of indefinite-lived tradenames, flavors and formulas.</w:t>
      </w:r>
    </w:p>
    <w:p>
      <w:pPr>
        <w:spacing w:after="0" w:line="216"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accordance with FASB ASC No. 420 “Exit or Disposal Cost Obligations”, the Company expenses distributor termination costs in the period in which the written notification of termination occurs. As a result, the Company incurred termination costs of $26.6 million, $35.4 million and $79.8 million for the years ended December 31, 2018, 2017 and 2016, respectively. Such termination costs have been expensed in full and are included in operating expenses for the years ended December 31, 2018, 2017 and 2016, respectively.</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$21.9 million, $22.3 million and $26.1 million for the years ended December 31, 2018, 2017 and 2016,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entered into a credit facility with Comerica Bank (“Comerica”) consisting of a revolving line of credit, which was amended in June 2017, under which the Company may borrow up to $10.0 million of non-collateralized debt. The revolving line of credit is effective through June 1, 2020. Interest on borrowings under the line of credit is based on Comerica’s base (prime) rate minus 1% to 1.5%, or London Interbank Offered Rates plus an additional percentage of 1.25% to 1.75%, depending upon certain financial ratios maintained by the Company. The Company had no outstanding borrowings on this line of credit at December 31, 2018.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2018.</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December 2016, the Company entered into a credit facility with HSBC Bank (China) Company Limited, Shanghai Branch consisting of a non-collateralized working capital line of credit. In February 2018, the working capital line limit was increased to $15.0 million. At December 31, 2018, the interest rate on borrowings under the line of credit was 5.5%. As of December 31, 2018, the Company had $11.7 million outstanding on this line of credit, including interest, which is included in accounts payable in the consolidated balance sheet.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debt of $0.8 million and $1.3 million at December 31, 2018 and 2017, respectively, consisted of capital leases, collateralized by vehicles, payable over 12 months in monthly installments at various effective interest rates, with final payments ending on or before December 31, 2018.</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At December 31, 2018 and 2017, the assets acquired under capital leases had a net book value of $4.9 million and $5.3 million, net of accumulated depreciation of $4.6 million and $4.2 million,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Interest expense for capital lease obligations amounted to $0.06 million, $0.08 million and $0.07 million for the years ended December 31, 2018, 2017 and 2016, respectively.</w:t>
      </w:r>
    </w:p>
    <w:p>
      <w:pPr>
        <w:spacing w:after="0" w:line="160" w:lineRule="exact"/>
        <w:rPr>
          <w:sz w:val="20"/>
          <w:szCs w:val="20"/>
          <w:color w:val="auto"/>
        </w:rPr>
      </w:pPr>
    </w:p>
    <w:p>
      <w:pPr>
        <w:ind w:left="620" w:hanging="612"/>
        <w:spacing w:after="0"/>
        <w:tabs>
          <w:tab w:leader="none" w:pos="6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is obligated under various non-cancellable lease agreements providing for office space, warehouse space, and automobiles that expire at various dates through the year 2033.</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Rent expense under operating leases was $6.1 million, $10.7 million and $9.9 million for the years ended December 31, 2018, 2017 and 2016,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Future minimum rental payments at December 31, 2018 under the operating leases referred to above are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Year Ending December 31:</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0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40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3,954</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2020</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2,949</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2021</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2,410</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2022</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2,114</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2023</w:t>
            </w:r>
          </w:p>
        </w:tc>
        <w:tc>
          <w:tcPr>
            <w:tcW w:w="40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1,681</w:t>
            </w:r>
          </w:p>
        </w:tc>
      </w:tr>
      <w:tr>
        <w:trPr>
          <w:trHeight w:val="242"/>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2024 and thereafter</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14,860</w:t>
            </w:r>
          </w:p>
        </w:tc>
      </w:tr>
      <w:tr>
        <w:trPr>
          <w:trHeight w:val="210"/>
        </w:trPr>
        <w:tc>
          <w:tcPr>
            <w:tcW w:w="3340" w:type="dxa"/>
            <w:vAlign w:val="bottom"/>
          </w:tcPr>
          <w:p>
            <w:pPr>
              <w:spacing w:after="0"/>
              <w:rPr>
                <w:sz w:val="18"/>
                <w:szCs w:val="18"/>
                <w:color w:val="auto"/>
              </w:rPr>
            </w:pPr>
          </w:p>
        </w:tc>
        <w:tc>
          <w:tcPr>
            <w:tcW w:w="400" w:type="dxa"/>
            <w:vAlign w:val="bottom"/>
            <w:tcBorders>
              <w:bottom w:val="single" w:sz="8" w:color="auto"/>
            </w:tcBorders>
          </w:tcPr>
          <w:p>
            <w:pPr>
              <w:jc w:val="right"/>
              <w:ind w:right="1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27,968</w:t>
            </w:r>
          </w:p>
        </w:tc>
      </w:tr>
      <w:tr>
        <w:trPr>
          <w:trHeight w:val="20"/>
        </w:trPr>
        <w:tc>
          <w:tcPr>
            <w:tcW w:w="3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 The Company has the following contractual obligations related primarily to sponsorships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commitments as of December 31, 2018:</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Year Ending December 31:</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0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99,004</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2020</w:t>
            </w:r>
          </w:p>
        </w:tc>
        <w:tc>
          <w:tcPr>
            <w:tcW w:w="3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51,572</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2021</w:t>
            </w:r>
          </w:p>
        </w:tc>
        <w:tc>
          <w:tcPr>
            <w:tcW w:w="3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23,577</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2022</w:t>
            </w:r>
          </w:p>
        </w:tc>
        <w:tc>
          <w:tcPr>
            <w:tcW w:w="3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12,628</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2023</w:t>
            </w:r>
          </w:p>
        </w:tc>
        <w:tc>
          <w:tcPr>
            <w:tcW w:w="3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3,405</w:t>
            </w:r>
          </w:p>
        </w:tc>
      </w:tr>
      <w:tr>
        <w:trPr>
          <w:trHeight w:val="242"/>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2024 and thereafter</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10"/>
        </w:trPr>
        <w:tc>
          <w:tcPr>
            <w:tcW w:w="3340" w:type="dxa"/>
            <w:vAlign w:val="bottom"/>
          </w:tcPr>
          <w:p>
            <w:pPr>
              <w:spacing w:after="0"/>
              <w:rPr>
                <w:sz w:val="18"/>
                <w:szCs w:val="18"/>
                <w:color w:val="auto"/>
              </w:rPr>
            </w:pPr>
          </w:p>
        </w:tc>
        <w:tc>
          <w:tcPr>
            <w:tcW w:w="360" w:type="dxa"/>
            <w:vAlign w:val="bottom"/>
            <w:tcBorders>
              <w:bottom w:val="single" w:sz="8" w:color="auto"/>
            </w:tcBorders>
          </w:tcPr>
          <w:p>
            <w:pPr>
              <w:jc w:val="right"/>
              <w:ind w:right="1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190,186</w:t>
            </w:r>
          </w:p>
        </w:tc>
      </w:tr>
      <w:tr>
        <w:trPr>
          <w:trHeight w:val="20"/>
        </w:trPr>
        <w:tc>
          <w:tcPr>
            <w:tcW w:w="3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Purchase Commitments </w:t>
      </w:r>
      <w:r>
        <w:rPr>
          <w:rFonts w:ascii="Times New Roman" w:cs="Times New Roman" w:eastAsia="Times New Roman" w:hAnsi="Times New Roman"/>
          <w:sz w:val="20"/>
          <w:szCs w:val="20"/>
          <w:color w:val="auto"/>
        </w:rPr>
        <w:t>– The Company has purchase commitments aggregating approximately $49.8 million at December 31, 2018,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purchases various raw material items, including, but not limited to, flavors, ingredients, dietary ingredients, containers, milk, glucose, sucralose, cream and protein,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2018, 2017 and 2016 was $289.6 million, $273.6 million and $205.9 million, respectively.</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Guarantees </w:t>
      </w:r>
      <w:r>
        <w:rPr>
          <w:rFonts w:ascii="Times New Roman" w:cs="Times New Roman" w:eastAsia="Times New Roman" w:hAnsi="Times New Roman"/>
          <w:sz w:val="20"/>
          <w:szCs w:val="20"/>
          <w:color w:val="auto"/>
        </w:rPr>
        <w:t>– The Company from time to time enters into certain types of contracts that contingently require the Company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Litigation – </w:t>
      </w:r>
      <w:r>
        <w:rPr>
          <w:rFonts w:ascii="Times New Roman" w:cs="Times New Roman" w:eastAsia="Times New Roman" w:hAnsi="Times New Roman"/>
          <w:sz w:val="19"/>
          <w:szCs w:val="19"/>
          <w:color w:val="auto"/>
        </w:rPr>
        <w:t>The Company, TCCC and certain affiliates are parties to various agreements setting forth, among other things, provisions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relating to TCCC’s equity holding in the Company and the terms on which the Company’s energy products are distributed globally by members of TCCC’s distribution network. Among other provisions, the agreements restrict TCCC from competing in the energy drink category in certain territories prior to the termination of the applicable distribution coordination agreement with TCCC, with certain exceptions.</w:t>
      </w:r>
    </w:p>
    <w:p>
      <w:pPr>
        <w:spacing w:after="0" w:line="163"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TCCC has developed three energy products that it believes it may market under the exception relating to the Coca-Cola brand. The Company believes that the exception does not apply to this situation. By mutual agreement to obtain clarification, the issue was submitted to the American Arbitration Association on October 31, 2018. We expect a decision will be reached during the second quarter of 2019. TCCC has indicated that it has suspended the proposed launch of such products until April 2019. As the relief sought is limited, no reasonable possible range of losses, if any, can be estimated.</w:t>
      </w:r>
    </w:p>
    <w:p>
      <w:pPr>
        <w:spacing w:after="0" w:line="181"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The Company is currently a defendant in a number of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81"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8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2018, the Company’s consolidated balance sheet includes accrued loss contingencies of approximately $0.06 million.</w:t>
      </w:r>
    </w:p>
    <w:p>
      <w:pPr>
        <w:spacing w:after="0" w:line="175"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components of accumulated other comprehensive loss are as follows at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net unrealized loss on available-for-sale securities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34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Borders>
              <w:top w:val="single" w:sz="8" w:color="auto"/>
            </w:tcBorders>
          </w:tcPr>
          <w:p>
            <w:pPr>
              <w:jc w:val="right"/>
              <w:ind w:right="8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89</w:t>
            </w:r>
          </w:p>
        </w:tc>
        <w:tc>
          <w:tcPr>
            <w:tcW w:w="280" w:type="dxa"/>
            <w:vAlign w:val="bottom"/>
          </w:tcPr>
          <w:p>
            <w:pPr>
              <w:spacing w:after="0"/>
              <w:rPr>
                <w:sz w:val="17"/>
                <w:szCs w:val="17"/>
                <w:color w:val="auto"/>
              </w:rPr>
            </w:pPr>
          </w:p>
        </w:tc>
        <w:tc>
          <w:tcPr>
            <w:tcW w:w="420" w:type="dxa"/>
            <w:vAlign w:val="bottom"/>
            <w:tcBorders>
              <w:top w:val="single" w:sz="8" w:color="auto"/>
            </w:tcBorders>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 net of tax</w:t>
            </w:r>
          </w:p>
        </w:tc>
        <w:tc>
          <w:tcPr>
            <w:tcW w:w="2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accumulated other comprehensive loss</w:t>
            </w:r>
          </w:p>
        </w:tc>
        <w:tc>
          <w:tcPr>
            <w:tcW w:w="236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360" w:type="dxa"/>
            <w:vAlign w:val="bottom"/>
            <w:vMerge w:val="continue"/>
          </w:tcPr>
          <w:p>
            <w:pPr>
              <w:spacing w:after="0"/>
              <w:rPr>
                <w:sz w:val="19"/>
                <w:szCs w:val="19"/>
                <w:color w:val="auto"/>
              </w:rPr>
            </w:pPr>
          </w:p>
        </w:tc>
        <w:tc>
          <w:tcPr>
            <w:tcW w:w="1080" w:type="dxa"/>
            <w:vAlign w:val="bottom"/>
            <w:tcBorders>
              <w:bottom w:val="single" w:sz="8" w:color="auto"/>
            </w:tcBorders>
          </w:tcPr>
          <w:p>
            <w:pPr>
              <w:jc w:val="right"/>
              <w:ind w:right="8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32,864</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16,659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60" w:type="dxa"/>
            <w:vAlign w:val="bottom"/>
            <w:vMerge w:val="restart"/>
          </w:tcPr>
          <w:p>
            <w:pPr>
              <w:jc w:val="right"/>
              <w:ind w:right="1810"/>
              <w:spacing w:after="0"/>
              <w:rPr>
                <w:sz w:val="20"/>
                <w:szCs w:val="20"/>
                <w:color w:val="auto"/>
              </w:rPr>
            </w:pPr>
            <w:r>
              <w:rPr>
                <w:rFonts w:ascii="Times New Roman" w:cs="Times New Roman" w:eastAsia="Times New Roman" w:hAnsi="Times New Roman"/>
                <w:sz w:val="16"/>
                <w:szCs w:val="16"/>
                <w:color w:val="auto"/>
              </w:rPr>
              <w:t>99</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34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TREASURY STOCK PURCHASE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On February 28, 2017, the Company’s Board of Directors authorized a share repurchase program for the purchase of up to $500.0 million of the Company’s outstanding common stock (the “February 2017 Repurchase Plan”). During the year ended December 31, 2018, the Company purchased 4.3 million shares of common stock at an average purchase price of $57.74 per share, for a total amount of $249.9 million (excluding broker commissions), under the February 2017 Repurchase Plan, which exhausted the availability under the February 2017 Repurchase Plan. Such shares are included in common stock in treasury in the accompanying consolidated balance sheet at December 31, 2018.</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February 27, 2018, the Company’s Board of Directors authorized a share repurchase program for the purchase of up to $250.0 million of the Company’s outstanding common stock (the “February 2018 Repurchase Program”). During the year ended December 31, 2018, the Company purchased 5.0 million shares of common stock at an average purchase price of $49.81 per share, for a total amount of $249.9 million (excluding broker commissions), which exhausted the availability under the February 2018 Repurchase Program. Such shares are included in common stock in treasury in the accompanying consolidated balance sheet at December 31, 2018.</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May 29, 2018, the Company’s Board of Directors authorized a share repurchase program for the purchase of up to $500.0 million of the Company’s outstanding common stock (the “May 2018 Repurchase Plan”). During the year ended December 31, 2018, the Company purchased 9.0 million shares of common stock at an average purchase price of $55.55 per share, for a total amount of $499.9 million (excluding broker commissions), under the May 2018 Repurchase Plan, which exhausted the availability under the May 2018 Repurchase Plan. Such shares are included in the common stock in treasury in the accompanying consolidated balance sheet at December 31, 2018.</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August 7, 2018, the Company’s Board of Directors authorized a share repurchase program for the purchase of up to $500.0 million of the Company’s outstanding common stock (the “August 2018 Repurchase Plan”). During the year ended December 31, 2018, the Company purchased 6.0 million shares of common stock at an average purchase price of $57.11 per share, for a total amount of $340.3 million (excluding broker commissions), under the August 2018 Repurchase Plan. Such shares are included in the common stock in treasury in the accompanying consolidated balance sheet at December 31, 2018. As of February 26, 2019, $20.6 million remained available for repurchase under the August 2018 Repurchase Plan.</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2018, 34,976 shares of common stock were purchased from employees in lieu of cash payments for options exercised or withholding taxes due for a total amount of $2.1 million. While such purchases are considered common stock repurchases, they are not counted as purchases against our authorized share repurchase programs. Such shares are included in common stock in treasury in the accompanying consolidated balance sheet at December 31, 2018.</w:t>
      </w:r>
    </w:p>
    <w:p>
      <w:pPr>
        <w:spacing w:after="0" w:line="180"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December 31, 2018: the Monster Beverage Corporation 2011 Omnibus Incentive Plan (the “2011 Omnibus Incentive Plan”), including the Monster Beverage Deferred Compensation Plan (the “Deferred Compensation Plan”) as a sub plan thereunder, and the Monster Beverage Corporation 2017 Compensation Plan for Non-Employee Directors (the “2017 Directors Plan”), including the Monster Beverage Deferred Compensation Plan for Non-Employee Directors as a sub plan thereunder.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2011 Omnibus Incentive Plan permits the granting of options, stock appreciation rights, restricted stock, restricted stock units, performance awards and other stock-based awards up to an aggregate of 43,500,000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of Directors or the Compensation Committee. Options granted under the 2011 Omnibus Incentive Plan generally vest over a five-year period from the grant date and are generally exercisable up to 10 years after the grant date. As of December 31, 2018, 22,740,597 shares of the Company’s common stock have been granted, net of cancellations, and 16,611,623 shares (as adjusted for Full Value Awards) of the Company’s common stock remain available for grant under the 2011 Omnibus Incentive Plan.</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2018, deferrals under the Deferred Compensation Plan are solely comprised of cash compensation and equity compensation. Future amounts due are not material in the aggregate.</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based-awards up to an aggregate of 1,250,000 shares of common stock of the Company to non-employee directors of the Company.</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Each calendar year, a non-employee director will receive an annual retainer and annual equity award, as provided for in the 2017 Directors Plan, which may be modified from time to time. Currently, with respect to equity awards, each non-employee director receives an award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2018, 47,880 shares of the Company’s common stock had been granted under the 2017 Directors Plan, and 1,202,120 shares of the Company’s common stock remain available for grant.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Code Section 409A, as applicable), to receive all or any portion of such non-employee director’s compensation, whether payable in cash or in equity, on a deferred basis. Deferrals under the Deferred Compensation Plan for Non-Employee Directors are unfunded and unsecured. As of December 31, 2018, deferrals under the Deferred Compensation Plan for Non-Employee Directors are solely comprised of cash compensation and equity compensation. Future amounts due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Under the 2017 Directors Plan, the Board of Directors requires each non-employee director to satisfy the share ownership guidelines set forth below, as may be amended by the Board of Directors from time to time. The current share ownership guidelines provide that non-employee directors of the Company must:</w:t>
      </w:r>
    </w:p>
    <w:p>
      <w:pPr>
        <w:spacing w:after="0" w:line="175" w:lineRule="exact"/>
        <w:rPr>
          <w:sz w:val="20"/>
          <w:szCs w:val="20"/>
          <w:color w:val="auto"/>
        </w:rPr>
      </w:pPr>
    </w:p>
    <w:p>
      <w:pPr>
        <w:ind w:left="660" w:right="20" w:hanging="328"/>
        <w:spacing w:after="0" w:line="251" w:lineRule="auto"/>
        <w:tabs>
          <w:tab w:leader="none" w:pos="88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at least 9,000 shares of Company common stock. For this purpose, deferred shares or deferred restricted stock units will be deemed held, to the extent vested.</w:t>
      </w:r>
    </w:p>
    <w:p>
      <w:pPr>
        <w:ind w:left="660" w:hanging="328"/>
        <w:spacing w:after="0" w:line="239" w:lineRule="auto"/>
        <w:tabs>
          <w:tab w:leader="none" w:pos="84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stock ownership level must be achieved by each non-employee director by the third (3rd) anniversary of such non-employee director’s initial appointment to the Board of Directors.</w:t>
      </w:r>
    </w:p>
    <w:p>
      <w:pPr>
        <w:spacing w:after="0" w:line="1" w:lineRule="exact"/>
        <w:rPr>
          <w:rFonts w:ascii="Times New Roman" w:cs="Times New Roman" w:eastAsia="Times New Roman" w:hAnsi="Times New Roman"/>
          <w:sz w:val="20"/>
          <w:szCs w:val="20"/>
          <w:color w:val="auto"/>
        </w:rPr>
      </w:pPr>
    </w:p>
    <w:p>
      <w:pPr>
        <w:ind w:left="660" w:hanging="328"/>
        <w:spacing w:after="0" w:line="239" w:lineRule="auto"/>
        <w:tabs>
          <w:tab w:leader="none" w:pos="61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achieved, ownership of the guideline amount should be maintained for so long as the non-employee director retains his or her seat on the Board of Directors.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79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recorded $57.1 million, $52.3 million and $45.8 million of compensation expense relating to stock options, restricted stock awards and restricted stock units during the years ended December 31, 2018, 2017 and 2016, respectively.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excess tax benefit realized for tax deductions from non-qualified stock option exercises, disqualifying dispositions of incentive stock options and vesting of restricted stock units for the years ended December 31, 2018, 2017 and 2016 was $8.5 million, $96.7 million and $20.8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through December 31, 2018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252"/>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5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2018</w:t>
            </w: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00" w:type="dxa"/>
            <w:vAlign w:val="bottom"/>
          </w:tcPr>
          <w:p>
            <w:pPr>
              <w:spacing w:after="0"/>
              <w:rPr>
                <w:sz w:val="21"/>
                <w:szCs w:val="21"/>
                <w:color w:val="auto"/>
              </w:rPr>
            </w:pPr>
          </w:p>
        </w:tc>
        <w:tc>
          <w:tcPr>
            <w:tcW w:w="15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200"/>
        </w:trPr>
        <w:tc>
          <w:tcPr>
            <w:tcW w:w="2900" w:type="dxa"/>
            <w:vAlign w:val="bottom"/>
            <w:vMerge w:val="continue"/>
          </w:tcPr>
          <w:p>
            <w:pPr>
              <w:spacing w:after="0"/>
              <w:rPr>
                <w:sz w:val="17"/>
                <w:szCs w:val="17"/>
                <w:color w:val="auto"/>
              </w:rPr>
            </w:pPr>
          </w:p>
        </w:tc>
        <w:tc>
          <w:tcPr>
            <w:tcW w:w="15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240" w:type="dxa"/>
            <w:vAlign w:val="bottom"/>
          </w:tcPr>
          <w:p>
            <w:pPr>
              <w:spacing w:after="0"/>
              <w:rPr>
                <w:sz w:val="17"/>
                <w:szCs w:val="17"/>
                <w:color w:val="auto"/>
              </w:rPr>
            </w:pPr>
          </w:p>
        </w:tc>
        <w:tc>
          <w:tcPr>
            <w:tcW w:w="1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200" w:type="dxa"/>
            <w:vAlign w:val="bottom"/>
          </w:tcPr>
          <w:p>
            <w:pPr>
              <w:spacing w:after="0"/>
              <w:rPr>
                <w:sz w:val="17"/>
                <w:szCs w:val="17"/>
                <w:color w:val="auto"/>
              </w:rPr>
            </w:pPr>
          </w:p>
        </w:tc>
        <w:tc>
          <w:tcPr>
            <w:tcW w:w="15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34.7 %</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36.5 %</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36.2 %</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2.81 %</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2.11 %</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1.57 %</w:t>
            </w:r>
          </w:p>
        </w:tc>
        <w:tc>
          <w:tcPr>
            <w:tcW w:w="0" w:type="dxa"/>
            <w:vAlign w:val="bottom"/>
          </w:tcPr>
          <w:p>
            <w:pPr>
              <w:spacing w:after="0"/>
              <w:rPr>
                <w:sz w:val="1"/>
                <w:szCs w:val="1"/>
                <w:color w:val="auto"/>
              </w:rPr>
            </w:pPr>
          </w:p>
        </w:tc>
      </w:tr>
      <w:tr>
        <w:trPr>
          <w:trHeight w:val="258"/>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82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6.0 Years</w:t>
            </w: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6.1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 Years</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 volatility.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is based on the most recent volatility of the stock price over a period of time equivalent to the expected term of the option.</w:t>
      </w:r>
    </w:p>
    <w:p>
      <w:pPr>
        <w:spacing w:after="0" w:line="152"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 coupon yield curve in effect at the time of grant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expected term of the option.</w:t>
      </w:r>
    </w:p>
    <w:p>
      <w:pPr>
        <w:spacing w:after="0" w:line="152"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 options are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Weighted-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Weighted-</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Average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Average</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Remaining</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rPr>
              <w:t>Exercise</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Contractual</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Shares (In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Price Per</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Term (In</w:t>
            </w:r>
          </w:p>
        </w:tc>
        <w:tc>
          <w:tcPr>
            <w:tcW w:w="280" w:type="dxa"/>
            <w:vAlign w:val="bottom"/>
          </w:tcPr>
          <w:p>
            <w:pPr>
              <w:spacing w:after="0"/>
              <w:rPr>
                <w:sz w:val="19"/>
                <w:szCs w:val="19"/>
                <w:color w:val="auto"/>
              </w:rPr>
            </w:pPr>
          </w:p>
        </w:tc>
        <w:tc>
          <w:tcPr>
            <w:tcW w:w="12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Aggregate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3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Options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rPr>
              <w:t>Share</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years)</w:t>
            </w:r>
          </w:p>
        </w:tc>
        <w:tc>
          <w:tcPr>
            <w:tcW w:w="14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Intrinsic Value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January 1, 2018</w:t>
            </w:r>
          </w:p>
        </w:tc>
        <w:tc>
          <w:tcPr>
            <w:tcW w:w="280" w:type="dxa"/>
            <w:vAlign w:val="bottom"/>
          </w:tcPr>
          <w:p>
            <w:pPr>
              <w:spacing w:after="0"/>
              <w:rPr>
                <w:sz w:val="17"/>
                <w:szCs w:val="17"/>
                <w:color w:val="auto"/>
              </w:rPr>
            </w:pPr>
          </w:p>
        </w:tc>
        <w:tc>
          <w:tcPr>
            <w:tcW w:w="1260" w:type="dxa"/>
            <w:vAlign w:val="bottom"/>
            <w:tcBorders>
              <w:top w:val="single" w:sz="8" w:color="auto"/>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17,819</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29.62</w:t>
            </w:r>
          </w:p>
        </w:tc>
        <w:tc>
          <w:tcPr>
            <w:tcW w:w="280" w:type="dxa"/>
            <w:vAlign w:val="bottom"/>
          </w:tcPr>
          <w:p>
            <w:pPr>
              <w:spacing w:after="0"/>
              <w:rPr>
                <w:sz w:val="17"/>
                <w:szCs w:val="17"/>
                <w:color w:val="auto"/>
              </w:rPr>
            </w:pPr>
          </w:p>
        </w:tc>
        <w:tc>
          <w:tcPr>
            <w:tcW w:w="124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600,032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01/01/18 - 03/31/18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2,615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58.76</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04/01/18 - 06/30/18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51.72</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07/01/18 - 09/30/18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58.77</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10/01/18 - 12/31/18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55.91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19.20</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Cancelled or 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45.22</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2018</w:t>
            </w: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34.61</w:t>
            </w:r>
          </w:p>
        </w:tc>
        <w:tc>
          <w:tcPr>
            <w:tcW w:w="280" w:type="dxa"/>
            <w:vAlign w:val="bottom"/>
            <w:vMerge w:val="restart"/>
          </w:tcPr>
          <w:p>
            <w:pPr>
              <w:spacing w:after="0" w:line="20" w:lineRule="exact"/>
              <w:rPr>
                <w:sz w:val="1"/>
                <w:szCs w:val="1"/>
                <w:color w:val="auto"/>
              </w:rPr>
            </w:pP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5.8</w:t>
            </w:r>
          </w:p>
        </w:tc>
        <w:tc>
          <w:tcPr>
            <w:tcW w:w="280" w:type="dxa"/>
            <w:vAlign w:val="bottom"/>
            <w:vMerge w:val="restart"/>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303,627</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20" w:type="dxa"/>
            <w:vAlign w:val="bottom"/>
            <w:gridSpan w:val="3"/>
            <w:vMerge w:val="continue"/>
          </w:tcPr>
          <w:p>
            <w:pPr>
              <w:spacing w:after="0"/>
              <w:rPr>
                <w:sz w:val="17"/>
                <w:szCs w:val="17"/>
                <w:color w:val="auto"/>
              </w:rPr>
            </w:pPr>
          </w:p>
        </w:tc>
        <w:tc>
          <w:tcPr>
            <w:tcW w:w="1260" w:type="dxa"/>
            <w:vAlign w:val="bottom"/>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18,890</w:t>
            </w:r>
          </w:p>
        </w:tc>
        <w:tc>
          <w:tcPr>
            <w:tcW w:w="5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Vested and expected to vest in the future at December 31, 2018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18,052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33.83</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301,723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Exercisable at December 31, 2018</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23.10</w:t>
            </w:r>
          </w:p>
        </w:tc>
        <w:tc>
          <w:tcPr>
            <w:tcW w:w="28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272,636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and exercisable at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20"/>
                <w:szCs w:val="20"/>
                <w:color w:val="auto"/>
              </w:rPr>
              <w:t>Options Outstanding</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20"/>
                <w:szCs w:val="20"/>
                <w:color w:val="auto"/>
              </w:rPr>
              <w:t>Options Exercisable</w:t>
            </w:r>
          </w:p>
        </w:tc>
      </w:tr>
      <w:tr>
        <w:trPr>
          <w:trHeight w:val="241"/>
        </w:trPr>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Weighted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Average</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7"/>
              </w:rPr>
              <w:t>Weighted</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7"/>
              </w:rPr>
              <w:t>Weighted</w:t>
            </w:r>
          </w:p>
        </w:tc>
      </w:tr>
      <w:tr>
        <w:trPr>
          <w:trHeight w:val="230"/>
        </w:trPr>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Remaining</w:t>
            </w:r>
          </w:p>
        </w:tc>
        <w:tc>
          <w:tcPr>
            <w:tcW w:w="200" w:type="dxa"/>
            <w:vAlign w:val="bottom"/>
          </w:tcPr>
          <w:p>
            <w:pPr>
              <w:spacing w:after="0"/>
              <w:rPr>
                <w:sz w:val="19"/>
                <w:szCs w:val="19"/>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Exercisable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7"/>
              </w:rPr>
              <w:t>Average</w:t>
            </w:r>
          </w:p>
        </w:tc>
      </w:tr>
      <w:tr>
        <w:trPr>
          <w:trHeight w:val="230"/>
        </w:trPr>
        <w:tc>
          <w:tcPr>
            <w:tcW w:w="3120" w:type="dxa"/>
            <w:vAlign w:val="bottom"/>
            <w:gridSpan w:val="4"/>
          </w:tcPr>
          <w:p>
            <w:pPr>
              <w:ind w:left="700"/>
              <w:spacing w:after="0"/>
              <w:rPr>
                <w:sz w:val="20"/>
                <w:szCs w:val="20"/>
                <w:color w:val="auto"/>
              </w:rPr>
            </w:pPr>
            <w:r>
              <w:rPr>
                <w:rFonts w:ascii="Times New Roman" w:cs="Times New Roman" w:eastAsia="Times New Roman" w:hAnsi="Times New Roman"/>
                <w:sz w:val="20"/>
                <w:szCs w:val="20"/>
                <w:color w:val="auto"/>
              </w:rPr>
              <w:t>Range of Exercise</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Outstanding (In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Contractual</w:t>
            </w:r>
          </w:p>
        </w:tc>
        <w:tc>
          <w:tcPr>
            <w:tcW w:w="20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Exercise</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8"/>
              </w:rPr>
              <w:t>Exercise</w:t>
            </w:r>
          </w:p>
        </w:tc>
      </w:tr>
      <w:tr>
        <w:trPr>
          <w:trHeight w:val="252"/>
        </w:trPr>
        <w:tc>
          <w:tcPr>
            <w:tcW w:w="98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Prices ($)</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5"/>
              </w:rPr>
              <w:t>Term (Years)</w:t>
            </w:r>
          </w:p>
        </w:tc>
        <w:tc>
          <w:tcPr>
            <w:tcW w:w="200" w:type="dxa"/>
            <w:vAlign w:val="bottom"/>
          </w:tcPr>
          <w:p>
            <w:pPr>
              <w:spacing w:after="0"/>
              <w:rPr>
                <w:sz w:val="21"/>
                <w:szCs w:val="21"/>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Price ($)</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7"/>
              </w:rPr>
              <w:t>Price ($)</w:t>
            </w:r>
          </w:p>
        </w:tc>
      </w:tr>
      <w:tr>
        <w:trPr>
          <w:trHeight w:val="200"/>
        </w:trPr>
        <w:tc>
          <w:tcPr>
            <w:tcW w:w="980" w:type="dxa"/>
            <w:vAlign w:val="bottom"/>
            <w:tcBorders>
              <w:top w:val="single" w:sz="8" w:color="auto"/>
            </w:tcBorders>
          </w:tcPr>
          <w:p>
            <w:pPr>
              <w:jc w:val="center"/>
              <w:ind w:left="261"/>
              <w:spacing w:after="0" w:line="200" w:lineRule="exact"/>
              <w:rPr>
                <w:sz w:val="20"/>
                <w:szCs w:val="20"/>
                <w:color w:val="auto"/>
              </w:rPr>
            </w:pPr>
            <w:r>
              <w:rPr>
                <w:rFonts w:ascii="Times New Roman" w:cs="Times New Roman" w:eastAsia="Times New Roman" w:hAnsi="Times New Roman"/>
                <w:sz w:val="20"/>
                <w:szCs w:val="20"/>
                <w:color w:val="auto"/>
              </w:rPr>
              <w:t>$5.94</w:t>
            </w:r>
          </w:p>
        </w:tc>
        <w:tc>
          <w:tcPr>
            <w:tcW w:w="920" w:type="dxa"/>
            <w:vAlign w:val="bottom"/>
            <w:tcBorders>
              <w:top w:val="single" w:sz="8" w:color="auto"/>
            </w:tcBorders>
          </w:tcPr>
          <w:p>
            <w:pPr>
              <w:jc w:val="right"/>
              <w:ind w:right="2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center"/>
              <w:ind w:right="121"/>
              <w:spacing w:after="0" w:line="200" w:lineRule="exact"/>
              <w:rPr>
                <w:sz w:val="20"/>
                <w:szCs w:val="20"/>
                <w:color w:val="auto"/>
              </w:rPr>
            </w:pPr>
            <w:r>
              <w:rPr>
                <w:rFonts w:ascii="Times New Roman" w:cs="Times New Roman" w:eastAsia="Times New Roman" w:hAnsi="Times New Roman"/>
                <w:sz w:val="20"/>
                <w:szCs w:val="20"/>
                <w:color w:val="auto"/>
                <w:w w:val="97"/>
              </w:rPr>
              <w:t>$5.94</w:t>
            </w:r>
          </w:p>
        </w:tc>
        <w:tc>
          <w:tcPr>
            <w:tcW w:w="280" w:type="dxa"/>
            <w:vAlign w:val="bottom"/>
          </w:tcPr>
          <w:p>
            <w:pPr>
              <w:spacing w:after="0"/>
              <w:rPr>
                <w:sz w:val="17"/>
                <w:szCs w:val="17"/>
                <w:color w:val="auto"/>
              </w:rPr>
            </w:pPr>
          </w:p>
        </w:tc>
        <w:tc>
          <w:tcPr>
            <w:tcW w:w="16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3,086</w:t>
            </w:r>
          </w:p>
        </w:tc>
        <w:tc>
          <w:tcPr>
            <w:tcW w:w="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0.9</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5.94</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3,086</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5.94</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rPr>
              <w:t>$6.02</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$17.99</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4.0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16.13</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16.13</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$18.64</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$23.68</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22.77</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1,970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22.71</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$36.05</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$43.64</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1,932</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7.2</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41.59</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40.41</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$43.99</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$43.99</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7.2</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43.99</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43.99</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$44.73</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$45.01</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7.1</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44.94</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44.94</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$45.16</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$45.16</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45.16</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45.16</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$45.55</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$55.20</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8.4</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48.24</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46.81</w:t>
            </w:r>
          </w:p>
        </w:tc>
      </w:tr>
      <w:tr>
        <w:trPr>
          <w:trHeight w:val="230"/>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$56.08</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$57.36</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9.6</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57.16</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56.08</w:t>
            </w:r>
          </w:p>
        </w:tc>
      </w:tr>
      <w:tr>
        <w:trPr>
          <w:trHeight w:val="252"/>
        </w:trPr>
        <w:tc>
          <w:tcPr>
            <w:tcW w:w="98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8"/>
              </w:rPr>
              <w:t>$58.73</w:t>
            </w: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$67.93</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2,610</w:t>
            </w:r>
          </w:p>
        </w:tc>
        <w:tc>
          <w:tcPr>
            <w:tcW w:w="1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9.1</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58.89</w:t>
            </w:r>
          </w:p>
        </w:tc>
        <w:tc>
          <w:tcPr>
            <w:tcW w:w="2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62.92</w:t>
            </w:r>
          </w:p>
        </w:tc>
      </w:tr>
      <w:tr>
        <w:trPr>
          <w:trHeight w:val="223"/>
        </w:trPr>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18,890</w:t>
            </w:r>
          </w:p>
        </w:tc>
        <w:tc>
          <w:tcPr>
            <w:tcW w:w="60" w:type="dxa"/>
            <w:vAlign w:val="bottom"/>
            <w:tcBorders>
              <w:top w:val="single" w:sz="8" w:color="auto"/>
              <w:bottom w:val="single" w:sz="8" w:color="auto"/>
            </w:tcBorders>
          </w:tcPr>
          <w:p>
            <w:pPr>
              <w:spacing w:after="0"/>
              <w:rPr>
                <w:sz w:val="19"/>
                <w:szCs w:val="19"/>
                <w:color w:val="auto"/>
              </w:rPr>
            </w:pPr>
          </w:p>
        </w:tc>
        <w:tc>
          <w:tcPr>
            <w:tcW w:w="1900" w:type="dxa"/>
            <w:vAlign w:val="bottom"/>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280" w:type="dxa"/>
            <w:vAlign w:val="bottom"/>
          </w:tcPr>
          <w:p>
            <w:pPr>
              <w:spacing w:after="0"/>
              <w:rPr>
                <w:sz w:val="19"/>
                <w:szCs w:val="19"/>
                <w:color w:val="auto"/>
              </w:rPr>
            </w:pP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34.61</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10,432</w:t>
            </w:r>
          </w:p>
        </w:tc>
        <w:tc>
          <w:tcPr>
            <w:tcW w:w="5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23.10</w:t>
            </w:r>
          </w:p>
        </w:tc>
      </w:tr>
      <w:tr>
        <w:trPr>
          <w:trHeight w:val="20"/>
        </w:trPr>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2018, 2017 and 2016 was $22.37 per share, $18.29 per share and $16.90 per share, respectively. The total intrinsic value of options exercised during the years ended December 31, 2018, 2017 and 2016 was $56.8 million, $285.8 million and $70.6 million, respectively.</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years ended December 31, 2018, 2017 and 2016 was $25.9 million, $52.6 million and $16.4 million, respectively.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December 31, 2018, there was $98.7 million of total unrecognized compensation expense related to non-vested options granted to employees under the Company’s share-based payment plans. That cost is expected to be recognized over a weighted-average period of 2.6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Units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Stock-based compensation cost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units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4"/>
              </w:rPr>
              <w:t>Average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Shares (in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Grant-Date</w:t>
            </w:r>
          </w:p>
        </w:tc>
        <w:tc>
          <w:tcPr>
            <w:tcW w:w="0" w:type="dxa"/>
            <w:vAlign w:val="bottom"/>
          </w:tcPr>
          <w:p>
            <w:pPr>
              <w:spacing w:after="0"/>
              <w:rPr>
                <w:sz w:val="1"/>
                <w:szCs w:val="1"/>
                <w:color w:val="auto"/>
              </w:rPr>
            </w:pPr>
          </w:p>
        </w:tc>
      </w:tr>
      <w:tr>
        <w:trPr>
          <w:trHeight w:val="252"/>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January 1, 2018</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Fair Value</w:t>
            </w:r>
          </w:p>
        </w:tc>
        <w:tc>
          <w:tcPr>
            <w:tcW w:w="0" w:type="dxa"/>
            <w:vAlign w:val="bottom"/>
          </w:tcPr>
          <w:p>
            <w:pPr>
              <w:spacing w:after="0"/>
              <w:rPr>
                <w:sz w:val="1"/>
                <w:szCs w:val="1"/>
                <w:color w:val="auto"/>
              </w:rPr>
            </w:pPr>
          </w:p>
        </w:tc>
      </w:tr>
      <w:tr>
        <w:trPr>
          <w:trHeight w:val="241"/>
        </w:trPr>
        <w:tc>
          <w:tcPr>
            <w:tcW w:w="3620" w:type="dxa"/>
            <w:vAlign w:val="bottom"/>
            <w:vMerge w:val="continue"/>
          </w:tcPr>
          <w:p>
            <w:pPr>
              <w:spacing w:after="0"/>
              <w:rPr>
                <w:sz w:val="20"/>
                <w:szCs w:val="20"/>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530</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45.09</w:t>
            </w:r>
          </w:p>
        </w:tc>
        <w:tc>
          <w:tcPr>
            <w:tcW w:w="0" w:type="dxa"/>
            <w:vAlign w:val="bottom"/>
          </w:tcPr>
          <w:p>
            <w:pPr>
              <w:spacing w:after="0"/>
              <w:rPr>
                <w:sz w:val="1"/>
                <w:szCs w:val="1"/>
                <w:color w:val="auto"/>
              </w:rPr>
            </w:pPr>
          </w:p>
        </w:tc>
      </w:tr>
      <w:tr>
        <w:trPr>
          <w:trHeight w:val="257"/>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Granted 01/01/18- 03/31/18</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58.75</w:t>
            </w:r>
          </w:p>
        </w:tc>
        <w:tc>
          <w:tcPr>
            <w:tcW w:w="0" w:type="dxa"/>
            <w:vAlign w:val="bottom"/>
          </w:tcPr>
          <w:p>
            <w:pPr>
              <w:spacing w:after="0"/>
              <w:rPr>
                <w:sz w:val="1"/>
                <w:szCs w:val="1"/>
                <w:color w:val="auto"/>
              </w:rPr>
            </w:pPr>
          </w:p>
        </w:tc>
      </w:tr>
      <w:tr>
        <w:trPr>
          <w:trHeight w:val="257"/>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Granted 04/01/18- 06/30/18</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52.31</w:t>
            </w:r>
          </w:p>
        </w:tc>
        <w:tc>
          <w:tcPr>
            <w:tcW w:w="0" w:type="dxa"/>
            <w:vAlign w:val="bottom"/>
          </w:tcPr>
          <w:p>
            <w:pPr>
              <w:spacing w:after="0"/>
              <w:rPr>
                <w:sz w:val="1"/>
                <w:szCs w:val="1"/>
                <w:color w:val="auto"/>
              </w:rPr>
            </w:pPr>
          </w:p>
        </w:tc>
      </w:tr>
      <w:tr>
        <w:trPr>
          <w:trHeight w:val="257"/>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Granted 07/01/18- 09/30/18</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58.72</w:t>
            </w:r>
          </w:p>
        </w:tc>
        <w:tc>
          <w:tcPr>
            <w:tcW w:w="0" w:type="dxa"/>
            <w:vAlign w:val="bottom"/>
          </w:tcPr>
          <w:p>
            <w:pPr>
              <w:spacing w:after="0"/>
              <w:rPr>
                <w:sz w:val="1"/>
                <w:szCs w:val="1"/>
                <w:color w:val="auto"/>
              </w:rPr>
            </w:pPr>
          </w:p>
        </w:tc>
      </w:tr>
      <w:tr>
        <w:trPr>
          <w:trHeight w:val="257"/>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Granted 10/01/18- 12/31/18</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56.19</w:t>
            </w:r>
          </w:p>
        </w:tc>
        <w:tc>
          <w:tcPr>
            <w:tcW w:w="0" w:type="dxa"/>
            <w:vAlign w:val="bottom"/>
          </w:tcPr>
          <w:p>
            <w:pPr>
              <w:spacing w:after="0"/>
              <w:rPr>
                <w:sz w:val="1"/>
                <w:szCs w:val="1"/>
                <w:color w:val="auto"/>
              </w:rPr>
            </w:pPr>
          </w:p>
        </w:tc>
      </w:tr>
      <w:tr>
        <w:trPr>
          <w:trHeight w:val="257"/>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45.26</w:t>
            </w:r>
          </w:p>
        </w:tc>
        <w:tc>
          <w:tcPr>
            <w:tcW w:w="0" w:type="dxa"/>
            <w:vAlign w:val="bottom"/>
          </w:tcPr>
          <w:p>
            <w:pPr>
              <w:spacing w:after="0"/>
              <w:rPr>
                <w:sz w:val="1"/>
                <w:szCs w:val="1"/>
                <w:color w:val="auto"/>
              </w:rPr>
            </w:pPr>
          </w:p>
        </w:tc>
      </w:tr>
      <w:tr>
        <w:trPr>
          <w:trHeight w:val="259"/>
        </w:trPr>
        <w:tc>
          <w:tcPr>
            <w:tcW w:w="36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Forfeited/cancelled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33.60</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2018</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51.55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40" w:firstLine="648"/>
        <w:spacing w:after="0" w:line="296" w:lineRule="auto"/>
        <w:rPr>
          <w:sz w:val="20"/>
          <w:szCs w:val="20"/>
          <w:color w:val="auto"/>
        </w:rPr>
      </w:pPr>
      <w:r>
        <w:rPr>
          <w:rFonts w:ascii="Times New Roman" w:cs="Times New Roman" w:eastAsia="Times New Roman" w:hAnsi="Times New Roman"/>
          <w:sz w:val="19"/>
          <w:szCs w:val="19"/>
          <w:color w:val="auto"/>
        </w:rPr>
        <w:t>The weighted-average grant-date fair value of restricted stock units granted during the years ended December 31, 2018, 2017 and 2016 was $57.59, $46.74 and $44.71 per share, respectively. As of December 31, 2018, 0.5 million of restricted stock units are expected to vest.</w:t>
      </w:r>
    </w:p>
    <w:p>
      <w:pPr>
        <w:spacing w:after="0" w:line="136" w:lineRule="exact"/>
        <w:rPr>
          <w:sz w:val="20"/>
          <w:szCs w:val="20"/>
          <w:color w:val="auto"/>
        </w:rPr>
      </w:pPr>
    </w:p>
    <w:p>
      <w:pPr>
        <w:jc w:val="both"/>
        <w:ind w:right="60" w:firstLine="648"/>
        <w:spacing w:after="0" w:line="269" w:lineRule="auto"/>
        <w:rPr>
          <w:sz w:val="20"/>
          <w:szCs w:val="20"/>
          <w:color w:val="auto"/>
        </w:rPr>
      </w:pPr>
      <w:r>
        <w:rPr>
          <w:rFonts w:ascii="Times New Roman" w:cs="Times New Roman" w:eastAsia="Times New Roman" w:hAnsi="Times New Roman"/>
          <w:sz w:val="20"/>
          <w:szCs w:val="20"/>
          <w:color w:val="auto"/>
        </w:rPr>
        <w:t>At December 31, 2018, total unrecognized compensation expense relating to non-vested restricted stock units was $15.7 million, which is expected to be recognized over a weighted-average period of 1.6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and Non-Employee Share-Based Compensation Expense</w:t>
      </w:r>
    </w:p>
    <w:p>
      <w:pPr>
        <w:spacing w:after="0" w:line="220" w:lineRule="exact"/>
        <w:rPr>
          <w:sz w:val="20"/>
          <w:szCs w:val="20"/>
          <w:color w:val="auto"/>
        </w:rPr>
      </w:pPr>
    </w:p>
    <w:p>
      <w:pPr>
        <w:jc w:val="both"/>
        <w:ind w:right="40" w:firstLine="648"/>
        <w:spacing w:after="0" w:line="243" w:lineRule="auto"/>
        <w:rPr>
          <w:sz w:val="20"/>
          <w:szCs w:val="20"/>
          <w:color w:val="auto"/>
        </w:rPr>
      </w:pPr>
      <w:r>
        <w:rPr>
          <w:rFonts w:ascii="Times New Roman" w:cs="Times New Roman" w:eastAsia="Times New Roman" w:hAnsi="Times New Roman"/>
          <w:sz w:val="20"/>
          <w:szCs w:val="20"/>
          <w:color w:val="auto"/>
        </w:rPr>
        <w:t>The table below shows the amounts recognized in the consolidated financial statements for the years ended December 31, 2018, 2017 and 2016 for share-based compensation related to employees and non-employees. Employee and non-employee share-based compensation expense of $57.1 million for the year ended December 31, 2018 is comprised of $10.0 million relating to incentive stock options and $47.1 million relating to non-qualified stock options and restricted units. Employee and non-employee share-based compensation expense of $52.3 million for the year ended December 31, 2017 is comprised of $8.7 million relating to incentive stock options and $43.6 million relating to non-qualified stock options and restricted units. Employee and non-employee share-based compensation expense of $45.8 million for the year ended December 31, 2016 is comprised of $8.0 million relating to incentive stock options and $37.8 million relating to non-qualified stock options and restricted units.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9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8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57,111</w:t>
            </w:r>
          </w:p>
        </w:tc>
        <w:tc>
          <w:tcPr>
            <w:tcW w:w="280" w:type="dxa"/>
            <w:vAlign w:val="bottom"/>
          </w:tcPr>
          <w:p>
            <w:pPr>
              <w:spacing w:after="0"/>
              <w:rPr>
                <w:sz w:val="17"/>
                <w:szCs w:val="17"/>
                <w:color w:val="auto"/>
              </w:rPr>
            </w:pP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52,282</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45,848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employee and non-employee share-based</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84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compensation expense included in income, before</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income tax</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57,111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52,282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Less: Amount of income tax benefit recognized in</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earnings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 charged against net income</w:t>
            </w:r>
          </w:p>
        </w:tc>
        <w:tc>
          <w:tcPr>
            <w:tcW w:w="19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42,219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(48,353)</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20" w:type="dxa"/>
            <w:vAlign w:val="bottom"/>
            <w:vMerge w:val="restart"/>
          </w:tcPr>
          <w:p>
            <w:pPr>
              <w:jc w:val="right"/>
              <w:ind w:right="839"/>
              <w:spacing w:after="0"/>
              <w:rPr>
                <w:sz w:val="20"/>
                <w:szCs w:val="20"/>
                <w:color w:val="auto"/>
              </w:rPr>
            </w:pPr>
            <w:r>
              <w:rPr>
                <w:rFonts w:ascii="Times New Roman" w:cs="Times New Roman" w:eastAsia="Times New Roman" w:hAnsi="Times New Roman"/>
                <w:sz w:val="16"/>
                <w:szCs w:val="16"/>
                <w:color w:val="auto"/>
              </w:rPr>
              <w:t>105</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Reform Act. A company may select between one of three scenarios to determine a reasonable estimate for certain income tax effects arising from the Tax Reform Act. Those scenarios are (i) a final estimate which effectively closes the measurement window; (ii) a reasonable estimate leaving the measurement window open for future revisions; and (iii) no estimate as the law is still being analyzed. The Company was able to provide a reasonable estimate for the revaluation of deferred taxes and the effects of the toll charge on undistributed foreign subsidiary earnings and profits (“E&amp;P”). As a result of the reduction in the U.S. corporate income tax rate from 35% to 21% under the Tax Reform Act, the Company revalued its net deferred tax assets at December 31, 2017, resulting in a provisional $39.8 million charge included in the provision for income taxes for the year ended December 31, 2017. The Tax Reform Act also provided for a one-time deemed mandatory repatriation of post-1986 E&amp;P through the year ended December 31, 2017. As a result, the Company recognized a provisional $2.1 million charge in the provision for income taxes for the year ended December 31, 2017 related to such deemed mandatory repatriation. The Company completed its analysis of the Tax Reform Act during 2018 and adjusted the 2017 provisional estimate to the final amounts in accordance with Staff Accounting Bulletin No. 118.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measurement window begins in the reporting period that includes the enactment date and ends when an entity has obtained, prepared and analyzed the information needed in order to complete the accounting requirements under ASC 740. </w:t>
      </w:r>
      <w:r>
        <w:rPr>
          <w:rFonts w:ascii="Times New Roman" w:cs="Times New Roman" w:eastAsia="Times New Roman" w:hAnsi="Times New Roman"/>
          <w:sz w:val="19"/>
          <w:szCs w:val="19"/>
          <w:color w:val="auto"/>
        </w:rPr>
        <w:t>For the year ended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December 31, 2018, the Company made an adjustment to the provisional amount and recognized an additional $1.8 million provision for income tax related to the deemed mandatory repatriation.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not made additional measurement window adjustments to these items during the year ended December 31, 2018.</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domestic and foreign components of the Company’s income before provision for income taxes are as follows:</w:t>
      </w:r>
    </w:p>
    <w:p>
      <w:pPr>
        <w:spacing w:after="0" w:line="21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Domestic*</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color w:val="auto"/>
              </w:rPr>
              <w:t>2018</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color w:val="auto"/>
              </w:rPr>
              <w:t>2017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color w:val="auto"/>
              </w:rPr>
              <w:t>2016</w:t>
            </w: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34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1,100,487</w:t>
            </w:r>
          </w:p>
        </w:tc>
        <w:tc>
          <w:tcPr>
            <w:tcW w:w="300" w:type="dxa"/>
            <w:vAlign w:val="bottom"/>
          </w:tcPr>
          <w:p>
            <w:pPr>
              <w:spacing w:after="0"/>
              <w:rPr>
                <w:sz w:val="15"/>
                <w:szCs w:val="15"/>
                <w:color w:val="auto"/>
              </w:rPr>
            </w:pPr>
          </w:p>
        </w:tc>
        <w:tc>
          <w:tcPr>
            <w:tcW w:w="34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1,062,713</w:t>
            </w:r>
          </w:p>
        </w:tc>
        <w:tc>
          <w:tcPr>
            <w:tcW w:w="280" w:type="dxa"/>
            <w:vAlign w:val="bottom"/>
          </w:tcPr>
          <w:p>
            <w:pPr>
              <w:spacing w:after="0"/>
              <w:rPr>
                <w:sz w:val="15"/>
                <w:szCs w:val="15"/>
                <w:color w:val="auto"/>
              </w:rPr>
            </w:pPr>
          </w:p>
        </w:tc>
        <w:tc>
          <w:tcPr>
            <w:tcW w:w="36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1,029,763</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Foreign*</w:t>
            </w:r>
          </w:p>
        </w:tc>
        <w:tc>
          <w:tcPr>
            <w:tcW w:w="3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192,785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138,910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49,922</w:t>
            </w:r>
          </w:p>
        </w:tc>
        <w:tc>
          <w:tcPr>
            <w:tcW w:w="0" w:type="dxa"/>
            <w:vAlign w:val="bottom"/>
          </w:tcPr>
          <w:p>
            <w:pPr>
              <w:spacing w:after="0"/>
              <w:rPr>
                <w:sz w:val="1"/>
                <w:szCs w:val="1"/>
                <w:color w:val="auto"/>
              </w:rPr>
            </w:pPr>
          </w:p>
        </w:tc>
      </w:tr>
      <w:tr>
        <w:trPr>
          <w:trHeight w:val="26"/>
        </w:trPr>
        <w:tc>
          <w:tcPr>
            <w:tcW w:w="5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Income before provision for income taxes</w:t>
            </w: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1,293,272</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1,201,623</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1,079,685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*After intercompany royalties, management fees and interest charges from the Company’s domestic to foreign entities of $40.5 million, $42.5 million and $25.6 million for the years ended December 31, 2018, 2017 and 2016,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provision for income taxes are as follows: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36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Current:</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2017</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2016</w:t>
            </w:r>
          </w:p>
        </w:tc>
        <w:tc>
          <w:tcPr>
            <w:tcW w:w="0" w:type="dxa"/>
            <w:vAlign w:val="bottom"/>
          </w:tcPr>
          <w:p>
            <w:pPr>
              <w:spacing w:after="0"/>
              <w:rPr>
                <w:sz w:val="1"/>
                <w:szCs w:val="1"/>
                <w:color w:val="auto"/>
              </w:rPr>
            </w:pPr>
          </w:p>
        </w:tc>
      </w:tr>
      <w:tr>
        <w:trPr>
          <w:trHeight w:val="213"/>
        </w:trPr>
        <w:tc>
          <w:tcPr>
            <w:tcW w:w="3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Federal</w:t>
            </w:r>
          </w:p>
        </w:tc>
        <w:tc>
          <w:tcPr>
            <w:tcW w:w="36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209,147</w:t>
            </w:r>
          </w:p>
        </w:tc>
        <w:tc>
          <w:tcPr>
            <w:tcW w:w="280" w:type="dxa"/>
            <w:vAlign w:val="bottom"/>
          </w:tcPr>
          <w:p>
            <w:pPr>
              <w:spacing w:after="0"/>
              <w:rPr>
                <w:sz w:val="21"/>
                <w:szCs w:val="21"/>
                <w:color w:val="auto"/>
              </w:rPr>
            </w:pPr>
          </w:p>
        </w:tc>
        <w:tc>
          <w:tcPr>
            <w:tcW w:w="3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243,127</w:t>
            </w:r>
          </w:p>
        </w:tc>
        <w:tc>
          <w:tcPr>
            <w:tcW w:w="260" w:type="dxa"/>
            <w:vAlign w:val="bottom"/>
          </w:tcPr>
          <w:p>
            <w:pPr>
              <w:spacing w:after="0"/>
              <w:rPr>
                <w:sz w:val="21"/>
                <w:szCs w:val="21"/>
                <w:color w:val="auto"/>
              </w:rPr>
            </w:pPr>
          </w:p>
        </w:tc>
        <w:tc>
          <w:tcPr>
            <w:tcW w:w="3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212,283</w:t>
            </w:r>
          </w:p>
        </w:tc>
        <w:tc>
          <w:tcPr>
            <w:tcW w:w="0" w:type="dxa"/>
            <w:vAlign w:val="bottom"/>
          </w:tcPr>
          <w:p>
            <w:pPr>
              <w:spacing w:after="0"/>
              <w:rPr>
                <w:sz w:val="1"/>
                <w:szCs w:val="1"/>
                <w:color w:val="auto"/>
              </w:rPr>
            </w:pPr>
          </w:p>
        </w:tc>
      </w:tr>
      <w:tr>
        <w:trPr>
          <w:trHeight w:val="243"/>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State</w:t>
            </w:r>
          </w:p>
        </w:tc>
        <w:tc>
          <w:tcPr>
            <w:tcW w:w="36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41,934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43,252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35,756</w:t>
            </w:r>
          </w:p>
        </w:tc>
        <w:tc>
          <w:tcPr>
            <w:tcW w:w="0" w:type="dxa"/>
            <w:vAlign w:val="bottom"/>
          </w:tcPr>
          <w:p>
            <w:pPr>
              <w:spacing w:after="0"/>
              <w:rPr>
                <w:sz w:val="1"/>
                <w:szCs w:val="1"/>
                <w:color w:val="auto"/>
              </w:rPr>
            </w:pPr>
          </w:p>
        </w:tc>
      </w:tr>
      <w:tr>
        <w:trPr>
          <w:trHeight w:val="250"/>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Foreign</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42,541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27,522</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17,171</w:t>
            </w:r>
          </w:p>
        </w:tc>
        <w:tc>
          <w:tcPr>
            <w:tcW w:w="0" w:type="dxa"/>
            <w:vAlign w:val="bottom"/>
          </w:tcPr>
          <w:p>
            <w:pPr>
              <w:spacing w:after="0"/>
              <w:rPr>
                <w:sz w:val="1"/>
                <w:szCs w:val="1"/>
                <w:color w:val="auto"/>
              </w:rPr>
            </w:pPr>
          </w:p>
        </w:tc>
      </w:tr>
      <w:tr>
        <w:trPr>
          <w:trHeight w:val="244"/>
        </w:trPr>
        <w:tc>
          <w:tcPr>
            <w:tcW w:w="3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293,622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313,901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265,210</w:t>
            </w:r>
          </w:p>
        </w:tc>
        <w:tc>
          <w:tcPr>
            <w:tcW w:w="0" w:type="dxa"/>
            <w:vAlign w:val="bottom"/>
          </w:tcPr>
          <w:p>
            <w:pPr>
              <w:spacing w:after="0"/>
              <w:rPr>
                <w:sz w:val="1"/>
                <w:szCs w:val="1"/>
                <w:color w:val="auto"/>
              </w:rPr>
            </w:pPr>
          </w:p>
        </w:tc>
      </w:tr>
      <w:tr>
        <w:trPr>
          <w:trHeight w:val="485"/>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Federal</w:t>
            </w:r>
          </w:p>
        </w:tc>
        <w:tc>
          <w:tcPr>
            <w:tcW w:w="36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9,804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61,797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87,360</w:t>
            </w:r>
          </w:p>
        </w:tc>
        <w:tc>
          <w:tcPr>
            <w:tcW w:w="0" w:type="dxa"/>
            <w:vAlign w:val="bottom"/>
          </w:tcPr>
          <w:p>
            <w:pPr>
              <w:spacing w:after="0"/>
              <w:rPr>
                <w:sz w:val="1"/>
                <w:szCs w:val="1"/>
                <w:color w:val="auto"/>
              </w:rPr>
            </w:pPr>
          </w:p>
        </w:tc>
      </w:tr>
      <w:tr>
        <w:trPr>
          <w:trHeight w:val="243"/>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State</w:t>
            </w:r>
          </w:p>
        </w:tc>
        <w:tc>
          <w:tcPr>
            <w:tcW w:w="36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1,644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3,062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15,254</w:t>
            </w:r>
          </w:p>
        </w:tc>
        <w:tc>
          <w:tcPr>
            <w:tcW w:w="0" w:type="dxa"/>
            <w:vAlign w:val="bottom"/>
          </w:tcPr>
          <w:p>
            <w:pPr>
              <w:spacing w:after="0"/>
              <w:rPr>
                <w:sz w:val="1"/>
                <w:szCs w:val="1"/>
                <w:color w:val="auto"/>
              </w:rPr>
            </w:pPr>
          </w:p>
        </w:tc>
      </w:tr>
      <w:tr>
        <w:trPr>
          <w:trHeight w:val="250"/>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Foreign</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(8,778)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(4,579)</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(9,709)</w:t>
            </w:r>
          </w:p>
        </w:tc>
        <w:tc>
          <w:tcPr>
            <w:tcW w:w="0" w:type="dxa"/>
            <w:vAlign w:val="bottom"/>
          </w:tcPr>
          <w:p>
            <w:pPr>
              <w:spacing w:after="0"/>
              <w:rPr>
                <w:sz w:val="1"/>
                <w:szCs w:val="1"/>
                <w:color w:val="auto"/>
              </w:rPr>
            </w:pPr>
          </w:p>
        </w:tc>
      </w:tr>
      <w:tr>
        <w:trPr>
          <w:trHeight w:val="244"/>
        </w:trPr>
        <w:tc>
          <w:tcPr>
            <w:tcW w:w="3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2,670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60,280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92,905</w:t>
            </w:r>
          </w:p>
        </w:tc>
        <w:tc>
          <w:tcPr>
            <w:tcW w:w="0" w:type="dxa"/>
            <w:vAlign w:val="bottom"/>
          </w:tcPr>
          <w:p>
            <w:pPr>
              <w:spacing w:after="0"/>
              <w:rPr>
                <w:sz w:val="1"/>
                <w:szCs w:val="1"/>
                <w:color w:val="auto"/>
              </w:rPr>
            </w:pPr>
          </w:p>
        </w:tc>
      </w:tr>
      <w:tr>
        <w:trPr>
          <w:trHeight w:val="479"/>
        </w:trPr>
        <w:tc>
          <w:tcPr>
            <w:tcW w:w="36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Valuation allowance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3,976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6,764</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8,885</w:t>
            </w:r>
          </w:p>
        </w:tc>
        <w:tc>
          <w:tcPr>
            <w:tcW w:w="0" w:type="dxa"/>
            <w:vAlign w:val="bottom"/>
          </w:tcPr>
          <w:p>
            <w:pPr>
              <w:spacing w:after="0"/>
              <w:rPr>
                <w:sz w:val="1"/>
                <w:szCs w:val="1"/>
                <w:color w:val="auto"/>
              </w:rPr>
            </w:pPr>
          </w:p>
        </w:tc>
      </w:tr>
      <w:tr>
        <w:trPr>
          <w:trHeight w:val="242"/>
        </w:trPr>
        <w:tc>
          <w:tcPr>
            <w:tcW w:w="3680" w:type="dxa"/>
            <w:vAlign w:val="bottom"/>
          </w:tcPr>
          <w:p>
            <w:pPr>
              <w:spacing w:after="0"/>
              <w:rPr>
                <w:sz w:val="21"/>
                <w:szCs w:val="21"/>
                <w:color w:val="auto"/>
              </w:rPr>
            </w:pPr>
          </w:p>
        </w:tc>
        <w:tc>
          <w:tcPr>
            <w:tcW w:w="3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300,268</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380,945</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367,000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total provision for income taxes after applying the U.S. federal statutory rate of 21% for 2018 and 35% for 2017 and 2016 to income before provision for income taxes to the reported provision for income taxes are as follows:</w:t>
      </w:r>
    </w:p>
    <w:p>
      <w:pPr>
        <w:spacing w:after="0" w:line="16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U.S. Federal tax expense at statutory rates</w:t>
            </w:r>
          </w:p>
        </w:tc>
        <w:tc>
          <w:tcPr>
            <w:tcW w:w="1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9"/>
                <w:szCs w:val="19"/>
                <w:color w:val="auto"/>
              </w:rPr>
              <w:t>2016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271,587</w:t>
            </w:r>
          </w:p>
        </w:tc>
        <w:tc>
          <w:tcPr>
            <w:tcW w:w="280" w:type="dxa"/>
            <w:vAlign w:val="bottom"/>
          </w:tcPr>
          <w:p>
            <w:pPr>
              <w:spacing w:after="0"/>
              <w:rPr>
                <w:sz w:val="15"/>
                <w:szCs w:val="15"/>
                <w:color w:val="auto"/>
              </w:rPr>
            </w:pPr>
          </w:p>
        </w:tc>
        <w:tc>
          <w:tcPr>
            <w:tcW w:w="34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420,568</w:t>
            </w:r>
          </w:p>
        </w:tc>
        <w:tc>
          <w:tcPr>
            <w:tcW w:w="280" w:type="dxa"/>
            <w:vAlign w:val="bottom"/>
          </w:tcPr>
          <w:p>
            <w:pPr>
              <w:spacing w:after="0"/>
              <w:rPr>
                <w:sz w:val="15"/>
                <w:szCs w:val="15"/>
                <w:color w:val="auto"/>
              </w:rPr>
            </w:pPr>
          </w:p>
        </w:tc>
        <w:tc>
          <w:tcPr>
            <w:tcW w:w="34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377,599</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State income taxes, net of federal tax benefit</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36,312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27,569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33,148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Permanent differences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3,606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10,356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954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Stock based compensation</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(370)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(79,687)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(13,654)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Domestic production deduction</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(22,229)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(21,447)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Deferred tax asset reduction (Tax Reform Act)</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39,763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Other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(8,438)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3,736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(8,765)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Foreign rate differential</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(6,405)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(25,895)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(9,720)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w:t>
            </w:r>
          </w:p>
        </w:tc>
        <w:tc>
          <w:tcPr>
            <w:tcW w:w="14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3,976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6,764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8,885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300,268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380,945</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367,000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107</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5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Major components of the Company’s deferred tax assets (liabilities) at December 31, 2018 and 2017 are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2018</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87"/>
        </w:trPr>
        <w:tc>
          <w:tcPr>
            <w:tcW w:w="8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sales returns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137</w:t>
            </w:r>
          </w:p>
        </w:tc>
        <w:tc>
          <w:tcPr>
            <w:tcW w:w="2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inventory obsolescence</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522</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marketing development fund</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4,666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6,360</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Capitalization of inventory costs</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1,598</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franchise tax - current</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2,050</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compensation</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1,473</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other liabilities</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5,276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3,917</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revenue</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87,573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93,321</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25,439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21,119</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28,030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28,965</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Prepaid supplies</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7,476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7,273</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Termination payments</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71,918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70,637</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on intercompany transfer</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6,793</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deferred tax assets</w:t>
            </w: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11,010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3,449</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248,808</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247,636</w:t>
            </w:r>
          </w:p>
        </w:tc>
        <w:tc>
          <w:tcPr>
            <w:tcW w:w="0" w:type="dxa"/>
            <w:vAlign w:val="bottom"/>
          </w:tcPr>
          <w:p>
            <w:pPr>
              <w:spacing w:after="0"/>
              <w:rPr>
                <w:sz w:val="1"/>
                <w:szCs w:val="1"/>
                <w:color w:val="auto"/>
              </w:rPr>
            </w:pPr>
          </w:p>
        </w:tc>
      </w:tr>
      <w:tr>
        <w:trPr>
          <w:trHeight w:val="416"/>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of trademarks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(31,445)</w:t>
            </w:r>
          </w:p>
        </w:tc>
        <w:tc>
          <w:tcPr>
            <w:tcW w:w="2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(21,657)</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Intangibles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(84,867)</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franchise tax - deferred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(7,617)</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deferred tax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Depreciation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(126,304)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(122,463)</w:t>
            </w:r>
          </w:p>
        </w:tc>
        <w:tc>
          <w:tcPr>
            <w:tcW w:w="0" w:type="dxa"/>
            <w:vAlign w:val="bottom"/>
          </w:tcPr>
          <w:p>
            <w:pPr>
              <w:spacing w:after="0"/>
              <w:rPr>
                <w:sz w:val="1"/>
                <w:szCs w:val="1"/>
                <w:color w:val="auto"/>
              </w:rPr>
            </w:pPr>
          </w:p>
        </w:tc>
      </w:tr>
      <w:tr>
        <w:trPr>
          <w:trHeight w:val="445"/>
        </w:trPr>
        <w:tc>
          <w:tcPr>
            <w:tcW w:w="8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Valuation Allowance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(32,840)</w:t>
            </w:r>
          </w:p>
        </w:tc>
        <w:tc>
          <w:tcPr>
            <w:tcW w:w="0" w:type="dxa"/>
            <w:vAlign w:val="bottom"/>
          </w:tcPr>
          <w:p>
            <w:pPr>
              <w:spacing w:after="0"/>
              <w:rPr>
                <w:sz w:val="1"/>
                <w:szCs w:val="1"/>
                <w:color w:val="auto"/>
              </w:rPr>
            </w:pPr>
          </w:p>
        </w:tc>
      </w:tr>
      <w:tr>
        <w:trPr>
          <w:trHeight w:val="210"/>
        </w:trPr>
        <w:tc>
          <w:tcPr>
            <w:tcW w:w="846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Net deferred tax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85,688</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92,333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During the years ended December 31, 2018, 2017 and 2016,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increase the Company’s provision for income taxes by $4.0 million, $6.8 million and $8.9 million for the years ended December 31, 2018, 2017 and 2016, respectively. At December 31, 2018, the Company had net operating loss carryforwards of approximately $102.6 million. Of this amount, $74.7 million may be carried forward indefinitely. The remaining $27.9 million of net operating loss carryforwards will begin to expire in 2019.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years ended December 31, 2018, 2017 and 2016:</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w w:val="99"/>
              </w:rPr>
              <w:t>Gross Unrealized Tax</w:t>
            </w:r>
          </w:p>
        </w:tc>
        <w:tc>
          <w:tcPr>
            <w:tcW w:w="0" w:type="dxa"/>
            <w:vAlign w:val="bottom"/>
          </w:tcPr>
          <w:p>
            <w:pPr>
              <w:spacing w:after="0"/>
              <w:rPr>
                <w:sz w:val="1"/>
                <w:szCs w:val="1"/>
                <w:color w:val="auto"/>
              </w:rPr>
            </w:pPr>
          </w:p>
        </w:tc>
      </w:tr>
      <w:tr>
        <w:trPr>
          <w:trHeight w:val="238"/>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2016</w:t>
            </w: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260" w:type="dxa"/>
            <w:vAlign w:val="bottom"/>
          </w:tcPr>
          <w:p>
            <w:pPr>
              <w:spacing w:after="0"/>
              <w:rPr>
                <w:sz w:val="19"/>
                <w:szCs w:val="19"/>
                <w:color w:val="auto"/>
              </w:rPr>
            </w:pPr>
          </w:p>
        </w:tc>
        <w:tc>
          <w:tcPr>
            <w:tcW w:w="2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260" w:type="dxa"/>
            <w:vAlign w:val="bottom"/>
          </w:tcPr>
          <w:p>
            <w:pPr>
              <w:spacing w:after="0"/>
              <w:rPr>
                <w:sz w:val="19"/>
                <w:szCs w:val="19"/>
                <w:color w:val="auto"/>
              </w:rPr>
            </w:pPr>
          </w:p>
        </w:tc>
        <w:tc>
          <w:tcPr>
            <w:tcW w:w="2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260" w:type="dxa"/>
            <w:vAlign w:val="bottom"/>
          </w:tcPr>
          <w:p>
            <w:pPr>
              <w:spacing w:after="0"/>
              <w:rPr>
                <w:sz w:val="19"/>
                <w:szCs w:val="19"/>
                <w:color w:val="auto"/>
              </w:rPr>
            </w:pPr>
          </w:p>
        </w:tc>
        <w:tc>
          <w:tcPr>
            <w:tcW w:w="2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(462)</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2016</w:t>
            </w: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right"/>
              <w:ind w:right="2"/>
              <w:spacing w:after="0" w:line="18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260" w:type="dxa"/>
            <w:vAlign w:val="bottom"/>
          </w:tcPr>
          <w:p>
            <w:pPr>
              <w:spacing w:after="0"/>
              <w:rPr>
                <w:sz w:val="19"/>
                <w:szCs w:val="19"/>
                <w:color w:val="auto"/>
              </w:rPr>
            </w:pPr>
          </w:p>
        </w:tc>
        <w:tc>
          <w:tcPr>
            <w:tcW w:w="2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6,540</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260" w:type="dxa"/>
            <w:vAlign w:val="bottom"/>
          </w:tcPr>
          <w:p>
            <w:pPr>
              <w:spacing w:after="0"/>
              <w:rPr>
                <w:sz w:val="19"/>
                <w:szCs w:val="19"/>
                <w:color w:val="auto"/>
              </w:rPr>
            </w:pPr>
          </w:p>
        </w:tc>
        <w:tc>
          <w:tcPr>
            <w:tcW w:w="2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2017</w:t>
            </w: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6,540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right"/>
              <w:ind w:right="2"/>
              <w:spacing w:after="0" w:line="18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260" w:type="dxa"/>
            <w:vAlign w:val="bottom"/>
          </w:tcPr>
          <w:p>
            <w:pPr>
              <w:spacing w:after="0"/>
              <w:rPr>
                <w:sz w:val="19"/>
                <w:szCs w:val="19"/>
                <w:color w:val="auto"/>
              </w:rPr>
            </w:pPr>
          </w:p>
        </w:tc>
        <w:tc>
          <w:tcPr>
            <w:tcW w:w="2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1,159</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260" w:type="dxa"/>
            <w:vAlign w:val="bottom"/>
          </w:tcPr>
          <w:p>
            <w:pPr>
              <w:spacing w:after="0"/>
              <w:rPr>
                <w:sz w:val="19"/>
                <w:szCs w:val="19"/>
                <w:color w:val="auto"/>
              </w:rPr>
            </w:pPr>
          </w:p>
        </w:tc>
        <w:tc>
          <w:tcPr>
            <w:tcW w:w="2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(2,664)</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2018</w:t>
            </w: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5,035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consolidated financial statements. As of December 31, 2018, the Company had accrued approximately $0.9 million in interest and penalties related to unrecognized tax benefits. If the Company were to prevail on all uncertain tax positions it would not have a significant impact on the Company’s effective tax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expected that the amount of unrecognized tax benefit change within the next 12 months will not be significant.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is in various stages of examination with certain states and certain foreign jurisdictions. The Company’s 2014 through 2017 U.S. federal income tax returns are subject to examination by the IRS. The Company’s state income tax returns are subject to examination for the 2013 through 2017 tax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 average shares used in the basic and diluted earnings per common share computations for the years ended December 31, 2018, 2017 and 2016 is presented below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2018</w:t>
            </w: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87"/>
        </w:trPr>
        <w:tc>
          <w:tcPr>
            <w:tcW w:w="596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Basic</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557,166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566,782</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587,874</w:t>
            </w:r>
          </w:p>
        </w:tc>
        <w:tc>
          <w:tcPr>
            <w:tcW w:w="0" w:type="dxa"/>
            <w:vAlign w:val="bottom"/>
          </w:tcPr>
          <w:p>
            <w:pPr>
              <w:spacing w:after="0"/>
              <w:rPr>
                <w:sz w:val="1"/>
                <w:szCs w:val="1"/>
                <w:color w:val="auto"/>
              </w:rPr>
            </w:pPr>
          </w:p>
        </w:tc>
      </w:tr>
      <w:tr>
        <w:trPr>
          <w:trHeight w:val="230"/>
        </w:trPr>
        <w:tc>
          <w:tcPr>
            <w:tcW w:w="59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Dilutive securities</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7,088</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10,359</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11,945</w:t>
            </w:r>
          </w:p>
        </w:tc>
        <w:tc>
          <w:tcPr>
            <w:tcW w:w="0" w:type="dxa"/>
            <w:vAlign w:val="bottom"/>
          </w:tcPr>
          <w:p>
            <w:pPr>
              <w:spacing w:after="0"/>
              <w:rPr>
                <w:sz w:val="1"/>
                <w:szCs w:val="1"/>
                <w:color w:val="auto"/>
              </w:rPr>
            </w:pPr>
          </w:p>
        </w:tc>
      </w:tr>
      <w:tr>
        <w:trPr>
          <w:trHeight w:val="23"/>
        </w:trPr>
        <w:tc>
          <w:tcPr>
            <w:tcW w:w="59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3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564,254</w:t>
            </w: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577,141</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599,819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2018, 2017 and 2016, options and awards outstanding totaling 3.2 million shares, 7.9 million shares and 5.7 million shares, respectively, were excluded from the calculations as their effect would have been antidilutive.</w:t>
      </w:r>
    </w:p>
    <w:p>
      <w:pPr>
        <w:spacing w:after="0" w:line="160" w:lineRule="exact"/>
        <w:rPr>
          <w:sz w:val="20"/>
          <w:szCs w:val="20"/>
          <w:color w:val="auto"/>
        </w:rPr>
      </w:pPr>
    </w:p>
    <w:p>
      <w:pPr>
        <w:ind w:left="600" w:hanging="592"/>
        <w:spacing w:after="0"/>
        <w:tabs>
          <w:tab w:leader="none" w:pos="6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50% of the employee contribution, up to 6% of each employee’s earnings, which vest 25% each year for four years after the first anniversary date. Matching contributions were $2.9 million, $2.5 million and $2.0 million for the years ended December 31, 2018, 2017 and 2016, respectively.</w:t>
      </w:r>
    </w:p>
    <w:p>
      <w:pPr>
        <w:spacing w:after="0" w:line="181"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three operating and reportable segments, (i) Monster Energy® Drinks segment, which is primarily comprised of the Company’s Monster Energy® drinks, (ii) Strategic Brands segment, which is primarily comprised of the various energy drink brands acquired from TCCC in 2015 as well as the Company’s Predator® energy drinks, and (iii) Other segment, which is comprised of certain products sold by AFF, a wholly-owned subsidiary of the Company, to independent third-party customers.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Monster Energy® Drinks segment generates net operating revenues by selling ready-to-drink packaged drinks primarily to bottlers and full service beverage distributors. In some cases, the Company sells directly to retail grocery and specialty chains, wholesalers, club stores, drug stores, mass merchandisers, convenience chains, foodservice customers and the military.</w:t>
      </w:r>
    </w:p>
    <w:p>
      <w:pPr>
        <w:spacing w:after="0" w:line="175" w:lineRule="exact"/>
        <w:rPr>
          <w:sz w:val="20"/>
          <w:szCs w:val="20"/>
          <w:color w:val="auto"/>
        </w:rPr>
      </w:pPr>
    </w:p>
    <w:p>
      <w:pPr>
        <w:jc w:val="both"/>
        <w:ind w:firstLine="695"/>
        <w:spacing w:after="0" w:line="245"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and the military. To a lesser extent, the Company’s Strategic Brands segment generates net operating revenues by selling ready-to-drink packaged energy drinks to bottlers and full service beverage distributors.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margins than the Strategic Brands segment.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and unallocated.” No asset information, other than goodwill and other intangible assets, has been provided for in the Company’s reportable segments as management does not measure or allocate such assets on a segment basis.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2018, 2017 and 2016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2018</w:t>
            </w: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3,498,427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3,047,596</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2,759,862</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299,844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272,520</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17,011</w:t>
            </w:r>
          </w:p>
        </w:tc>
        <w:tc>
          <w:tcPr>
            <w:tcW w:w="0" w:type="dxa"/>
            <w:vAlign w:val="bottom"/>
          </w:tcPr>
          <w:p>
            <w:pPr>
              <w:spacing w:after="0"/>
              <w:rPr>
                <w:sz w:val="1"/>
                <w:szCs w:val="1"/>
                <w:color w:val="auto"/>
              </w:rPr>
            </w:pPr>
          </w:p>
        </w:tc>
      </w:tr>
      <w:tr>
        <w:trPr>
          <w:trHeight w:val="252"/>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3,807,183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3,369,045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 (2)</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1,371,062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1,264,579</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1,148,427</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174,458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163,121</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5,583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2,295</w:t>
            </w:r>
          </w:p>
        </w:tc>
        <w:tc>
          <w:tcPr>
            <w:tcW w:w="0" w:type="dxa"/>
            <w:vAlign w:val="bottom"/>
          </w:tcPr>
          <w:p>
            <w:pPr>
              <w:spacing w:after="0"/>
              <w:rPr>
                <w:sz w:val="1"/>
                <w:szCs w:val="1"/>
                <w:color w:val="auto"/>
              </w:rPr>
            </w:pPr>
          </w:p>
        </w:tc>
      </w:tr>
      <w:tr>
        <w:trPr>
          <w:trHeight w:val="252"/>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(269,325)</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(245,833)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(228,505)</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1,283,619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1,198,787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1,085,338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tax:</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 (2)</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1,372,001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1,264,555</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1,148,640</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176,540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174,442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163,084</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5,583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2,295</w:t>
            </w:r>
          </w:p>
        </w:tc>
        <w:tc>
          <w:tcPr>
            <w:tcW w:w="0" w:type="dxa"/>
            <w:vAlign w:val="bottom"/>
          </w:tcPr>
          <w:p>
            <w:pPr>
              <w:spacing w:after="0"/>
              <w:rPr>
                <w:sz w:val="1"/>
                <w:szCs w:val="1"/>
                <w:color w:val="auto"/>
              </w:rPr>
            </w:pPr>
          </w:p>
        </w:tc>
      </w:tr>
      <w:tr>
        <w:trPr>
          <w:trHeight w:val="252"/>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(260,631)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(242,957)</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(234,334)</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1,293,272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1,201,623</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1,079,685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80" w:hanging="213"/>
        <w:spacing w:after="0"/>
        <w:tabs>
          <w:tab w:leader="none" w:pos="480"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$44.3 million, $43.4 million and $40.3 million for the years ended December 31, 2018, 2017 and 2016, respectively, related to the recognition of deferred revenue.</w:t>
      </w:r>
    </w:p>
    <w:p>
      <w:pPr>
        <w:spacing w:after="0" w:line="203" w:lineRule="exact"/>
        <w:rPr>
          <w:rFonts w:ascii="Times New Roman" w:cs="Times New Roman" w:eastAsia="Times New Roman" w:hAnsi="Times New Roman"/>
          <w:sz w:val="14"/>
          <w:szCs w:val="14"/>
          <w:i w:val="1"/>
          <w:iCs w:val="1"/>
          <w:color w:val="auto"/>
        </w:rPr>
      </w:pPr>
    </w:p>
    <w:p>
      <w:pPr>
        <w:ind w:left="480" w:hanging="213"/>
        <w:spacing w:after="0"/>
        <w:tabs>
          <w:tab w:leader="none" w:pos="480"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$26.6 million, $35.4 million and $79.8 million for the years ended December 31, 2018, 2017 and 2016, respectively, related to distributor termination costs.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87"/>
        </w:trPr>
        <w:tc>
          <w:tcPr>
            <w:tcW w:w="3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36,387</w:t>
            </w:r>
          </w:p>
        </w:tc>
        <w:tc>
          <w:tcPr>
            <w:tcW w:w="28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29,591</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24,048</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Stategic Brands</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7,774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7,443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7,113</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3,457</w:t>
            </w:r>
          </w:p>
        </w:tc>
        <w:tc>
          <w:tcPr>
            <w:tcW w:w="0" w:type="dxa"/>
            <w:vAlign w:val="bottom"/>
          </w:tcPr>
          <w:p>
            <w:pPr>
              <w:spacing w:after="0"/>
              <w:rPr>
                <w:sz w:val="1"/>
                <w:szCs w:val="1"/>
                <w:color w:val="auto"/>
              </w:rPr>
            </w:pPr>
          </w:p>
        </w:tc>
      </w:tr>
      <w:tr>
        <w:trPr>
          <w:trHeight w:val="252"/>
        </w:trPr>
        <w:tc>
          <w:tcPr>
            <w:tcW w:w="3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8,161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7,245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6,227</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56,979</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48,887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40,845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$269.3 million for the year ended December 31, 2018 and included $174.9 million of payroll costs, of which $57.1 million was attributable to stock-based compensation expense (See Note 14, “Stock-Based Compensation”), $53.6 million of professional service expenses, including accounting and legal costs, $6.0 million of insurance costs and $34.8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$245.8 million for the year ended December 31, 2017 and included $156.3 million of payroll costs, of which $52.3 million was attributable to stock-based compensation expense (See Note 14, “Stock-Based Compensation”), $51.8 million of professional service expenses, including accounting and legal costs, $6.0 million of insurance costs and $31.7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$228.5 million for the year ended December 31, 2016 and included $128.0 million of payroll costs, of which $45.8 million was attributable to stock-based compensation expense (See Note 14, “Stock-Based Compensation”), $66.3 million of professional service expenses, including accounting and legal costs, $6.0 million of insurance costs and $28.2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through the TCCC Subsidiaries, accounted for approximately 3%, 18% and 41% of the Company’s net sales for the years ended December 31, 2018, 2017 and 2016, respectively. As part of the North America Refranchising, the territories of certain TCCC Subsidiaries have been transitioned to certain independent/non wholly-owned TCCC bottlers/distributors. Accordingly, the Company’s percentage of net sales classified as sales to the TCCC Subsidiaries decreased for the years ended December 31, 2018 and 2017.</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13% and 9%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6% and 2% of the Company’s net sales for the years ended December 31, 2018, 2017 and 2016, respectively.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10%, 9% and 9% of the Company’s net sales for the years ended December 31, 2018, 2017 and 2016,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Net sales to customers outside the United States amounted to $1.09 billion, $909.3 million and $733.7 million for the years ended</w:t>
      </w:r>
    </w:p>
    <w:p>
      <w:pPr>
        <w:spacing w:after="0" w:line="21"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0"/>
          <w:szCs w:val="20"/>
          <w:color w:val="auto"/>
        </w:rPr>
        <w:t>December 31, 2018, 2017 and 2016, respectively.</w:t>
        <w:tab/>
        <w:t>Such sales were approximately 29%, 27% and 24% of net sales for the years ended</w:t>
      </w:r>
    </w:p>
    <w:p>
      <w:pPr>
        <w:spacing w:after="0"/>
        <w:rPr>
          <w:sz w:val="20"/>
          <w:szCs w:val="20"/>
          <w:color w:val="auto"/>
        </w:rPr>
      </w:pPr>
      <w:r>
        <w:rPr>
          <w:rFonts w:ascii="Times New Roman" w:cs="Times New Roman" w:eastAsia="Times New Roman" w:hAnsi="Times New Roman"/>
          <w:sz w:val="20"/>
          <w:szCs w:val="20"/>
          <w:color w:val="auto"/>
        </w:rPr>
        <w:t>December 31, 2018, 2017 and 2016,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Goodwill and other intangible assets for the Company’s reportable segments as of December 31, 2018 and 2017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 w:type="dxa"/>
            <w:vAlign w:val="bottom"/>
          </w:tcPr>
          <w:p>
            <w:pPr>
              <w:spacing w:after="0"/>
              <w:rPr>
                <w:sz w:val="21"/>
                <w:szCs w:val="21"/>
                <w:color w:val="auto"/>
              </w:rPr>
            </w:pPr>
          </w:p>
        </w:tc>
        <w:tc>
          <w:tcPr>
            <w:tcW w:w="460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2018</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6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Monster Energy® Drinks</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1,368,620</w:t>
            </w:r>
          </w:p>
        </w:tc>
        <w:tc>
          <w:tcPr>
            <w:tcW w:w="22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1,346,648</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6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Strategic Brands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989,944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995,582</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6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18,957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23,498</w:t>
            </w:r>
          </w:p>
        </w:tc>
        <w:tc>
          <w:tcPr>
            <w:tcW w:w="0" w:type="dxa"/>
            <w:vAlign w:val="bottom"/>
          </w:tcPr>
          <w:p>
            <w:pPr>
              <w:spacing w:after="0"/>
              <w:rPr>
                <w:sz w:val="1"/>
                <w:szCs w:val="1"/>
                <w:color w:val="auto"/>
              </w:rPr>
            </w:pPr>
          </w:p>
        </w:tc>
      </w:tr>
      <w:tr>
        <w:trPr>
          <w:trHeight w:val="252"/>
        </w:trPr>
        <w:tc>
          <w:tcPr>
            <w:tcW w:w="440" w:type="dxa"/>
            <w:vAlign w:val="bottom"/>
          </w:tcPr>
          <w:p>
            <w:pPr>
              <w:spacing w:after="0"/>
              <w:rPr>
                <w:sz w:val="21"/>
                <w:szCs w:val="21"/>
                <w:color w:val="auto"/>
              </w:rPr>
            </w:pPr>
          </w:p>
        </w:tc>
        <w:tc>
          <w:tcPr>
            <w:tcW w:w="46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2,377,521</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2,365,728</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w w:val="95"/>
              </w:rPr>
              <w:t>19.</w:t>
            </w:r>
          </w:p>
        </w:tc>
        <w:tc>
          <w:tcPr>
            <w:tcW w:w="4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RELATED PARTY TRANSACTIONS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40" w:type="dxa"/>
            <w:vAlign w:val="bottom"/>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controls approximately 19% of the voting interests of the Company. The TCCC Subsidiaries, the TCCC Related Parties and the TCCC Independent Bottlers, purchase and distribute certain of the Company’s products in certain domestic and international markets. The Company also pays TCCC a commission based on certain sales within the TCCC distribution network.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2018 were $48.0 million, and are included as a reduction to net sales. TCCC commissions, based on sales to the TCCC Independent Bottlers for the year ended December 31, 2018 were $14.8 million, and are included in operating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commissions, based on sales to the TCCC Subsidiaries, for the year ended December 31, 2017 were $9.8 million, and are included as a reduction to net sales. TCCC commissions, based on sales to the TCCC Related Parties and the TCCC Independent Bottlers, for the year ended December 31, 2017 were $45.0 million, and are included in operating expenses.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Upon adoption of ASC 606, commissions paid to TCCC, based on sales to the TCCC Related Parties, are included as a reduction to net sales. Prior to January 1, 2018, such commissions, based on sales to the TCCC Related Parties, were included in operating expenses.</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to the TCCC Subsidiaries for the years ended December 31, 2018 and 2017 were $132.5 million and $594.1 million, respectively. As part of the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year ended December 31, 2018.</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purchases concentrates from TCCC which are then sold to certain of the Company’s bottlers/distributors. Concentrate purchases from TCCC were $27.5 million, $26.2 million and $26.2 million for the years ended December 31, 2018, 2017 and 2016, respectively.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Certain TCCC Subsidiaries also contract manufacture certain of the Company’s Monster Energy® brand energy drinks. Such contract manufacturing expenses were $22.8 million, $11.8 million and $9.6 million for the years ended December 31, 2018, 2017 and 2016,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Accounts receivable, accounts payable and accrued promotional allowances related to the TCCC Subsidiaries are as follows at:</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December 31,</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December 31,</w:t>
            </w:r>
          </w:p>
        </w:tc>
      </w:tr>
      <w:tr>
        <w:trPr>
          <w:trHeight w:val="252"/>
        </w:trPr>
        <w:tc>
          <w:tcPr>
            <w:tcW w:w="4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2018</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2017</w:t>
            </w:r>
          </w:p>
        </w:tc>
      </w:tr>
      <w:tr>
        <w:trPr>
          <w:trHeight w:val="416"/>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25,312</w:t>
            </w:r>
          </w:p>
        </w:tc>
        <w:tc>
          <w:tcPr>
            <w:tcW w:w="20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32,607</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(54,430)</w:t>
            </w:r>
          </w:p>
        </w:tc>
        <w:tc>
          <w:tcPr>
            <w:tcW w:w="20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(45,465)</w:t>
            </w:r>
          </w:p>
        </w:tc>
      </w:tr>
      <w:tr>
        <w:trPr>
          <w:trHeight w:val="258"/>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Accrued promotional allowances</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w:t>
            </w:r>
          </w:p>
        </w:tc>
        <w:tc>
          <w:tcPr>
            <w:tcW w:w="200" w:type="dxa"/>
            <w:vAlign w:val="bottom"/>
          </w:tcPr>
          <w:p>
            <w:pPr>
              <w:spacing w:after="0"/>
              <w:rPr>
                <w:sz w:val="22"/>
                <w:szCs w:val="22"/>
                <w:color w:val="auto"/>
              </w:rPr>
            </w:pP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(5,884)</w:t>
            </w:r>
          </w:p>
        </w:tc>
      </w:tr>
    </w:tbl>
    <w:p>
      <w:pPr>
        <w:spacing w:after="0" w:line="200" w:lineRule="exact"/>
        <w:rPr>
          <w:sz w:val="20"/>
          <w:szCs w:val="20"/>
          <w:color w:val="auto"/>
        </w:rPr>
      </w:pPr>
    </w:p>
    <w:p>
      <w:pPr>
        <w:spacing w:after="0" w:line="20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2018, 2017 and 2016 were $1.8 million, $2.2 million and $1.5 million, respectively.</w:t>
      </w:r>
    </w:p>
    <w:p>
      <w:pPr>
        <w:spacing w:after="0" w:line="175"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In December 2018, the Company and a director of the Company entered into a 50-50 partnership that purchased land in Kona, Hawaii for the purpose producing coffee products. The Company’s $1.9 million 50% contribution is accounted for as an equity investment and is included in other long-term assets in the accompanying consolidated balance sheet at December 31, 2018.</w:t>
      </w:r>
    </w:p>
    <w:p>
      <w:pPr>
        <w:spacing w:after="0" w:line="175"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EVENTS</w:t>
      </w:r>
    </w:p>
    <w:p>
      <w:pPr>
        <w:spacing w:after="0" w:line="216"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On February 26, 2019, the Company’s Board of Directors authorized a new share repurchase program for the purchase of up to $500.0 million of the Company’s outstanding common stock. As of February 26, 2019 $20.6 million remained available for grant under the August 2018 Repurchase Plan. The aggregate amount available to repurchase the Company’s common stock is currently $520.6 million.</w:t>
      </w:r>
    </w:p>
    <w:p>
      <w:pPr>
        <w:spacing w:after="0" w:line="175"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FINANCIAL DATA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right"/>
              <w:ind w:right="161"/>
              <w:spacing w:after="0"/>
              <w:rPr>
                <w:sz w:val="20"/>
                <w:szCs w:val="20"/>
                <w:color w:val="auto"/>
              </w:rPr>
            </w:pPr>
            <w:r>
              <w:rPr>
                <w:rFonts w:ascii="Times New Roman" w:cs="Times New Roman" w:eastAsia="Times New Roman" w:hAnsi="Times New Roman"/>
                <w:sz w:val="20"/>
                <w:szCs w:val="20"/>
                <w:color w:val="auto"/>
              </w:rPr>
              <w:t>Net Income per Common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Net Sales</w:t>
            </w:r>
          </w:p>
        </w:tc>
        <w:tc>
          <w:tcPr>
            <w:tcW w:w="200" w:type="dxa"/>
            <w:vAlign w:val="bottom"/>
          </w:tcPr>
          <w:p>
            <w:pPr>
              <w:spacing w:after="0"/>
              <w:rPr>
                <w:sz w:val="21"/>
                <w:szCs w:val="21"/>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Pr>
          <w:p>
            <w:pPr>
              <w:spacing w:after="0"/>
              <w:rPr>
                <w:sz w:val="21"/>
                <w:szCs w:val="21"/>
                <w:color w:val="auto"/>
              </w:rPr>
            </w:pPr>
          </w:p>
        </w:tc>
        <w:tc>
          <w:tcPr>
            <w:tcW w:w="118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Share</w:t>
            </w:r>
          </w:p>
        </w:tc>
        <w:tc>
          <w:tcPr>
            <w:tcW w:w="9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2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Basic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Diluted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March 31, 2018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850,921</w:t>
            </w:r>
          </w:p>
        </w:tc>
        <w:tc>
          <w:tcPr>
            <w:tcW w:w="30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515,257</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216,050</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30, 2018</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1,015,873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620,258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270,116</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September 30, 2018</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1,016,160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607,659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267,733</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December 31, 2018</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924,229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552,201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239,105</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3,807,183</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2,295,375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993,004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March 31, 2017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742,146</w:t>
            </w:r>
          </w:p>
        </w:tc>
        <w:tc>
          <w:tcPr>
            <w:tcW w:w="30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480,874</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177,980</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30, 2017</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907,068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583,497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222,633</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September 30, 2017</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909,476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569,709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218,744</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December 31, 2017</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810,355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503,610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201,321</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0.36</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3,369,045</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2,137,690</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820,678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1001"/>
              <w:spacing w:after="0"/>
              <w:rPr>
                <w:sz w:val="20"/>
                <w:szCs w:val="20"/>
                <w:color w:val="auto"/>
              </w:rPr>
            </w:pPr>
            <w:r>
              <w:rPr>
                <w:rFonts w:ascii="Times New Roman" w:cs="Times New Roman" w:eastAsia="Times New Roman" w:hAnsi="Times New Roman"/>
                <w:sz w:val="16"/>
                <w:szCs w:val="16"/>
                <w:color w:val="auto"/>
                <w:w w:val="99"/>
              </w:rPr>
              <w:t>114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MONSTER BEVERAGE CORPORATION AND SUBSIDIARIES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II – VALUATION AND QUALIFYING ACCOUNTS</w:t>
      </w:r>
    </w:p>
    <w:p>
      <w:pPr>
        <w:spacing w:after="0"/>
        <w:rPr>
          <w:sz w:val="20"/>
          <w:szCs w:val="20"/>
          <w:color w:val="auto"/>
        </w:rPr>
      </w:pPr>
      <w:r>
        <w:rPr>
          <w:rFonts w:ascii="Times New Roman" w:cs="Times New Roman" w:eastAsia="Times New Roman" w:hAnsi="Times New Roman"/>
          <w:sz w:val="22"/>
          <w:szCs w:val="22"/>
          <w:b w:val="1"/>
          <w:bCs w:val="1"/>
          <w:color w:val="auto"/>
        </w:rPr>
        <w:t>FOR THE YEARS ENDED DECEMBER 31, 2018, 2017 AND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Certain of the figures reported above may differ from previously reported figures for individual quarters due to rounding.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color w:val="auto"/>
              </w:rPr>
              <w:t>Balance at</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color w:val="auto"/>
              </w:rPr>
              <w:t>Charged to</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Balance at</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w w:val="99"/>
              </w:rPr>
              <w:t>beginning</w:t>
            </w:r>
          </w:p>
        </w:tc>
        <w:tc>
          <w:tcPr>
            <w:tcW w:w="16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9"/>
                <w:szCs w:val="19"/>
                <w:color w:val="auto"/>
                <w:w w:val="98"/>
              </w:rPr>
              <w:t>cost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end of</w:t>
            </w:r>
          </w:p>
        </w:tc>
      </w:tr>
      <w:tr>
        <w:trPr>
          <w:trHeight w:val="242"/>
        </w:trPr>
        <w:tc>
          <w:tcPr>
            <w:tcW w:w="44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9"/>
                <w:szCs w:val="19"/>
                <w:color w:val="auto"/>
              </w:rPr>
              <w:t>Description</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of period</w:t>
            </w:r>
          </w:p>
        </w:tc>
        <w:tc>
          <w:tcPr>
            <w:tcW w:w="2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expenses</w:t>
            </w:r>
          </w:p>
        </w:tc>
        <w:tc>
          <w:tcPr>
            <w:tcW w:w="280" w:type="dxa"/>
            <w:vAlign w:val="bottom"/>
          </w:tcPr>
          <w:p>
            <w:pPr>
              <w:spacing w:after="0"/>
              <w:rPr>
                <w:sz w:val="21"/>
                <w:szCs w:val="21"/>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Deductions</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period</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Allowance for doubtful accounts, sales returns and cash discounts: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2018</w:t>
            </w:r>
          </w:p>
        </w:tc>
        <w:tc>
          <w:tcPr>
            <w:tcW w:w="26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1,105</w:t>
            </w:r>
          </w:p>
        </w:tc>
        <w:tc>
          <w:tcPr>
            <w:tcW w:w="6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7,890</w:t>
            </w:r>
          </w:p>
        </w:tc>
        <w:tc>
          <w:tcPr>
            <w:tcW w:w="6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(7,406)</w:t>
            </w:r>
          </w:p>
        </w:tc>
        <w:tc>
          <w:tcPr>
            <w:tcW w:w="62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1,589</w:t>
            </w:r>
          </w:p>
        </w:tc>
      </w:tr>
      <w:tr>
        <w:trPr>
          <w:trHeight w:val="216"/>
        </w:trPr>
        <w:tc>
          <w:tcPr>
            <w:tcW w:w="2620" w:type="dxa"/>
            <w:vAlign w:val="bottom"/>
          </w:tcPr>
          <w:p>
            <w:pPr>
              <w:jc w:val="right"/>
              <w:ind w:right="2145"/>
              <w:spacing w:after="0" w:line="216" w:lineRule="exact"/>
              <w:rPr>
                <w:sz w:val="20"/>
                <w:szCs w:val="20"/>
                <w:color w:val="auto"/>
              </w:rPr>
            </w:pPr>
            <w:r>
              <w:rPr>
                <w:rFonts w:ascii="Times New Roman" w:cs="Times New Roman" w:eastAsia="Times New Roman" w:hAnsi="Times New Roman"/>
                <w:sz w:val="19"/>
                <w:szCs w:val="19"/>
                <w:color w:val="auto"/>
                <w:w w:val="94"/>
              </w:rPr>
              <w:t>2017</w:t>
            </w:r>
          </w:p>
        </w:tc>
        <w:tc>
          <w:tcPr>
            <w:tcW w:w="2620" w:type="dxa"/>
            <w:vAlign w:val="bottom"/>
          </w:tcPr>
          <w:p>
            <w:pPr>
              <w:jc w:val="right"/>
              <w:ind w:right="2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45"/>
              <w:spacing w:after="0" w:line="216" w:lineRule="exact"/>
              <w:rPr>
                <w:sz w:val="20"/>
                <w:szCs w:val="20"/>
                <w:color w:val="auto"/>
              </w:rPr>
            </w:pPr>
            <w:r>
              <w:rPr>
                <w:rFonts w:ascii="Times New Roman" w:cs="Times New Roman" w:eastAsia="Times New Roman" w:hAnsi="Times New Roman"/>
                <w:sz w:val="19"/>
                <w:szCs w:val="19"/>
                <w:color w:val="auto"/>
              </w:rPr>
              <w:t>1,121</w:t>
            </w:r>
          </w:p>
        </w:tc>
        <w:tc>
          <w:tcPr>
            <w:tcW w:w="660" w:type="dxa"/>
            <w:vAlign w:val="bottom"/>
          </w:tcPr>
          <w:p>
            <w:pPr>
              <w:jc w:val="right"/>
              <w:ind w:right="2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145"/>
              <w:spacing w:after="0" w:line="216" w:lineRule="exact"/>
              <w:rPr>
                <w:sz w:val="20"/>
                <w:szCs w:val="20"/>
                <w:color w:val="auto"/>
              </w:rPr>
            </w:pPr>
            <w:r>
              <w:rPr>
                <w:rFonts w:ascii="Times New Roman" w:cs="Times New Roman" w:eastAsia="Times New Roman" w:hAnsi="Times New Roman"/>
                <w:sz w:val="19"/>
                <w:szCs w:val="19"/>
                <w:color w:val="auto"/>
              </w:rPr>
              <w:t>8,364</w:t>
            </w:r>
          </w:p>
        </w:tc>
        <w:tc>
          <w:tcPr>
            <w:tcW w:w="62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(8,380)</w:t>
            </w:r>
          </w:p>
        </w:tc>
        <w:tc>
          <w:tcPr>
            <w:tcW w:w="620" w:type="dxa"/>
            <w:vAlign w:val="bottom"/>
          </w:tcPr>
          <w:p>
            <w:pPr>
              <w:jc w:val="right"/>
              <w:ind w:right="2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1,105</w:t>
            </w:r>
          </w:p>
        </w:tc>
      </w:tr>
      <w:tr>
        <w:trPr>
          <w:trHeight w:val="244"/>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2016</w:t>
            </w:r>
          </w:p>
        </w:tc>
        <w:tc>
          <w:tcPr>
            <w:tcW w:w="26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1,248</w:t>
            </w:r>
          </w:p>
        </w:tc>
        <w:tc>
          <w:tcPr>
            <w:tcW w:w="66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7,389</w:t>
            </w:r>
          </w:p>
        </w:tc>
        <w:tc>
          <w:tcPr>
            <w:tcW w:w="6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(7,516)</w:t>
            </w:r>
          </w:p>
        </w:tc>
        <w:tc>
          <w:tcPr>
            <w:tcW w:w="62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1,121</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Allowance on Deferred Tax Assets and Unrecognized Tax Benefits: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2018</w:t>
            </w:r>
          </w:p>
        </w:tc>
        <w:tc>
          <w:tcPr>
            <w:tcW w:w="25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40,680</w:t>
            </w:r>
          </w:p>
        </w:tc>
        <w:tc>
          <w:tcPr>
            <w:tcW w:w="6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2,068</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ind w:right="505"/>
              <w:spacing w:after="0"/>
              <w:rPr>
                <w:sz w:val="20"/>
                <w:szCs w:val="20"/>
                <w:color w:val="auto"/>
              </w:rPr>
            </w:pPr>
            <w:r>
              <w:rPr>
                <w:rFonts w:ascii="Times New Roman" w:cs="Times New Roman" w:eastAsia="Times New Roman" w:hAnsi="Times New Roman"/>
                <w:sz w:val="19"/>
                <w:szCs w:val="19"/>
                <w:color w:val="auto"/>
              </w:rPr>
              <w:t>42,748</w:t>
            </w:r>
          </w:p>
        </w:tc>
      </w:tr>
      <w:tr>
        <w:trPr>
          <w:trHeight w:val="216"/>
        </w:trPr>
        <w:tc>
          <w:tcPr>
            <w:tcW w:w="2620" w:type="dxa"/>
            <w:vAlign w:val="bottom"/>
          </w:tcPr>
          <w:p>
            <w:pPr>
              <w:jc w:val="right"/>
              <w:ind w:right="2145"/>
              <w:spacing w:after="0" w:line="216" w:lineRule="exact"/>
              <w:rPr>
                <w:sz w:val="20"/>
                <w:szCs w:val="20"/>
                <w:color w:val="auto"/>
              </w:rPr>
            </w:pPr>
            <w:r>
              <w:rPr>
                <w:rFonts w:ascii="Times New Roman" w:cs="Times New Roman" w:eastAsia="Times New Roman" w:hAnsi="Times New Roman"/>
                <w:sz w:val="19"/>
                <w:szCs w:val="19"/>
                <w:color w:val="auto"/>
                <w:w w:val="94"/>
              </w:rPr>
              <w:t>2017</w:t>
            </w:r>
          </w:p>
        </w:tc>
        <w:tc>
          <w:tcPr>
            <w:tcW w:w="2580" w:type="dxa"/>
            <w:vAlign w:val="bottom"/>
          </w:tcPr>
          <w:p>
            <w:pPr>
              <w:jc w:val="right"/>
              <w:ind w:right="16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26,086</w:t>
            </w:r>
          </w:p>
        </w:tc>
        <w:tc>
          <w:tcPr>
            <w:tcW w:w="62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45"/>
              <w:spacing w:after="0" w:line="216" w:lineRule="exact"/>
              <w:rPr>
                <w:sz w:val="20"/>
                <w:szCs w:val="20"/>
                <w:color w:val="auto"/>
              </w:rPr>
            </w:pPr>
            <w:r>
              <w:rPr>
                <w:rFonts w:ascii="Times New Roman" w:cs="Times New Roman" w:eastAsia="Times New Roman" w:hAnsi="Times New Roman"/>
                <w:sz w:val="19"/>
                <w:szCs w:val="19"/>
                <w:color w:val="auto"/>
              </w:rPr>
              <w:t>14,594</w:t>
            </w:r>
          </w:p>
        </w:tc>
        <w:tc>
          <w:tcPr>
            <w:tcW w:w="740" w:type="dxa"/>
            <w:vAlign w:val="bottom"/>
          </w:tcPr>
          <w:p>
            <w:pPr>
              <w:jc w:val="right"/>
              <w:ind w:right="3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ind w:right="16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ind w:right="505"/>
              <w:spacing w:after="0" w:line="216" w:lineRule="exact"/>
              <w:rPr>
                <w:sz w:val="20"/>
                <w:szCs w:val="20"/>
                <w:color w:val="auto"/>
              </w:rPr>
            </w:pPr>
            <w:r>
              <w:rPr>
                <w:rFonts w:ascii="Times New Roman" w:cs="Times New Roman" w:eastAsia="Times New Roman" w:hAnsi="Times New Roman"/>
                <w:sz w:val="19"/>
                <w:szCs w:val="19"/>
                <w:color w:val="auto"/>
              </w:rPr>
              <w:t>40,680</w:t>
            </w:r>
          </w:p>
        </w:tc>
      </w:tr>
      <w:tr>
        <w:trPr>
          <w:trHeight w:val="244"/>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2016</w:t>
            </w:r>
          </w:p>
        </w:tc>
        <w:tc>
          <w:tcPr>
            <w:tcW w:w="25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17,846</w:t>
            </w:r>
          </w:p>
        </w:tc>
        <w:tc>
          <w:tcPr>
            <w:tcW w:w="6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8,240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ind w:right="505"/>
              <w:spacing w:after="0"/>
              <w:rPr>
                <w:sz w:val="20"/>
                <w:szCs w:val="20"/>
                <w:color w:val="auto"/>
              </w:rPr>
            </w:pPr>
            <w:r>
              <w:rPr>
                <w:rFonts w:ascii="Times New Roman" w:cs="Times New Roman" w:eastAsia="Times New Roman" w:hAnsi="Times New Roman"/>
                <w:sz w:val="19"/>
                <w:szCs w:val="19"/>
                <w:color w:val="auto"/>
              </w:rPr>
              <w:t>26,086</w:t>
            </w:r>
          </w:p>
        </w:tc>
      </w:tr>
      <w:tr>
        <w:trPr>
          <w:trHeight w:val="411"/>
        </w:trPr>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38"/>
        </w:trPr>
        <w:tc>
          <w:tcPr>
            <w:tcW w:w="26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61"/>
        </w:trPr>
        <w:tc>
          <w:tcPr>
            <w:tcW w:w="8420" w:type="dxa"/>
            <w:vAlign w:val="bottom"/>
          </w:tcPr>
          <w:p>
            <w:pPr>
              <w:spacing w:after="0"/>
              <w:rPr>
                <w:sz w:val="22"/>
                <w:szCs w:val="22"/>
                <w:color w:val="auto"/>
              </w:rPr>
            </w:pPr>
          </w:p>
        </w:tc>
        <w:tc>
          <w:tcPr>
            <w:tcW w:w="3040" w:type="dxa"/>
            <w:vAlign w:val="bottom"/>
          </w:tcPr>
          <w:p>
            <w:pPr>
              <w:ind w:left="1900"/>
              <w:spacing w:after="0"/>
              <w:rPr>
                <w:sz w:val="20"/>
                <w:szCs w:val="20"/>
                <w:color w:val="auto"/>
              </w:rPr>
            </w:pPr>
            <w:r>
              <w:rPr>
                <w:rFonts w:ascii="Times New Roman" w:cs="Times New Roman" w:eastAsia="Times New Roman" w:hAnsi="Times New Roman"/>
                <w:sz w:val="20"/>
                <w:szCs w:val="20"/>
                <w:b w:val="1"/>
                <w:bCs w:val="1"/>
                <w:color w:val="auto"/>
              </w:rPr>
              <w:t>EXHIBIT 21</w:t>
            </w:r>
          </w:p>
        </w:tc>
      </w:tr>
      <w:tr>
        <w:trPr>
          <w:trHeight w:val="413"/>
        </w:trPr>
        <w:tc>
          <w:tcPr>
            <w:tcW w:w="8420" w:type="dxa"/>
            <w:vAlign w:val="bottom"/>
          </w:tcPr>
          <w:p>
            <w:pPr>
              <w:jc w:val="center"/>
              <w:ind w:left="2869"/>
              <w:spacing w:after="0"/>
              <w:rPr>
                <w:sz w:val="20"/>
                <w:szCs w:val="20"/>
                <w:color w:val="auto"/>
              </w:rPr>
            </w:pPr>
            <w:r>
              <w:rPr>
                <w:rFonts w:ascii="Times New Roman" w:cs="Times New Roman" w:eastAsia="Times New Roman" w:hAnsi="Times New Roman"/>
                <w:sz w:val="20"/>
                <w:szCs w:val="20"/>
                <w:b w:val="1"/>
                <w:bCs w:val="1"/>
                <w:color w:val="auto"/>
                <w:w w:val="97"/>
              </w:rPr>
              <w:t>SUBSIDIARIES</w:t>
            </w:r>
          </w:p>
        </w:tc>
        <w:tc>
          <w:tcPr>
            <w:tcW w:w="3040" w:type="dxa"/>
            <w:vAlign w:val="bottom"/>
          </w:tcPr>
          <w:p>
            <w:pPr>
              <w:spacing w:after="0"/>
              <w:rPr>
                <w:sz w:val="24"/>
                <w:szCs w:val="24"/>
                <w:color w:val="auto"/>
              </w:rPr>
            </w:pPr>
          </w:p>
        </w:tc>
      </w:tr>
      <w:tr>
        <w:trPr>
          <w:trHeight w:val="230"/>
        </w:trPr>
        <w:tc>
          <w:tcPr>
            <w:tcW w:w="8420" w:type="dxa"/>
            <w:vAlign w:val="bottom"/>
          </w:tcPr>
          <w:p>
            <w:pPr>
              <w:jc w:val="center"/>
              <w:ind w:left="2929"/>
              <w:spacing w:after="0"/>
              <w:rPr>
                <w:sz w:val="20"/>
                <w:szCs w:val="20"/>
                <w:color w:val="auto"/>
              </w:rPr>
            </w:pPr>
            <w:r>
              <w:rPr>
                <w:rFonts w:ascii="Times New Roman" w:cs="Times New Roman" w:eastAsia="Times New Roman" w:hAnsi="Times New Roman"/>
                <w:sz w:val="20"/>
                <w:szCs w:val="20"/>
                <w:b w:val="1"/>
                <w:bCs w:val="1"/>
                <w:color w:val="auto"/>
              </w:rPr>
              <w:t>OF</w:t>
            </w:r>
          </w:p>
        </w:tc>
        <w:tc>
          <w:tcPr>
            <w:tcW w:w="3040" w:type="dxa"/>
            <w:vAlign w:val="bottom"/>
          </w:tcPr>
          <w:p>
            <w:pPr>
              <w:spacing w:after="0"/>
              <w:rPr>
                <w:sz w:val="19"/>
                <w:szCs w:val="19"/>
                <w:color w:val="auto"/>
              </w:rPr>
            </w:pPr>
          </w:p>
        </w:tc>
      </w:tr>
      <w:tr>
        <w:trPr>
          <w:trHeight w:val="262"/>
        </w:trPr>
        <w:tc>
          <w:tcPr>
            <w:tcW w:w="8420" w:type="dxa"/>
            <w:vAlign w:val="bottom"/>
          </w:tcPr>
          <w:p>
            <w:pPr>
              <w:jc w:val="center"/>
              <w:ind w:left="2909"/>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3040" w:type="dxa"/>
            <w:vAlign w:val="bottom"/>
          </w:tcPr>
          <w:p>
            <w:pPr>
              <w:spacing w:after="0"/>
              <w:rPr>
                <w:sz w:val="22"/>
                <w:szCs w:val="22"/>
                <w:color w:val="auto"/>
              </w:rPr>
            </w:pPr>
          </w:p>
        </w:tc>
      </w:tr>
      <w:tr>
        <w:trPr>
          <w:trHeight w:val="459"/>
        </w:trPr>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040" w:type="dxa"/>
            <w:vAlign w:val="bottom"/>
          </w:tcPr>
          <w:p>
            <w:pPr>
              <w:ind w:left="96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American Fruits and Flavors,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Blue Sky Natural Beverage Co.</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Australia Pty Ltd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Europe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Rus</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Russia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Fastest,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Full Throttle Energy Company</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Hansen Beverage Company</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Hansen Junior Juice Company</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Hansen Natural Corporation</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Hansen PRE,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 Management Services, S. de R.L. de C. V.</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II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III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IV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 Corona Summit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MECEB Productions,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MEC Kona I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Company</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Connecticut</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Company Peru S.R.L.</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Peru</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Argentina S.A.</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Argentina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 Pty Ltd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Austria GmbH</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Austria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Bebidas Ecuador Cia. Ltda.</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Ecuador</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(Shanghai) Co., Ltd.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Company of South Africa (Proprietary)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Brasil Comércio de Bebidas Ltda.</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Canada Ltd.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Colombia SAS</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Colombia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(Swaziland) (Proprietary)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Swaziland</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(Taiwan)</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Taiwan</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-Chile- Limitada</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Chile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Costa Rica, Limitada</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Costa Rica</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Dominican Republic, S.R.L.</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Egypt LLC</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Egypt</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Europe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France SAS</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Hong Kong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India Private Limited</w:t>
            </w:r>
          </w:p>
        </w:tc>
        <w:tc>
          <w:tcPr>
            <w:tcW w:w="3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India</w:t>
            </w:r>
          </w:p>
        </w:tc>
      </w:tr>
      <w:tr>
        <w:trPr>
          <w:trHeight w:val="361"/>
        </w:trPr>
        <w:tc>
          <w:tcPr>
            <w:tcW w:w="842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International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Israel Ltd.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Israel</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Japan Godo Kaisha</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Korea, Ltd.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Korea, South</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Mexico, S. de R.L. de C.V.</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Nigeria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Nigeria</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Pakistan (Private)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Pakistan</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PRC Holdings (HK)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Rus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Russia</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SER doo Beograd-Vracar</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Serbia</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Singapore Pte. Ltd.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Southeast Asia Sdn. Bhd.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Malaysia</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Switzerland Holding GmbH</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Trading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Trinidad Limited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Trinidad &amp; Tobago</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Ukraine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Ukraine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US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Vietnam Company Ltd.</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Vietnam</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İçecek Ticaret Limited Şirketi</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Turkey</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LDA Company</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Monster Racing, Inc.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NOS Energy Company</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Peace Tea Beverage Company</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Reign Beverage Company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Rialto Renaissance LLC</w:t>
            </w:r>
          </w:p>
        </w:tc>
        <w:tc>
          <w:tcPr>
            <w:tcW w:w="518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California</w:t>
            </w:r>
          </w:p>
        </w:tc>
      </w:tr>
      <w:tr>
        <w:trPr>
          <w:trHeight w:val="361"/>
        </w:trPr>
        <w:tc>
          <w:tcPr>
            <w:tcW w:w="62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333-218883 and No. 333-215326, Post-Effective Amendment No. 1 to Registration Statement No. 333-41333, No. 333-89123, No. 333-112482, No. 333-131467, No. 333-170713 and No. 333-174614, and Post-Effective Amendment No. 2 to Registration Statement No. 033-92526 on Form S-8 of our reports dated February 28, 2019,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8" w:name="page119"/>
    <w:bookmarkEnd w:id="118"/>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9"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16"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February 28, 2019</w:t>
            </w:r>
          </w:p>
        </w:tc>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/s/Rodney C. Sacks</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5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42"/>
        </w:trPr>
        <w:tc>
          <w:tcPr>
            <w:tcW w:w="9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119" w:name="page120"/>
    <w:bookmarkEnd w:id="119"/>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9"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16"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February 28, 2019</w:t>
            </w:r>
          </w:p>
        </w:tc>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5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42"/>
        </w:trPr>
        <w:tc>
          <w:tcPr>
            <w:tcW w:w="9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120" w:name="page121"/>
    <w:bookmarkEnd w:id="120"/>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94"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2018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60" w:hanging="304"/>
        <w:spacing w:after="0"/>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February 28, 2019</w:t>
            </w:r>
          </w:p>
        </w:tc>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42"/>
        </w:trPr>
        <w:tc>
          <w:tcPr>
            <w:tcW w:w="8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121" w:name="page122"/>
    <w:bookmarkEnd w:id="121"/>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2018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February 28, 2019</w:t>
            </w:r>
          </w:p>
        </w:tc>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42"/>
        </w:trPr>
        <w:tc>
          <w:tcPr>
            <w:tcW w:w="8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upperLetter"/>
      <w:start w:val="55"/>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decimal"/>
      <w:start w:val="951"/>
    </w:lvl>
  </w:abstractNum>
  <w:abstractNum w:abstractNumId="8">
    <w:nsid w:val="77465F01"/>
    <w:multiLevelType w:val="hybridMultilevel"/>
    <w:lvl w:ilvl="0">
      <w:lvlJc w:val="left"/>
      <w:lvlText w:val="(%1)"/>
      <w:numFmt w:val="decimal"/>
      <w:start w:val="800"/>
    </w:lvl>
  </w:abstractNum>
  <w:abstractNum w:abstractNumId="9">
    <w:nsid w:val="7724C67E"/>
    <w:multiLevelType w:val="hybridMultilevel"/>
    <w:lvl w:ilvl="0">
      <w:lvlJc w:val="left"/>
      <w:lvlText w:val="%1"/>
      <w:numFmt w:val="upperLetter"/>
      <w:start w:val="53"/>
    </w:lvl>
  </w:abstractNum>
  <w:abstractNum w:abstractNumId="10">
    <w:nsid w:val="5C482A97"/>
    <w:multiLevelType w:val="hybridMultilevel"/>
    <w:lvl w:ilvl="0">
      <w:lvlJc w:val="left"/>
      <w:lvlText w:val="¹"/>
      <w:numFmt w:val="bullet"/>
      <w:start w:val="1"/>
    </w:lvl>
  </w:abstractNum>
  <w:abstractNum w:abstractNumId="11">
    <w:nsid w:val="2463B9EA"/>
    <w:multiLevelType w:val="hybridMultilevel"/>
    <w:lvl w:ilvl="0">
      <w:lvlJc w:val="left"/>
      <w:lvlText w:val="2"/>
      <w:numFmt w:val="bullet"/>
      <w:start w:val="1"/>
    </w:lvl>
  </w:abstractNum>
  <w:abstractNum w:abstractNumId="12">
    <w:nsid w:val="5E884ADC"/>
    <w:multiLevelType w:val="hybridMultilevel"/>
    <w:lvl w:ilvl="0">
      <w:lvlJc w:val="left"/>
      <w:lvlText w:val="3"/>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2"/>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¹"/>
      <w:numFmt w:val="bullet"/>
      <w:start w:val="1"/>
    </w:lvl>
  </w:abstractNum>
  <w:abstractNum w:abstractNumId="20">
    <w:nsid w:val="2A487CB0"/>
    <w:multiLevelType w:val="hybridMultilevel"/>
    <w:lvl w:ilvl="0">
      <w:lvlJc w:val="left"/>
      <w:lvlText w:val="2"/>
      <w:numFmt w:val="bullet"/>
      <w:start w:val="1"/>
    </w:lvl>
  </w:abstractNum>
  <w:abstractNum w:abstractNumId="21">
    <w:nsid w:val="1D4ED43B"/>
    <w:multiLevelType w:val="hybridMultilevel"/>
    <w:lvl w:ilvl="0">
      <w:lvlJc w:val="left"/>
      <w:lvlText w:val="3"/>
      <w:numFmt w:val="bullet"/>
      <w:start w:val="1"/>
    </w:lvl>
  </w:abstractNum>
  <w:abstractNum w:abstractNumId="22">
    <w:nsid w:val="725A06FB"/>
    <w:multiLevelType w:val="hybridMultilevel"/>
    <w:lvl w:ilvl="0">
      <w:lvlJc w:val="left"/>
      <w:lvlText w:val="4"/>
      <w:numFmt w:val="bullet"/>
      <w:start w:val="1"/>
    </w:lvl>
  </w:abstractNum>
  <w:abstractNum w:abstractNumId="23">
    <w:nsid w:val="2CD89A32"/>
    <w:multiLevelType w:val="hybridMultilevel"/>
    <w:lvl w:ilvl="0">
      <w:lvlJc w:val="left"/>
      <w:lvlText w:val="(%1)"/>
      <w:numFmt w:val="lowerRoman"/>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951"/>
    </w:lvl>
  </w:abstractNum>
  <w:abstractNum w:abstractNumId="31">
    <w:nsid w:val="32FFF902"/>
    <w:multiLevelType w:val="hybridMultilevel"/>
    <w:lvl w:ilvl="0">
      <w:lvlJc w:val="left"/>
      <w:lvlText w:val="(%1)"/>
      <w:numFmt w:val="decimal"/>
      <w:start w:val="800"/>
    </w:lvl>
  </w:abstractNum>
  <w:abstractNum w:abstractNumId="32">
    <w:nsid w:val="684A481A"/>
    <w:multiLevelType w:val="hybridMultilevel"/>
    <w:lvl w:ilvl="0">
      <w:lvlJc w:val="left"/>
      <w:lvlText w:val="(%1)"/>
      <w:numFmt w:val="lowerLetter"/>
      <w:start w:val="3"/>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1)"/>
      <w:numFmt w:val="lowerRoman"/>
      <w:start w:val="1"/>
    </w:lvl>
  </w:abstractNum>
  <w:abstractNum w:abstractNumId="39">
    <w:nsid w:val="12E685FB"/>
    <w:multiLevelType w:val="hybridMultilevel"/>
    <w:lvl w:ilvl="0">
      <w:lvlJc w:val="left"/>
      <w:lvlText w:val="1"/>
      <w:numFmt w:val="bullet"/>
      <w:start w:val="1"/>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decimal"/>
      <w:start w:val="4"/>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5"/>
    </w:lvl>
  </w:abstractNum>
  <w:abstractNum w:abstractNumId="44">
    <w:nsid w:val="23F9C13C"/>
    <w:multiLevelType w:val="hybridMultilevel"/>
    <w:lvl w:ilvl="0">
      <w:lvlJc w:val="left"/>
      <w:lvlText w:val="%1."/>
      <w:numFmt w:val="decimal"/>
      <w:start w:val="6"/>
    </w:lvl>
  </w:abstractNum>
  <w:abstractNum w:abstractNumId="45">
    <w:nsid w:val="649BB77C"/>
    <w:multiLevelType w:val="hybridMultilevel"/>
    <w:lvl w:ilvl="0">
      <w:lvlJc w:val="left"/>
      <w:lvlText w:val="%1."/>
      <w:numFmt w:val="decimal"/>
      <w:start w:val="7"/>
    </w:lvl>
  </w:abstractNum>
  <w:abstractNum w:abstractNumId="46">
    <w:nsid w:val="275AC794"/>
    <w:multiLevelType w:val="hybridMultilevel"/>
    <w:lvl w:ilvl="0">
      <w:lvlJc w:val="left"/>
      <w:lvlText w:val="%1."/>
      <w:numFmt w:val="decimal"/>
      <w:start w:val="8"/>
    </w:lvl>
  </w:abstractNum>
  <w:abstractNum w:abstractNumId="47">
    <w:nsid w:val="39386575"/>
    <w:multiLevelType w:val="hybridMultilevel"/>
    <w:lvl w:ilvl="0">
      <w:lvlJc w:val="left"/>
      <w:lvlText w:val="%1."/>
      <w:numFmt w:val="decimal"/>
      <w:start w:val="9"/>
    </w:lvl>
  </w:abstractNum>
  <w:abstractNum w:abstractNumId="48">
    <w:nsid w:val="1CF10FD8"/>
    <w:multiLevelType w:val="hybridMultilevel"/>
    <w:lvl w:ilvl="0">
      <w:lvlJc w:val="left"/>
      <w:lvlText w:val="%1."/>
      <w:numFmt w:val="decimal"/>
      <w:start w:val="10"/>
    </w:lvl>
  </w:abstractNum>
  <w:abstractNum w:abstractNumId="49">
    <w:nsid w:val="180115BE"/>
    <w:multiLevelType w:val="hybridMultilevel"/>
    <w:lvl w:ilvl="0">
      <w:lvlJc w:val="left"/>
      <w:lvlText w:val="%1."/>
      <w:numFmt w:val="decimal"/>
      <w:start w:val="11"/>
    </w:lvl>
  </w:abstractNum>
  <w:abstractNum w:abstractNumId="50">
    <w:nsid w:val="235BA861"/>
    <w:multiLevelType w:val="hybridMultilevel"/>
    <w:lvl w:ilvl="0">
      <w:lvlJc w:val="left"/>
      <w:lvlText w:val="%1."/>
      <w:numFmt w:val="decimal"/>
      <w:start w:val="12"/>
    </w:lvl>
  </w:abstractNum>
  <w:abstractNum w:abstractNumId="51">
    <w:nsid w:val="47398C89"/>
    <w:multiLevelType w:val="hybridMultilevel"/>
    <w:lvl w:ilvl="0">
      <w:lvlJc w:val="left"/>
      <w:lvlText w:val="%1."/>
      <w:numFmt w:val="decimal"/>
      <w:start w:val="13"/>
    </w:lvl>
  </w:abstractNum>
  <w:abstractNum w:abstractNumId="52">
    <w:nsid w:val="354FE9F9"/>
    <w:multiLevelType w:val="hybridMultilevel"/>
    <w:lvl w:ilvl="0">
      <w:lvlJc w:val="left"/>
      <w:lvlText w:val="%1."/>
      <w:numFmt w:val="decimal"/>
      <w:start w:val="14"/>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5"/>
    </w:lvl>
  </w:abstractNum>
  <w:abstractNum w:abstractNumId="55">
    <w:nsid w:val="D34B6A8"/>
    <w:multiLevelType w:val="hybridMultilevel"/>
    <w:lvl w:ilvl="0">
      <w:lvlJc w:val="left"/>
      <w:lvlText w:val="%1."/>
      <w:numFmt w:val="decimal"/>
      <w:start w:val="16"/>
    </w:lvl>
  </w:abstractNum>
  <w:abstractNum w:abstractNumId="56">
    <w:nsid w:val="10233C99"/>
    <w:multiLevelType w:val="hybridMultilevel"/>
    <w:lvl w:ilvl="0">
      <w:lvlJc w:val="left"/>
      <w:lvlText w:val="%1."/>
      <w:numFmt w:val="decimal"/>
      <w:start w:val="17"/>
    </w:lvl>
  </w:abstractNum>
  <w:abstractNum w:abstractNumId="57">
    <w:nsid w:val="3F6AB60F"/>
    <w:multiLevelType w:val="hybridMultilevel"/>
    <w:lvl w:ilvl="0">
      <w:lvlJc w:val="left"/>
      <w:lvlText w:val="%1."/>
      <w:numFmt w:val="decimal"/>
      <w:start w:val="18"/>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20"/>
    </w:lvl>
  </w:abstractNum>
  <w:abstractNum w:abstractNumId="60">
    <w:nsid w:val="77AE35EB"/>
    <w:multiLevelType w:val="hybridMultilevel"/>
    <w:lvl w:ilvl="0">
      <w:lvlJc w:val="left"/>
      <w:lvlText w:val="%1."/>
      <w:numFmt w:val="decimal"/>
      <w:start w:val="2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jpe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81" Type="http://schemas.openxmlformats.org/officeDocument/2006/relationships/hyperlink" Target="http://www.sec.gov/Archives/edgar/data/865752/000110465914061722/a14-19122_2ex2d1.htm" TargetMode="External"/><Relationship Id="rId82" Type="http://schemas.openxmlformats.org/officeDocument/2006/relationships/hyperlink" Target="http://www.sec.gov/Archives/edgar/data/865752/000110465918018960/a18-8560_1ex2d1.htm" TargetMode="External"/><Relationship Id="rId83" Type="http://schemas.openxmlformats.org/officeDocument/2006/relationships/hyperlink" Target="http://www.sec.gov/Archives/edgar/data/865752/000110465914061722/a14-19122_2ex2d2.htm" TargetMode="External"/><Relationship Id="rId84" Type="http://schemas.openxmlformats.org/officeDocument/2006/relationships/hyperlink" Target="http://www.sec.gov/Archives/edgar/data/865752/000110465916155163/a16-20895_1ex3d1.htm" TargetMode="External"/><Relationship Id="rId85" Type="http://schemas.openxmlformats.org/officeDocument/2006/relationships/hyperlink" Target="http://www.sec.gov/Archives/edgar/data/865752/000110465918024237/a18-10038_1ex3d2.htm" TargetMode="External"/><Relationship Id="rId86" Type="http://schemas.openxmlformats.org/officeDocument/2006/relationships/hyperlink" Target="http://www.sec.gov/Archives/edgar/data/865752/000110465915058216/a15-11963_1ex10d1.htm" TargetMode="External"/><Relationship Id="rId87" Type="http://schemas.openxmlformats.org/officeDocument/2006/relationships/hyperlink" Target="http://www.sec.gov/Archives/edgar/data/865752/000110465915058216/a15-11963_1ex10d2.htm" TargetMode="External"/><Relationship Id="rId88" Type="http://schemas.openxmlformats.org/officeDocument/2006/relationships/hyperlink" Target="http://www.sec.gov/Archives/edgar/data/865752/000086575205000089/e101.htm" TargetMode="External"/><Relationship Id="rId89" Type="http://schemas.openxmlformats.org/officeDocument/2006/relationships/hyperlink" Target="http://www.sec.gov/Archives/edgar/data/865752/000086575207000126/p091907.htm" TargetMode="External"/><Relationship Id="rId90" Type="http://schemas.openxmlformats.org/officeDocument/2006/relationships/hyperlink" Target="http://www.sec.gov/Archives/edgar/data/865752/000110465916137481/a16-15122_1ex10d1.htm" TargetMode="External"/><Relationship Id="rId91" Type="http://schemas.openxmlformats.org/officeDocument/2006/relationships/hyperlink" Target="http://www.sec.gov/Archives/edgar/data/865752/000110465911045251/a11-12791_1ex10d1.htm" TargetMode="External"/><Relationship Id="rId92" Type="http://schemas.openxmlformats.org/officeDocument/2006/relationships/hyperlink" Target="http://www.sec.gov/Archives/edgar/data/865752/000086575211000006/e101.htm" TargetMode="External"/><Relationship Id="rId93" Type="http://schemas.openxmlformats.org/officeDocument/2006/relationships/hyperlink" Target="http://www.sec.gov/Archives/edgar/data/865752/000086575214000005/e101.htm" TargetMode="External"/><Relationship Id="rId94" Type="http://schemas.openxmlformats.org/officeDocument/2006/relationships/hyperlink" Target="http://www.sec.gov/Archives/edgar/data/865752/000086575214000005/e102.htm" TargetMode="External"/><Relationship Id="rId95" Type="http://schemas.openxmlformats.org/officeDocument/2006/relationships/hyperlink" Target="http://www.sec.gov/Archives/edgar/data/865752/000110465918014057/a18-1123_1ex10d10.htm" TargetMode="External"/><Relationship Id="rId98" Type="http://schemas.openxmlformats.org/officeDocument/2006/relationships/hyperlink" Target="http://www.sec.gov/Archives/edgar/data/865752/000110465918014057/a18-1123_1ex10d11.htm" TargetMode="External"/><Relationship Id="rId99" Type="http://schemas.openxmlformats.org/officeDocument/2006/relationships/hyperlink" Target="http://www.sec.gov/Archives/edgar/data/865752/000110465917040692/a17-15453_1ex4d1.htm" TargetMode="External"/><Relationship Id="rId100" Type="http://schemas.openxmlformats.org/officeDocument/2006/relationships/hyperlink" Target="http://www.sec.gov/Archives/edgar/data/865752/000110465917040692/a17-15453_1ex4d2.htm" TargetMode="External"/><Relationship Id="rId101" Type="http://schemas.openxmlformats.org/officeDocument/2006/relationships/hyperlink" Target="http://www.sec.gov/Archives/edgar/data/865752/000110465918014057/a18-1123_1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2019-12-28T15:39:28Z</dcterms:created>
  <dcterms:modified xsi:type="dcterms:W3CDTF">2019-12-28T15:39:28Z</dcterms:modified>
</cp:coreProperties>
</file>