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tabs>
          <w:tab w:leader="none" w:pos="7700" w:val="left"/>
        </w:tabs>
        <w:rPr>
          <w:sz w:val="20"/>
          <w:szCs w:val="20"/>
          <w:color w:val="auto"/>
        </w:rPr>
      </w:pPr>
      <w:r>
        <w:rPr>
          <w:rFonts w:ascii="Arial" w:cs="Arial" w:eastAsia="Arial" w:hAnsi="Arial"/>
          <w:sz w:val="20"/>
          <w:szCs w:val="20"/>
          <w:color w:val="auto"/>
        </w:rPr>
        <w:t>For the quarterly period ended June 30, 2017</w:t>
      </w:r>
      <w:r>
        <w:rPr>
          <w:sz w:val="20"/>
          <w:szCs w:val="20"/>
          <w:color w:val="auto"/>
        </w:rPr>
        <w:tab/>
      </w:r>
      <w:r>
        <w:rPr>
          <w:rFonts w:ascii="Arial" w:cs="Arial" w:eastAsia="Arial" w:hAnsi="Arial"/>
          <w:sz w:val="18"/>
          <w:szCs w:val="18"/>
          <w:color w:val="auto"/>
        </w:rPr>
        <w:t xml:space="preserve">Commission File Number </w:t>
      </w:r>
      <w:r>
        <w:rPr>
          <w:rFonts w:ascii="Arial" w:cs="Arial" w:eastAsia="Arial" w:hAnsi="Arial"/>
          <w:sz w:val="19"/>
          <w:szCs w:val="19"/>
          <w:color w:val="auto"/>
        </w:rPr>
        <w:t>001-18761</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10" w:lineRule="exact"/>
        <w:rPr>
          <w:sz w:val="24"/>
          <w:szCs w:val="24"/>
          <w:color w:val="auto"/>
        </w:rPr>
      </w:pPr>
    </w:p>
    <w:p>
      <w:pPr>
        <w:jc w:val="center"/>
        <w:ind w:left="74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color w:val="auto"/>
        </w:rPr>
        <w:t>47-1809393</w:t>
      </w:r>
    </w:p>
    <w:p>
      <w:pPr>
        <w:spacing w:after="0" w:line="43" w:lineRule="exact"/>
        <w:rPr>
          <w:sz w:val="24"/>
          <w:szCs w:val="24"/>
          <w:color w:val="auto"/>
        </w:rPr>
      </w:pPr>
    </w:p>
    <w:p>
      <w:pPr>
        <w:sectPr>
          <w:pgSz w:w="11900" w:h="16838" w:orient="portrait"/>
          <w:cols w:equalWidth="0" w:num="2">
            <w:col w:w="5900" w:space="720"/>
            <w:col w:w="4800"/>
          </w:cols>
          <w:pgMar w:left="240" w:top="233" w:right="239" w:bottom="0" w:gutter="0" w:footer="0" w:header="0"/>
          <w:type w:val="continuous"/>
        </w:sectPr>
      </w:pPr>
    </w:p>
    <w:p>
      <w:pPr>
        <w:spacing w:after="0" w:line="12" w:lineRule="exact"/>
        <w:rPr>
          <w:sz w:val="24"/>
          <w:szCs w:val="24"/>
          <w:color w:val="auto"/>
        </w:rPr>
      </w:pPr>
    </w:p>
    <w:p>
      <w:pPr>
        <w:ind w:left="2940"/>
        <w:spacing w:after="0"/>
        <w:rPr>
          <w:sz w:val="20"/>
          <w:szCs w:val="20"/>
          <w:color w:val="auto"/>
        </w:rPr>
      </w:pPr>
      <w:r>
        <w:rPr>
          <w:rFonts w:ascii="Arial" w:cs="Arial" w:eastAsia="Arial" w:hAnsi="Arial"/>
          <w:sz w:val="13"/>
          <w:szCs w:val="13"/>
          <w:color w:val="auto"/>
        </w:rPr>
        <w:t>(State or other jurisdiction of</w:t>
      </w:r>
    </w:p>
    <w:p>
      <w:pPr>
        <w:ind w:left="29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5900" w:space="720"/>
            <w:col w:w="4800"/>
          </w:cols>
          <w:pgMar w:left="240" w:top="233" w:right="239" w:bottom="0" w:gutter="0" w:footer="0" w:header="0"/>
          <w:type w:val="continuous"/>
        </w:sect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 Monster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Corona, California 92879</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(951) 739 – 6200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2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0"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00" w:lineRule="exact"/>
        <w:rPr>
          <w:sz w:val="24"/>
          <w:szCs w:val="24"/>
          <w:color w:val="auto"/>
        </w:rPr>
      </w:pPr>
    </w:p>
    <w:p>
      <w:pPr>
        <w:spacing w:after="0" w:line="25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17" w:lineRule="exact"/>
        <w:rPr>
          <w:sz w:val="24"/>
          <w:szCs w:val="24"/>
          <w:color w:val="auto"/>
        </w:rPr>
      </w:pPr>
    </w:p>
    <w:p>
      <w:pPr>
        <w:sectPr>
          <w:pgSz w:w="11900" w:h="16838" w:orient="portrait"/>
          <w:cols w:equalWidth="0" w:num="2">
            <w:col w:w="6680" w:space="720"/>
            <w:col w:w="4020"/>
          </w:cols>
          <w:pgMar w:left="240" w:top="233" w:right="239" w:bottom="0" w:gutter="0" w:footer="0" w:header="0"/>
          <w:type w:val="continuous"/>
        </w:sectPr>
      </w:pPr>
    </w:p>
    <w:p>
      <w:pPr>
        <w:spacing w:after="0"/>
        <w:rPr>
          <w:sz w:val="20"/>
          <w:szCs w:val="20"/>
          <w:color w:val="auto"/>
        </w:rPr>
      </w:pPr>
      <w:r>
        <w:rPr>
          <w:rFonts w:ascii="Arial" w:cs="Arial" w:eastAsia="Arial" w:hAnsi="Arial"/>
          <w:sz w:val="18"/>
          <w:szCs w:val="18"/>
          <w:color w:val="auto"/>
        </w:rPr>
        <w:t>Non-accelerated filer o (Do not check if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222" w:lineRule="exact"/>
        <w:rPr>
          <w:sz w:val="24"/>
          <w:szCs w:val="24"/>
          <w:color w:val="auto"/>
        </w:rPr>
      </w:pPr>
    </w:p>
    <w:p>
      <w:pPr>
        <w:sectPr>
          <w:pgSz w:w="11900" w:h="16838" w:orient="portrait"/>
          <w:cols w:equalWidth="0" w:num="2">
            <w:col w:w="6680" w:space="720"/>
            <w:col w:w="4020"/>
          </w:cols>
          <w:pgMar w:left="240" w:top="233" w:right="239" w:bottom="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ectPr>
          <w:pgSz w:w="11900" w:h="16838" w:orient="portrait"/>
          <w:cols w:equalWidth="0" w:num="1">
            <w:col w:w="11420"/>
          </w:cols>
          <w:pgMar w:left="240" w:top="233" w:right="239" w:bottom="0" w:gutter="0" w:footer="0" w:header="0"/>
          <w:type w:val="continuous"/>
        </w:sectPr>
      </w:pPr>
    </w:p>
    <w:p>
      <w:pPr>
        <w:spacing w:after="0" w:line="252" w:lineRule="exact"/>
        <w:rPr>
          <w:sz w:val="24"/>
          <w:szCs w:val="24"/>
          <w:color w:val="auto"/>
        </w:rPr>
      </w:pPr>
    </w:p>
    <w:p>
      <w:pPr>
        <w:ind w:firstLine="648"/>
        <w:spacing w:after="0" w:line="287"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6"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2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20"/>
          <w:szCs w:val="20"/>
          <w:color w:val="auto"/>
        </w:rPr>
        <w:t>The Registrant had 568,169,102 shares of common stock, par value $0.005 per share, outstanding as of August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33" w:right="23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20"/>
          <w:szCs w:val="20"/>
          <w:b w:val="1"/>
          <w:bCs w:val="1"/>
          <w:u w:val="single" w:color="auto"/>
          <w:color w:val="auto"/>
        </w:rPr>
        <w:t>MONSTER BEVERAGE CORPORATION AND SUBSIDIARIES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JUNE 30, 2017</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20"/>
                <w:szCs w:val="20"/>
                <w:b w:val="1"/>
                <w:bCs w:val="1"/>
                <w:color w:val="auto"/>
              </w:rPr>
              <w:t>INDEX</w:t>
            </w:r>
          </w:p>
        </w:tc>
        <w:tc>
          <w:tcPr>
            <w:tcW w:w="4620" w:type="dxa"/>
            <w:vAlign w:val="bottom"/>
            <w:gridSpan w:val="6"/>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42"/>
        </w:trPr>
        <w:tc>
          <w:tcPr>
            <w:tcW w:w="560" w:type="dxa"/>
            <w:vAlign w:val="bottom"/>
          </w:tcPr>
          <w:p>
            <w:pPr>
              <w:spacing w:after="0"/>
              <w:rPr>
                <w:rFonts w:ascii="Arial" w:cs="Arial" w:eastAsia="Arial" w:hAnsi="Arial"/>
                <w:sz w:val="20"/>
                <w:szCs w:val="20"/>
                <w:b w:val="1"/>
                <w:bCs w:val="1"/>
                <w:color w:val="0000EE"/>
                <w:w w:val="97"/>
              </w:rPr>
            </w:pPr>
            <w:hyperlink w:anchor="page2">
              <w:r>
                <w:rPr>
                  <w:rFonts w:ascii="Arial" w:cs="Arial" w:eastAsia="Arial" w:hAnsi="Arial"/>
                  <w:sz w:val="20"/>
                  <w:szCs w:val="20"/>
                  <w:b w:val="1"/>
                  <w:bCs w:val="1"/>
                  <w:color w:val="0000EE"/>
                  <w:w w:val="97"/>
                </w:rPr>
                <w:t>Part I.</w:t>
              </w:r>
            </w:hyperlink>
          </w:p>
        </w:tc>
        <w:tc>
          <w:tcPr>
            <w:tcW w:w="700" w:type="dxa"/>
            <w:vAlign w:val="bottom"/>
            <w:gridSpan w:val="3"/>
          </w:tcPr>
          <w:p>
            <w:pPr>
              <w:spacing w:after="0"/>
              <w:rPr>
                <w:sz w:val="24"/>
                <w:szCs w:val="24"/>
                <w:color w:val="auto"/>
              </w:rPr>
            </w:pPr>
          </w:p>
        </w:tc>
        <w:tc>
          <w:tcPr>
            <w:tcW w:w="2640" w:type="dxa"/>
            <w:vAlign w:val="bottom"/>
            <w:gridSpan w:val="9"/>
          </w:tcPr>
          <w:p>
            <w:pPr>
              <w:spacing w:after="0"/>
              <w:rPr>
                <w:rFonts w:ascii="Arial" w:cs="Arial" w:eastAsia="Arial" w:hAnsi="Arial"/>
                <w:sz w:val="20"/>
                <w:szCs w:val="20"/>
                <w:b w:val="1"/>
                <w:bCs w:val="1"/>
                <w:color w:val="0000EE"/>
              </w:rPr>
            </w:pPr>
            <w:hyperlink w:anchor="page2">
              <w:r>
                <w:rPr>
                  <w:rFonts w:ascii="Arial" w:cs="Arial" w:eastAsia="Arial" w:hAnsi="Arial"/>
                  <w:sz w:val="20"/>
                  <w:szCs w:val="20"/>
                  <w:b w:val="1"/>
                  <w:bCs w:val="1"/>
                  <w:color w:val="0000EE"/>
                </w:rPr>
                <w:t>FINANCIAL INFORMATION</w:t>
              </w:r>
            </w:hyperlink>
          </w:p>
        </w:tc>
        <w:tc>
          <w:tcPr>
            <w:tcW w:w="6780" w:type="dxa"/>
            <w:vAlign w:val="bottom"/>
            <w:gridSpan w:val="10"/>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w w:val="84"/>
              </w:rPr>
              <w:t>Page No.</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260" w:type="dxa"/>
            <w:vAlign w:val="bottom"/>
            <w:gridSpan w:val="4"/>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Item 1.</w:t>
              </w:r>
            </w:hyperlink>
          </w:p>
        </w:tc>
        <w:tc>
          <w:tcPr>
            <w:tcW w:w="9420" w:type="dxa"/>
            <w:vAlign w:val="bottom"/>
            <w:gridSpan w:val="19"/>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Condensed Consolidated Financial Statements (Unaudited)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760" w:type="dxa"/>
            <w:vAlign w:val="bottom"/>
            <w:tcBorders>
              <w:bottom w:val="single" w:sz="8" w:color="0000EE"/>
            </w:tcBorders>
            <w:gridSpan w:val="14"/>
          </w:tcPr>
          <w:p>
            <w:pPr>
              <w:spacing w:after="0"/>
              <w:rPr>
                <w:rFonts w:ascii="Arial" w:cs="Arial" w:eastAsia="Arial" w:hAnsi="Arial"/>
                <w:sz w:val="20"/>
                <w:szCs w:val="20"/>
                <w:color w:val="0000EE"/>
                <w:w w:val="87"/>
              </w:rPr>
            </w:pPr>
            <w:hyperlink w:anchor="page2">
              <w:r>
                <w:rPr>
                  <w:rFonts w:ascii="Arial" w:cs="Arial" w:eastAsia="Arial" w:hAnsi="Arial"/>
                  <w:sz w:val="20"/>
                  <w:szCs w:val="20"/>
                  <w:color w:val="0000EE"/>
                  <w:w w:val="87"/>
                </w:rPr>
                <w:t>Condensed Consolidated Balance Sheets as of June 30, 2017 and December 31, 2016</w:t>
              </w:r>
            </w:hyperlink>
          </w:p>
        </w:tc>
        <w:tc>
          <w:tcPr>
            <w:tcW w:w="2660" w:type="dxa"/>
            <w:vAlign w:val="bottom"/>
            <w:gridSpan w:val="5"/>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3</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720" w:type="dxa"/>
            <w:vAlign w:val="bottom"/>
            <w:tcBorders>
              <w:bottom w:val="single" w:sz="8" w:color="0000EE"/>
            </w:tcBorders>
            <w:gridSpan w:val="17"/>
          </w:tcPr>
          <w:p>
            <w:pPr>
              <w:spacing w:after="0"/>
              <w:rPr>
                <w:rFonts w:ascii="Arial" w:cs="Arial" w:eastAsia="Arial" w:hAnsi="Arial"/>
                <w:sz w:val="20"/>
                <w:szCs w:val="20"/>
                <w:color w:val="0000EE"/>
                <w:w w:val="88"/>
              </w:rPr>
            </w:pPr>
            <w:hyperlink w:anchor="page3">
              <w:r>
                <w:rPr>
                  <w:rFonts w:ascii="Arial" w:cs="Arial" w:eastAsia="Arial" w:hAnsi="Arial"/>
                  <w:sz w:val="20"/>
                  <w:szCs w:val="20"/>
                  <w:color w:val="0000EE"/>
                  <w:w w:val="88"/>
                </w:rPr>
                <w:t>Condensed Consolidated Statements of Income for the Three- and Six-Months Ended June 30, 2017 and 2016</w:t>
              </w:r>
            </w:hyperlink>
          </w:p>
        </w:tc>
        <w:tc>
          <w:tcPr>
            <w:tcW w:w="700" w:type="dxa"/>
            <w:vAlign w:val="bottom"/>
            <w:gridSpan w:val="2"/>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780" w:type="dxa"/>
            <w:vAlign w:val="bottom"/>
            <w:tcBorders>
              <w:bottom w:val="single" w:sz="8" w:color="0000EE"/>
            </w:tcBorders>
            <w:gridSpan w:val="18"/>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Condensed Consolidated Statements of Comprehensive Income for the Three- and Six-Months Ended June 30,</w:t>
              </w:r>
            </w:hyperlink>
          </w:p>
        </w:tc>
        <w:tc>
          <w:tcPr>
            <w:tcW w:w="6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w:t>
            </w: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20" w:type="dxa"/>
            <w:vAlign w:val="bottom"/>
            <w:gridSpan w:val="19"/>
          </w:tcPr>
          <w:p>
            <w:pPr>
              <w:spacing w:after="0" w:line="209" w:lineRule="exact"/>
              <w:rPr>
                <w:rFonts w:ascii="Arial" w:cs="Arial" w:eastAsia="Arial" w:hAnsi="Arial"/>
                <w:sz w:val="20"/>
                <w:szCs w:val="20"/>
                <w:color w:val="0000EE"/>
              </w:rPr>
            </w:pPr>
            <w:hyperlink w:anchor="page4">
              <w:r>
                <w:rPr>
                  <w:rFonts w:ascii="Arial" w:cs="Arial" w:eastAsia="Arial" w:hAnsi="Arial"/>
                  <w:sz w:val="20"/>
                  <w:szCs w:val="20"/>
                  <w:color w:val="0000EE"/>
                </w:rPr>
                <w:t>2017 and 2016</w:t>
              </w:r>
            </w:hyperlink>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40" w:type="dxa"/>
            <w:vAlign w:val="bottom"/>
            <w:tcBorders>
              <w:bottom w:val="single" w:sz="8" w:color="0000EE"/>
            </w:tcBorders>
            <w:gridSpan w:val="16"/>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Condensed Consolidated Statements of Cash Flows for the Six-Months Ended June 30, 2017 and 2016</w:t>
              </w:r>
            </w:hyperlink>
          </w:p>
        </w:tc>
        <w:tc>
          <w:tcPr>
            <w:tcW w:w="1280" w:type="dxa"/>
            <w:vAlign w:val="bottom"/>
            <w:gridSpan w:val="3"/>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6</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0" w:type="dxa"/>
            <w:vAlign w:val="bottom"/>
            <w:tcBorders>
              <w:bottom w:val="single" w:sz="8" w:color="0000EE"/>
            </w:tcBorders>
            <w:gridSpan w:val="11"/>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Notes to Condensed Consolidated Financial Statements</w:t>
              </w:r>
            </w:hyperlink>
          </w:p>
        </w:tc>
        <w:tc>
          <w:tcPr>
            <w:tcW w:w="5020" w:type="dxa"/>
            <w:vAlign w:val="bottom"/>
            <w:gridSpan w:val="8"/>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8</w:t>
            </w:r>
          </w:p>
        </w:tc>
      </w:tr>
      <w:tr>
        <w:trPr>
          <w:trHeight w:val="439"/>
        </w:trPr>
        <w:tc>
          <w:tcPr>
            <w:tcW w:w="1260" w:type="dxa"/>
            <w:vAlign w:val="bottom"/>
            <w:gridSpan w:val="4"/>
          </w:tcPr>
          <w:p>
            <w:pPr>
              <w:spacing w:after="0"/>
              <w:rPr>
                <w:rFonts w:ascii="Arial" w:cs="Arial" w:eastAsia="Arial" w:hAnsi="Arial"/>
                <w:sz w:val="20"/>
                <w:szCs w:val="20"/>
                <w:color w:val="0000EE"/>
              </w:rPr>
            </w:pPr>
            <w:hyperlink w:anchor="page18">
              <w:r>
                <w:rPr>
                  <w:rFonts w:ascii="Arial" w:cs="Arial" w:eastAsia="Arial" w:hAnsi="Arial"/>
                  <w:sz w:val="20"/>
                  <w:szCs w:val="20"/>
                  <w:color w:val="0000EE"/>
                </w:rPr>
                <w:t>Item 2.</w:t>
              </w:r>
            </w:hyperlink>
          </w:p>
        </w:tc>
        <w:tc>
          <w:tcPr>
            <w:tcW w:w="9420" w:type="dxa"/>
            <w:vAlign w:val="bottom"/>
            <w:gridSpan w:val="19"/>
          </w:tcPr>
          <w:p>
            <w:pPr>
              <w:spacing w:after="0"/>
              <w:rPr>
                <w:rFonts w:ascii="Arial" w:cs="Arial" w:eastAsia="Arial" w:hAnsi="Arial"/>
                <w:sz w:val="20"/>
                <w:szCs w:val="20"/>
                <w:color w:val="0000EE"/>
              </w:rPr>
            </w:pPr>
            <w:hyperlink w:anchor="page18">
              <w:r>
                <w:rPr>
                  <w:rFonts w:ascii="Arial" w:cs="Arial" w:eastAsia="Arial" w:hAnsi="Arial"/>
                  <w:sz w:val="20"/>
                  <w:szCs w:val="20"/>
                  <w:color w:val="0000EE"/>
                </w:rPr>
                <w:t>Management’s Discussion and Analysis of Financial Condition and Results of Operations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27</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40" w:type="dxa"/>
            <w:vAlign w:val="bottom"/>
            <w:tcBorders>
              <w:right w:val="single" w:sz="8" w:color="0000EE"/>
            </w:tcBorders>
            <w:gridSpan w:val="5"/>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260" w:type="dxa"/>
            <w:vAlign w:val="bottom"/>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3.</w:t>
              </w:r>
            </w:hyperlink>
          </w:p>
        </w:tc>
        <w:tc>
          <w:tcPr>
            <w:tcW w:w="9420" w:type="dxa"/>
            <w:vAlign w:val="bottom"/>
            <w:gridSpan w:val="19"/>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Quantitative and Qualitative Disclosures About Market Risk</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45</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40" w:type="dxa"/>
            <w:vAlign w:val="bottom"/>
            <w:tcBorders>
              <w:right w:val="single" w:sz="8" w:color="0000EE"/>
            </w:tcBorders>
            <w:gridSpan w:val="5"/>
            <w:shd w:val="clear" w:color="auto" w:fill="0000EE"/>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260" w:type="dxa"/>
            <w:vAlign w:val="bottom"/>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4.</w:t>
              </w:r>
            </w:hyperlink>
          </w:p>
        </w:tc>
        <w:tc>
          <w:tcPr>
            <w:tcW w:w="9420" w:type="dxa"/>
            <w:vAlign w:val="bottom"/>
            <w:gridSpan w:val="19"/>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Controls and Procedures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45</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rFonts w:ascii="Arial" w:cs="Arial" w:eastAsia="Arial" w:hAnsi="Arial"/>
                <w:sz w:val="20"/>
                <w:szCs w:val="20"/>
                <w:b w:val="1"/>
                <w:bCs w:val="1"/>
                <w:color w:val="0000EE"/>
              </w:rPr>
            </w:pPr>
            <w:hyperlink w:anchor="page31">
              <w:r>
                <w:rPr>
                  <w:rFonts w:ascii="Arial" w:cs="Arial" w:eastAsia="Arial" w:hAnsi="Arial"/>
                  <w:sz w:val="20"/>
                  <w:szCs w:val="20"/>
                  <w:b w:val="1"/>
                  <w:bCs w:val="1"/>
                  <w:color w:val="0000EE"/>
                </w:rPr>
                <w:t>Part II.</w:t>
              </w:r>
            </w:hyperlink>
          </w:p>
        </w:tc>
        <w:tc>
          <w:tcPr>
            <w:tcW w:w="620" w:type="dxa"/>
            <w:vAlign w:val="bottom"/>
            <w:gridSpan w:val="2"/>
          </w:tcPr>
          <w:p>
            <w:pPr>
              <w:spacing w:after="0"/>
              <w:rPr>
                <w:sz w:val="24"/>
                <w:szCs w:val="24"/>
                <w:color w:val="auto"/>
              </w:rPr>
            </w:pPr>
          </w:p>
        </w:tc>
        <w:tc>
          <w:tcPr>
            <w:tcW w:w="9420" w:type="dxa"/>
            <w:vAlign w:val="bottom"/>
            <w:gridSpan w:val="19"/>
          </w:tcPr>
          <w:p>
            <w:pPr>
              <w:spacing w:after="0"/>
              <w:rPr>
                <w:rFonts w:ascii="Arial" w:cs="Arial" w:eastAsia="Arial" w:hAnsi="Arial"/>
                <w:sz w:val="20"/>
                <w:szCs w:val="20"/>
                <w:b w:val="1"/>
                <w:bCs w:val="1"/>
                <w:color w:val="0000EE"/>
              </w:rPr>
            </w:pPr>
            <w:hyperlink w:anchor="page31">
              <w:r>
                <w:rPr>
                  <w:rFonts w:ascii="Arial" w:cs="Arial" w:eastAsia="Arial" w:hAnsi="Arial"/>
                  <w:sz w:val="20"/>
                  <w:szCs w:val="20"/>
                  <w:b w:val="1"/>
                  <w:bCs w:val="1"/>
                  <w:color w:val="0000EE"/>
                </w:rPr>
                <w:t>OTHER INFORMATION</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9"/>
        </w:trPr>
        <w:tc>
          <w:tcPr>
            <w:tcW w:w="640" w:type="dxa"/>
            <w:vAlign w:val="bottom"/>
            <w:tcBorders>
              <w:top w:val="single" w:sz="8" w:color="0000EE"/>
            </w:tcBorders>
            <w:gridSpan w:val="2"/>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1.</w:t>
              </w:r>
            </w:hyperlink>
          </w:p>
        </w:tc>
        <w:tc>
          <w:tcPr>
            <w:tcW w:w="620" w:type="dxa"/>
            <w:vAlign w:val="bottom"/>
            <w:gridSpan w:val="2"/>
          </w:tcPr>
          <w:p>
            <w:pPr>
              <w:spacing w:after="0"/>
              <w:rPr>
                <w:sz w:val="24"/>
                <w:szCs w:val="24"/>
                <w:color w:val="auto"/>
              </w:rPr>
            </w:pPr>
          </w:p>
        </w:tc>
        <w:tc>
          <w:tcPr>
            <w:tcW w:w="2220" w:type="dxa"/>
            <w:vAlign w:val="bottom"/>
            <w:tcBorders>
              <w:top w:val="single" w:sz="8" w:color="0000EE"/>
            </w:tcBorders>
            <w:gridSpan w:val="7"/>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Legal Proceedings</w:t>
              </w:r>
            </w:hyperlink>
          </w:p>
        </w:tc>
        <w:tc>
          <w:tcPr>
            <w:tcW w:w="7200" w:type="dxa"/>
            <w:vAlign w:val="bottom"/>
            <w:gridSpan w:val="12"/>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45</w:t>
            </w: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3"/>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720" w:type="dxa"/>
            <w:vAlign w:val="bottom"/>
            <w:tcBorders>
              <w:bottom w:val="single" w:sz="8" w:color="0000EE"/>
            </w:tcBorders>
            <w:gridSpan w:val="3"/>
          </w:tcPr>
          <w:p>
            <w:pPr>
              <w:spacing w:after="0"/>
              <w:rPr>
                <w:rFonts w:ascii="Arial" w:cs="Arial" w:eastAsia="Arial" w:hAnsi="Arial"/>
                <w:sz w:val="20"/>
                <w:szCs w:val="20"/>
                <w:color w:val="0000EE"/>
                <w:w w:val="93"/>
              </w:rPr>
            </w:pPr>
            <w:hyperlink w:anchor="page31">
              <w:r>
                <w:rPr>
                  <w:rFonts w:ascii="Arial" w:cs="Arial" w:eastAsia="Arial" w:hAnsi="Arial"/>
                  <w:sz w:val="20"/>
                  <w:szCs w:val="20"/>
                  <w:color w:val="0000EE"/>
                  <w:w w:val="93"/>
                </w:rPr>
                <w:t>Item 1A.</w:t>
              </w:r>
            </w:hyperlink>
          </w:p>
        </w:tc>
        <w:tc>
          <w:tcPr>
            <w:tcW w:w="540" w:type="dxa"/>
            <w:vAlign w:val="bottom"/>
          </w:tcPr>
          <w:p>
            <w:pPr>
              <w:spacing w:after="0"/>
              <w:rPr>
                <w:sz w:val="24"/>
                <w:szCs w:val="24"/>
                <w:color w:val="auto"/>
              </w:rPr>
            </w:pPr>
          </w:p>
        </w:tc>
        <w:tc>
          <w:tcPr>
            <w:tcW w:w="1000" w:type="dxa"/>
            <w:vAlign w:val="bottom"/>
            <w:tcBorders>
              <w:bottom w:val="single" w:sz="8" w:color="0000EE"/>
            </w:tcBorders>
            <w:gridSpan w:val="3"/>
          </w:tcPr>
          <w:p>
            <w:pPr>
              <w:spacing w:after="0"/>
              <w:rPr>
                <w:rFonts w:ascii="Arial" w:cs="Arial" w:eastAsia="Arial" w:hAnsi="Arial"/>
                <w:sz w:val="20"/>
                <w:szCs w:val="20"/>
                <w:color w:val="0000EE"/>
                <w:w w:val="88"/>
              </w:rPr>
            </w:pPr>
            <w:hyperlink w:anchor="page31">
              <w:r>
                <w:rPr>
                  <w:rFonts w:ascii="Arial" w:cs="Arial" w:eastAsia="Arial" w:hAnsi="Arial"/>
                  <w:sz w:val="20"/>
                  <w:szCs w:val="20"/>
                  <w:color w:val="0000EE"/>
                  <w:w w:val="88"/>
                </w:rPr>
                <w:t>Risk Factors</w:t>
              </w:r>
            </w:hyperlink>
          </w:p>
        </w:tc>
        <w:tc>
          <w:tcPr>
            <w:tcW w:w="8420" w:type="dxa"/>
            <w:vAlign w:val="bottom"/>
            <w:gridSpan w:val="16"/>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46</w:t>
            </w:r>
          </w:p>
        </w:tc>
      </w:tr>
      <w:tr>
        <w:trPr>
          <w:trHeight w:val="439"/>
        </w:trPr>
        <w:tc>
          <w:tcPr>
            <w:tcW w:w="1260" w:type="dxa"/>
            <w:vAlign w:val="bottom"/>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2.</w:t>
              </w:r>
            </w:hyperlink>
          </w:p>
        </w:tc>
        <w:tc>
          <w:tcPr>
            <w:tcW w:w="9420" w:type="dxa"/>
            <w:vAlign w:val="bottom"/>
            <w:gridSpan w:val="19"/>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Unregistered Sales of Equity Securities and Use of Proceeds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46</w:t>
            </w:r>
          </w:p>
        </w:tc>
      </w:tr>
      <w:tr>
        <w:trPr>
          <w:trHeight w:val="439"/>
        </w:trPr>
        <w:tc>
          <w:tcPr>
            <w:tcW w:w="1260" w:type="dxa"/>
            <w:vAlign w:val="bottom"/>
            <w:tcBorders>
              <w:top w:val="single" w:sz="8" w:color="0000EE"/>
              <w:bottom w:val="single" w:sz="8" w:color="0000EE"/>
            </w:tcBorders>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3.</w:t>
              </w:r>
            </w:hyperlink>
          </w:p>
        </w:tc>
        <w:tc>
          <w:tcPr>
            <w:tcW w:w="2560" w:type="dxa"/>
            <w:vAlign w:val="bottom"/>
            <w:tcBorders>
              <w:top w:val="single" w:sz="8" w:color="0000EE"/>
              <w:bottom w:val="single" w:sz="8" w:color="0000EE"/>
            </w:tcBorders>
            <w:gridSpan w:val="8"/>
          </w:tcPr>
          <w:p>
            <w:pPr>
              <w:spacing w:after="0"/>
              <w:rPr>
                <w:rFonts w:ascii="Arial" w:cs="Arial" w:eastAsia="Arial" w:hAnsi="Arial"/>
                <w:sz w:val="20"/>
                <w:szCs w:val="20"/>
                <w:color w:val="0000EE"/>
                <w:w w:val="89"/>
              </w:rPr>
            </w:pPr>
            <w:hyperlink w:anchor="page31">
              <w:r>
                <w:rPr>
                  <w:rFonts w:ascii="Arial" w:cs="Arial" w:eastAsia="Arial" w:hAnsi="Arial"/>
                  <w:sz w:val="20"/>
                  <w:szCs w:val="20"/>
                  <w:color w:val="0000EE"/>
                  <w:w w:val="89"/>
                </w:rPr>
                <w:t>Defaults Upon Senior Securities</w:t>
              </w:r>
            </w:hyperlink>
          </w:p>
        </w:tc>
        <w:tc>
          <w:tcPr>
            <w:tcW w:w="2240" w:type="dxa"/>
            <w:vAlign w:val="bottom"/>
            <w:tcBorders>
              <w:top w:val="single" w:sz="8" w:color="0000EE"/>
            </w:tcBorders>
            <w:gridSpan w:val="5"/>
          </w:tcPr>
          <w:p>
            <w:pPr>
              <w:spacing w:after="0"/>
              <w:rPr>
                <w:sz w:val="24"/>
                <w:szCs w:val="24"/>
                <w:color w:val="auto"/>
              </w:rPr>
            </w:pPr>
          </w:p>
        </w:tc>
        <w:tc>
          <w:tcPr>
            <w:tcW w:w="4620" w:type="dxa"/>
            <w:vAlign w:val="bottom"/>
            <w:gridSpan w:val="6"/>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46</w:t>
            </w:r>
          </w:p>
        </w:tc>
      </w:tr>
      <w:tr>
        <w:trPr>
          <w:trHeight w:val="439"/>
        </w:trPr>
        <w:tc>
          <w:tcPr>
            <w:tcW w:w="1260" w:type="dxa"/>
            <w:vAlign w:val="bottom"/>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4.</w:t>
              </w:r>
            </w:hyperlink>
          </w:p>
        </w:tc>
        <w:tc>
          <w:tcPr>
            <w:tcW w:w="9420" w:type="dxa"/>
            <w:vAlign w:val="bottom"/>
            <w:gridSpan w:val="19"/>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Mine Safety Disclosures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46</w:t>
            </w:r>
          </w:p>
        </w:tc>
      </w:tr>
      <w:tr>
        <w:trPr>
          <w:trHeight w:val="20"/>
        </w:trPr>
        <w:tc>
          <w:tcPr>
            <w:tcW w:w="5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7480" w:type="dxa"/>
            <w:vAlign w:val="bottom"/>
            <w:gridSpan w:val="1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260" w:type="dxa"/>
            <w:vAlign w:val="bottom"/>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5.</w:t>
              </w:r>
            </w:hyperlink>
          </w:p>
        </w:tc>
        <w:tc>
          <w:tcPr>
            <w:tcW w:w="9420" w:type="dxa"/>
            <w:vAlign w:val="bottom"/>
            <w:gridSpan w:val="19"/>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Other Information</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46</w:t>
            </w:r>
          </w:p>
        </w:tc>
      </w:tr>
      <w:tr>
        <w:trPr>
          <w:trHeight w:val="20"/>
        </w:trPr>
        <w:tc>
          <w:tcPr>
            <w:tcW w:w="5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980" w:type="dxa"/>
            <w:vAlign w:val="bottom"/>
            <w:gridSpan w:val="1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260" w:type="dxa"/>
            <w:vAlign w:val="bottom"/>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6.</w:t>
              </w:r>
            </w:hyperlink>
          </w:p>
        </w:tc>
        <w:tc>
          <w:tcPr>
            <w:tcW w:w="9420" w:type="dxa"/>
            <w:vAlign w:val="bottom"/>
            <w:gridSpan w:val="19"/>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Exhibits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46</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80" w:type="dxa"/>
            <w:vAlign w:val="bottom"/>
            <w:gridSpan w:val="1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bottom w:val="single" w:sz="8" w:color="0000EE"/>
            </w:tcBorders>
            <w:gridSpan w:val="2"/>
          </w:tcPr>
          <w:p>
            <w:pPr>
              <w:spacing w:after="0"/>
              <w:rPr>
                <w:rFonts w:ascii="Arial" w:cs="Arial" w:eastAsia="Arial" w:hAnsi="Arial"/>
                <w:sz w:val="20"/>
                <w:szCs w:val="20"/>
                <w:color w:val="0000EE"/>
                <w:w w:val="85"/>
              </w:rPr>
            </w:pPr>
            <w:hyperlink w:anchor="page32">
              <w:r>
                <w:rPr>
                  <w:rFonts w:ascii="Arial" w:cs="Arial" w:eastAsia="Arial" w:hAnsi="Arial"/>
                  <w:sz w:val="20"/>
                  <w:szCs w:val="20"/>
                  <w:color w:val="0000EE"/>
                  <w:w w:val="85"/>
                </w:rPr>
                <w:t>Signatures</w:t>
              </w:r>
            </w:hyperlink>
          </w:p>
        </w:tc>
        <w:tc>
          <w:tcPr>
            <w:tcW w:w="8580" w:type="dxa"/>
            <w:vAlign w:val="bottom"/>
            <w:gridSpan w:val="17"/>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47</w:t>
            </w:r>
          </w:p>
        </w:tc>
      </w:tr>
      <w:tr>
        <w:trPr>
          <w:trHeight w:val="453"/>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80" w:type="dxa"/>
            <w:vAlign w:val="bottom"/>
            <w:gridSpan w:val="12"/>
          </w:tcPr>
          <w:p>
            <w:pPr>
              <w:ind w:left="44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CONDENSED CONSOLIDATED FINANCIAL STATEMENTS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BALANCE SHEETS</w:t>
      </w:r>
    </w:p>
    <w:p>
      <w:pPr>
        <w:spacing w:after="0"/>
        <w:rPr>
          <w:sz w:val="20"/>
          <w:szCs w:val="20"/>
          <w:color w:val="auto"/>
        </w:rPr>
      </w:pPr>
      <w:r>
        <w:rPr>
          <w:rFonts w:ascii="Arial" w:cs="Arial" w:eastAsia="Arial" w:hAnsi="Arial"/>
          <w:sz w:val="20"/>
          <w:szCs w:val="20"/>
          <w:b w:val="1"/>
          <w:bCs w:val="1"/>
          <w:color w:val="auto"/>
        </w:rPr>
        <w:t>AS OF JUNE 30, 2017 AND DECEMBER 31, 2016</w:t>
      </w:r>
    </w:p>
    <w:p>
      <w:pPr>
        <w:spacing w:after="0"/>
        <w:rPr>
          <w:sz w:val="20"/>
          <w:szCs w:val="20"/>
          <w:color w:val="auto"/>
        </w:rPr>
      </w:pPr>
      <w:r>
        <w:rPr>
          <w:rFonts w:ascii="Arial" w:cs="Arial" w:eastAsia="Arial" w:hAnsi="Arial"/>
          <w:sz w:val="20"/>
          <w:szCs w:val="20"/>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w w:val="95"/>
              </w:rPr>
              <w:t>December 31, 2016</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45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spacing w:after="0"/>
              <w:rPr>
                <w:sz w:val="20"/>
                <w:szCs w:val="20"/>
                <w:color w:val="auto"/>
              </w:rPr>
            </w:pPr>
            <w:r>
              <w:rPr>
                <w:rFonts w:ascii="Arial" w:cs="Arial" w:eastAsia="Arial" w:hAnsi="Arial"/>
                <w:sz w:val="16"/>
                <w:szCs w:val="16"/>
                <w:color w:val="auto"/>
              </w:rPr>
              <w:t>CURRENT ASSETS:</w:t>
            </w:r>
          </w:p>
        </w:tc>
        <w:tc>
          <w:tcPr>
            <w:tcW w:w="45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620" w:type="dxa"/>
            <w:vAlign w:val="bottom"/>
            <w:vMerge w:val="continue"/>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8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777,655</w:t>
            </w:r>
          </w:p>
        </w:tc>
        <w:tc>
          <w:tcPr>
            <w:tcW w:w="28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377,582</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6"/>
                <w:szCs w:val="16"/>
                <w:color w:val="auto"/>
              </w:rPr>
              <w:t>Short-term investments</w:t>
            </w:r>
          </w:p>
        </w:tc>
        <w:tc>
          <w:tcPr>
            <w:tcW w:w="6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323,851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220,554</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6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537,082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448,051</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6"/>
                <w:szCs w:val="16"/>
                <w:color w:val="auto"/>
              </w:rPr>
              <w:t>TCCC Transaction receivable</w:t>
            </w:r>
          </w:p>
        </w:tc>
        <w:tc>
          <w:tcPr>
            <w:tcW w:w="6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6"/>
                <w:szCs w:val="16"/>
                <w:color w:val="auto"/>
              </w:rPr>
              <w:t>Inventories</w:t>
            </w:r>
          </w:p>
        </w:tc>
        <w:tc>
          <w:tcPr>
            <w:tcW w:w="6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190,600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161,971</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6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44,399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32,562</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Arial" w:cs="Arial" w:eastAsia="Arial" w:hAnsi="Arial"/>
                <w:sz w:val="16"/>
                <w:szCs w:val="16"/>
                <w:color w:val="auto"/>
              </w:rPr>
              <w:t>Prepaid income taxes</w:t>
            </w:r>
          </w:p>
        </w:tc>
        <w:tc>
          <w:tcPr>
            <w:tcW w:w="6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6,492</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66,550</w:t>
            </w:r>
          </w:p>
        </w:tc>
        <w:tc>
          <w:tcPr>
            <w:tcW w:w="0" w:type="dxa"/>
            <w:vAlign w:val="bottom"/>
          </w:tcPr>
          <w:p>
            <w:pPr>
              <w:spacing w:after="0"/>
              <w:rPr>
                <w:sz w:val="1"/>
                <w:szCs w:val="1"/>
                <w:color w:val="auto"/>
              </w:rPr>
            </w:pPr>
          </w:p>
        </w:tc>
      </w:tr>
      <w:tr>
        <w:trPr>
          <w:trHeight w:val="217"/>
        </w:trPr>
        <w:tc>
          <w:tcPr>
            <w:tcW w:w="362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6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1,880,079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1,432,270</w:t>
            </w:r>
          </w:p>
        </w:tc>
        <w:tc>
          <w:tcPr>
            <w:tcW w:w="0" w:type="dxa"/>
            <w:vAlign w:val="bottom"/>
          </w:tcPr>
          <w:p>
            <w:pPr>
              <w:spacing w:after="0"/>
              <w:rPr>
                <w:sz w:val="1"/>
                <w:szCs w:val="1"/>
                <w:color w:val="auto"/>
              </w:rPr>
            </w:pPr>
          </w:p>
        </w:tc>
      </w:tr>
    </w:tbl>
    <w:p>
      <w:pPr>
        <w:sectPr>
          <w:pgSz w:w="11900" w:h="16838" w:orient="portrait"/>
          <w:cols w:equalWidth="0" w:num="1">
            <w:col w:w="11460"/>
          </w:cols>
          <w:pgMar w:left="240" w:top="115" w:right="199" w:bottom="0" w:gutter="0" w:footer="0" w:header="0"/>
        </w:sectPr>
      </w:pPr>
    </w:p>
    <w:bookmarkStart w:id="2" w:name="page3"/>
    <w:bookmarkEnd w:id="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60" w:type="dxa"/>
            <w:vAlign w:val="bottom"/>
            <w:gridSpan w:val="3"/>
          </w:tcPr>
          <w:p>
            <w:pPr>
              <w:spacing w:after="0"/>
              <w:rPr>
                <w:sz w:val="20"/>
                <w:szCs w:val="20"/>
                <w:color w:val="auto"/>
              </w:rPr>
            </w:pPr>
            <w:r>
              <w:rPr>
                <w:rFonts w:ascii="Arial" w:cs="Arial" w:eastAsia="Arial" w:hAnsi="Arial"/>
                <w:sz w:val="16"/>
                <w:szCs w:val="16"/>
                <w:color w:val="auto"/>
              </w:rPr>
              <w:t>INVESTMENTS</w:t>
            </w:r>
          </w:p>
        </w:tc>
        <w:tc>
          <w:tcPr>
            <w:tcW w:w="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48,639</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2,394</w:t>
            </w:r>
          </w:p>
        </w:tc>
        <w:tc>
          <w:tcPr>
            <w:tcW w:w="0" w:type="dxa"/>
            <w:vAlign w:val="bottom"/>
          </w:tcPr>
          <w:p>
            <w:pPr>
              <w:spacing w:after="0"/>
              <w:rPr>
                <w:sz w:val="1"/>
                <w:szCs w:val="1"/>
                <w:color w:val="auto"/>
              </w:rPr>
            </w:pPr>
          </w:p>
        </w:tc>
      </w:tr>
      <w:tr>
        <w:trPr>
          <w:trHeight w:val="230"/>
        </w:trPr>
        <w:tc>
          <w:tcPr>
            <w:tcW w:w="8160" w:type="dxa"/>
            <w:vAlign w:val="bottom"/>
            <w:gridSpan w:val="3"/>
          </w:tcPr>
          <w:p>
            <w:pPr>
              <w:spacing w:after="0"/>
              <w:rPr>
                <w:sz w:val="20"/>
                <w:szCs w:val="20"/>
                <w:color w:val="auto"/>
              </w:rPr>
            </w:pPr>
            <w:r>
              <w:rPr>
                <w:rFonts w:ascii="Arial" w:cs="Arial" w:eastAsia="Arial" w:hAnsi="Arial"/>
                <w:sz w:val="16"/>
                <w:szCs w:val="16"/>
                <w:color w:val="auto"/>
              </w:rPr>
              <w:t>PROPERTY AND EQUIPMENT, net</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211,555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173,343</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158,739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159,556</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1,331,643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1,331,643</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6"/>
                <w:szCs w:val="16"/>
                <w:color w:val="auto"/>
              </w:rPr>
              <w:t>OTHER INTANGIBLE ASSETS, net</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1,032,874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1,032,635</w:t>
            </w:r>
          </w:p>
        </w:tc>
        <w:tc>
          <w:tcPr>
            <w:tcW w:w="0" w:type="dxa"/>
            <w:vAlign w:val="bottom"/>
          </w:tcPr>
          <w:p>
            <w:pPr>
              <w:spacing w:after="0"/>
              <w:rPr>
                <w:sz w:val="1"/>
                <w:szCs w:val="1"/>
                <w:color w:val="auto"/>
              </w:rPr>
            </w:pPr>
          </w:p>
        </w:tc>
      </w:tr>
      <w:tr>
        <w:trPr>
          <w:trHeight w:val="209"/>
        </w:trPr>
        <w:tc>
          <w:tcPr>
            <w:tcW w:w="8160" w:type="dxa"/>
            <w:vAlign w:val="bottom"/>
            <w:gridSpan w:val="3"/>
          </w:tcPr>
          <w:p>
            <w:pPr>
              <w:spacing w:after="0"/>
              <w:rPr>
                <w:sz w:val="20"/>
                <w:szCs w:val="20"/>
                <w:color w:val="auto"/>
              </w:rPr>
            </w:pPr>
            <w:r>
              <w:rPr>
                <w:rFonts w:ascii="Arial" w:cs="Arial" w:eastAsia="Arial" w:hAnsi="Arial"/>
                <w:sz w:val="16"/>
                <w:szCs w:val="16"/>
                <w:color w:val="auto"/>
              </w:rPr>
              <w:t>OTHER ASSETS</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20,602</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21,630</w:t>
            </w: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6000" w:type="dxa"/>
            <w:vAlign w:val="bottom"/>
            <w:gridSpan w:val="2"/>
          </w:tcPr>
          <w:p>
            <w:pPr>
              <w:jc w:val="center"/>
              <w:ind w:right="2460"/>
              <w:spacing w:after="0"/>
              <w:rPr>
                <w:sz w:val="20"/>
                <w:szCs w:val="20"/>
                <w:color w:val="auto"/>
              </w:rPr>
            </w:pPr>
            <w:r>
              <w:rPr>
                <w:rFonts w:ascii="Arial" w:cs="Arial" w:eastAsia="Arial" w:hAnsi="Arial"/>
                <w:sz w:val="16"/>
                <w:szCs w:val="16"/>
                <w:b w:val="1"/>
                <w:bCs w:val="1"/>
                <w:color w:val="auto"/>
                <w:w w:val="86"/>
              </w:rPr>
              <w:t>Total Assets</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4,684,131</w:t>
            </w:r>
          </w:p>
        </w:tc>
        <w:tc>
          <w:tcPr>
            <w:tcW w:w="280" w:type="dxa"/>
            <w:vAlign w:val="bottom"/>
          </w:tcPr>
          <w:p>
            <w:pPr>
              <w:spacing w:after="0"/>
              <w:rPr>
                <w:sz w:val="17"/>
                <w:szCs w:val="17"/>
                <w:color w:val="auto"/>
              </w:rPr>
            </w:pP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4,153,471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5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246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160" w:type="dxa"/>
            <w:vAlign w:val="bottom"/>
          </w:tcPr>
          <w:p>
            <w:pPr>
              <w:spacing w:after="0"/>
              <w:rPr>
                <w:sz w:val="24"/>
                <w:szCs w:val="24"/>
                <w:color w:val="auto"/>
              </w:rPr>
            </w:pPr>
          </w:p>
        </w:tc>
        <w:tc>
          <w:tcPr>
            <w:tcW w:w="3540" w:type="dxa"/>
            <w:vAlign w:val="bottom"/>
            <w:tcBorders>
              <w:bottom w:val="single" w:sz="8" w:color="auto"/>
            </w:tcBorders>
            <w:vMerge w:val="continue"/>
          </w:tcPr>
          <w:p>
            <w:pPr>
              <w:spacing w:after="0"/>
              <w:rPr>
                <w:sz w:val="24"/>
                <w:szCs w:val="24"/>
                <w:color w:val="auto"/>
              </w:rPr>
            </w:pPr>
          </w:p>
        </w:tc>
        <w:tc>
          <w:tcPr>
            <w:tcW w:w="24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8160" w:type="dxa"/>
            <w:vAlign w:val="bottom"/>
            <w:gridSpan w:val="3"/>
          </w:tcPr>
          <w:p>
            <w:pPr>
              <w:spacing w:after="0"/>
              <w:rPr>
                <w:sz w:val="20"/>
                <w:szCs w:val="20"/>
                <w:color w:val="auto"/>
              </w:rPr>
            </w:pPr>
            <w:r>
              <w:rPr>
                <w:rFonts w:ascii="Arial" w:cs="Arial" w:eastAsia="Arial" w:hAnsi="Arial"/>
                <w:sz w:val="16"/>
                <w:szCs w:val="16"/>
                <w:color w:val="auto"/>
              </w:rPr>
              <w:t>CURRENT LIABILITIES:</w:t>
            </w: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16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242,667</w:t>
            </w:r>
          </w:p>
        </w:tc>
        <w:tc>
          <w:tcPr>
            <w:tcW w:w="280" w:type="dxa"/>
            <w:vAlign w:val="bottom"/>
          </w:tcPr>
          <w:p>
            <w:pPr>
              <w:spacing w:after="0"/>
              <w:rPr>
                <w:sz w:val="19"/>
                <w:szCs w:val="19"/>
                <w:color w:val="auto"/>
              </w:rPr>
            </w:pP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193,270</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100,801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79,526</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6"/>
                <w:szCs w:val="16"/>
                <w:color w:val="auto"/>
              </w:rPr>
              <w:t>Accrued promotional allowances</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141,483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110,237</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6"/>
                <w:szCs w:val="16"/>
                <w:color w:val="auto"/>
              </w:rPr>
              <w:t>Accrued distributor terminations</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8,184</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43,946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41,672</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6"/>
                <w:szCs w:val="16"/>
                <w:color w:val="auto"/>
              </w:rPr>
              <w:t>Accrued compensation</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23,022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30,043</w:t>
            </w:r>
          </w:p>
        </w:tc>
        <w:tc>
          <w:tcPr>
            <w:tcW w:w="0" w:type="dxa"/>
            <w:vAlign w:val="bottom"/>
          </w:tcPr>
          <w:p>
            <w:pPr>
              <w:spacing w:after="0"/>
              <w:rPr>
                <w:sz w:val="1"/>
                <w:szCs w:val="1"/>
                <w:color w:val="auto"/>
              </w:rPr>
            </w:pPr>
          </w:p>
        </w:tc>
      </w:tr>
      <w:tr>
        <w:trPr>
          <w:trHeight w:val="209"/>
        </w:trPr>
        <w:tc>
          <w:tcPr>
            <w:tcW w:w="8160" w:type="dxa"/>
            <w:vAlign w:val="bottom"/>
            <w:gridSpan w:val="3"/>
          </w:tcPr>
          <w:p>
            <w:pPr>
              <w:spacing w:after="0"/>
              <w:rPr>
                <w:sz w:val="20"/>
                <w:szCs w:val="20"/>
                <w:color w:val="auto"/>
              </w:rPr>
            </w:pPr>
            <w:r>
              <w:rPr>
                <w:rFonts w:ascii="Arial" w:cs="Arial" w:eastAsia="Arial" w:hAnsi="Arial"/>
                <w:sz w:val="16"/>
                <w:szCs w:val="16"/>
                <w:color w:val="auto"/>
              </w:rPr>
              <w:t>Income taxes payable</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8,951</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7,657</w:t>
            </w:r>
          </w:p>
        </w:tc>
        <w:tc>
          <w:tcPr>
            <w:tcW w:w="0" w:type="dxa"/>
            <w:vAlign w:val="bottom"/>
          </w:tcPr>
          <w:p>
            <w:pPr>
              <w:spacing w:after="0"/>
              <w:rPr>
                <w:sz w:val="1"/>
                <w:szCs w:val="1"/>
                <w:color w:val="auto"/>
              </w:rPr>
            </w:pPr>
          </w:p>
        </w:tc>
      </w:tr>
      <w:tr>
        <w:trPr>
          <w:trHeight w:val="217"/>
        </w:trPr>
        <w:tc>
          <w:tcPr>
            <w:tcW w:w="8160" w:type="dxa"/>
            <w:vAlign w:val="bottom"/>
            <w:gridSpan w:val="3"/>
          </w:tcPr>
          <w:p>
            <w:pPr>
              <w:ind w:left="180"/>
              <w:spacing w:after="0"/>
              <w:rPr>
                <w:sz w:val="20"/>
                <w:szCs w:val="20"/>
                <w:color w:val="auto"/>
              </w:rPr>
            </w:pPr>
            <w:r>
              <w:rPr>
                <w:rFonts w:ascii="Arial" w:cs="Arial" w:eastAsia="Arial" w:hAnsi="Arial"/>
                <w:sz w:val="16"/>
                <w:szCs w:val="16"/>
                <w:color w:val="auto"/>
              </w:rPr>
              <w:t>Total current liabilities</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561,171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470,589</w:t>
            </w:r>
          </w:p>
        </w:tc>
        <w:tc>
          <w:tcPr>
            <w:tcW w:w="0" w:type="dxa"/>
            <w:vAlign w:val="bottom"/>
          </w:tcPr>
          <w:p>
            <w:pPr>
              <w:spacing w:after="0"/>
              <w:rPr>
                <w:sz w:val="1"/>
                <w:szCs w:val="1"/>
                <w:color w:val="auto"/>
              </w:rPr>
            </w:pPr>
          </w:p>
        </w:tc>
      </w:tr>
      <w:tr>
        <w:trPr>
          <w:trHeight w:val="284"/>
        </w:trPr>
        <w:tc>
          <w:tcPr>
            <w:tcW w:w="816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346,943</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353,173</w:t>
            </w:r>
          </w:p>
        </w:tc>
        <w:tc>
          <w:tcPr>
            <w:tcW w:w="0" w:type="dxa"/>
            <w:vAlign w:val="bottom"/>
          </w:tcPr>
          <w:p>
            <w:pPr>
              <w:spacing w:after="0"/>
              <w:rPr>
                <w:sz w:val="1"/>
                <w:szCs w:val="1"/>
                <w:color w:val="auto"/>
              </w:rPr>
            </w:pPr>
          </w:p>
        </w:tc>
      </w:tr>
      <w:tr>
        <w:trPr>
          <w:trHeight w:val="297"/>
        </w:trPr>
        <w:tc>
          <w:tcPr>
            <w:tcW w:w="8160" w:type="dxa"/>
            <w:vAlign w:val="bottom"/>
            <w:gridSpan w:val="3"/>
          </w:tcPr>
          <w:p>
            <w:pPr>
              <w:spacing w:after="0"/>
              <w:rPr>
                <w:sz w:val="20"/>
                <w:szCs w:val="20"/>
                <w:color w:val="auto"/>
              </w:rPr>
            </w:pPr>
            <w:r>
              <w:rPr>
                <w:rFonts w:ascii="Arial" w:cs="Arial" w:eastAsia="Arial" w:hAnsi="Arial"/>
                <w:sz w:val="16"/>
                <w:szCs w:val="16"/>
                <w:color w:val="auto"/>
              </w:rPr>
              <w:t>COMMITMENTS AND CONTINGENCIES (Note 10)</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6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160" w:type="dxa"/>
            <w:vAlign w:val="bottom"/>
            <w:gridSpan w:val="3"/>
          </w:tcPr>
          <w:p>
            <w:pPr>
              <w:spacing w:after="0"/>
              <w:rPr>
                <w:sz w:val="20"/>
                <w:szCs w:val="20"/>
                <w:color w:val="auto"/>
              </w:rPr>
            </w:pPr>
            <w:r>
              <w:rPr>
                <w:rFonts w:ascii="Arial" w:cs="Arial" w:eastAsia="Arial" w:hAnsi="Arial"/>
                <w:sz w:val="16"/>
                <w:szCs w:val="16"/>
                <w:color w:val="auto"/>
              </w:rPr>
              <w:t>Common stock - $0.005 par value; 1,250,000 shares authorized;</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160" w:type="dxa"/>
            <w:vAlign w:val="bottom"/>
            <w:gridSpan w:val="3"/>
          </w:tcPr>
          <w:p>
            <w:pPr>
              <w:ind w:left="180"/>
              <w:spacing w:after="0"/>
              <w:rPr>
                <w:sz w:val="20"/>
                <w:szCs w:val="20"/>
                <w:color w:val="auto"/>
              </w:rPr>
            </w:pPr>
            <w:r>
              <w:rPr>
                <w:rFonts w:ascii="Arial" w:cs="Arial" w:eastAsia="Arial" w:hAnsi="Arial"/>
                <w:sz w:val="16"/>
                <w:szCs w:val="16"/>
                <w:color w:val="auto"/>
              </w:rPr>
              <w:t>624,762 shares issued and 568,121 outstanding as of June 30, 2017;</w:t>
            </w: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60" w:type="dxa"/>
            <w:vAlign w:val="bottom"/>
            <w:gridSpan w:val="3"/>
          </w:tcPr>
          <w:p>
            <w:pPr>
              <w:ind w:left="180"/>
              <w:spacing w:after="0"/>
              <w:rPr>
                <w:sz w:val="20"/>
                <w:szCs w:val="20"/>
                <w:color w:val="auto"/>
              </w:rPr>
            </w:pPr>
            <w:r>
              <w:rPr>
                <w:rFonts w:ascii="Arial" w:cs="Arial" w:eastAsia="Arial" w:hAnsi="Arial"/>
                <w:sz w:val="16"/>
                <w:szCs w:val="16"/>
                <w:color w:val="auto"/>
              </w:rPr>
              <w:t>623,201 shares issued and 566,566 outstanding as of December 31, 2016</w:t>
            </w:r>
          </w:p>
        </w:tc>
        <w:tc>
          <w:tcPr>
            <w:tcW w:w="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3,124</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3,116</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4,090,818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4,051,245</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6"/>
                <w:szCs w:val="16"/>
                <w:color w:val="auto"/>
              </w:rPr>
              <w:t>Retained earnings</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2,508,161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2,107,548</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6"/>
                <w:szCs w:val="16"/>
                <w:color w:val="auto"/>
              </w:rPr>
              <w:t>Accumulated other comprehensive loss</w:t>
            </w:r>
          </w:p>
        </w:tc>
        <w:tc>
          <w:tcPr>
            <w:tcW w:w="4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(16,833)</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(23,249)</w:t>
            </w:r>
          </w:p>
        </w:tc>
        <w:tc>
          <w:tcPr>
            <w:tcW w:w="0" w:type="dxa"/>
            <w:vAlign w:val="bottom"/>
          </w:tcPr>
          <w:p>
            <w:pPr>
              <w:spacing w:after="0"/>
              <w:rPr>
                <w:sz w:val="1"/>
                <w:szCs w:val="1"/>
                <w:color w:val="auto"/>
              </w:rPr>
            </w:pPr>
          </w:p>
        </w:tc>
      </w:tr>
      <w:tr>
        <w:trPr>
          <w:trHeight w:val="212"/>
        </w:trPr>
        <w:tc>
          <w:tcPr>
            <w:tcW w:w="8160" w:type="dxa"/>
            <w:vAlign w:val="bottom"/>
            <w:gridSpan w:val="3"/>
          </w:tcPr>
          <w:p>
            <w:pPr>
              <w:spacing w:after="0"/>
              <w:rPr>
                <w:sz w:val="20"/>
                <w:szCs w:val="20"/>
                <w:color w:val="auto"/>
              </w:rPr>
            </w:pPr>
            <w:r>
              <w:rPr>
                <w:rFonts w:ascii="Arial" w:cs="Arial" w:eastAsia="Arial" w:hAnsi="Arial"/>
                <w:sz w:val="16"/>
                <w:szCs w:val="16"/>
                <w:color w:val="auto"/>
                <w:w w:val="99"/>
              </w:rPr>
              <w:t>Common stock in treasury, at cost; 56,641 shares and 56,635 shares as of June 30, 2017 and December 31, 2016,</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160" w:type="dxa"/>
            <w:vAlign w:val="bottom"/>
            <w:gridSpan w:val="3"/>
          </w:tcPr>
          <w:p>
            <w:pPr>
              <w:ind w:left="180"/>
              <w:spacing w:after="0"/>
              <w:rPr>
                <w:sz w:val="20"/>
                <w:szCs w:val="20"/>
                <w:color w:val="auto"/>
              </w:rPr>
            </w:pPr>
            <w:r>
              <w:rPr>
                <w:rFonts w:ascii="Arial" w:cs="Arial" w:eastAsia="Arial" w:hAnsi="Arial"/>
                <w:sz w:val="16"/>
                <w:szCs w:val="16"/>
                <w:color w:val="auto"/>
              </w:rPr>
              <w:t>respectively</w:t>
            </w:r>
          </w:p>
        </w:tc>
        <w:tc>
          <w:tcPr>
            <w:tcW w:w="44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(2,809,253)</w:t>
            </w: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(2,808,951)</w:t>
            </w:r>
          </w:p>
        </w:tc>
        <w:tc>
          <w:tcPr>
            <w:tcW w:w="0" w:type="dxa"/>
            <w:vAlign w:val="bottom"/>
          </w:tcPr>
          <w:p>
            <w:pPr>
              <w:spacing w:after="0"/>
              <w:rPr>
                <w:sz w:val="1"/>
                <w:szCs w:val="1"/>
                <w:color w:val="auto"/>
              </w:rPr>
            </w:pPr>
          </w:p>
        </w:tc>
      </w:tr>
      <w:tr>
        <w:trPr>
          <w:trHeight w:val="210"/>
        </w:trPr>
        <w:tc>
          <w:tcPr>
            <w:tcW w:w="8160" w:type="dxa"/>
            <w:vAlign w:val="bottom"/>
            <w:gridSpan w:val="3"/>
          </w:tcPr>
          <w:p>
            <w:pPr>
              <w:ind w:left="180"/>
              <w:spacing w:after="0"/>
              <w:rPr>
                <w:sz w:val="20"/>
                <w:szCs w:val="20"/>
                <w:color w:val="auto"/>
              </w:rPr>
            </w:pPr>
            <w:r>
              <w:rPr>
                <w:rFonts w:ascii="Arial" w:cs="Arial" w:eastAsia="Arial" w:hAnsi="Arial"/>
                <w:sz w:val="16"/>
                <w:szCs w:val="16"/>
                <w:color w:val="auto"/>
              </w:rPr>
              <w:t>Total stockholders’ equity</w:t>
            </w:r>
          </w:p>
        </w:tc>
        <w:tc>
          <w:tcPr>
            <w:tcW w:w="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3,776,017</w:t>
            </w:r>
          </w:p>
        </w:tc>
        <w:tc>
          <w:tcPr>
            <w:tcW w:w="2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3,329,709</w:t>
            </w: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6000" w:type="dxa"/>
            <w:vAlign w:val="bottom"/>
            <w:gridSpan w:val="2"/>
          </w:tcPr>
          <w:p>
            <w:pPr>
              <w:jc w:val="center"/>
              <w:ind w:right="246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4,684,131</w:t>
            </w:r>
          </w:p>
        </w:tc>
        <w:tc>
          <w:tcPr>
            <w:tcW w:w="280" w:type="dxa"/>
            <w:vAlign w:val="bottom"/>
          </w:tcPr>
          <w:p>
            <w:pPr>
              <w:spacing w:after="0"/>
              <w:rPr>
                <w:sz w:val="17"/>
                <w:szCs w:val="17"/>
                <w:color w:val="auto"/>
              </w:rPr>
            </w:pP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4,153,471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STATEMENTS OF INCOME</w:t>
      </w:r>
    </w:p>
    <w:p>
      <w:pPr>
        <w:ind w:right="4940"/>
        <w:spacing w:after="0" w:line="244" w:lineRule="auto"/>
        <w:rPr>
          <w:sz w:val="20"/>
          <w:szCs w:val="20"/>
          <w:color w:val="auto"/>
        </w:rPr>
      </w:pPr>
      <w:r>
        <w:rPr>
          <w:rFonts w:ascii="Arial" w:cs="Arial" w:eastAsia="Arial" w:hAnsi="Arial"/>
          <w:sz w:val="20"/>
          <w:szCs w:val="20"/>
          <w:b w:val="1"/>
          <w:bCs w:val="1"/>
          <w:color w:val="auto"/>
        </w:rPr>
        <w:t>FOR THE THREE- AND SIX-MONTHS ENDED JUNE 30, 2017 AND 2016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Three-Months Ended</w:t>
            </w:r>
          </w:p>
        </w:tc>
        <w:tc>
          <w:tcPr>
            <w:tcW w:w="320" w:type="dxa"/>
            <w:vAlign w:val="bottom"/>
          </w:tcPr>
          <w:p>
            <w:pPr>
              <w:spacing w:after="0"/>
              <w:rPr>
                <w:sz w:val="18"/>
                <w:szCs w:val="18"/>
                <w:color w:val="auto"/>
              </w:rPr>
            </w:pPr>
          </w:p>
        </w:tc>
        <w:tc>
          <w:tcPr>
            <w:tcW w:w="248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rPr>
              <w:t>Six-Months Ended</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26"/>
        </w:trPr>
        <w:tc>
          <w:tcPr>
            <w:tcW w:w="5680" w:type="dxa"/>
            <w:vAlign w:val="bottom"/>
          </w:tcPr>
          <w:p>
            <w:pPr>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907,068</w:t>
            </w:r>
          </w:p>
        </w:tc>
        <w:tc>
          <w:tcPr>
            <w:tcW w:w="220" w:type="dxa"/>
            <w:vAlign w:val="bottom"/>
          </w:tcPr>
          <w:p>
            <w:pPr>
              <w:spacing w:after="0"/>
              <w:rPr>
                <w:sz w:val="24"/>
                <w:szCs w:val="24"/>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827,488</w:t>
            </w:r>
          </w:p>
        </w:tc>
        <w:tc>
          <w:tcPr>
            <w:tcW w:w="220" w:type="dxa"/>
            <w:vAlign w:val="bottom"/>
          </w:tcPr>
          <w:p>
            <w:pPr>
              <w:spacing w:after="0"/>
              <w:rPr>
                <w:sz w:val="24"/>
                <w:szCs w:val="24"/>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1,649,214</w:t>
            </w:r>
          </w:p>
        </w:tc>
        <w:tc>
          <w:tcPr>
            <w:tcW w:w="220" w:type="dxa"/>
            <w:vAlign w:val="bottom"/>
          </w:tcPr>
          <w:p>
            <w:pPr>
              <w:spacing w:after="0"/>
              <w:rPr>
                <w:sz w:val="24"/>
                <w:szCs w:val="24"/>
                <w:color w:val="auto"/>
              </w:rPr>
            </w:pP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1,507,674</w:t>
            </w:r>
          </w:p>
        </w:tc>
        <w:tc>
          <w:tcPr>
            <w:tcW w:w="0" w:type="dxa"/>
            <w:vAlign w:val="bottom"/>
          </w:tcPr>
          <w:p>
            <w:pPr>
              <w:spacing w:after="0"/>
              <w:rPr>
                <w:sz w:val="1"/>
                <w:szCs w:val="1"/>
                <w:color w:val="auto"/>
              </w:rPr>
            </w:pPr>
          </w:p>
        </w:tc>
      </w:tr>
      <w:tr>
        <w:trPr>
          <w:trHeight w:val="432"/>
        </w:trPr>
        <w:tc>
          <w:tcPr>
            <w:tcW w:w="568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323,571</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309,674</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584,843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566,762</w:t>
            </w:r>
          </w:p>
        </w:tc>
        <w:tc>
          <w:tcPr>
            <w:tcW w:w="0" w:type="dxa"/>
            <w:vAlign w:val="bottom"/>
          </w:tcPr>
          <w:p>
            <w:pPr>
              <w:spacing w:after="0"/>
              <w:rPr>
                <w:sz w:val="1"/>
                <w:szCs w:val="1"/>
                <w:color w:val="auto"/>
              </w:rPr>
            </w:pPr>
          </w:p>
        </w:tc>
      </w:tr>
      <w:tr>
        <w:trPr>
          <w:trHeight w:val="426"/>
        </w:trPr>
        <w:tc>
          <w:tcPr>
            <w:tcW w:w="568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583,497</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517,814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1,064,371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940,912</w:t>
            </w:r>
          </w:p>
        </w:tc>
        <w:tc>
          <w:tcPr>
            <w:tcW w:w="0" w:type="dxa"/>
            <w:vAlign w:val="bottom"/>
          </w:tcPr>
          <w:p>
            <w:pPr>
              <w:spacing w:after="0"/>
              <w:rPr>
                <w:sz w:val="1"/>
                <w:szCs w:val="1"/>
                <w:color w:val="auto"/>
              </w:rPr>
            </w:pPr>
          </w:p>
        </w:tc>
      </w:tr>
      <w:tr>
        <w:trPr>
          <w:trHeight w:val="432"/>
        </w:trPr>
        <w:tc>
          <w:tcPr>
            <w:tcW w:w="568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233,456</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229,291</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450,068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397,675</w:t>
            </w:r>
          </w:p>
        </w:tc>
        <w:tc>
          <w:tcPr>
            <w:tcW w:w="0" w:type="dxa"/>
            <w:vAlign w:val="bottom"/>
          </w:tcPr>
          <w:p>
            <w:pPr>
              <w:spacing w:after="0"/>
              <w:rPr>
                <w:sz w:val="1"/>
                <w:szCs w:val="1"/>
                <w:color w:val="auto"/>
              </w:rPr>
            </w:pPr>
          </w:p>
        </w:tc>
      </w:tr>
      <w:tr>
        <w:trPr>
          <w:trHeight w:val="426"/>
        </w:trPr>
        <w:tc>
          <w:tcPr>
            <w:tcW w:w="568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350,041</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288,523</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614,303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543,237</w:t>
            </w:r>
          </w:p>
        </w:tc>
        <w:tc>
          <w:tcPr>
            <w:tcW w:w="0" w:type="dxa"/>
            <w:vAlign w:val="bottom"/>
          </w:tcPr>
          <w:p>
            <w:pPr>
              <w:spacing w:after="0"/>
              <w:rPr>
                <w:sz w:val="1"/>
                <w:szCs w:val="1"/>
                <w:color w:val="auto"/>
              </w:rPr>
            </w:pPr>
          </w:p>
        </w:tc>
      </w:tr>
      <w:tr>
        <w:trPr>
          <w:trHeight w:val="432"/>
        </w:trPr>
        <w:tc>
          <w:tcPr>
            <w:tcW w:w="568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3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(2,551)</w:t>
            </w:r>
          </w:p>
        </w:tc>
        <w:tc>
          <w:tcPr>
            <w:tcW w:w="3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(1,893)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426"/>
        </w:trPr>
        <w:tc>
          <w:tcPr>
            <w:tcW w:w="56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347,490</w:t>
            </w: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288,301</w:t>
            </w: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612,410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543,623</w:t>
            </w:r>
          </w:p>
        </w:tc>
        <w:tc>
          <w:tcPr>
            <w:tcW w:w="0" w:type="dxa"/>
            <w:vAlign w:val="bottom"/>
          </w:tcPr>
          <w:p>
            <w:pPr>
              <w:spacing w:after="0"/>
              <w:rPr>
                <w:sz w:val="1"/>
                <w:szCs w:val="1"/>
                <w:color w:val="auto"/>
              </w:rPr>
            </w:pPr>
          </w:p>
        </w:tc>
      </w:tr>
      <w:tr>
        <w:trPr>
          <w:trHeight w:val="432"/>
        </w:trPr>
        <w:tc>
          <w:tcPr>
            <w:tcW w:w="5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124,857</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104,082</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211,797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195,526</w:t>
            </w:r>
          </w:p>
        </w:tc>
        <w:tc>
          <w:tcPr>
            <w:tcW w:w="0" w:type="dxa"/>
            <w:vAlign w:val="bottom"/>
          </w:tcPr>
          <w:p>
            <w:pPr>
              <w:spacing w:after="0"/>
              <w:rPr>
                <w:sz w:val="1"/>
                <w:szCs w:val="1"/>
                <w:color w:val="auto"/>
              </w:rPr>
            </w:pPr>
          </w:p>
        </w:tc>
      </w:tr>
      <w:tr>
        <w:trPr>
          <w:trHeight w:val="426"/>
        </w:trPr>
        <w:tc>
          <w:tcPr>
            <w:tcW w:w="568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222,633</w:t>
            </w:r>
          </w:p>
        </w:tc>
        <w:tc>
          <w:tcPr>
            <w:tcW w:w="220" w:type="dxa"/>
            <w:vAlign w:val="bottom"/>
          </w:tcPr>
          <w:p>
            <w:pPr>
              <w:spacing w:after="0"/>
              <w:rPr>
                <w:sz w:val="24"/>
                <w:szCs w:val="24"/>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184,219</w:t>
            </w:r>
          </w:p>
        </w:tc>
        <w:tc>
          <w:tcPr>
            <w:tcW w:w="220" w:type="dxa"/>
            <w:vAlign w:val="bottom"/>
          </w:tcPr>
          <w:p>
            <w:pPr>
              <w:spacing w:after="0"/>
              <w:rPr>
                <w:sz w:val="24"/>
                <w:szCs w:val="24"/>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400,613</w:t>
            </w:r>
          </w:p>
        </w:tc>
        <w:tc>
          <w:tcPr>
            <w:tcW w:w="220" w:type="dxa"/>
            <w:vAlign w:val="bottom"/>
          </w:tcPr>
          <w:p>
            <w:pPr>
              <w:spacing w:after="0"/>
              <w:rPr>
                <w:sz w:val="24"/>
                <w:szCs w:val="24"/>
                <w:color w:val="auto"/>
              </w:rPr>
            </w:pP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348,097</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20"/>
                <w:szCs w:val="20"/>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20" w:type="dxa"/>
            <w:vAlign w:val="bottom"/>
          </w:tcPr>
          <w:p>
            <w:pPr>
              <w:spacing w:after="0"/>
              <w:rPr>
                <w:sz w:val="20"/>
                <w:szCs w:val="20"/>
                <w:color w:val="auto"/>
              </w:rPr>
            </w:pPr>
          </w:p>
        </w:tc>
        <w:tc>
          <w:tcPr>
            <w:tcW w:w="34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0.39</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0.30</w:t>
            </w:r>
          </w:p>
        </w:tc>
        <w:tc>
          <w:tcPr>
            <w:tcW w:w="220" w:type="dxa"/>
            <w:vAlign w:val="bottom"/>
          </w:tcPr>
          <w:p>
            <w:pPr>
              <w:spacing w:after="0"/>
              <w:rPr>
                <w:sz w:val="17"/>
                <w:szCs w:val="17"/>
                <w:color w:val="auto"/>
              </w:rPr>
            </w:pPr>
          </w:p>
        </w:tc>
        <w:tc>
          <w:tcPr>
            <w:tcW w:w="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0.69</w:t>
            </w:r>
          </w:p>
        </w:tc>
        <w:tc>
          <w:tcPr>
            <w:tcW w:w="2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w w:val="99"/>
              </w:rPr>
              <w:t>WEIGHTED AVERAGE NUMBER OF SHARES OF COMMON STOCK</w:t>
            </w: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AND COMMON STOCK EQUIVALENTS: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567,910</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602,937</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567,384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605,886</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130" w:right="239" w:bottom="0" w:gutter="0" w:footer="0" w:header="0"/>
        </w:sectPr>
      </w:pPr>
    </w:p>
    <w:bookmarkStart w:id="3" w:name="page4"/>
    <w:bookmarkEnd w:id="3"/>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Diluted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578,020</w:t>
            </w:r>
          </w:p>
        </w:tc>
        <w:tc>
          <w:tcPr>
            <w:tcW w:w="2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614,904</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577,719</w:t>
            </w:r>
          </w:p>
        </w:tc>
        <w:tc>
          <w:tcPr>
            <w:tcW w:w="22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617,844</w:t>
            </w:r>
          </w:p>
        </w:tc>
      </w:tr>
      <w:tr>
        <w:trPr>
          <w:trHeight w:val="20"/>
        </w:trPr>
        <w:tc>
          <w:tcPr>
            <w:tcW w:w="5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120"/>
        <w:spacing w:after="0" w:line="241" w:lineRule="auto"/>
        <w:rPr>
          <w:sz w:val="20"/>
          <w:szCs w:val="20"/>
          <w:color w:val="auto"/>
        </w:rPr>
      </w:pPr>
      <w:r>
        <w:rPr>
          <w:rFonts w:ascii="Arial" w:cs="Arial" w:eastAsia="Arial" w:hAnsi="Arial"/>
          <w:sz w:val="20"/>
          <w:szCs w:val="20"/>
          <w:b w:val="1"/>
          <w:bCs w:val="1"/>
          <w:color w:val="auto"/>
        </w:rPr>
        <w:t>CONDENSED CONSOLIDATED STATEMENTS OF COMPREHENSIVE INCOME FOR THE THREE- AND SIX-MONTHS ENDED JUNE 30, 2017 AND 2016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5"/>
          </w:tcPr>
          <w:p>
            <w:pPr>
              <w:ind w:left="200"/>
              <w:spacing w:after="0"/>
              <w:rPr>
                <w:sz w:val="20"/>
                <w:szCs w:val="20"/>
                <w:color w:val="auto"/>
              </w:rPr>
            </w:pPr>
            <w:r>
              <w:rPr>
                <w:rFonts w:ascii="Arial" w:cs="Arial" w:eastAsia="Arial" w:hAnsi="Arial"/>
                <w:sz w:val="20"/>
                <w:szCs w:val="20"/>
                <w:color w:val="auto"/>
              </w:rPr>
              <w:t>Three-Months Ended</w:t>
            </w:r>
          </w:p>
        </w:tc>
        <w:tc>
          <w:tcPr>
            <w:tcW w:w="320" w:type="dxa"/>
            <w:vAlign w:val="bottom"/>
          </w:tcPr>
          <w:p>
            <w:pPr>
              <w:spacing w:after="0"/>
              <w:rPr>
                <w:sz w:val="19"/>
                <w:szCs w:val="19"/>
                <w:color w:val="auto"/>
              </w:rPr>
            </w:pPr>
          </w:p>
        </w:tc>
        <w:tc>
          <w:tcPr>
            <w:tcW w:w="2480" w:type="dxa"/>
            <w:vAlign w:val="bottom"/>
            <w:gridSpan w:val="4"/>
          </w:tcPr>
          <w:p>
            <w:pPr>
              <w:jc w:val="right"/>
              <w:ind w:right="561"/>
              <w:spacing w:after="0"/>
              <w:rPr>
                <w:sz w:val="20"/>
                <w:szCs w:val="20"/>
                <w:color w:val="auto"/>
              </w:rPr>
            </w:pPr>
            <w:r>
              <w:rPr>
                <w:rFonts w:ascii="Arial" w:cs="Arial" w:eastAsia="Arial" w:hAnsi="Arial"/>
                <w:sz w:val="20"/>
                <w:szCs w:val="20"/>
                <w:color w:val="auto"/>
              </w:rPr>
              <w:t>Six-Months Ended</w:t>
            </w:r>
          </w:p>
        </w:tc>
        <w:tc>
          <w:tcPr>
            <w:tcW w:w="0" w:type="dxa"/>
            <w:vAlign w:val="bottom"/>
          </w:tcPr>
          <w:p>
            <w:pPr>
              <w:spacing w:after="0"/>
              <w:rPr>
                <w:sz w:val="1"/>
                <w:szCs w:val="1"/>
                <w:color w:val="auto"/>
              </w:rPr>
            </w:pPr>
          </w:p>
        </w:tc>
      </w:tr>
      <w:tr>
        <w:trPr>
          <w:trHeight w:val="246"/>
        </w:trPr>
        <w:tc>
          <w:tcPr>
            <w:tcW w:w="56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June 30,</w:t>
            </w: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June 30,</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vMerge w:val="restart"/>
          </w:tcPr>
          <w:p>
            <w:pPr>
              <w:spacing w:after="0"/>
              <w:rPr>
                <w:sz w:val="20"/>
                <w:szCs w:val="20"/>
                <w:color w:val="auto"/>
              </w:rPr>
            </w:pPr>
            <w:r>
              <w:rPr>
                <w:rFonts w:ascii="Arial" w:cs="Arial" w:eastAsia="Arial" w:hAnsi="Arial"/>
                <w:sz w:val="20"/>
                <w:szCs w:val="20"/>
                <w:color w:val="auto"/>
              </w:rPr>
              <w:t>Net income, as reported</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2017</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rPr>
              <w:t>2016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rPr>
              <w:t>2017</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20"/>
        </w:trPr>
        <w:tc>
          <w:tcPr>
            <w:tcW w:w="5660" w:type="dxa"/>
            <w:vAlign w:val="bottom"/>
            <w:vMerge w:val="continue"/>
          </w:tcPr>
          <w:p>
            <w:pPr>
              <w:spacing w:after="0"/>
              <w:rPr>
                <w:sz w:val="19"/>
                <w:szCs w:val="19"/>
                <w:color w:val="auto"/>
              </w:rPr>
            </w:pPr>
          </w:p>
        </w:tc>
        <w:tc>
          <w:tcPr>
            <w:tcW w:w="320" w:type="dxa"/>
            <w:vAlign w:val="bottom"/>
          </w:tcPr>
          <w:p>
            <w:pPr>
              <w:jc w:val="right"/>
              <w:ind w:right="21"/>
              <w:spacing w:after="0" w:line="220"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20" w:lineRule="exact"/>
              <w:rPr>
                <w:sz w:val="20"/>
                <w:szCs w:val="20"/>
                <w:color w:val="auto"/>
              </w:rPr>
            </w:pPr>
            <w:r>
              <w:rPr>
                <w:rFonts w:ascii="Arial" w:cs="Arial" w:eastAsia="Arial" w:hAnsi="Arial"/>
                <w:sz w:val="20"/>
                <w:szCs w:val="20"/>
                <w:color w:val="auto"/>
              </w:rPr>
              <w:t>222,633</w:t>
            </w:r>
          </w:p>
        </w:tc>
        <w:tc>
          <w:tcPr>
            <w:tcW w:w="220" w:type="dxa"/>
            <w:vAlign w:val="bottom"/>
          </w:tcPr>
          <w:p>
            <w:pPr>
              <w:spacing w:after="0"/>
              <w:rPr>
                <w:sz w:val="19"/>
                <w:szCs w:val="19"/>
                <w:color w:val="auto"/>
              </w:rPr>
            </w:pPr>
          </w:p>
        </w:tc>
        <w:tc>
          <w:tcPr>
            <w:tcW w:w="320" w:type="dxa"/>
            <w:vAlign w:val="bottom"/>
          </w:tcPr>
          <w:p>
            <w:pPr>
              <w:jc w:val="right"/>
              <w:ind w:right="21"/>
              <w:spacing w:after="0" w:line="220"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20" w:lineRule="exact"/>
              <w:rPr>
                <w:sz w:val="20"/>
                <w:szCs w:val="20"/>
                <w:color w:val="auto"/>
              </w:rPr>
            </w:pPr>
            <w:r>
              <w:rPr>
                <w:rFonts w:ascii="Arial" w:cs="Arial" w:eastAsia="Arial" w:hAnsi="Arial"/>
                <w:sz w:val="20"/>
                <w:szCs w:val="20"/>
                <w:color w:val="auto"/>
              </w:rPr>
              <w:t>184,219</w:t>
            </w:r>
          </w:p>
        </w:tc>
        <w:tc>
          <w:tcPr>
            <w:tcW w:w="220" w:type="dxa"/>
            <w:vAlign w:val="bottom"/>
          </w:tcPr>
          <w:p>
            <w:pPr>
              <w:spacing w:after="0"/>
              <w:rPr>
                <w:sz w:val="19"/>
                <w:szCs w:val="19"/>
                <w:color w:val="auto"/>
              </w:rPr>
            </w:pPr>
          </w:p>
        </w:tc>
        <w:tc>
          <w:tcPr>
            <w:tcW w:w="320" w:type="dxa"/>
            <w:vAlign w:val="bottom"/>
          </w:tcPr>
          <w:p>
            <w:pPr>
              <w:jc w:val="right"/>
              <w:ind w:right="21"/>
              <w:spacing w:after="0" w:line="220" w:lineRule="exact"/>
              <w:rPr>
                <w:sz w:val="20"/>
                <w:szCs w:val="20"/>
                <w:color w:val="auto"/>
              </w:rPr>
            </w:pPr>
            <w:r>
              <w:rPr>
                <w:rFonts w:ascii="Arial" w:cs="Arial" w:eastAsia="Arial" w:hAnsi="Arial"/>
                <w:sz w:val="20"/>
                <w:szCs w:val="20"/>
                <w:color w:val="auto"/>
              </w:rPr>
              <w:t>$</w:t>
            </w:r>
          </w:p>
        </w:tc>
        <w:tc>
          <w:tcPr>
            <w:tcW w:w="960" w:type="dxa"/>
            <w:vAlign w:val="bottom"/>
          </w:tcPr>
          <w:p>
            <w:pPr>
              <w:jc w:val="right"/>
              <w:spacing w:after="0" w:line="220" w:lineRule="exact"/>
              <w:rPr>
                <w:sz w:val="20"/>
                <w:szCs w:val="20"/>
                <w:color w:val="auto"/>
              </w:rPr>
            </w:pPr>
            <w:r>
              <w:rPr>
                <w:rFonts w:ascii="Arial" w:cs="Arial" w:eastAsia="Arial" w:hAnsi="Arial"/>
                <w:sz w:val="20"/>
                <w:szCs w:val="20"/>
                <w:color w:val="auto"/>
              </w:rPr>
              <w:t>400,613</w:t>
            </w:r>
          </w:p>
        </w:tc>
        <w:tc>
          <w:tcPr>
            <w:tcW w:w="220" w:type="dxa"/>
            <w:vAlign w:val="bottom"/>
          </w:tcPr>
          <w:p>
            <w:pPr>
              <w:spacing w:after="0"/>
              <w:rPr>
                <w:sz w:val="19"/>
                <w:szCs w:val="19"/>
                <w:color w:val="auto"/>
              </w:rPr>
            </w:pPr>
          </w:p>
        </w:tc>
        <w:tc>
          <w:tcPr>
            <w:tcW w:w="340" w:type="dxa"/>
            <w:vAlign w:val="bottom"/>
          </w:tcPr>
          <w:p>
            <w:pPr>
              <w:jc w:val="right"/>
              <w:ind w:right="41"/>
              <w:spacing w:after="0" w:line="220" w:lineRule="exact"/>
              <w:rPr>
                <w:sz w:val="20"/>
                <w:szCs w:val="20"/>
                <w:color w:val="auto"/>
              </w:rPr>
            </w:pPr>
            <w:r>
              <w:rPr>
                <w:rFonts w:ascii="Arial" w:cs="Arial" w:eastAsia="Arial" w:hAnsi="Arial"/>
                <w:sz w:val="20"/>
                <w:szCs w:val="20"/>
                <w:color w:val="auto"/>
              </w:rPr>
              <w:t>$</w:t>
            </w:r>
          </w:p>
        </w:tc>
        <w:tc>
          <w:tcPr>
            <w:tcW w:w="960" w:type="dxa"/>
            <w:vAlign w:val="bottom"/>
          </w:tcPr>
          <w:p>
            <w:pPr>
              <w:jc w:val="right"/>
              <w:spacing w:after="0" w:line="220" w:lineRule="exact"/>
              <w:rPr>
                <w:sz w:val="20"/>
                <w:szCs w:val="20"/>
                <w:color w:val="auto"/>
              </w:rPr>
            </w:pPr>
            <w:r>
              <w:rPr>
                <w:rFonts w:ascii="Arial" w:cs="Arial" w:eastAsia="Arial" w:hAnsi="Arial"/>
                <w:sz w:val="20"/>
                <w:szCs w:val="20"/>
                <w:color w:val="auto"/>
              </w:rPr>
              <w:t>348,097</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20"/>
                <w:szCs w:val="20"/>
                <w:color w:val="auto"/>
              </w:rPr>
              <w:t>Other comprehensive income:</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180"/>
              <w:spacing w:after="0"/>
              <w:rPr>
                <w:sz w:val="20"/>
                <w:szCs w:val="20"/>
                <w:color w:val="auto"/>
              </w:rPr>
            </w:pPr>
            <w:r>
              <w:rPr>
                <w:rFonts w:ascii="Arial" w:cs="Arial" w:eastAsia="Arial" w:hAnsi="Arial"/>
                <w:sz w:val="20"/>
                <w:szCs w:val="20"/>
                <w:color w:val="auto"/>
              </w:rPr>
              <w:t>Change in foreign currency translation adjustment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5,111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966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6,311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7,401</w:t>
            </w:r>
          </w:p>
        </w:tc>
        <w:tc>
          <w:tcPr>
            <w:tcW w:w="0" w:type="dxa"/>
            <w:vAlign w:val="bottom"/>
          </w:tcPr>
          <w:p>
            <w:pPr>
              <w:spacing w:after="0"/>
              <w:rPr>
                <w:sz w:val="1"/>
                <w:szCs w:val="1"/>
                <w:color w:val="auto"/>
              </w:rPr>
            </w:pPr>
          </w:p>
        </w:tc>
      </w:tr>
      <w:tr>
        <w:trPr>
          <w:trHeight w:val="243"/>
        </w:trPr>
        <w:tc>
          <w:tcPr>
            <w:tcW w:w="5660" w:type="dxa"/>
            <w:vAlign w:val="bottom"/>
          </w:tcPr>
          <w:p>
            <w:pPr>
              <w:ind w:left="180"/>
              <w:spacing w:after="0"/>
              <w:rPr>
                <w:sz w:val="20"/>
                <w:szCs w:val="20"/>
                <w:color w:val="auto"/>
              </w:rPr>
            </w:pPr>
            <w:r>
              <w:rPr>
                <w:rFonts w:ascii="Arial" w:cs="Arial" w:eastAsia="Arial" w:hAnsi="Arial"/>
                <w:sz w:val="20"/>
                <w:szCs w:val="20"/>
                <w:color w:val="auto"/>
              </w:rPr>
              <w:t>Available-for-sale investments: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540"/>
              <w:spacing w:after="0"/>
              <w:rPr>
                <w:sz w:val="20"/>
                <w:szCs w:val="20"/>
                <w:color w:val="auto"/>
              </w:rPr>
            </w:pPr>
            <w:r>
              <w:rPr>
                <w:rFonts w:ascii="Arial" w:cs="Arial" w:eastAsia="Arial" w:hAnsi="Arial"/>
                <w:sz w:val="20"/>
                <w:szCs w:val="20"/>
                <w:color w:val="auto"/>
              </w:rPr>
              <w:t>Change in net unrealized (losses) gains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20"/>
                <w:szCs w:val="20"/>
                <w:color w:val="auto"/>
              </w:rPr>
              <w:t>(26)</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105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540"/>
              <w:spacing w:after="0"/>
              <w:rPr>
                <w:sz w:val="20"/>
                <w:szCs w:val="20"/>
                <w:color w:val="auto"/>
              </w:rPr>
            </w:pPr>
            <w:r>
              <w:rPr>
                <w:rFonts w:ascii="Arial" w:cs="Arial" w:eastAsia="Arial" w:hAnsi="Arial"/>
                <w:sz w:val="20"/>
                <w:szCs w:val="20"/>
                <w:color w:val="auto"/>
              </w:rPr>
              <w:t>Reclassification adjustment for net gains included in net</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660" w:type="dxa"/>
            <w:vAlign w:val="bottom"/>
          </w:tcPr>
          <w:p>
            <w:pPr>
              <w:ind w:left="720"/>
              <w:spacing w:after="0"/>
              <w:rPr>
                <w:sz w:val="20"/>
                <w:szCs w:val="20"/>
                <w:color w:val="auto"/>
              </w:rPr>
            </w:pPr>
            <w:r>
              <w:rPr>
                <w:rFonts w:ascii="Arial" w:cs="Arial" w:eastAsia="Arial" w:hAnsi="Arial"/>
                <w:sz w:val="20"/>
                <w:szCs w:val="20"/>
                <w:color w:val="auto"/>
              </w:rPr>
              <w:t>income</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5660" w:type="dxa"/>
            <w:vAlign w:val="bottom"/>
          </w:tcPr>
          <w:p>
            <w:pPr>
              <w:ind w:left="540"/>
              <w:spacing w:after="0"/>
              <w:rPr>
                <w:sz w:val="20"/>
                <w:szCs w:val="20"/>
                <w:color w:val="auto"/>
              </w:rPr>
            </w:pPr>
            <w:r>
              <w:rPr>
                <w:rFonts w:ascii="Arial" w:cs="Arial" w:eastAsia="Arial" w:hAnsi="Arial"/>
                <w:sz w:val="20"/>
                <w:szCs w:val="20"/>
                <w:color w:val="auto"/>
              </w:rPr>
              <w:t>Net change in available-for-sale investments</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r>
              <w:rPr>
                <w:rFonts w:ascii="Arial" w:cs="Arial" w:eastAsia="Arial" w:hAnsi="Arial"/>
                <w:sz w:val="20"/>
                <w:szCs w:val="20"/>
                <w:color w:val="auto"/>
              </w:rPr>
              <w:t>Other comprehensive income</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5,085</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6,416</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7,401</w:t>
            </w: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r>
              <w:rPr>
                <w:rFonts w:ascii="Arial" w:cs="Arial" w:eastAsia="Arial" w:hAnsi="Arial"/>
                <w:sz w:val="20"/>
                <w:szCs w:val="20"/>
                <w:color w:val="auto"/>
              </w:rPr>
              <w:t>Comprehensive income</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227,718</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185,185</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407,029</w:t>
            </w:r>
          </w:p>
        </w:tc>
        <w:tc>
          <w:tcPr>
            <w:tcW w:w="220" w:type="dxa"/>
            <w:vAlign w:val="bottom"/>
          </w:tcPr>
          <w:p>
            <w:pPr>
              <w:spacing w:after="0"/>
              <w:rPr>
                <w:sz w:val="20"/>
                <w:szCs w:val="20"/>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355,498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4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SIX-MONTHS ENDED JUNE 30, 2017 AND 2016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6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Six-Months Ended</w:t>
            </w:r>
          </w:p>
        </w:tc>
        <w:tc>
          <w:tcPr>
            <w:tcW w:w="0" w:type="dxa"/>
            <w:vAlign w:val="bottom"/>
          </w:tcPr>
          <w:p>
            <w:pPr>
              <w:spacing w:after="0"/>
              <w:rPr>
                <w:sz w:val="1"/>
                <w:szCs w:val="1"/>
                <w:color w:val="auto"/>
              </w:rPr>
            </w:pPr>
          </w:p>
        </w:tc>
      </w:tr>
      <w:tr>
        <w:trPr>
          <w:trHeight w:val="142"/>
        </w:trPr>
        <w:tc>
          <w:tcPr>
            <w:tcW w:w="8160" w:type="dxa"/>
            <w:vAlign w:val="bottom"/>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June 30, 2017</w:t>
            </w:r>
          </w:p>
        </w:tc>
        <w:tc>
          <w:tcPr>
            <w:tcW w:w="2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w w:val="98"/>
              </w:rPr>
              <w:t>June 30, 2016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160" w:type="dxa"/>
            <w:vAlign w:val="bottom"/>
            <w:vMerge w:val="continue"/>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400,613</w:t>
            </w:r>
          </w:p>
        </w:tc>
        <w:tc>
          <w:tcPr>
            <w:tcW w:w="280" w:type="dxa"/>
            <w:vAlign w:val="bottom"/>
          </w:tcPr>
          <w:p>
            <w:pPr>
              <w:spacing w:after="0"/>
              <w:rPr>
                <w:sz w:val="14"/>
                <w:szCs w:val="14"/>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348,097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22,775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19,329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360"/>
              <w:spacing w:after="0"/>
              <w:rPr>
                <w:sz w:val="20"/>
                <w:szCs w:val="20"/>
                <w:color w:val="auto"/>
              </w:rPr>
            </w:pPr>
            <w:r>
              <w:rPr>
                <w:rFonts w:ascii="Arial" w:cs="Arial" w:eastAsia="Arial" w:hAnsi="Arial"/>
                <w:sz w:val="14"/>
                <w:szCs w:val="14"/>
                <w:color w:val="auto"/>
              </w:rPr>
              <w:t>Gain on disposal of property and equipment</w:t>
            </w:r>
          </w:p>
        </w:tc>
        <w:tc>
          <w:tcPr>
            <w:tcW w:w="22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(436)</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25,983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21,590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1,862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360"/>
              <w:spacing w:after="0"/>
              <w:rPr>
                <w:sz w:val="20"/>
                <w:szCs w:val="20"/>
                <w:color w:val="auto"/>
              </w:rPr>
            </w:pPr>
            <w:r>
              <w:rPr>
                <w:rFonts w:ascii="Arial" w:cs="Arial" w:eastAsia="Arial" w:hAnsi="Arial"/>
                <w:sz w:val="14"/>
                <w:szCs w:val="14"/>
                <w:color w:val="auto"/>
              </w:rPr>
              <w:t>Effect on cash of changes in operating assets and liabilities: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54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(75,178)</w:t>
            </w:r>
          </w:p>
        </w:tc>
        <w:tc>
          <w:tcPr>
            <w:tcW w:w="24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(103,303)</w:t>
            </w:r>
          </w:p>
        </w:tc>
        <w:tc>
          <w:tcPr>
            <w:tcW w:w="0" w:type="dxa"/>
            <w:vAlign w:val="bottom"/>
          </w:tcPr>
          <w:p>
            <w:pPr>
              <w:spacing w:after="0"/>
              <w:rPr>
                <w:sz w:val="1"/>
                <w:szCs w:val="1"/>
                <w:color w:val="auto"/>
              </w:rPr>
            </w:pPr>
          </w:p>
        </w:tc>
      </w:tr>
      <w:tr>
        <w:trPr>
          <w:trHeight w:val="162"/>
        </w:trPr>
        <w:tc>
          <w:tcPr>
            <w:tcW w:w="8160" w:type="dxa"/>
            <w:vAlign w:val="bottom"/>
          </w:tcPr>
          <w:p>
            <w:pPr>
              <w:ind w:left="540"/>
              <w:spacing w:after="0"/>
              <w:rPr>
                <w:sz w:val="20"/>
                <w:szCs w:val="20"/>
                <w:color w:val="auto"/>
              </w:rPr>
            </w:pPr>
            <w:r>
              <w:rPr>
                <w:rFonts w:ascii="Arial" w:cs="Arial" w:eastAsia="Arial" w:hAnsi="Arial"/>
                <w:sz w:val="14"/>
                <w:szCs w:val="14"/>
                <w:color w:val="auto"/>
              </w:rPr>
              <w:t>TCCC Transaction receivable</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125,000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540"/>
              <w:spacing w:after="0"/>
              <w:rPr>
                <w:sz w:val="20"/>
                <w:szCs w:val="20"/>
                <w:color w:val="auto"/>
              </w:rPr>
            </w:pPr>
            <w:r>
              <w:rPr>
                <w:rFonts w:ascii="Arial" w:cs="Arial" w:eastAsia="Arial" w:hAnsi="Arial"/>
                <w:sz w:val="14"/>
                <w:szCs w:val="14"/>
                <w:color w:val="auto"/>
              </w:rPr>
              <w:t>Distributor receivables</w:t>
            </w:r>
          </w:p>
        </w:tc>
        <w:tc>
          <w:tcPr>
            <w:tcW w:w="22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(1,452)</w:t>
            </w:r>
          </w:p>
        </w:tc>
        <w:tc>
          <w:tcPr>
            <w:tcW w:w="24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162"/>
        </w:trPr>
        <w:tc>
          <w:tcPr>
            <w:tcW w:w="8160" w:type="dxa"/>
            <w:vAlign w:val="bottom"/>
          </w:tcPr>
          <w:p>
            <w:pPr>
              <w:ind w:left="54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(24,859)</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11,613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54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(8,131)</w:t>
            </w:r>
          </w:p>
        </w:tc>
        <w:tc>
          <w:tcPr>
            <w:tcW w:w="24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(2,515)</w:t>
            </w:r>
          </w:p>
        </w:tc>
        <w:tc>
          <w:tcPr>
            <w:tcW w:w="0" w:type="dxa"/>
            <w:vAlign w:val="bottom"/>
          </w:tcPr>
          <w:p>
            <w:pPr>
              <w:spacing w:after="0"/>
              <w:rPr>
                <w:sz w:val="1"/>
                <w:szCs w:val="1"/>
                <w:color w:val="auto"/>
              </w:rPr>
            </w:pPr>
          </w:p>
        </w:tc>
      </w:tr>
      <w:tr>
        <w:trPr>
          <w:trHeight w:val="162"/>
        </w:trPr>
        <w:tc>
          <w:tcPr>
            <w:tcW w:w="8160" w:type="dxa"/>
            <w:vAlign w:val="bottom"/>
          </w:tcPr>
          <w:p>
            <w:pPr>
              <w:ind w:left="540"/>
              <w:spacing w:after="0"/>
              <w:rPr>
                <w:sz w:val="20"/>
                <w:szCs w:val="20"/>
                <w:color w:val="auto"/>
              </w:rPr>
            </w:pPr>
            <w:r>
              <w:rPr>
                <w:rFonts w:ascii="Arial" w:cs="Arial" w:eastAsia="Arial" w:hAnsi="Arial"/>
                <w:sz w:val="14"/>
                <w:szCs w:val="14"/>
                <w:color w:val="auto"/>
              </w:rPr>
              <w:t>Prepaid income taxes</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60,696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(18,694)</w:t>
            </w:r>
          </w:p>
        </w:tc>
        <w:tc>
          <w:tcPr>
            <w:tcW w:w="0" w:type="dxa"/>
            <w:vAlign w:val="bottom"/>
          </w:tcPr>
          <w:p>
            <w:pPr>
              <w:spacing w:after="0"/>
              <w:rPr>
                <w:sz w:val="1"/>
                <w:szCs w:val="1"/>
                <w:color w:val="auto"/>
              </w:rPr>
            </w:pPr>
          </w:p>
        </w:tc>
      </w:tr>
      <w:tr>
        <w:trPr>
          <w:trHeight w:val="162"/>
        </w:trPr>
        <w:tc>
          <w:tcPr>
            <w:tcW w:w="8160" w:type="dxa"/>
            <w:vAlign w:val="bottom"/>
          </w:tcPr>
          <w:p>
            <w:pPr>
              <w:ind w:left="54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8,784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540"/>
              <w:spacing w:after="0"/>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(667)</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540"/>
              <w:spacing w:after="0"/>
              <w:rPr>
                <w:sz w:val="20"/>
                <w:szCs w:val="20"/>
                <w:color w:val="auto"/>
              </w:rPr>
            </w:pPr>
            <w:r>
              <w:rPr>
                <w:rFonts w:ascii="Arial" w:cs="Arial" w:eastAsia="Arial" w:hAnsi="Arial"/>
                <w:sz w:val="14"/>
                <w:szCs w:val="14"/>
                <w:color w:val="auto"/>
              </w:rPr>
              <w:t>Accrued promotional allowances</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25,805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27,238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540"/>
              <w:spacing w:after="0"/>
              <w:rPr>
                <w:sz w:val="20"/>
                <w:szCs w:val="20"/>
                <w:color w:val="auto"/>
              </w:rPr>
            </w:pPr>
            <w:r>
              <w:rPr>
                <w:rFonts w:ascii="Arial" w:cs="Arial" w:eastAsia="Arial" w:hAnsi="Arial"/>
                <w:sz w:val="14"/>
                <w:szCs w:val="14"/>
                <w:color w:val="auto"/>
              </w:rPr>
              <w:t>Accrued distributor terminations</w:t>
            </w:r>
          </w:p>
        </w:tc>
        <w:tc>
          <w:tcPr>
            <w:tcW w:w="22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(7,917)</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13,822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540"/>
              <w:spacing w:after="0"/>
              <w:rPr>
                <w:sz w:val="20"/>
                <w:szCs w:val="20"/>
                <w:color w:val="auto"/>
              </w:rPr>
            </w:pPr>
            <w:r>
              <w:rPr>
                <w:rFonts w:ascii="Arial" w:cs="Arial" w:eastAsia="Arial" w:hAnsi="Arial"/>
                <w:sz w:val="14"/>
                <w:szCs w:val="14"/>
                <w:color w:val="auto"/>
              </w:rPr>
              <w:t>Accrued compensation</w:t>
            </w:r>
          </w:p>
        </w:tc>
        <w:tc>
          <w:tcPr>
            <w:tcW w:w="22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(7,225)</w:t>
            </w:r>
          </w:p>
        </w:tc>
        <w:tc>
          <w:tcPr>
            <w:tcW w:w="24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(6,077)</w:t>
            </w:r>
          </w:p>
        </w:tc>
        <w:tc>
          <w:tcPr>
            <w:tcW w:w="0" w:type="dxa"/>
            <w:vAlign w:val="bottom"/>
          </w:tcPr>
          <w:p>
            <w:pPr>
              <w:spacing w:after="0"/>
              <w:rPr>
                <w:sz w:val="1"/>
                <w:szCs w:val="1"/>
                <w:color w:val="auto"/>
              </w:rPr>
            </w:pPr>
          </w:p>
        </w:tc>
      </w:tr>
      <w:tr>
        <w:trPr>
          <w:trHeight w:val="162"/>
        </w:trPr>
        <w:tc>
          <w:tcPr>
            <w:tcW w:w="8160" w:type="dxa"/>
            <w:vAlign w:val="bottom"/>
          </w:tcPr>
          <w:p>
            <w:pPr>
              <w:ind w:left="540"/>
              <w:spacing w:after="0"/>
              <w:rPr>
                <w:sz w:val="20"/>
                <w:szCs w:val="20"/>
                <w:color w:val="auto"/>
              </w:rPr>
            </w:pPr>
            <w:r>
              <w:rPr>
                <w:rFonts w:ascii="Arial" w:cs="Arial" w:eastAsia="Arial" w:hAnsi="Arial"/>
                <w:sz w:val="14"/>
                <w:szCs w:val="14"/>
                <w:color w:val="auto"/>
              </w:rPr>
              <w:t>Income taxes payable</w:t>
            </w:r>
          </w:p>
        </w:tc>
        <w:tc>
          <w:tcPr>
            <w:tcW w:w="22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(5,362)</w:t>
            </w:r>
          </w:p>
        </w:tc>
        <w:tc>
          <w:tcPr>
            <w:tcW w:w="24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(100,728)</w:t>
            </w:r>
          </w:p>
        </w:tc>
        <w:tc>
          <w:tcPr>
            <w:tcW w:w="0" w:type="dxa"/>
            <w:vAlign w:val="bottom"/>
          </w:tcPr>
          <w:p>
            <w:pPr>
              <w:spacing w:after="0"/>
              <w:rPr>
                <w:sz w:val="1"/>
                <w:szCs w:val="1"/>
                <w:color w:val="auto"/>
              </w:rPr>
            </w:pPr>
          </w:p>
        </w:tc>
      </w:tr>
      <w:tr>
        <w:trPr>
          <w:trHeight w:val="154"/>
        </w:trPr>
        <w:tc>
          <w:tcPr>
            <w:tcW w:w="8160" w:type="dxa"/>
            <w:vAlign w:val="bottom"/>
          </w:tcPr>
          <w:p>
            <w:pPr>
              <w:ind w:left="540"/>
              <w:spacing w:after="0" w:line="154" w:lineRule="exact"/>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3"/>
                <w:szCs w:val="13"/>
                <w:color w:val="auto"/>
              </w:rPr>
            </w:pPr>
          </w:p>
        </w:tc>
        <w:tc>
          <w:tcPr>
            <w:tcW w:w="1540" w:type="dxa"/>
            <w:vAlign w:val="bottom"/>
            <w:gridSpan w:val="2"/>
          </w:tcPr>
          <w:p>
            <w:pPr>
              <w:jc w:val="right"/>
              <w:ind w:right="280"/>
              <w:spacing w:after="0" w:line="154" w:lineRule="exact"/>
              <w:rPr>
                <w:sz w:val="20"/>
                <w:szCs w:val="20"/>
                <w:color w:val="auto"/>
              </w:rPr>
            </w:pPr>
            <w:r>
              <w:rPr>
                <w:rFonts w:ascii="Arial" w:cs="Arial" w:eastAsia="Arial" w:hAnsi="Arial"/>
                <w:sz w:val="14"/>
                <w:szCs w:val="14"/>
                <w:color w:val="auto"/>
              </w:rPr>
              <w:t>(7,069)</w:t>
            </w:r>
          </w:p>
        </w:tc>
        <w:tc>
          <w:tcPr>
            <w:tcW w:w="240" w:type="dxa"/>
            <w:vAlign w:val="bottom"/>
          </w:tcPr>
          <w:p>
            <w:pPr>
              <w:spacing w:after="0"/>
              <w:rPr>
                <w:sz w:val="13"/>
                <w:szCs w:val="13"/>
                <w:color w:val="auto"/>
              </w:rPr>
            </w:pPr>
          </w:p>
        </w:tc>
        <w:tc>
          <w:tcPr>
            <w:tcW w:w="1280" w:type="dxa"/>
            <w:vAlign w:val="bottom"/>
            <w:gridSpan w:val="2"/>
          </w:tcPr>
          <w:p>
            <w:pPr>
              <w:jc w:val="right"/>
              <w:ind w:right="20"/>
              <w:spacing w:after="0" w:line="154" w:lineRule="exact"/>
              <w:rPr>
                <w:sz w:val="20"/>
                <w:szCs w:val="20"/>
                <w:color w:val="auto"/>
              </w:rPr>
            </w:pPr>
            <w:r>
              <w:rPr>
                <w:rFonts w:ascii="Arial" w:cs="Arial" w:eastAsia="Arial" w:hAnsi="Arial"/>
                <w:sz w:val="14"/>
                <w:szCs w:val="14"/>
                <w:color w:val="auto"/>
              </w:rPr>
              <w:t>(2,753)</w:t>
            </w:r>
          </w:p>
        </w:tc>
        <w:tc>
          <w:tcPr>
            <w:tcW w:w="0" w:type="dxa"/>
            <w:vAlign w:val="bottom"/>
          </w:tcPr>
          <w:p>
            <w:pPr>
              <w:spacing w:after="0"/>
              <w:rPr>
                <w:sz w:val="1"/>
                <w:szCs w:val="1"/>
                <w:color w:val="auto"/>
              </w:rPr>
            </w:pPr>
          </w:p>
        </w:tc>
      </w:tr>
      <w:tr>
        <w:trPr>
          <w:trHeight w:val="184"/>
        </w:trPr>
        <w:tc>
          <w:tcPr>
            <w:tcW w:w="8160" w:type="dxa"/>
            <w:vAlign w:val="bottom"/>
          </w:tcPr>
          <w:p>
            <w:pPr>
              <w:ind w:left="72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533,222</w:t>
            </w:r>
          </w:p>
        </w:tc>
        <w:tc>
          <w:tcPr>
            <w:tcW w:w="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247,555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6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Maturities of held-to-maturity investments</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868,304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Sales of available-for-sale investments</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172,528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Purchases of held-to-maturity investments</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(152,664)</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Purchases of available-for-sale investments</w:t>
            </w:r>
          </w:p>
        </w:tc>
        <w:tc>
          <w:tcPr>
            <w:tcW w:w="22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(286,858)</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22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(40,477)</w:t>
            </w:r>
          </w:p>
        </w:tc>
        <w:tc>
          <w:tcPr>
            <w:tcW w:w="24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(17,813)</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733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Purchases of AFF Assets, net</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(688,485)</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Decrease (increase) in intangibles</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(4,881)</w:t>
            </w:r>
          </w:p>
        </w:tc>
        <w:tc>
          <w:tcPr>
            <w:tcW w:w="0" w:type="dxa"/>
            <w:vAlign w:val="bottom"/>
          </w:tcPr>
          <w:p>
            <w:pPr>
              <w:spacing w:after="0"/>
              <w:rPr>
                <w:sz w:val="1"/>
                <w:szCs w:val="1"/>
                <w:color w:val="auto"/>
              </w:rPr>
            </w:pPr>
          </w:p>
        </w:tc>
      </w:tr>
      <w:tr>
        <w:trPr>
          <w:trHeight w:val="154"/>
        </w:trPr>
        <w:tc>
          <w:tcPr>
            <w:tcW w:w="8160" w:type="dxa"/>
            <w:vAlign w:val="bottom"/>
          </w:tcPr>
          <w:p>
            <w:pPr>
              <w:spacing w:after="0" w:line="154" w:lineRule="exact"/>
              <w:rPr>
                <w:sz w:val="20"/>
                <w:szCs w:val="20"/>
                <w:color w:val="auto"/>
              </w:rPr>
            </w:pPr>
            <w:r>
              <w:rPr>
                <w:rFonts w:ascii="Arial" w:cs="Arial" w:eastAsia="Arial" w:hAnsi="Arial"/>
                <w:sz w:val="14"/>
                <w:szCs w:val="14"/>
                <w:color w:val="auto"/>
              </w:rPr>
              <w:t>Increase in other assets</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(632)</w:t>
            </w: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(2,377)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160" w:type="dxa"/>
            <w:vAlign w:val="bottom"/>
          </w:tcPr>
          <w:p>
            <w:pPr>
              <w:ind w:left="720"/>
              <w:spacing w:after="0"/>
              <w:rPr>
                <w:sz w:val="20"/>
                <w:szCs w:val="20"/>
                <w:color w:val="auto"/>
              </w:rPr>
            </w:pPr>
            <w:r>
              <w:rPr>
                <w:rFonts w:ascii="Arial" w:cs="Arial" w:eastAsia="Arial" w:hAnsi="Arial"/>
                <w:sz w:val="14"/>
                <w:szCs w:val="14"/>
                <w:color w:val="auto"/>
              </w:rPr>
              <w:t>Net cash (used in) provided by investing activities</w:t>
            </w:r>
          </w:p>
        </w:tc>
        <w:tc>
          <w:tcPr>
            <w:tcW w:w="220" w:type="dxa"/>
            <w:vAlign w:val="bottom"/>
          </w:tcPr>
          <w:p>
            <w:pPr>
              <w:spacing w:after="0"/>
              <w:rPr>
                <w:sz w:val="16"/>
                <w:szCs w:val="16"/>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(154,680)</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Principal payments on debt</w:t>
            </w:r>
          </w:p>
        </w:tc>
        <w:tc>
          <w:tcPr>
            <w:tcW w:w="22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(1,334)</w:t>
            </w:r>
          </w:p>
        </w:tc>
        <w:tc>
          <w:tcPr>
            <w:tcW w:w="24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19,093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160" w:type="dxa"/>
            <w:vAlign w:val="bottom"/>
          </w:tcPr>
          <w:p>
            <w:pPr>
              <w:spacing w:after="0" w:line="154" w:lineRule="exact"/>
              <w:rPr>
                <w:sz w:val="20"/>
                <w:szCs w:val="20"/>
                <w:color w:val="auto"/>
              </w:rPr>
            </w:pPr>
            <w:r>
              <w:rPr>
                <w:rFonts w:ascii="Arial" w:cs="Arial" w:eastAsia="Arial" w:hAnsi="Arial"/>
                <w:sz w:val="14"/>
                <w:szCs w:val="14"/>
                <w:color w:val="auto"/>
              </w:rPr>
              <w:t>Purchases of common stock held in treasury</w:t>
            </w:r>
          </w:p>
        </w:tc>
        <w:tc>
          <w:tcPr>
            <w:tcW w:w="220" w:type="dxa"/>
            <w:vAlign w:val="bottom"/>
          </w:tcPr>
          <w:p>
            <w:pPr>
              <w:spacing w:after="0"/>
              <w:rPr>
                <w:sz w:val="13"/>
                <w:szCs w:val="13"/>
                <w:color w:val="auto"/>
              </w:rPr>
            </w:pPr>
          </w:p>
        </w:tc>
        <w:tc>
          <w:tcPr>
            <w:tcW w:w="1540" w:type="dxa"/>
            <w:vAlign w:val="bottom"/>
            <w:gridSpan w:val="2"/>
          </w:tcPr>
          <w:p>
            <w:pPr>
              <w:jc w:val="right"/>
              <w:ind w:right="280"/>
              <w:spacing w:after="0" w:line="154" w:lineRule="exact"/>
              <w:rPr>
                <w:sz w:val="20"/>
                <w:szCs w:val="20"/>
                <w:color w:val="auto"/>
              </w:rPr>
            </w:pPr>
            <w:r>
              <w:rPr>
                <w:rFonts w:ascii="Arial" w:cs="Arial" w:eastAsia="Arial" w:hAnsi="Arial"/>
                <w:sz w:val="14"/>
                <w:szCs w:val="14"/>
                <w:color w:val="auto"/>
              </w:rPr>
              <w:t>(302)</w:t>
            </w:r>
          </w:p>
        </w:tc>
        <w:tc>
          <w:tcPr>
            <w:tcW w:w="240" w:type="dxa"/>
            <w:vAlign w:val="bottom"/>
          </w:tcPr>
          <w:p>
            <w:pPr>
              <w:spacing w:after="0"/>
              <w:rPr>
                <w:sz w:val="13"/>
                <w:szCs w:val="13"/>
                <w:color w:val="auto"/>
              </w:rPr>
            </w:pPr>
          </w:p>
        </w:tc>
        <w:tc>
          <w:tcPr>
            <w:tcW w:w="1260" w:type="dxa"/>
            <w:vAlign w:val="bottom"/>
          </w:tcPr>
          <w:p>
            <w:pPr>
              <w:jc w:val="right"/>
              <w:spacing w:after="0" w:line="154" w:lineRule="exact"/>
              <w:rPr>
                <w:sz w:val="20"/>
                <w:szCs w:val="20"/>
                <w:color w:val="auto"/>
              </w:rPr>
            </w:pPr>
            <w:r>
              <w:rPr>
                <w:rFonts w:ascii="Arial" w:cs="Arial" w:eastAsia="Arial" w:hAnsi="Arial"/>
                <w:sz w:val="14"/>
                <w:szCs w:val="14"/>
                <w:color w:val="auto"/>
              </w:rPr>
              <w:t>(2,002,254)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60" w:type="dxa"/>
            <w:vAlign w:val="bottom"/>
          </w:tcPr>
          <w:p>
            <w:pPr>
              <w:ind w:left="72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17,457</w:t>
            </w:r>
          </w:p>
        </w:tc>
        <w:tc>
          <w:tcPr>
            <w:tcW w:w="2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(1,995,186)</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816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4,074</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6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400,073</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(1,740,648)</w:t>
            </w:r>
          </w:p>
        </w:tc>
        <w:tc>
          <w:tcPr>
            <w:tcW w:w="0" w:type="dxa"/>
            <w:vAlign w:val="bottom"/>
          </w:tcPr>
          <w:p>
            <w:pPr>
              <w:spacing w:after="0"/>
              <w:rPr>
                <w:sz w:val="1"/>
                <w:szCs w:val="1"/>
                <w:color w:val="auto"/>
              </w:rPr>
            </w:pPr>
          </w:p>
        </w:tc>
      </w:tr>
      <w:tr>
        <w:trPr>
          <w:trHeight w:val="154"/>
        </w:trPr>
        <w:tc>
          <w:tcPr>
            <w:tcW w:w="8160" w:type="dxa"/>
            <w:vAlign w:val="bottom"/>
          </w:tcPr>
          <w:p>
            <w:pPr>
              <w:spacing w:after="0" w:line="154" w:lineRule="exact"/>
              <w:rPr>
                <w:sz w:val="20"/>
                <w:szCs w:val="20"/>
                <w:color w:val="auto"/>
              </w:rPr>
            </w:pPr>
            <w:r>
              <w:rPr>
                <w:rFonts w:ascii="Arial" w:cs="Arial" w:eastAsia="Arial" w:hAnsi="Arial"/>
                <w:sz w:val="14"/>
                <w:szCs w:val="14"/>
                <w:color w:val="auto"/>
              </w:rPr>
              <w:t>CASH AND CASH EQUIVALENTS, beginning of period</w:t>
            </w: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377,582</w:t>
            </w:r>
          </w:p>
        </w:tc>
        <w:tc>
          <w:tcPr>
            <w:tcW w:w="2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2,175,417</w:t>
            </w:r>
          </w:p>
        </w:tc>
        <w:tc>
          <w:tcPr>
            <w:tcW w:w="0" w:type="dxa"/>
            <w:vAlign w:val="bottom"/>
          </w:tcPr>
          <w:p>
            <w:pPr>
              <w:spacing w:after="0"/>
              <w:rPr>
                <w:sz w:val="1"/>
                <w:szCs w:val="1"/>
                <w:color w:val="auto"/>
              </w:rPr>
            </w:pPr>
          </w:p>
        </w:tc>
      </w:tr>
      <w:tr>
        <w:trPr>
          <w:trHeight w:val="156"/>
        </w:trPr>
        <w:tc>
          <w:tcPr>
            <w:tcW w:w="8160" w:type="dxa"/>
            <w:vAlign w:val="bottom"/>
          </w:tcPr>
          <w:p>
            <w:pPr>
              <w:spacing w:after="0" w:line="155" w:lineRule="exact"/>
              <w:rPr>
                <w:sz w:val="20"/>
                <w:szCs w:val="20"/>
                <w:color w:val="auto"/>
              </w:rPr>
            </w:pPr>
            <w:r>
              <w:rPr>
                <w:rFonts w:ascii="Arial" w:cs="Arial" w:eastAsia="Arial" w:hAnsi="Arial"/>
                <w:sz w:val="14"/>
                <w:szCs w:val="14"/>
                <w:color w:val="auto"/>
              </w:rPr>
              <w:t>CASH AND CASH EQUIVALENTS, end of period</w:t>
            </w:r>
          </w:p>
        </w:tc>
        <w:tc>
          <w:tcPr>
            <w:tcW w:w="54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777,655</w:t>
            </w:r>
          </w:p>
        </w:tc>
        <w:tc>
          <w:tcPr>
            <w:tcW w:w="280" w:type="dxa"/>
            <w:vAlign w:val="bottom"/>
          </w:tcPr>
          <w:p>
            <w:pPr>
              <w:spacing w:after="0"/>
              <w:rPr>
                <w:sz w:val="13"/>
                <w:szCs w:val="13"/>
                <w:color w:val="auto"/>
              </w:rPr>
            </w:pPr>
          </w:p>
        </w:tc>
        <w:tc>
          <w:tcPr>
            <w:tcW w:w="4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434,769</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16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180"/>
              <w:spacing w:after="0"/>
              <w:rPr>
                <w:sz w:val="20"/>
                <w:szCs w:val="20"/>
                <w:color w:val="auto"/>
              </w:rPr>
            </w:pPr>
            <w:r>
              <w:rPr>
                <w:rFonts w:ascii="Arial" w:cs="Arial" w:eastAsia="Arial" w:hAnsi="Arial"/>
                <w:sz w:val="14"/>
                <w:szCs w:val="14"/>
                <w:color w:val="auto"/>
              </w:rPr>
              <w:t>Cash paid during the period for:</w:t>
            </w: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160" w:type="dxa"/>
            <w:vAlign w:val="bottom"/>
          </w:tcPr>
          <w:p>
            <w:pPr>
              <w:ind w:left="360"/>
              <w:spacing w:after="0" w:line="154" w:lineRule="exact"/>
              <w:rPr>
                <w:sz w:val="20"/>
                <w:szCs w:val="20"/>
                <w:color w:val="auto"/>
              </w:rPr>
            </w:pPr>
            <w:r>
              <w:rPr>
                <w:rFonts w:ascii="Arial" w:cs="Arial" w:eastAsia="Arial" w:hAnsi="Arial"/>
                <w:sz w:val="14"/>
                <w:szCs w:val="14"/>
                <w:color w:val="auto"/>
              </w:rPr>
              <w:t>Interest</w:t>
            </w:r>
          </w:p>
        </w:tc>
        <w:tc>
          <w:tcPr>
            <w:tcW w:w="540" w:type="dxa"/>
            <w:vAlign w:val="bottom"/>
            <w:tcBorders>
              <w:bottom w:val="single" w:sz="8" w:color="auto"/>
            </w:tcBorders>
          </w:tcPr>
          <w:p>
            <w:pPr>
              <w:jc w:val="right"/>
              <w:ind w:right="328"/>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38</w:t>
            </w:r>
          </w:p>
        </w:tc>
        <w:tc>
          <w:tcPr>
            <w:tcW w:w="280" w:type="dxa"/>
            <w:vAlign w:val="bottom"/>
          </w:tcPr>
          <w:p>
            <w:pPr>
              <w:spacing w:after="0"/>
              <w:rPr>
                <w:sz w:val="13"/>
                <w:szCs w:val="13"/>
                <w:color w:val="auto"/>
              </w:rPr>
            </w:pPr>
          </w:p>
        </w:tc>
        <w:tc>
          <w:tcPr>
            <w:tcW w:w="480" w:type="dxa"/>
            <w:vAlign w:val="bottom"/>
            <w:tcBorders>
              <w:bottom w:val="single" w:sz="8" w:color="auto"/>
            </w:tcBorders>
          </w:tcPr>
          <w:p>
            <w:pPr>
              <w:jc w:val="right"/>
              <w:ind w:right="268"/>
              <w:spacing w:after="0" w:line="154"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360"/>
              <w:spacing w:after="0"/>
              <w:rPr>
                <w:sz w:val="20"/>
                <w:szCs w:val="20"/>
                <w:color w:val="auto"/>
              </w:rPr>
            </w:pPr>
            <w:r>
              <w:rPr>
                <w:rFonts w:ascii="Arial" w:cs="Arial" w:eastAsia="Arial" w:hAnsi="Arial"/>
                <w:sz w:val="14"/>
                <w:szCs w:val="14"/>
                <w:color w:val="auto"/>
              </w:rPr>
              <w:t>Income taxes</w:t>
            </w: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60" w:type="dxa"/>
            <w:vAlign w:val="bottom"/>
            <w:vMerge w:val="continue"/>
          </w:tcPr>
          <w:p>
            <w:pPr>
              <w:spacing w:after="0"/>
              <w:rPr>
                <w:sz w:val="12"/>
                <w:szCs w:val="12"/>
                <w:color w:val="auto"/>
              </w:rPr>
            </w:pPr>
          </w:p>
        </w:tc>
        <w:tc>
          <w:tcPr>
            <w:tcW w:w="540" w:type="dxa"/>
            <w:vAlign w:val="bottom"/>
            <w:tcBorders>
              <w:bottom w:val="single" w:sz="8" w:color="auto"/>
            </w:tcBorders>
          </w:tcPr>
          <w:p>
            <w:pPr>
              <w:jc w:val="right"/>
              <w:ind w:right="328"/>
              <w:spacing w:after="0" w:line="143"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156,039</w:t>
            </w:r>
          </w:p>
        </w:tc>
        <w:tc>
          <w:tcPr>
            <w:tcW w:w="280" w:type="dxa"/>
            <w:vAlign w:val="bottom"/>
          </w:tcPr>
          <w:p>
            <w:pPr>
              <w:spacing w:after="0"/>
              <w:rPr>
                <w:sz w:val="12"/>
                <w:szCs w:val="12"/>
                <w:color w:val="auto"/>
              </w:rPr>
            </w:pPr>
          </w:p>
        </w:tc>
        <w:tc>
          <w:tcPr>
            <w:tcW w:w="480" w:type="dxa"/>
            <w:vAlign w:val="bottom"/>
            <w:tcBorders>
              <w:bottom w:val="single" w:sz="8" w:color="auto"/>
            </w:tcBorders>
          </w:tcPr>
          <w:p>
            <w:pPr>
              <w:jc w:val="right"/>
              <w:ind w:right="268"/>
              <w:spacing w:after="0" w:line="143"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315,177</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4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SIX-MONTHS ENDED JUNE 30, 2017 AND 2016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entered into capital leases for the acquisition of promotional vehicles of $1.5 million and $1.9 million for the six-months ended June 30, 2017 and 2016, respectively.</w:t>
      </w:r>
    </w:p>
    <w:p>
      <w:pPr>
        <w:spacing w:after="0" w:line="190"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Included in accounts payable as of June 30, 2017 and 2016 were $12.4 million and $0.1 million, respectively, related to purchases of property and equipment.</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Included in accrued liabilities as of June 30, 2017 and 2016 were $6.2 million and $3.0 million, respectively, related to additions to other intangible assets.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Included in accounts payable as of June 30, 2017 were available-for-sale short- and long-term investment purchases of $35.1 million.</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BASIS OF PRESENTATION</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Reference is made to the Notes to Consolidated Financial Statements, in Monster Beverage Corporation and Subsidiaries (the “Company”) Annual Report on Form 10-K for the year ended December 31, 2016 (“Form 10-K”) for a summary of significant accounting policies utilized by the Company and its consolidated subsidiaries and other disclosures, which should be read in conjunction with this Quarterly Report on Form 10-Q (“Form 10-Q”).</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six-months ended June 30, 2017 and 2016,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9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32"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RECENT ACCOUNTING PRONOUNCEMENTS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252525"/>
        </w:rPr>
        <w:t xml:space="preserve">In May 2017, the Financial Accounting Standards Board (the “FASB”) issued Accounting Standards Update (“ASU”) No. 2017-09, “Compensation–Stock Compensation (Topic 718): Scope of Modification Accounting,” clarifying when a change to the terms or conditions of a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The new guidance is effective for the Company on a prospective basis beginning on January 1, 2018, with early adoption permitted. </w:t>
      </w:r>
      <w:r>
        <w:rPr>
          <w:rFonts w:ascii="Arial" w:cs="Arial" w:eastAsia="Arial" w:hAnsi="Arial"/>
          <w:sz w:val="18"/>
          <w:szCs w:val="18"/>
          <w:color w:val="000000"/>
        </w:rPr>
        <w:t>The</w:t>
      </w:r>
      <w:r>
        <w:rPr>
          <w:rFonts w:ascii="Arial" w:cs="Arial" w:eastAsia="Arial" w:hAnsi="Arial"/>
          <w:sz w:val="18"/>
          <w:szCs w:val="18"/>
          <w:color w:val="252525"/>
        </w:rPr>
        <w:t xml:space="preserve"> </w:t>
      </w:r>
      <w:r>
        <w:rPr>
          <w:rFonts w:ascii="Arial" w:cs="Arial" w:eastAsia="Arial" w:hAnsi="Arial"/>
          <w:sz w:val="18"/>
          <w:szCs w:val="18"/>
          <w:color w:val="000000"/>
        </w:rPr>
        <w:t>Company is currently evaluating the impact of ASU No. 2017-09 on its financial position, results of operations and liquidity.</w:t>
      </w:r>
    </w:p>
    <w:p>
      <w:pPr>
        <w:sectPr>
          <w:pgSz w:w="11900" w:h="16838" w:orient="portrait"/>
          <w:cols w:equalWidth="0" w:num="1">
            <w:col w:w="11420"/>
          </w:cols>
          <w:pgMar w:left="240" w:top="122" w:right="239" w:bottom="0" w:gutter="0" w:footer="0" w:header="0"/>
        </w:sectPr>
      </w:pPr>
    </w:p>
    <w:bookmarkStart w:id="5" w:name="page6"/>
    <w:bookmarkEnd w:id="5"/>
    <w:p>
      <w:pPr>
        <w:jc w:val="both"/>
        <w:ind w:firstLine="648"/>
        <w:spacing w:after="0" w:line="245" w:lineRule="auto"/>
        <w:rPr>
          <w:sz w:val="20"/>
          <w:szCs w:val="20"/>
          <w:color w:val="auto"/>
        </w:rPr>
      </w:pPr>
      <w:r>
        <w:rPr>
          <w:rFonts w:ascii="Arial" w:cs="Arial" w:eastAsia="Arial" w:hAnsi="Arial"/>
          <w:sz w:val="20"/>
          <w:szCs w:val="20"/>
          <w:color w:val="252525"/>
        </w:rPr>
        <w:t>In January 2017, the FASB issued ASU No. 2017-01</w:t>
      </w:r>
      <w:r>
        <w:rPr>
          <w:rFonts w:ascii="Arial" w:cs="Arial" w:eastAsia="Arial" w:hAnsi="Arial"/>
          <w:sz w:val="20"/>
          <w:szCs w:val="20"/>
          <w:i w:val="1"/>
          <w:iCs w:val="1"/>
          <w:color w:val="252525"/>
        </w:rPr>
        <w:t>, “</w:t>
      </w:r>
      <w:r>
        <w:rPr>
          <w:rFonts w:ascii="Arial" w:cs="Arial" w:eastAsia="Arial" w:hAnsi="Arial"/>
          <w:sz w:val="20"/>
          <w:szCs w:val="20"/>
          <w:color w:val="252525"/>
        </w:rPr>
        <w:t>Business Combinations (Topic 805): Clarifying the Definition of a Business</w:t>
      </w:r>
      <w:r>
        <w:rPr>
          <w:rFonts w:ascii="Arial" w:cs="Arial" w:eastAsia="Arial" w:hAnsi="Arial"/>
          <w:sz w:val="20"/>
          <w:szCs w:val="20"/>
          <w:i w:val="1"/>
          <w:iCs w:val="1"/>
          <w:color w:val="252525"/>
        </w:rPr>
        <w:t>”</w:t>
      </w:r>
      <w:r>
        <w:rPr>
          <w:rFonts w:ascii="Arial" w:cs="Arial" w:eastAsia="Arial" w:hAnsi="Arial"/>
          <w:sz w:val="20"/>
          <w:szCs w:val="20"/>
          <w:color w:val="252525"/>
        </w:rPr>
        <w:t xml:space="preserve">, which clarifies the definition of a business with the objective of adding guidance to assist entities with evaluating whether transactions should be accounted for as acquisitions (or disposals) of assets or businesses. This amendment is effective for fiscal years beginning after December 15, 2017, and interim periods within those fiscal years. Early adoption is permitted. </w:t>
      </w:r>
      <w:r>
        <w:rPr>
          <w:rFonts w:ascii="Arial" w:cs="Arial" w:eastAsia="Arial" w:hAnsi="Arial"/>
          <w:sz w:val="20"/>
          <w:szCs w:val="20"/>
          <w:color w:val="000000"/>
        </w:rPr>
        <w:t>The Company is currently evaluating the impact</w:t>
      </w:r>
      <w:r>
        <w:rPr>
          <w:rFonts w:ascii="Arial" w:cs="Arial" w:eastAsia="Arial" w:hAnsi="Arial"/>
          <w:sz w:val="20"/>
          <w:szCs w:val="20"/>
          <w:color w:val="252525"/>
        </w:rPr>
        <w:t xml:space="preserve"> </w:t>
      </w:r>
      <w:r>
        <w:rPr>
          <w:rFonts w:ascii="Arial" w:cs="Arial" w:eastAsia="Arial" w:hAnsi="Arial"/>
          <w:sz w:val="20"/>
          <w:szCs w:val="20"/>
          <w:color w:val="000000"/>
        </w:rPr>
        <w:t>of ASU No. 2017-01 on its financial position, results of operations and liquidity.</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252525"/>
        </w:rPr>
        <w:t>In January 2017, the FASB issued ASU No. 2017-04, “Intangibles and Other (Topic 350): Simplifying the Test for Goodwill Impairment</w:t>
      </w:r>
      <w:r>
        <w:rPr>
          <w:rFonts w:ascii="Arial" w:cs="Arial" w:eastAsia="Arial" w:hAnsi="Arial"/>
          <w:sz w:val="19"/>
          <w:szCs w:val="19"/>
          <w:i w:val="1"/>
          <w:iCs w:val="1"/>
          <w:color w:val="252525"/>
        </w:rPr>
        <w:t>”</w:t>
      </w:r>
      <w:r>
        <w:rPr>
          <w:rFonts w:ascii="Arial" w:cs="Arial" w:eastAsia="Arial" w:hAnsi="Arial"/>
          <w:sz w:val="19"/>
          <w:szCs w:val="19"/>
          <w:color w:val="252525"/>
        </w:rPr>
        <w:t xml:space="preserve">, which eliminates the requirement to calculate the implied fair value of goodwill, but rather requires an entity to record an impairment charge based on the excess of a reporting unit’s carrying value over its fair value. This amendment is effective for annual or interim goodwill impairment tests in fiscal years beginning after December 15, 2019. Early adoption is permitted. </w:t>
      </w:r>
      <w:r>
        <w:rPr>
          <w:rFonts w:ascii="Arial" w:cs="Arial" w:eastAsia="Arial" w:hAnsi="Arial"/>
          <w:sz w:val="19"/>
          <w:szCs w:val="19"/>
          <w:color w:val="000000"/>
        </w:rPr>
        <w:t>The Company is currently evaluating</w:t>
      </w:r>
      <w:r>
        <w:rPr>
          <w:rFonts w:ascii="Arial" w:cs="Arial" w:eastAsia="Arial" w:hAnsi="Arial"/>
          <w:sz w:val="19"/>
          <w:szCs w:val="19"/>
          <w:color w:val="252525"/>
        </w:rPr>
        <w:t xml:space="preserve"> </w:t>
      </w:r>
      <w:r>
        <w:rPr>
          <w:rFonts w:ascii="Arial" w:cs="Arial" w:eastAsia="Arial" w:hAnsi="Arial"/>
          <w:sz w:val="19"/>
          <w:szCs w:val="19"/>
          <w:color w:val="000000"/>
        </w:rPr>
        <w:t>the impact of ASU No. 2017-04 on its financial position, results of operations and liquidity.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252525"/>
        </w:rPr>
        <w:t xml:space="preserve">In October 2016, the FASB issued ASU No. 2016-16, “Income Taxes (Topic 740): Intra-Entity Transfers of Assets Other Than Inventory”, in an effort to improve the accounting for the income tax consequences of intra-entity transfers of assets other than inventory. Current GAAP prohibits the recognition of current and deferred income taxes for an intra-entity asset transfer until the asset has been sold to an outside party. FASB ASU No. 2016-16 establishes the requirement that an entity recognize the income tax consequences of an intra-entity transfer of an asset other than inventory when the transfer occurs. ASU No. 2016-16 is effective for financial statements issued for annual periods beginning after December 15, 2017 and interim periods within those annual periods. Earlier application is permitted as of the beginning of an interim or annual reporting period, with any adjustments reflected as of the beginning of the fiscal year of adoption. </w:t>
      </w:r>
      <w:r>
        <w:rPr>
          <w:rFonts w:ascii="Arial" w:cs="Arial" w:eastAsia="Arial" w:hAnsi="Arial"/>
          <w:sz w:val="18"/>
          <w:szCs w:val="18"/>
          <w:color w:val="000000"/>
        </w:rPr>
        <w:t>The Company is</w:t>
      </w:r>
      <w:r>
        <w:rPr>
          <w:rFonts w:ascii="Arial" w:cs="Arial" w:eastAsia="Arial" w:hAnsi="Arial"/>
          <w:sz w:val="18"/>
          <w:szCs w:val="18"/>
          <w:color w:val="252525"/>
        </w:rPr>
        <w:t xml:space="preserve"> </w:t>
      </w:r>
      <w:r>
        <w:rPr>
          <w:rFonts w:ascii="Arial" w:cs="Arial" w:eastAsia="Arial" w:hAnsi="Arial"/>
          <w:sz w:val="18"/>
          <w:szCs w:val="18"/>
          <w:color w:val="000000"/>
        </w:rPr>
        <w:t>currently evaluating the impact of ASU No. 2016-16 on its financial position, results of operations and liquidity.</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August 2016, the FASB issued ASU No. 2016-15, “Statement of Cash Flows (Topic 230)”. The new guidance is intended to reduce diversity in practice in how certain transactions are classified in the statement of cash flows. ASU No. 2016-15 is effective for fiscal years, and interim periods within those years, beginning after December 15, 2017. Early adoption is permitted, provided that all of the amendments are adopted in the same period. The guidance requires application using a retrospective transition method. The Company is currently evaluating the impact of ASU No. 2016-15 on its financial position, results of operations and liquidity.</w:t>
      </w:r>
    </w:p>
    <w:p>
      <w:pPr>
        <w:spacing w:after="0" w:line="19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is currently evaluating the impact of ASU No. 2016-02 on its financial position, results of operations and liquidity.</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May 2014, the FASB issued ASU No. 2014-09, “Revenue from Contracts with Customers (Topic 606)”, which supersedes previous revenue recognition guidance. ASU No. 2014-09 requires that a company recognize revenue at an amount that reflects the consideration to which the company expects to be entitled in exchange for transferring goods or services to a customer. In applying the new guidance, a company will (i) identify the contract(s) with a customer; (ii) identify the performance obligations in the contract; (iii) determine the transaction price; (iv) allocate the transaction price to the contract’s performance obligations; and (v) recognize revenue when (or as) the entity satisfies a performance obligation. ASU No. 2014-09 was to be effective for reporting periods beginning after December 15, 2016. However, on July 9, 2015, the FASB voted to approve a one-year deferral of the effective date. This new guidance is effective for the Company beginning January 1, 2018 and can be adopted using either a full retrospective or modified approach. The Company is progressing in its evaluation of the amended revenue recognition guidance in Topic 606. However, such evaluation has yet to progress to a stage where there is sufficient information for a preliminary position of the impact on the Company’s consolidated financial statements. Therefore, the Company is unable at this time to provide (i) qualitative financial statement disclosures of the potential impact that this standard will have on its financial statements when adopted, (ii) a description of the effects of the accounting policies it expects to apply, (iii) a comparison to its current revenue recognition policies and (iv) a method for adoption.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6" w:name="page7"/>
    <w:bookmarkEnd w:id="6"/>
    <w:p>
      <w:pPr>
        <w:ind w:left="640" w:hanging="632"/>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30"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5"/>
                <w:szCs w:val="15"/>
                <w:color w:val="auto"/>
                <w:w w:val="94"/>
              </w:rPr>
              <w:t>Continuous</w:t>
            </w:r>
          </w:p>
        </w:tc>
        <w:tc>
          <w:tcPr>
            <w:tcW w:w="1040" w:type="dxa"/>
            <w:vAlign w:val="bottom"/>
          </w:tcPr>
          <w:p>
            <w:pPr>
              <w:jc w:val="center"/>
              <w:ind w:left="63"/>
              <w:spacing w:after="0"/>
              <w:rPr>
                <w:sz w:val="20"/>
                <w:szCs w:val="20"/>
                <w:color w:val="auto"/>
              </w:rPr>
            </w:pPr>
            <w:r>
              <w:rPr>
                <w:rFonts w:ascii="Arial" w:cs="Arial" w:eastAsia="Arial" w:hAnsi="Arial"/>
                <w:sz w:val="15"/>
                <w:szCs w:val="15"/>
                <w:color w:val="auto"/>
                <w:w w:val="92"/>
              </w:rPr>
              <w:t>Continuous</w:t>
            </w:r>
          </w:p>
        </w:tc>
        <w:tc>
          <w:tcPr>
            <w:tcW w:w="14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left="163"/>
              <w:spacing w:after="0" w:line="162" w:lineRule="exact"/>
              <w:rPr>
                <w:sz w:val="20"/>
                <w:szCs w:val="20"/>
                <w:color w:val="auto"/>
              </w:rPr>
            </w:pPr>
            <w:r>
              <w:rPr>
                <w:rFonts w:ascii="Arial" w:cs="Arial" w:eastAsia="Arial" w:hAnsi="Arial"/>
                <w:sz w:val="15"/>
                <w:szCs w:val="15"/>
                <w:color w:val="auto"/>
                <w:w w:val="84"/>
              </w:rPr>
              <w:t>Gross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line="162" w:lineRule="exact"/>
              <w:rPr>
                <w:sz w:val="20"/>
                <w:szCs w:val="20"/>
                <w:color w:val="auto"/>
              </w:rPr>
            </w:pPr>
            <w:r>
              <w:rPr>
                <w:rFonts w:ascii="Arial" w:cs="Arial" w:eastAsia="Arial" w:hAnsi="Arial"/>
                <w:sz w:val="15"/>
                <w:szCs w:val="15"/>
                <w:color w:val="auto"/>
                <w:w w:val="94"/>
              </w:rPr>
              <w:t>Unrealized</w:t>
            </w:r>
          </w:p>
        </w:tc>
        <w:tc>
          <w:tcPr>
            <w:tcW w:w="1040" w:type="dxa"/>
            <w:vAlign w:val="bottom"/>
          </w:tcPr>
          <w:p>
            <w:pPr>
              <w:jc w:val="center"/>
              <w:ind w:left="63"/>
              <w:spacing w:after="0" w:line="162" w:lineRule="exact"/>
              <w:rPr>
                <w:sz w:val="20"/>
                <w:szCs w:val="20"/>
                <w:color w:val="auto"/>
              </w:rPr>
            </w:pPr>
            <w:r>
              <w:rPr>
                <w:rFonts w:ascii="Arial" w:cs="Arial" w:eastAsia="Arial" w:hAnsi="Arial"/>
                <w:sz w:val="15"/>
                <w:szCs w:val="15"/>
                <w:color w:val="auto"/>
                <w:w w:val="91"/>
              </w:rPr>
              <w:t>Unrealized</w:t>
            </w:r>
          </w:p>
        </w:tc>
        <w:tc>
          <w:tcPr>
            <w:tcW w:w="14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left="163"/>
              <w:spacing w:after="0" w:line="162" w:lineRule="exact"/>
              <w:rPr>
                <w:sz w:val="20"/>
                <w:szCs w:val="20"/>
                <w:color w:val="auto"/>
              </w:rPr>
            </w:pPr>
            <w:r>
              <w:rPr>
                <w:rFonts w:ascii="Arial" w:cs="Arial" w:eastAsia="Arial" w:hAnsi="Arial"/>
                <w:sz w:val="15"/>
                <w:szCs w:val="15"/>
                <w:color w:val="auto"/>
                <w:w w:val="91"/>
              </w:rPr>
              <w:t>Unrealized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91"/>
              </w:rPr>
              <w:t>Unrealized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line="162" w:lineRule="exact"/>
              <w:rPr>
                <w:sz w:val="20"/>
                <w:szCs w:val="20"/>
                <w:color w:val="auto"/>
              </w:rPr>
            </w:pPr>
            <w:r>
              <w:rPr>
                <w:rFonts w:ascii="Arial" w:cs="Arial" w:eastAsia="Arial" w:hAnsi="Arial"/>
                <w:sz w:val="15"/>
                <w:szCs w:val="15"/>
                <w:color w:val="auto"/>
                <w:w w:val="94"/>
              </w:rPr>
              <w:t>Loss Position</w:t>
            </w:r>
          </w:p>
        </w:tc>
        <w:tc>
          <w:tcPr>
            <w:tcW w:w="1040" w:type="dxa"/>
            <w:vAlign w:val="bottom"/>
          </w:tcPr>
          <w:p>
            <w:pPr>
              <w:jc w:val="center"/>
              <w:ind w:left="63"/>
              <w:spacing w:after="0" w:line="162" w:lineRule="exact"/>
              <w:rPr>
                <w:sz w:val="20"/>
                <w:szCs w:val="20"/>
                <w:color w:val="auto"/>
              </w:rPr>
            </w:pPr>
            <w:r>
              <w:rPr>
                <w:rFonts w:ascii="Arial" w:cs="Arial" w:eastAsia="Arial" w:hAnsi="Arial"/>
                <w:sz w:val="15"/>
                <w:szCs w:val="15"/>
                <w:color w:val="auto"/>
                <w:w w:val="91"/>
              </w:rPr>
              <w:t>Loss Position</w:t>
            </w:r>
          </w:p>
        </w:tc>
        <w:tc>
          <w:tcPr>
            <w:tcW w:w="14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left="163"/>
              <w:spacing w:after="0" w:line="162" w:lineRule="exact"/>
              <w:rPr>
                <w:sz w:val="20"/>
                <w:szCs w:val="20"/>
                <w:color w:val="auto"/>
              </w:rPr>
            </w:pPr>
            <w:r>
              <w:rPr>
                <w:rFonts w:ascii="Arial" w:cs="Arial" w:eastAsia="Arial" w:hAnsi="Arial"/>
                <w:sz w:val="15"/>
                <w:szCs w:val="15"/>
                <w:color w:val="auto"/>
                <w:w w:val="98"/>
              </w:rPr>
              <w:t>Holding</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98"/>
              </w:rPr>
              <w:t>Holding</w:t>
            </w:r>
          </w:p>
        </w:tc>
        <w:tc>
          <w:tcPr>
            <w:tcW w:w="260" w:type="dxa"/>
            <w:vAlign w:val="bottom"/>
          </w:tcPr>
          <w:p>
            <w:pPr>
              <w:spacing w:after="0"/>
              <w:rPr>
                <w:sz w:val="14"/>
                <w:szCs w:val="14"/>
                <w:color w:val="auto"/>
              </w:rPr>
            </w:pPr>
          </w:p>
        </w:tc>
        <w:tc>
          <w:tcPr>
            <w:tcW w:w="1080" w:type="dxa"/>
            <w:vAlign w:val="bottom"/>
            <w:gridSpan w:val="2"/>
          </w:tcPr>
          <w:p>
            <w:pPr>
              <w:jc w:val="center"/>
              <w:ind w:right="480"/>
              <w:spacing w:after="0" w:line="162" w:lineRule="exact"/>
              <w:rPr>
                <w:sz w:val="20"/>
                <w:szCs w:val="20"/>
                <w:color w:val="auto"/>
              </w:rPr>
            </w:pPr>
            <w:r>
              <w:rPr>
                <w:rFonts w:ascii="Arial" w:cs="Arial" w:eastAsia="Arial" w:hAnsi="Arial"/>
                <w:sz w:val="15"/>
                <w:szCs w:val="15"/>
                <w:color w:val="auto"/>
                <w:w w:val="92"/>
              </w:rPr>
              <w:t>Fair</w:t>
            </w:r>
          </w:p>
        </w:tc>
        <w:tc>
          <w:tcPr>
            <w:tcW w:w="160" w:type="dxa"/>
            <w:vAlign w:val="bottom"/>
          </w:tcPr>
          <w:p>
            <w:pPr>
              <w:spacing w:after="0"/>
              <w:rPr>
                <w:sz w:val="14"/>
                <w:szCs w:val="14"/>
                <w:color w:val="auto"/>
              </w:rPr>
            </w:pPr>
          </w:p>
        </w:tc>
        <w:tc>
          <w:tcPr>
            <w:tcW w:w="1220" w:type="dxa"/>
            <w:vAlign w:val="bottom"/>
            <w:gridSpan w:val="2"/>
          </w:tcPr>
          <w:p>
            <w:pPr>
              <w:jc w:val="center"/>
              <w:ind w:right="380"/>
              <w:spacing w:after="0" w:line="162" w:lineRule="exact"/>
              <w:rPr>
                <w:sz w:val="20"/>
                <w:szCs w:val="20"/>
                <w:color w:val="auto"/>
              </w:rPr>
            </w:pPr>
            <w:r>
              <w:rPr>
                <w:rFonts w:ascii="Arial" w:cs="Arial" w:eastAsia="Arial" w:hAnsi="Arial"/>
                <w:sz w:val="15"/>
                <w:szCs w:val="15"/>
                <w:color w:val="auto"/>
                <w:w w:val="88"/>
              </w:rPr>
              <w:t>less than 12</w:t>
            </w:r>
          </w:p>
        </w:tc>
        <w:tc>
          <w:tcPr>
            <w:tcW w:w="1040" w:type="dxa"/>
            <w:vAlign w:val="bottom"/>
          </w:tcPr>
          <w:p>
            <w:pPr>
              <w:jc w:val="center"/>
              <w:ind w:left="43"/>
              <w:spacing w:after="0" w:line="162" w:lineRule="exact"/>
              <w:rPr>
                <w:sz w:val="20"/>
                <w:szCs w:val="20"/>
                <w:color w:val="auto"/>
              </w:rPr>
            </w:pPr>
            <w:r>
              <w:rPr>
                <w:rFonts w:ascii="Arial" w:cs="Arial" w:eastAsia="Arial" w:hAnsi="Arial"/>
                <w:sz w:val="15"/>
                <w:szCs w:val="15"/>
                <w:color w:val="auto"/>
                <w:w w:val="90"/>
              </w:rPr>
              <w:t>greater than 12</w:t>
            </w:r>
          </w:p>
        </w:tc>
        <w:tc>
          <w:tcPr>
            <w:tcW w:w="140" w:type="dxa"/>
            <w:vAlign w:val="bottom"/>
          </w:tcPr>
          <w:p>
            <w:pPr>
              <w:spacing w:after="0"/>
              <w:rPr>
                <w:sz w:val="14"/>
                <w:szCs w:val="14"/>
                <w:color w:val="auto"/>
              </w:rPr>
            </w:pPr>
          </w:p>
        </w:tc>
      </w:tr>
      <w:tr>
        <w:trPr>
          <w:trHeight w:val="182"/>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June 30, 2017</w:t>
            </w:r>
          </w:p>
        </w:tc>
        <w:tc>
          <w:tcPr>
            <w:tcW w:w="146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color w:val="auto"/>
              </w:rPr>
              <w:t>Amortized Cost</w:t>
            </w:r>
          </w:p>
        </w:tc>
        <w:tc>
          <w:tcPr>
            <w:tcW w:w="900" w:type="dxa"/>
            <w:vAlign w:val="bottom"/>
            <w:tcBorders>
              <w:bottom w:val="single" w:sz="8" w:color="auto"/>
            </w:tcBorders>
          </w:tcPr>
          <w:p>
            <w:pPr>
              <w:jc w:val="center"/>
              <w:ind w:left="163"/>
              <w:spacing w:after="0"/>
              <w:rPr>
                <w:sz w:val="20"/>
                <w:szCs w:val="20"/>
                <w:color w:val="auto"/>
              </w:rPr>
            </w:pPr>
            <w:r>
              <w:rPr>
                <w:rFonts w:ascii="Arial" w:cs="Arial" w:eastAsia="Arial" w:hAnsi="Arial"/>
                <w:sz w:val="15"/>
                <w:szCs w:val="15"/>
                <w:color w:val="auto"/>
                <w:w w:val="86"/>
              </w:rPr>
              <w:t>Gains</w:t>
            </w: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5"/>
                <w:szCs w:val="15"/>
                <w:color w:val="auto"/>
                <w:w w:val="88"/>
              </w:rPr>
              <w:t>Losses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color w:val="auto"/>
                <w:w w:val="88"/>
              </w:rPr>
              <w:t>Value</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5"/>
                <w:szCs w:val="15"/>
                <w:color w:val="auto"/>
                <w:w w:val="97"/>
              </w:rPr>
              <w:t>Months</w:t>
            </w:r>
          </w:p>
        </w:tc>
        <w:tc>
          <w:tcPr>
            <w:tcW w:w="1040" w:type="dxa"/>
            <w:vAlign w:val="bottom"/>
            <w:tcBorders>
              <w:bottom w:val="single" w:sz="8" w:color="auto"/>
            </w:tcBorders>
          </w:tcPr>
          <w:p>
            <w:pPr>
              <w:jc w:val="center"/>
              <w:ind w:left="63"/>
              <w:spacing w:after="0"/>
              <w:rPr>
                <w:sz w:val="20"/>
                <w:szCs w:val="20"/>
                <w:color w:val="auto"/>
              </w:rPr>
            </w:pPr>
            <w:r>
              <w:rPr>
                <w:rFonts w:ascii="Arial" w:cs="Arial" w:eastAsia="Arial" w:hAnsi="Arial"/>
                <w:sz w:val="15"/>
                <w:szCs w:val="15"/>
                <w:color w:val="auto"/>
                <w:w w:val="93"/>
              </w:rPr>
              <w:t>Months</w:t>
            </w:r>
          </w:p>
        </w:tc>
        <w:tc>
          <w:tcPr>
            <w:tcW w:w="140" w:type="dxa"/>
            <w:vAlign w:val="bottom"/>
            <w:tcBorders>
              <w:bottom w:val="single" w:sz="8" w:color="auto"/>
            </w:tcBorders>
          </w:tcPr>
          <w:p>
            <w:pPr>
              <w:spacing w:after="0"/>
              <w:rPr>
                <w:sz w:val="15"/>
                <w:szCs w:val="15"/>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5"/>
                <w:szCs w:val="15"/>
                <w:b w:val="1"/>
                <w:bCs w:val="1"/>
                <w:color w:val="auto"/>
              </w:rPr>
              <w:t>Available-for-sale</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334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340" w:type="dxa"/>
            <w:vAlign w:val="bottom"/>
          </w:tcPr>
          <w:p>
            <w:pPr>
              <w:ind w:left="180"/>
              <w:spacing w:after="0" w:line="162" w:lineRule="exact"/>
              <w:rPr>
                <w:sz w:val="20"/>
                <w:szCs w:val="20"/>
                <w:color w:val="auto"/>
              </w:rPr>
            </w:pPr>
            <w:r>
              <w:rPr>
                <w:rFonts w:ascii="Arial" w:cs="Arial" w:eastAsia="Arial" w:hAnsi="Arial"/>
                <w:sz w:val="15"/>
                <w:szCs w:val="15"/>
                <w:color w:val="auto"/>
              </w:rPr>
              <w:t>Commercial paper</w:t>
            </w:r>
          </w:p>
        </w:tc>
        <w:tc>
          <w:tcPr>
            <w:tcW w:w="420" w:type="dxa"/>
            <w:vAlign w:val="bottom"/>
          </w:tcPr>
          <w:p>
            <w:pPr>
              <w:jc w:val="right"/>
              <w:ind w:right="18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73,037</w:t>
            </w:r>
          </w:p>
        </w:tc>
        <w:tc>
          <w:tcPr>
            <w:tcW w:w="220" w:type="dxa"/>
            <w:vAlign w:val="bottom"/>
          </w:tcPr>
          <w:p>
            <w:pPr>
              <w:spacing w:after="0"/>
              <w:rPr>
                <w:sz w:val="14"/>
                <w:szCs w:val="14"/>
                <w:color w:val="auto"/>
              </w:rPr>
            </w:pPr>
          </w:p>
        </w:tc>
        <w:tc>
          <w:tcPr>
            <w:tcW w:w="900" w:type="dxa"/>
            <w:vAlign w:val="bottom"/>
          </w:tcPr>
          <w:p>
            <w:pPr>
              <w:jc w:val="right"/>
              <w:ind w:right="66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jc w:val="right"/>
              <w:ind w:right="3"/>
              <w:spacing w:after="0" w:line="162" w:lineRule="exact"/>
              <w:rPr>
                <w:sz w:val="20"/>
                <w:szCs w:val="20"/>
                <w:color w:val="auto"/>
              </w:rPr>
            </w:pPr>
            <w:r>
              <w:rPr>
                <w:rFonts w:ascii="Arial" w:cs="Arial" w:eastAsia="Arial" w:hAnsi="Arial"/>
                <w:sz w:val="15"/>
                <w:szCs w:val="15"/>
                <w:color w:val="auto"/>
              </w:rPr>
              <w:t>3</w:t>
            </w:r>
          </w:p>
        </w:tc>
        <w:tc>
          <w:tcPr>
            <w:tcW w:w="22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73,040</w:t>
            </w:r>
          </w:p>
        </w:tc>
        <w:tc>
          <w:tcPr>
            <w:tcW w:w="20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823"/>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r>
      <w:tr>
        <w:trPr>
          <w:trHeight w:val="162"/>
        </w:trPr>
        <w:tc>
          <w:tcPr>
            <w:tcW w:w="3340" w:type="dxa"/>
            <w:vAlign w:val="bottom"/>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42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37,210</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37,210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r>
      <w:tr>
        <w:trPr>
          <w:trHeight w:val="162"/>
        </w:trPr>
        <w:tc>
          <w:tcPr>
            <w:tcW w:w="3340" w:type="dxa"/>
            <w:vAlign w:val="bottom"/>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42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152,287</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jc w:val="right"/>
              <w:ind w:right="3"/>
              <w:spacing w:after="0" w:line="162" w:lineRule="exact"/>
              <w:rPr>
                <w:sz w:val="20"/>
                <w:szCs w:val="20"/>
                <w:color w:val="auto"/>
              </w:rPr>
            </w:pPr>
            <w:r>
              <w:rPr>
                <w:rFonts w:ascii="Arial" w:cs="Arial" w:eastAsia="Arial" w:hAnsi="Arial"/>
                <w:sz w:val="15"/>
                <w:szCs w:val="15"/>
                <w:color w:val="auto"/>
              </w:rPr>
              <w:t>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42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152,253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
              <w:spacing w:after="0" w:line="162" w:lineRule="exact"/>
              <w:rPr>
                <w:sz w:val="20"/>
                <w:szCs w:val="20"/>
                <w:color w:val="auto"/>
              </w:rPr>
            </w:pPr>
            <w:r>
              <w:rPr>
                <w:rFonts w:ascii="Arial" w:cs="Arial" w:eastAsia="Arial" w:hAnsi="Arial"/>
                <w:sz w:val="15"/>
                <w:szCs w:val="15"/>
                <w:color w:val="auto"/>
              </w:rPr>
              <w:t>42</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r>
      <w:tr>
        <w:trPr>
          <w:trHeight w:val="162"/>
        </w:trPr>
        <w:tc>
          <w:tcPr>
            <w:tcW w:w="3340" w:type="dxa"/>
            <w:vAlign w:val="bottom"/>
          </w:tcPr>
          <w:p>
            <w:pPr>
              <w:ind w:left="180"/>
              <w:spacing w:after="0" w:line="162" w:lineRule="exact"/>
              <w:rPr>
                <w:sz w:val="20"/>
                <w:szCs w:val="20"/>
                <w:color w:val="auto"/>
              </w:rPr>
            </w:pPr>
            <w:r>
              <w:rPr>
                <w:rFonts w:ascii="Arial" w:cs="Arial" w:eastAsia="Arial" w:hAnsi="Arial"/>
                <w:sz w:val="15"/>
                <w:szCs w:val="15"/>
                <w:color w:val="auto"/>
              </w:rPr>
              <w:t>U.S. government agency securities</w:t>
            </w:r>
          </w:p>
        </w:tc>
        <w:tc>
          <w:tcPr>
            <w:tcW w:w="42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28,465</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22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28,443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
              <w:spacing w:after="0" w:line="162" w:lineRule="exact"/>
              <w:rPr>
                <w:sz w:val="20"/>
                <w:szCs w:val="20"/>
                <w:color w:val="auto"/>
              </w:rPr>
            </w:pPr>
            <w:r>
              <w:rPr>
                <w:rFonts w:ascii="Arial" w:cs="Arial" w:eastAsia="Arial" w:hAnsi="Arial"/>
                <w:sz w:val="15"/>
                <w:szCs w:val="15"/>
                <w:color w:val="auto"/>
              </w:rPr>
              <w:t>22</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r>
      <w:tr>
        <w:trPr>
          <w:trHeight w:val="162"/>
        </w:trPr>
        <w:tc>
          <w:tcPr>
            <w:tcW w:w="3340" w:type="dxa"/>
            <w:vAlign w:val="bottom"/>
          </w:tcPr>
          <w:p>
            <w:pPr>
              <w:ind w:left="180"/>
              <w:spacing w:after="0" w:line="162" w:lineRule="exact"/>
              <w:rPr>
                <w:sz w:val="20"/>
                <w:szCs w:val="20"/>
                <w:color w:val="auto"/>
              </w:rPr>
            </w:pPr>
            <w:r>
              <w:rPr>
                <w:rFonts w:ascii="Arial" w:cs="Arial" w:eastAsia="Arial" w:hAnsi="Arial"/>
                <w:sz w:val="15"/>
                <w:szCs w:val="15"/>
                <w:color w:val="auto"/>
              </w:rPr>
              <w:t>Variable rate demand notes</w:t>
            </w:r>
          </w:p>
        </w:tc>
        <w:tc>
          <w:tcPr>
            <w:tcW w:w="42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32,905</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32,905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r>
      <w:tr>
        <w:trPr>
          <w:trHeight w:val="162"/>
        </w:trPr>
        <w:tc>
          <w:tcPr>
            <w:tcW w:w="334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340" w:type="dxa"/>
            <w:vAlign w:val="bottom"/>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42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32,704</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17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32,687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
              <w:spacing w:after="0" w:line="162" w:lineRule="exact"/>
              <w:rPr>
                <w:sz w:val="20"/>
                <w:szCs w:val="20"/>
                <w:color w:val="auto"/>
              </w:rPr>
            </w:pPr>
            <w:r>
              <w:rPr>
                <w:rFonts w:ascii="Arial" w:cs="Arial" w:eastAsia="Arial" w:hAnsi="Arial"/>
                <w:sz w:val="15"/>
                <w:szCs w:val="15"/>
                <w:color w:val="auto"/>
              </w:rPr>
              <w:t>17</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r>
      <w:tr>
        <w:trPr>
          <w:trHeight w:val="169"/>
        </w:trPr>
        <w:tc>
          <w:tcPr>
            <w:tcW w:w="3340" w:type="dxa"/>
            <w:vAlign w:val="bottom"/>
          </w:tcPr>
          <w:p>
            <w:pPr>
              <w:ind w:left="180"/>
              <w:spacing w:after="0" w:line="162" w:lineRule="exact"/>
              <w:rPr>
                <w:sz w:val="20"/>
                <w:szCs w:val="20"/>
                <w:color w:val="auto"/>
              </w:rPr>
            </w:pPr>
            <w:r>
              <w:rPr>
                <w:rFonts w:ascii="Arial" w:cs="Arial" w:eastAsia="Arial" w:hAnsi="Arial"/>
                <w:sz w:val="15"/>
                <w:szCs w:val="15"/>
                <w:color w:val="auto"/>
              </w:rPr>
              <w:t>U.S. government agency securities</w:t>
            </w: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15,974</w:t>
            </w: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15,952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22</w:t>
            </w: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w w:val="79"/>
              </w:rPr>
              <w:t>-</w:t>
            </w:r>
          </w:p>
        </w:tc>
      </w:tr>
      <w:tr>
        <w:trPr>
          <w:trHeight w:val="162"/>
        </w:trPr>
        <w:tc>
          <w:tcPr>
            <w:tcW w:w="3340" w:type="dxa"/>
            <w:vAlign w:val="bottom"/>
          </w:tcPr>
          <w:p>
            <w:pPr>
              <w:ind w:left="540"/>
              <w:spacing w:after="0" w:line="162"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ind w:right="183"/>
              <w:spacing w:after="0" w:line="162"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372,582</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663"/>
              <w:spacing w:after="0" w:line="162"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w w:val="83"/>
              </w:rPr>
              <w:t>11</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103</w:t>
            </w:r>
          </w:p>
        </w:tc>
        <w:tc>
          <w:tcPr>
            <w:tcW w:w="220" w:type="dxa"/>
            <w:vAlign w:val="bottom"/>
          </w:tcPr>
          <w:p>
            <w:pPr>
              <w:spacing w:after="0"/>
              <w:rPr>
                <w:sz w:val="14"/>
                <w:szCs w:val="14"/>
                <w:color w:val="auto"/>
              </w:rPr>
            </w:pPr>
          </w:p>
        </w:tc>
        <w:tc>
          <w:tcPr>
            <w:tcW w:w="26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372,490</w:t>
            </w:r>
          </w:p>
        </w:tc>
        <w:tc>
          <w:tcPr>
            <w:tcW w:w="20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103</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823"/>
              <w:spacing w:after="0" w:line="162"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w w:val="79"/>
              </w:rPr>
              <w:t>-</w:t>
            </w:r>
          </w:p>
        </w:tc>
      </w:tr>
      <w:tr>
        <w:trPr>
          <w:trHeight w:val="20"/>
        </w:trPr>
        <w:tc>
          <w:tcPr>
            <w:tcW w:w="3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345"/>
        </w:trPr>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5"/>
                <w:szCs w:val="15"/>
                <w:color w:val="auto"/>
                <w:w w:val="94"/>
              </w:rPr>
              <w:t>Continuous</w:t>
            </w:r>
          </w:p>
        </w:tc>
        <w:tc>
          <w:tcPr>
            <w:tcW w:w="1040" w:type="dxa"/>
            <w:vAlign w:val="bottom"/>
          </w:tcPr>
          <w:p>
            <w:pPr>
              <w:jc w:val="center"/>
              <w:ind w:left="63"/>
              <w:spacing w:after="0"/>
              <w:rPr>
                <w:sz w:val="20"/>
                <w:szCs w:val="20"/>
                <w:color w:val="auto"/>
              </w:rPr>
            </w:pPr>
            <w:r>
              <w:rPr>
                <w:rFonts w:ascii="Arial" w:cs="Arial" w:eastAsia="Arial" w:hAnsi="Arial"/>
                <w:sz w:val="15"/>
                <w:szCs w:val="15"/>
                <w:color w:val="auto"/>
                <w:w w:val="92"/>
              </w:rPr>
              <w:t>Continuous</w:t>
            </w:r>
          </w:p>
        </w:tc>
        <w:tc>
          <w:tcPr>
            <w:tcW w:w="140" w:type="dxa"/>
            <w:vAlign w:val="bottom"/>
          </w:tcPr>
          <w:p>
            <w:pPr>
              <w:spacing w:after="0"/>
              <w:rPr>
                <w:sz w:val="24"/>
                <w:szCs w:val="24"/>
                <w:color w:val="auto"/>
              </w:rPr>
            </w:pPr>
          </w:p>
        </w:tc>
      </w:tr>
      <w:tr>
        <w:trPr>
          <w:trHeight w:val="162"/>
        </w:trPr>
        <w:tc>
          <w:tcPr>
            <w:tcW w:w="3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left="163"/>
              <w:spacing w:after="0" w:line="162" w:lineRule="exact"/>
              <w:rPr>
                <w:sz w:val="20"/>
                <w:szCs w:val="20"/>
                <w:color w:val="auto"/>
              </w:rPr>
            </w:pPr>
            <w:r>
              <w:rPr>
                <w:rFonts w:ascii="Arial" w:cs="Arial" w:eastAsia="Arial" w:hAnsi="Arial"/>
                <w:sz w:val="15"/>
                <w:szCs w:val="15"/>
                <w:color w:val="auto"/>
                <w:w w:val="84"/>
              </w:rPr>
              <w:t>Gross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line="162" w:lineRule="exact"/>
              <w:rPr>
                <w:sz w:val="20"/>
                <w:szCs w:val="20"/>
                <w:color w:val="auto"/>
              </w:rPr>
            </w:pPr>
            <w:r>
              <w:rPr>
                <w:rFonts w:ascii="Arial" w:cs="Arial" w:eastAsia="Arial" w:hAnsi="Arial"/>
                <w:sz w:val="15"/>
                <w:szCs w:val="15"/>
                <w:color w:val="auto"/>
                <w:w w:val="94"/>
              </w:rPr>
              <w:t>Unrealized</w:t>
            </w:r>
          </w:p>
        </w:tc>
        <w:tc>
          <w:tcPr>
            <w:tcW w:w="1040" w:type="dxa"/>
            <w:vAlign w:val="bottom"/>
          </w:tcPr>
          <w:p>
            <w:pPr>
              <w:jc w:val="center"/>
              <w:ind w:left="63"/>
              <w:spacing w:after="0" w:line="162" w:lineRule="exact"/>
              <w:rPr>
                <w:sz w:val="20"/>
                <w:szCs w:val="20"/>
                <w:color w:val="auto"/>
              </w:rPr>
            </w:pPr>
            <w:r>
              <w:rPr>
                <w:rFonts w:ascii="Arial" w:cs="Arial" w:eastAsia="Arial" w:hAnsi="Arial"/>
                <w:sz w:val="15"/>
                <w:szCs w:val="15"/>
                <w:color w:val="auto"/>
                <w:w w:val="91"/>
              </w:rPr>
              <w:t>Unrealized</w:t>
            </w:r>
          </w:p>
        </w:tc>
        <w:tc>
          <w:tcPr>
            <w:tcW w:w="14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left="163"/>
              <w:spacing w:after="0" w:line="162" w:lineRule="exact"/>
              <w:rPr>
                <w:sz w:val="20"/>
                <w:szCs w:val="20"/>
                <w:color w:val="auto"/>
              </w:rPr>
            </w:pPr>
            <w:r>
              <w:rPr>
                <w:rFonts w:ascii="Arial" w:cs="Arial" w:eastAsia="Arial" w:hAnsi="Arial"/>
                <w:sz w:val="15"/>
                <w:szCs w:val="15"/>
                <w:color w:val="auto"/>
                <w:w w:val="91"/>
              </w:rPr>
              <w:t>Unrealized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91"/>
              </w:rPr>
              <w:t>Unrealized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line="162" w:lineRule="exact"/>
              <w:rPr>
                <w:sz w:val="20"/>
                <w:szCs w:val="20"/>
                <w:color w:val="auto"/>
              </w:rPr>
            </w:pPr>
            <w:r>
              <w:rPr>
                <w:rFonts w:ascii="Arial" w:cs="Arial" w:eastAsia="Arial" w:hAnsi="Arial"/>
                <w:sz w:val="15"/>
                <w:szCs w:val="15"/>
                <w:color w:val="auto"/>
                <w:w w:val="94"/>
              </w:rPr>
              <w:t>Loss Position</w:t>
            </w:r>
          </w:p>
        </w:tc>
        <w:tc>
          <w:tcPr>
            <w:tcW w:w="1040" w:type="dxa"/>
            <w:vAlign w:val="bottom"/>
          </w:tcPr>
          <w:p>
            <w:pPr>
              <w:jc w:val="center"/>
              <w:ind w:left="63"/>
              <w:spacing w:after="0" w:line="162" w:lineRule="exact"/>
              <w:rPr>
                <w:sz w:val="20"/>
                <w:szCs w:val="20"/>
                <w:color w:val="auto"/>
              </w:rPr>
            </w:pPr>
            <w:r>
              <w:rPr>
                <w:rFonts w:ascii="Arial" w:cs="Arial" w:eastAsia="Arial" w:hAnsi="Arial"/>
                <w:sz w:val="15"/>
                <w:szCs w:val="15"/>
                <w:color w:val="auto"/>
                <w:w w:val="91"/>
              </w:rPr>
              <w:t>Loss Position</w:t>
            </w:r>
          </w:p>
        </w:tc>
        <w:tc>
          <w:tcPr>
            <w:tcW w:w="14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left="163"/>
              <w:spacing w:after="0" w:line="162" w:lineRule="exact"/>
              <w:rPr>
                <w:sz w:val="20"/>
                <w:szCs w:val="20"/>
                <w:color w:val="auto"/>
              </w:rPr>
            </w:pPr>
            <w:r>
              <w:rPr>
                <w:rFonts w:ascii="Arial" w:cs="Arial" w:eastAsia="Arial" w:hAnsi="Arial"/>
                <w:sz w:val="15"/>
                <w:szCs w:val="15"/>
                <w:color w:val="auto"/>
                <w:w w:val="98"/>
              </w:rPr>
              <w:t>Holding</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98"/>
              </w:rPr>
              <w:t>Holding</w:t>
            </w:r>
          </w:p>
        </w:tc>
        <w:tc>
          <w:tcPr>
            <w:tcW w:w="260" w:type="dxa"/>
            <w:vAlign w:val="bottom"/>
          </w:tcPr>
          <w:p>
            <w:pPr>
              <w:spacing w:after="0"/>
              <w:rPr>
                <w:sz w:val="14"/>
                <w:szCs w:val="14"/>
                <w:color w:val="auto"/>
              </w:rPr>
            </w:pPr>
          </w:p>
        </w:tc>
        <w:tc>
          <w:tcPr>
            <w:tcW w:w="1080" w:type="dxa"/>
            <w:vAlign w:val="bottom"/>
            <w:gridSpan w:val="2"/>
          </w:tcPr>
          <w:p>
            <w:pPr>
              <w:jc w:val="center"/>
              <w:ind w:right="480"/>
              <w:spacing w:after="0" w:line="162" w:lineRule="exact"/>
              <w:rPr>
                <w:sz w:val="20"/>
                <w:szCs w:val="20"/>
                <w:color w:val="auto"/>
              </w:rPr>
            </w:pPr>
            <w:r>
              <w:rPr>
                <w:rFonts w:ascii="Arial" w:cs="Arial" w:eastAsia="Arial" w:hAnsi="Arial"/>
                <w:sz w:val="15"/>
                <w:szCs w:val="15"/>
                <w:color w:val="auto"/>
                <w:w w:val="92"/>
              </w:rPr>
              <w:t>Fair</w:t>
            </w:r>
          </w:p>
        </w:tc>
        <w:tc>
          <w:tcPr>
            <w:tcW w:w="160" w:type="dxa"/>
            <w:vAlign w:val="bottom"/>
          </w:tcPr>
          <w:p>
            <w:pPr>
              <w:spacing w:after="0"/>
              <w:rPr>
                <w:sz w:val="14"/>
                <w:szCs w:val="14"/>
                <w:color w:val="auto"/>
              </w:rPr>
            </w:pPr>
          </w:p>
        </w:tc>
        <w:tc>
          <w:tcPr>
            <w:tcW w:w="1220" w:type="dxa"/>
            <w:vAlign w:val="bottom"/>
            <w:gridSpan w:val="2"/>
          </w:tcPr>
          <w:p>
            <w:pPr>
              <w:jc w:val="center"/>
              <w:ind w:right="380"/>
              <w:spacing w:after="0" w:line="162" w:lineRule="exact"/>
              <w:rPr>
                <w:sz w:val="20"/>
                <w:szCs w:val="20"/>
                <w:color w:val="auto"/>
              </w:rPr>
            </w:pPr>
            <w:r>
              <w:rPr>
                <w:rFonts w:ascii="Arial" w:cs="Arial" w:eastAsia="Arial" w:hAnsi="Arial"/>
                <w:sz w:val="15"/>
                <w:szCs w:val="15"/>
                <w:color w:val="auto"/>
                <w:w w:val="88"/>
              </w:rPr>
              <w:t>less than 12</w:t>
            </w:r>
          </w:p>
        </w:tc>
        <w:tc>
          <w:tcPr>
            <w:tcW w:w="1040" w:type="dxa"/>
            <w:vAlign w:val="bottom"/>
          </w:tcPr>
          <w:p>
            <w:pPr>
              <w:jc w:val="center"/>
              <w:ind w:left="43"/>
              <w:spacing w:after="0" w:line="162" w:lineRule="exact"/>
              <w:rPr>
                <w:sz w:val="20"/>
                <w:szCs w:val="20"/>
                <w:color w:val="auto"/>
              </w:rPr>
            </w:pPr>
            <w:r>
              <w:rPr>
                <w:rFonts w:ascii="Arial" w:cs="Arial" w:eastAsia="Arial" w:hAnsi="Arial"/>
                <w:sz w:val="15"/>
                <w:szCs w:val="15"/>
                <w:color w:val="auto"/>
                <w:w w:val="90"/>
              </w:rPr>
              <w:t>greater than 12</w:t>
            </w:r>
          </w:p>
        </w:tc>
        <w:tc>
          <w:tcPr>
            <w:tcW w:w="140" w:type="dxa"/>
            <w:vAlign w:val="bottom"/>
          </w:tcPr>
          <w:p>
            <w:pPr>
              <w:spacing w:after="0"/>
              <w:rPr>
                <w:sz w:val="14"/>
                <w:szCs w:val="14"/>
                <w:color w:val="auto"/>
              </w:rPr>
            </w:pPr>
          </w:p>
        </w:tc>
      </w:tr>
      <w:tr>
        <w:trPr>
          <w:trHeight w:val="182"/>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2016</w:t>
            </w:r>
          </w:p>
        </w:tc>
        <w:tc>
          <w:tcPr>
            <w:tcW w:w="146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color w:val="auto"/>
              </w:rPr>
              <w:t>Amortized Cost</w:t>
            </w:r>
          </w:p>
        </w:tc>
        <w:tc>
          <w:tcPr>
            <w:tcW w:w="900" w:type="dxa"/>
            <w:vAlign w:val="bottom"/>
            <w:tcBorders>
              <w:bottom w:val="single" w:sz="8" w:color="auto"/>
            </w:tcBorders>
          </w:tcPr>
          <w:p>
            <w:pPr>
              <w:jc w:val="center"/>
              <w:ind w:left="163"/>
              <w:spacing w:after="0"/>
              <w:rPr>
                <w:sz w:val="20"/>
                <w:szCs w:val="20"/>
                <w:color w:val="auto"/>
              </w:rPr>
            </w:pPr>
            <w:r>
              <w:rPr>
                <w:rFonts w:ascii="Arial" w:cs="Arial" w:eastAsia="Arial" w:hAnsi="Arial"/>
                <w:sz w:val="15"/>
                <w:szCs w:val="15"/>
                <w:color w:val="auto"/>
                <w:w w:val="86"/>
              </w:rPr>
              <w:t>Gains</w:t>
            </w: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5"/>
                <w:szCs w:val="15"/>
                <w:color w:val="auto"/>
                <w:w w:val="88"/>
              </w:rPr>
              <w:t>Losses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color w:val="auto"/>
                <w:w w:val="88"/>
              </w:rPr>
              <w:t>Value</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5"/>
                <w:szCs w:val="15"/>
                <w:color w:val="auto"/>
                <w:w w:val="97"/>
              </w:rPr>
              <w:t>Months</w:t>
            </w:r>
          </w:p>
        </w:tc>
        <w:tc>
          <w:tcPr>
            <w:tcW w:w="1040" w:type="dxa"/>
            <w:vAlign w:val="bottom"/>
            <w:tcBorders>
              <w:bottom w:val="single" w:sz="8" w:color="auto"/>
            </w:tcBorders>
          </w:tcPr>
          <w:p>
            <w:pPr>
              <w:jc w:val="center"/>
              <w:ind w:left="63"/>
              <w:spacing w:after="0"/>
              <w:rPr>
                <w:sz w:val="20"/>
                <w:szCs w:val="20"/>
                <w:color w:val="auto"/>
              </w:rPr>
            </w:pPr>
            <w:r>
              <w:rPr>
                <w:rFonts w:ascii="Arial" w:cs="Arial" w:eastAsia="Arial" w:hAnsi="Arial"/>
                <w:sz w:val="15"/>
                <w:szCs w:val="15"/>
                <w:color w:val="auto"/>
                <w:w w:val="93"/>
              </w:rPr>
              <w:t>Months</w:t>
            </w:r>
          </w:p>
        </w:tc>
        <w:tc>
          <w:tcPr>
            <w:tcW w:w="140" w:type="dxa"/>
            <w:vAlign w:val="bottom"/>
            <w:tcBorders>
              <w:bottom w:val="single" w:sz="8" w:color="auto"/>
            </w:tcBorders>
          </w:tcPr>
          <w:p>
            <w:pPr>
              <w:spacing w:after="0"/>
              <w:rPr>
                <w:sz w:val="15"/>
                <w:szCs w:val="15"/>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5"/>
                <w:szCs w:val="15"/>
                <w:b w:val="1"/>
                <w:bCs w:val="1"/>
                <w:color w:val="auto"/>
              </w:rPr>
              <w:t>Available-for-sale</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334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340" w:type="dxa"/>
            <w:vAlign w:val="bottom"/>
          </w:tcPr>
          <w:p>
            <w:pPr>
              <w:ind w:left="180"/>
              <w:spacing w:after="0" w:line="162" w:lineRule="exact"/>
              <w:rPr>
                <w:sz w:val="20"/>
                <w:szCs w:val="20"/>
                <w:color w:val="auto"/>
              </w:rPr>
            </w:pPr>
            <w:r>
              <w:rPr>
                <w:rFonts w:ascii="Arial" w:cs="Arial" w:eastAsia="Arial" w:hAnsi="Arial"/>
                <w:sz w:val="15"/>
                <w:szCs w:val="15"/>
                <w:color w:val="auto"/>
              </w:rPr>
              <w:t>Commercial paper</w:t>
            </w:r>
          </w:p>
        </w:tc>
        <w:tc>
          <w:tcPr>
            <w:tcW w:w="420" w:type="dxa"/>
            <w:vAlign w:val="bottom"/>
          </w:tcPr>
          <w:p>
            <w:pPr>
              <w:jc w:val="right"/>
              <w:ind w:right="18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40,382</w:t>
            </w:r>
          </w:p>
        </w:tc>
        <w:tc>
          <w:tcPr>
            <w:tcW w:w="220" w:type="dxa"/>
            <w:vAlign w:val="bottom"/>
          </w:tcPr>
          <w:p>
            <w:pPr>
              <w:spacing w:after="0"/>
              <w:rPr>
                <w:sz w:val="14"/>
                <w:szCs w:val="14"/>
                <w:color w:val="auto"/>
              </w:rPr>
            </w:pPr>
          </w:p>
        </w:tc>
        <w:tc>
          <w:tcPr>
            <w:tcW w:w="900" w:type="dxa"/>
            <w:vAlign w:val="bottom"/>
          </w:tcPr>
          <w:p>
            <w:pPr>
              <w:jc w:val="right"/>
              <w:ind w:right="66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40,382</w:t>
            </w:r>
          </w:p>
        </w:tc>
        <w:tc>
          <w:tcPr>
            <w:tcW w:w="20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823"/>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r>
      <w:tr>
        <w:trPr>
          <w:trHeight w:val="162"/>
        </w:trPr>
        <w:tc>
          <w:tcPr>
            <w:tcW w:w="3340" w:type="dxa"/>
            <w:vAlign w:val="bottom"/>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42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140,379</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181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140,198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
              <w:spacing w:after="0" w:line="162" w:lineRule="exact"/>
              <w:rPr>
                <w:sz w:val="20"/>
                <w:szCs w:val="20"/>
                <w:color w:val="auto"/>
              </w:rPr>
            </w:pPr>
            <w:r>
              <w:rPr>
                <w:rFonts w:ascii="Arial" w:cs="Arial" w:eastAsia="Arial" w:hAnsi="Arial"/>
                <w:sz w:val="15"/>
                <w:szCs w:val="15"/>
                <w:color w:val="auto"/>
              </w:rPr>
              <w:t>181</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r>
      <w:tr>
        <w:trPr>
          <w:trHeight w:val="162"/>
        </w:trPr>
        <w:tc>
          <w:tcPr>
            <w:tcW w:w="3340" w:type="dxa"/>
            <w:vAlign w:val="bottom"/>
          </w:tcPr>
          <w:p>
            <w:pPr>
              <w:ind w:left="180"/>
              <w:spacing w:after="0" w:line="162" w:lineRule="exact"/>
              <w:rPr>
                <w:sz w:val="20"/>
                <w:szCs w:val="20"/>
                <w:color w:val="auto"/>
              </w:rPr>
            </w:pPr>
            <w:r>
              <w:rPr>
                <w:rFonts w:ascii="Arial" w:cs="Arial" w:eastAsia="Arial" w:hAnsi="Arial"/>
                <w:sz w:val="15"/>
                <w:szCs w:val="15"/>
                <w:color w:val="auto"/>
              </w:rPr>
              <w:t>U.S. government agency securities</w:t>
            </w:r>
          </w:p>
        </w:tc>
        <w:tc>
          <w:tcPr>
            <w:tcW w:w="42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26,057</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26,051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
              <w:spacing w:after="0" w:line="162" w:lineRule="exact"/>
              <w:rPr>
                <w:sz w:val="20"/>
                <w:szCs w:val="20"/>
                <w:color w:val="auto"/>
              </w:rPr>
            </w:pPr>
            <w:r>
              <w:rPr>
                <w:rFonts w:ascii="Arial" w:cs="Arial" w:eastAsia="Arial" w:hAnsi="Arial"/>
                <w:sz w:val="15"/>
                <w:szCs w:val="15"/>
                <w:color w:val="auto"/>
              </w:rPr>
              <w:t>6</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r>
      <w:tr>
        <w:trPr>
          <w:trHeight w:val="162"/>
        </w:trPr>
        <w:tc>
          <w:tcPr>
            <w:tcW w:w="3340" w:type="dxa"/>
            <w:vAlign w:val="bottom"/>
          </w:tcPr>
          <w:p>
            <w:pPr>
              <w:ind w:left="180"/>
              <w:spacing w:after="0" w:line="162" w:lineRule="exact"/>
              <w:rPr>
                <w:sz w:val="20"/>
                <w:szCs w:val="20"/>
                <w:color w:val="auto"/>
              </w:rPr>
            </w:pPr>
            <w:r>
              <w:rPr>
                <w:rFonts w:ascii="Arial" w:cs="Arial" w:eastAsia="Arial" w:hAnsi="Arial"/>
                <w:sz w:val="15"/>
                <w:szCs w:val="15"/>
                <w:color w:val="auto"/>
              </w:rPr>
              <w:t>Variable rate demand notes</w:t>
            </w:r>
          </w:p>
        </w:tc>
        <w:tc>
          <w:tcPr>
            <w:tcW w:w="42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13,923</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13,923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r>
      <w:tr>
        <w:trPr>
          <w:trHeight w:val="162"/>
        </w:trPr>
        <w:tc>
          <w:tcPr>
            <w:tcW w:w="334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3340" w:type="dxa"/>
            <w:vAlign w:val="bottom"/>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2,403</w:t>
            </w: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9</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2,394</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9</w:t>
            </w: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w w:val="79"/>
              </w:rPr>
              <w:t>-</w:t>
            </w:r>
          </w:p>
        </w:tc>
      </w:tr>
      <w:tr>
        <w:trPr>
          <w:trHeight w:val="162"/>
        </w:trPr>
        <w:tc>
          <w:tcPr>
            <w:tcW w:w="3340" w:type="dxa"/>
            <w:vAlign w:val="bottom"/>
          </w:tcPr>
          <w:p>
            <w:pPr>
              <w:ind w:left="540"/>
              <w:spacing w:after="0" w:line="162"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ind w:right="183"/>
              <w:spacing w:after="0" w:line="162"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223,144</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663"/>
              <w:spacing w:after="0" w:line="162"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196</w:t>
            </w:r>
          </w:p>
        </w:tc>
        <w:tc>
          <w:tcPr>
            <w:tcW w:w="220" w:type="dxa"/>
            <w:vAlign w:val="bottom"/>
          </w:tcPr>
          <w:p>
            <w:pPr>
              <w:spacing w:after="0"/>
              <w:rPr>
                <w:sz w:val="14"/>
                <w:szCs w:val="14"/>
                <w:color w:val="auto"/>
              </w:rPr>
            </w:pPr>
          </w:p>
        </w:tc>
        <w:tc>
          <w:tcPr>
            <w:tcW w:w="26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222,948</w:t>
            </w:r>
          </w:p>
        </w:tc>
        <w:tc>
          <w:tcPr>
            <w:tcW w:w="20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196</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823"/>
              <w:spacing w:after="0" w:line="162"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w w:val="79"/>
              </w:rPr>
              <w:t>-</w:t>
            </w:r>
          </w:p>
        </w:tc>
      </w:tr>
      <w:tr>
        <w:trPr>
          <w:trHeight w:val="20"/>
        </w:trPr>
        <w:tc>
          <w:tcPr>
            <w:tcW w:w="3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three- and six-months ended June 30, 2017 and 2016, realized gains or losses recognized on the sale of investments were not significant.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Company’s investments at June 30, 2017 and December 31, 2016 in commercial paper, certificates of deposit, municipal securities, U.S. government agency securities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 day settlement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925"/>
              <w:spacing w:after="0"/>
              <w:rPr>
                <w:sz w:val="20"/>
                <w:szCs w:val="20"/>
                <w:color w:val="auto"/>
              </w:rPr>
            </w:pPr>
            <w:r>
              <w:rPr>
                <w:rFonts w:ascii="Arial" w:cs="Arial" w:eastAsia="Arial" w:hAnsi="Arial"/>
                <w:sz w:val="19"/>
                <w:szCs w:val="19"/>
                <w:color w:val="auto"/>
              </w:rPr>
              <w:t>June 30, 2017</w:t>
            </w: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685"/>
              <w:spacing w:after="0"/>
              <w:rPr>
                <w:sz w:val="20"/>
                <w:szCs w:val="20"/>
                <w:color w:val="auto"/>
              </w:rPr>
            </w:pPr>
            <w:r>
              <w:rPr>
                <w:rFonts w:ascii="Arial" w:cs="Arial" w:eastAsia="Arial" w:hAnsi="Arial"/>
                <w:sz w:val="19"/>
                <w:szCs w:val="19"/>
                <w:color w:val="auto"/>
              </w:rPr>
              <w:t>December 31, 2016</w:t>
            </w:r>
          </w:p>
        </w:tc>
        <w:tc>
          <w:tcPr>
            <w:tcW w:w="0" w:type="dxa"/>
            <w:vAlign w:val="bottom"/>
          </w:tcPr>
          <w:p>
            <w:pPr>
              <w:spacing w:after="0"/>
              <w:rPr>
                <w:sz w:val="1"/>
                <w:szCs w:val="1"/>
                <w:color w:val="auto"/>
              </w:rPr>
            </w:pPr>
          </w:p>
        </w:tc>
      </w:tr>
      <w:tr>
        <w:trPr>
          <w:trHeight w:val="426"/>
        </w:trPr>
        <w:tc>
          <w:tcPr>
            <w:tcW w:w="4300" w:type="dxa"/>
            <w:vAlign w:val="bottom"/>
            <w:vMerge w:val="restart"/>
          </w:tcPr>
          <w:p>
            <w:pPr>
              <w:spacing w:after="0"/>
              <w:rPr>
                <w:sz w:val="20"/>
                <w:szCs w:val="20"/>
                <w:color w:val="auto"/>
              </w:rPr>
            </w:pPr>
            <w:r>
              <w:rPr>
                <w:rFonts w:ascii="Arial" w:cs="Arial" w:eastAsia="Arial" w:hAnsi="Arial"/>
                <w:sz w:val="19"/>
                <w:szCs w:val="19"/>
                <w:color w:val="auto"/>
              </w:rPr>
              <w:t>Less than 1 year:</w:t>
            </w:r>
          </w:p>
        </w:tc>
        <w:tc>
          <w:tcPr>
            <w:tcW w:w="1700" w:type="dxa"/>
            <w:vAlign w:val="bottom"/>
            <w:gridSpan w:val="3"/>
          </w:tcPr>
          <w:p>
            <w:pPr>
              <w:ind w:left="140"/>
              <w:spacing w:after="0"/>
              <w:rPr>
                <w:sz w:val="20"/>
                <w:szCs w:val="20"/>
                <w:color w:val="auto"/>
              </w:rPr>
            </w:pPr>
            <w:r>
              <w:rPr>
                <w:rFonts w:ascii="Arial" w:cs="Arial" w:eastAsia="Arial" w:hAnsi="Arial"/>
                <w:sz w:val="19"/>
                <w:szCs w:val="19"/>
                <w:color w:val="auto"/>
              </w:rPr>
              <w:t>Amortized Cost</w:t>
            </w:r>
          </w:p>
        </w:tc>
        <w:tc>
          <w:tcPr>
            <w:tcW w:w="24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9"/>
                <w:szCs w:val="19"/>
                <w:color w:val="auto"/>
              </w:rPr>
              <w:t>Fair Value</w:t>
            </w:r>
          </w:p>
        </w:tc>
        <w:tc>
          <w:tcPr>
            <w:tcW w:w="1660" w:type="dxa"/>
            <w:vAlign w:val="bottom"/>
            <w:gridSpan w:val="3"/>
          </w:tcPr>
          <w:p>
            <w:pPr>
              <w:ind w:left="120"/>
              <w:spacing w:after="0"/>
              <w:rPr>
                <w:sz w:val="20"/>
                <w:szCs w:val="20"/>
                <w:color w:val="auto"/>
              </w:rPr>
            </w:pPr>
            <w:r>
              <w:rPr>
                <w:rFonts w:ascii="Arial" w:cs="Arial" w:eastAsia="Arial" w:hAnsi="Arial"/>
                <w:sz w:val="19"/>
                <w:szCs w:val="19"/>
                <w:color w:val="auto"/>
              </w:rPr>
              <w:t>Amortized Cost</w:t>
            </w:r>
          </w:p>
        </w:tc>
        <w:tc>
          <w:tcPr>
            <w:tcW w:w="240" w:type="dxa"/>
            <w:vAlign w:val="bottom"/>
          </w:tcPr>
          <w:p>
            <w:pPr>
              <w:spacing w:after="0"/>
              <w:rPr>
                <w:sz w:val="24"/>
                <w:szCs w:val="24"/>
                <w:color w:val="auto"/>
              </w:rPr>
            </w:pPr>
          </w:p>
        </w:tc>
        <w:tc>
          <w:tcPr>
            <w:tcW w:w="1120" w:type="dxa"/>
            <w:vAlign w:val="bottom"/>
          </w:tcPr>
          <w:p>
            <w:pPr>
              <w:jc w:val="right"/>
              <w:ind w:right="185"/>
              <w:spacing w:after="0"/>
              <w:rPr>
                <w:sz w:val="20"/>
                <w:szCs w:val="20"/>
                <w:color w:val="auto"/>
              </w:rPr>
            </w:pPr>
            <w:r>
              <w:rPr>
                <w:rFonts w:ascii="Arial" w:cs="Arial" w:eastAsia="Arial" w:hAnsi="Arial"/>
                <w:sz w:val="19"/>
                <w:szCs w:val="19"/>
                <w:color w:val="auto"/>
                <w:w w:val="94"/>
              </w:rPr>
              <w:t>Fair Value</w:t>
            </w:r>
          </w:p>
        </w:tc>
        <w:tc>
          <w:tcPr>
            <w:tcW w:w="0" w:type="dxa"/>
            <w:vAlign w:val="bottom"/>
          </w:tcPr>
          <w:p>
            <w:pPr>
              <w:spacing w:after="0"/>
              <w:rPr>
                <w:sz w:val="1"/>
                <w:szCs w:val="1"/>
                <w:color w:val="auto"/>
              </w:rPr>
            </w:pPr>
          </w:p>
        </w:tc>
      </w:tr>
      <w:tr>
        <w:trPr>
          <w:trHeight w:val="174"/>
        </w:trPr>
        <w:tc>
          <w:tcPr>
            <w:tcW w:w="4300" w:type="dxa"/>
            <w:vAlign w:val="bottom"/>
            <w:vMerge w:val="continue"/>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Commercial paper</w:t>
            </w:r>
          </w:p>
        </w:tc>
        <w:tc>
          <w:tcPr>
            <w:tcW w:w="48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w:t>
            </w: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73,037</w:t>
            </w:r>
          </w:p>
        </w:tc>
        <w:tc>
          <w:tcPr>
            <w:tcW w:w="20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73,040</w:t>
            </w:r>
          </w:p>
        </w:tc>
        <w:tc>
          <w:tcPr>
            <w:tcW w:w="200" w:type="dxa"/>
            <w:vAlign w:val="bottom"/>
          </w:tcPr>
          <w:p>
            <w:pPr>
              <w:spacing w:after="0"/>
              <w:rPr>
                <w:sz w:val="18"/>
                <w:szCs w:val="18"/>
                <w:color w:val="auto"/>
              </w:rPr>
            </w:pPr>
          </w:p>
        </w:tc>
        <w:tc>
          <w:tcPr>
            <w:tcW w:w="48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w:t>
            </w: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40,382</w:t>
            </w:r>
          </w:p>
        </w:tc>
        <w:tc>
          <w:tcPr>
            <w:tcW w:w="20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40,382</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Certificates of deposit</w:t>
            </w:r>
          </w:p>
        </w:tc>
        <w:tc>
          <w:tcPr>
            <w:tcW w:w="4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37,210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37,210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4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152,287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152,253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140,379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140,198</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U.S. government agency securities</w:t>
            </w:r>
          </w:p>
        </w:tc>
        <w:tc>
          <w:tcPr>
            <w:tcW w:w="4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28,465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28,443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26,057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26,051</w:t>
            </w:r>
          </w:p>
        </w:tc>
        <w:tc>
          <w:tcPr>
            <w:tcW w:w="0" w:type="dxa"/>
            <w:vAlign w:val="bottom"/>
          </w:tcPr>
          <w:p>
            <w:pPr>
              <w:spacing w:after="0"/>
              <w:rPr>
                <w:sz w:val="1"/>
                <w:szCs w:val="1"/>
                <w:color w:val="auto"/>
              </w:rPr>
            </w:pPr>
          </w:p>
        </w:tc>
      </w:tr>
      <w:tr>
        <w:trPr>
          <w:trHeight w:val="216"/>
        </w:trPr>
        <w:tc>
          <w:tcPr>
            <w:tcW w:w="4300" w:type="dxa"/>
            <w:vAlign w:val="bottom"/>
          </w:tcPr>
          <w:p>
            <w:pPr>
              <w:spacing w:after="0" w:line="216" w:lineRule="exact"/>
              <w:rPr>
                <w:sz w:val="20"/>
                <w:szCs w:val="20"/>
                <w:color w:val="auto"/>
              </w:rPr>
            </w:pPr>
            <w:r>
              <w:rPr>
                <w:rFonts w:ascii="Arial" w:cs="Arial" w:eastAsia="Arial" w:hAnsi="Arial"/>
                <w:sz w:val="19"/>
                <w:szCs w:val="19"/>
                <w:color w:val="auto"/>
              </w:rPr>
              <w:t>Due 1 -10 years: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4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32,704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32,687</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2,403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2,394</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U.S. government agency securities</w:t>
            </w:r>
          </w:p>
        </w:tc>
        <w:tc>
          <w:tcPr>
            <w:tcW w:w="4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15,974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15,952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3,918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3,918</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3,917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3,917</w:t>
            </w:r>
          </w:p>
        </w:tc>
        <w:tc>
          <w:tcPr>
            <w:tcW w:w="0" w:type="dxa"/>
            <w:vAlign w:val="bottom"/>
          </w:tcPr>
          <w:p>
            <w:pPr>
              <w:spacing w:after="0"/>
              <w:rPr>
                <w:sz w:val="1"/>
                <w:szCs w:val="1"/>
                <w:color w:val="auto"/>
              </w:rPr>
            </w:pPr>
          </w:p>
        </w:tc>
      </w:tr>
      <w:tr>
        <w:trPr>
          <w:trHeight w:val="216"/>
        </w:trPr>
        <w:tc>
          <w:tcPr>
            <w:tcW w:w="4300" w:type="dxa"/>
            <w:vAlign w:val="bottom"/>
          </w:tcPr>
          <w:p>
            <w:pPr>
              <w:spacing w:after="0" w:line="216" w:lineRule="exact"/>
              <w:rPr>
                <w:sz w:val="20"/>
                <w:szCs w:val="20"/>
                <w:color w:val="auto"/>
              </w:rPr>
            </w:pPr>
            <w:r>
              <w:rPr>
                <w:rFonts w:ascii="Arial" w:cs="Arial" w:eastAsia="Arial" w:hAnsi="Arial"/>
                <w:sz w:val="19"/>
                <w:szCs w:val="19"/>
                <w:color w:val="auto"/>
              </w:rPr>
              <w:t>Due 11 - 20 years: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10,006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10,006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6,003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6,003</w:t>
            </w:r>
          </w:p>
        </w:tc>
        <w:tc>
          <w:tcPr>
            <w:tcW w:w="0" w:type="dxa"/>
            <w:vAlign w:val="bottom"/>
          </w:tcPr>
          <w:p>
            <w:pPr>
              <w:spacing w:after="0"/>
              <w:rPr>
                <w:sz w:val="1"/>
                <w:szCs w:val="1"/>
                <w:color w:val="auto"/>
              </w:rPr>
            </w:pPr>
          </w:p>
        </w:tc>
      </w:tr>
      <w:tr>
        <w:trPr>
          <w:trHeight w:val="216"/>
        </w:trPr>
        <w:tc>
          <w:tcPr>
            <w:tcW w:w="4300" w:type="dxa"/>
            <w:vAlign w:val="bottom"/>
          </w:tcPr>
          <w:p>
            <w:pPr>
              <w:spacing w:after="0" w:line="216" w:lineRule="exact"/>
              <w:rPr>
                <w:sz w:val="20"/>
                <w:szCs w:val="20"/>
                <w:color w:val="auto"/>
              </w:rPr>
            </w:pPr>
            <w:r>
              <w:rPr>
                <w:rFonts w:ascii="Arial" w:cs="Arial" w:eastAsia="Arial" w:hAnsi="Arial"/>
                <w:sz w:val="19"/>
                <w:szCs w:val="19"/>
                <w:color w:val="auto"/>
              </w:rPr>
              <w:t>Due 21 - 30 years: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14,979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14,979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4,003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4,003</w:t>
            </w:r>
          </w:p>
        </w:tc>
        <w:tc>
          <w:tcPr>
            <w:tcW w:w="0" w:type="dxa"/>
            <w:vAlign w:val="bottom"/>
          </w:tcPr>
          <w:p>
            <w:pPr>
              <w:spacing w:after="0"/>
              <w:rPr>
                <w:sz w:val="1"/>
                <w:szCs w:val="1"/>
                <w:color w:val="auto"/>
              </w:rPr>
            </w:pPr>
          </w:p>
        </w:tc>
      </w:tr>
      <w:tr>
        <w:trPr>
          <w:trHeight w:val="216"/>
        </w:trPr>
        <w:tc>
          <w:tcPr>
            <w:tcW w:w="4300" w:type="dxa"/>
            <w:vAlign w:val="bottom"/>
          </w:tcPr>
          <w:p>
            <w:pPr>
              <w:spacing w:after="0" w:line="216" w:lineRule="exact"/>
              <w:rPr>
                <w:sz w:val="20"/>
                <w:szCs w:val="20"/>
                <w:color w:val="auto"/>
              </w:rPr>
            </w:pPr>
            <w:r>
              <w:rPr>
                <w:rFonts w:ascii="Arial" w:cs="Arial" w:eastAsia="Arial" w:hAnsi="Arial"/>
                <w:sz w:val="19"/>
                <w:szCs w:val="19"/>
                <w:color w:val="auto"/>
              </w:rPr>
              <w:t>Due 31 - 40 years: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00" w:type="dxa"/>
            <w:vAlign w:val="bottom"/>
          </w:tcPr>
          <w:p>
            <w:pPr>
              <w:ind w:left="360"/>
              <w:spacing w:after="0"/>
              <w:rPr>
                <w:sz w:val="20"/>
                <w:szCs w:val="20"/>
                <w:color w:val="auto"/>
              </w:rPr>
            </w:pPr>
            <w:r>
              <w:rPr>
                <w:rFonts w:ascii="Arial" w:cs="Arial" w:eastAsia="Arial" w:hAnsi="Arial"/>
                <w:sz w:val="19"/>
                <w:szCs w:val="19"/>
                <w:color w:val="auto"/>
              </w:rPr>
              <w:t>Variable rate demand notes</w:t>
            </w: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4,002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4,002</w:t>
            </w: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0"/>
        </w:trPr>
        <w:tc>
          <w:tcPr>
            <w:tcW w:w="4300" w:type="dxa"/>
            <w:vAlign w:val="bottom"/>
          </w:tcPr>
          <w:p>
            <w:pPr>
              <w:ind w:left="180"/>
              <w:spacing w:after="0" w:line="210" w:lineRule="exact"/>
              <w:rPr>
                <w:sz w:val="20"/>
                <w:szCs w:val="20"/>
                <w:color w:val="auto"/>
              </w:rPr>
            </w:pPr>
            <w:r>
              <w:rPr>
                <w:rFonts w:ascii="Arial" w:cs="Arial" w:eastAsia="Arial" w:hAnsi="Arial"/>
                <w:sz w:val="19"/>
                <w:szCs w:val="19"/>
                <w:color w:val="auto"/>
              </w:rPr>
              <w:t>Total</w:t>
            </w:r>
          </w:p>
        </w:tc>
        <w:tc>
          <w:tcPr>
            <w:tcW w:w="480" w:type="dxa"/>
            <w:vAlign w:val="bottom"/>
            <w:tcBorders>
              <w:bottom w:val="single" w:sz="8" w:color="auto"/>
            </w:tcBorders>
          </w:tcPr>
          <w:p>
            <w:pPr>
              <w:jc w:val="right"/>
              <w:ind w:right="205"/>
              <w:spacing w:after="0" w:line="210" w:lineRule="exact"/>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372,582</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372,490</w:t>
            </w:r>
          </w:p>
        </w:tc>
        <w:tc>
          <w:tcPr>
            <w:tcW w:w="200" w:type="dxa"/>
            <w:vAlign w:val="bottom"/>
          </w:tcPr>
          <w:p>
            <w:pPr>
              <w:spacing w:after="0"/>
              <w:rPr>
                <w:sz w:val="18"/>
                <w:szCs w:val="18"/>
                <w:color w:val="auto"/>
              </w:rPr>
            </w:pPr>
          </w:p>
        </w:tc>
        <w:tc>
          <w:tcPr>
            <w:tcW w:w="480" w:type="dxa"/>
            <w:vAlign w:val="bottom"/>
            <w:tcBorders>
              <w:bottom w:val="single" w:sz="8" w:color="auto"/>
            </w:tcBorders>
          </w:tcPr>
          <w:p>
            <w:pPr>
              <w:jc w:val="right"/>
              <w:ind w:right="205"/>
              <w:spacing w:after="0" w:line="210" w:lineRule="exact"/>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223,144</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222,948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Accounting Standards Codification (“ASC”) 820 provides a framework for measuring fair value and requires disclosures regarding fair value measurements. ASC 820 defines fair value as the price that would be received on the sale of an asset or paid to transfer a liability in an</w:t>
      </w:r>
    </w:p>
    <w:p>
      <w:pPr>
        <w:sectPr>
          <w:pgSz w:w="11900" w:h="16838" w:orient="portrait"/>
          <w:cols w:equalWidth="0" w:num="1">
            <w:col w:w="11420"/>
          </w:cols>
          <w:pgMar w:left="240" w:top="121" w:right="239" w:bottom="0" w:gutter="0" w:footer="0" w:header="0"/>
        </w:sectPr>
      </w:pPr>
    </w:p>
    <w:bookmarkStart w:id="7" w:name="page8"/>
    <w:bookmarkEnd w:id="7"/>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195" w:lineRule="exact"/>
        <w:rPr>
          <w:sz w:val="20"/>
          <w:szCs w:val="20"/>
          <w:color w:val="auto"/>
        </w:rPr>
      </w:pPr>
    </w:p>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60" w:hanging="328"/>
        <w:spacing w:after="0" w:line="253" w:lineRule="auto"/>
        <w:tabs>
          <w:tab w:leader="none" w:pos="642"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rFonts w:ascii="Arial" w:cs="Arial" w:eastAsia="Arial" w:hAnsi="Arial"/>
          <w:sz w:val="20"/>
          <w:szCs w:val="20"/>
          <w:color w:val="auto"/>
        </w:rPr>
      </w:pPr>
    </w:p>
    <w:p>
      <w:pPr>
        <w:ind w:left="660" w:hanging="328"/>
        <w:spacing w:after="0" w:line="267" w:lineRule="auto"/>
        <w:tabs>
          <w:tab w:leader="none" w:pos="709"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June 30, 2017</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Level 1</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2</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Level 3</w:t>
            </w:r>
          </w:p>
        </w:tc>
        <w:tc>
          <w:tcPr>
            <w:tcW w:w="3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16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311,631</w:t>
            </w: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921"/>
              <w:spacing w:after="0" w:line="207" w:lineRule="exact"/>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311,631</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Money market funds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363,656</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363,656</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57,756</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57,756</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Commercial paper</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90,257</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90,257</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32,905</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32,905</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Municipal securities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234,558</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234,558</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59,382</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59,382</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482</w:t>
            </w:r>
          </w:p>
        </w:tc>
        <w:tc>
          <w:tcPr>
            <w:tcW w:w="1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482</w:t>
            </w: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675,287</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475,340</w:t>
            </w:r>
          </w:p>
        </w:tc>
        <w:tc>
          <w:tcPr>
            <w:tcW w:w="120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1,150,627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675,287</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102,368</w:t>
            </w:r>
          </w:p>
        </w:tc>
        <w:tc>
          <w:tcPr>
            <w:tcW w:w="120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777,655</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Short-term investments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323,851</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323,851</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853</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853</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Investments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48,639</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48,639</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Accrued liabilities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(371)</w:t>
            </w:r>
          </w:p>
        </w:tc>
        <w:tc>
          <w:tcPr>
            <w:tcW w:w="1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675,287</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475,340</w:t>
            </w:r>
          </w:p>
        </w:tc>
        <w:tc>
          <w:tcPr>
            <w:tcW w:w="120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1,150,627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 2016</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Level 1</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2</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Level 3</w:t>
            </w: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16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278,972</w:t>
            </w: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921"/>
              <w:spacing w:after="0" w:line="207" w:lineRule="exact"/>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278,972</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Money market funds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76,112</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76,112</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Commercial paper</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47,855</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47,855</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13,923</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13,923</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Municipal securities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157,617</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157,617</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26,051</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26,051</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w:t>
            </w:r>
          </w:p>
        </w:tc>
        <w:tc>
          <w:tcPr>
            <w:tcW w:w="1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w:t>
            </w: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355,084</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244,918</w:t>
            </w:r>
          </w:p>
        </w:tc>
        <w:tc>
          <w:tcPr>
            <w:tcW w:w="120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600,002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355,084</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22,498</w:t>
            </w:r>
          </w:p>
        </w:tc>
        <w:tc>
          <w:tcPr>
            <w:tcW w:w="120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377,582</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Short-term investments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220,554</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220,554</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236</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236</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Investments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2,394</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2,394</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Accrued liabilities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(764)</w:t>
            </w:r>
          </w:p>
        </w:tc>
        <w:tc>
          <w:tcPr>
            <w:tcW w:w="1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(764)</w:t>
            </w: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355,084</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244,918</w:t>
            </w:r>
          </w:p>
        </w:tc>
        <w:tc>
          <w:tcPr>
            <w:tcW w:w="120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600,002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All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municipal securities, commercial paper, certificates of deposit, VRDNs and U.S. government agency securities,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w:t>
      </w:r>
    </w:p>
    <w:p>
      <w:pPr>
        <w:sectPr>
          <w:pgSz w:w="11900" w:h="16957" w:orient="portrait"/>
          <w:cols w:equalWidth="0" w:num="1">
            <w:col w:w="11420"/>
          </w:cols>
          <w:pgMar w:left="240" w:top="121" w:right="239" w:bottom="0" w:gutter="0" w:footer="0" w:header="0"/>
        </w:sectPr>
      </w:pPr>
    </w:p>
    <w:bookmarkStart w:id="8" w:name="page9"/>
    <w:bookmarkEnd w:id="8"/>
    <w:p>
      <w:pPr>
        <w:ind w:right="60"/>
        <w:spacing w:after="0" w:line="262" w:lineRule="auto"/>
        <w:rPr>
          <w:sz w:val="20"/>
          <w:szCs w:val="20"/>
          <w:color w:val="auto"/>
        </w:rPr>
      </w:pPr>
      <w:r>
        <w:rPr>
          <w:rFonts w:ascii="Arial" w:cs="Arial" w:eastAsia="Arial" w:hAnsi="Arial"/>
          <w:sz w:val="20"/>
          <w:szCs w:val="20"/>
          <w:color w:val="auto"/>
        </w:rPr>
        <w:t>There were no transfers between Level 1 and Level 2 measurements during the six-months ended June 30, 2017 or the year ended December 31, 2016, and there were no changes in the Company’s valuation techniques.</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29"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The Company is exposed to foreign currency exchange rate risks related primarily to its foreign business operations. During the six-months ended June 30, 2017 and the year ended December 31, 2016,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June 30, 2017 have terms of one month or less. The Company does not enter into forward currency exchange contracts for speculation or trading purposes.</w:t>
      </w:r>
    </w:p>
    <w:p>
      <w:pPr>
        <w:spacing w:after="0" w:line="210"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(expense) income, net, in the condensed consolidated statements of income, and are largely offset by the changes in the fair value of the underlying economically hedged item.</w:t>
      </w:r>
    </w:p>
    <w:p>
      <w:pPr>
        <w:spacing w:after="0" w:line="165"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The notional amount and fair value of all outstanding foreign currency derivative instruments in the condensed consolidated balance sheets consist of the following at:</w:t>
      </w:r>
    </w:p>
    <w:p>
      <w:pPr>
        <w:spacing w:after="0" w:line="19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June 30, 2017</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60" w:type="dxa"/>
            <w:vAlign w:val="bottom"/>
            <w:tcBorders>
              <w:top w:val="single" w:sz="8" w:color="auto"/>
            </w:tcBorders>
            <w:gridSpan w:val="2"/>
          </w:tcPr>
          <w:p>
            <w:pPr>
              <w:jc w:val="center"/>
              <w:ind w:right="300"/>
              <w:spacing w:after="0" w:line="207" w:lineRule="exact"/>
              <w:rPr>
                <w:sz w:val="20"/>
                <w:szCs w:val="20"/>
                <w:color w:val="auto"/>
              </w:rPr>
            </w:pPr>
            <w:r>
              <w:rPr>
                <w:rFonts w:ascii="Arial" w:cs="Arial" w:eastAsia="Arial" w:hAnsi="Arial"/>
                <w:sz w:val="20"/>
                <w:szCs w:val="20"/>
                <w:color w:val="auto"/>
                <w:w w:val="88"/>
              </w:rPr>
              <w:t>Derivatives not designated as</w:t>
            </w: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26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hedging instruments under</w:t>
            </w:r>
          </w:p>
        </w:tc>
        <w:tc>
          <w:tcPr>
            <w:tcW w:w="28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Arial" w:cs="Arial" w:eastAsia="Arial" w:hAnsi="Arial"/>
                <w:sz w:val="20"/>
                <w:szCs w:val="20"/>
                <w:color w:val="auto"/>
              </w:rPr>
              <w:t>Notional</w:t>
            </w:r>
          </w:p>
        </w:tc>
        <w:tc>
          <w:tcPr>
            <w:tcW w:w="320" w:type="dxa"/>
            <w:vAlign w:val="bottom"/>
          </w:tcPr>
          <w:p>
            <w:pPr>
              <w:spacing w:after="0"/>
              <w:rPr>
                <w:sz w:val="19"/>
                <w:szCs w:val="19"/>
                <w:color w:val="auto"/>
              </w:rPr>
            </w:pPr>
          </w:p>
        </w:tc>
        <w:tc>
          <w:tcPr>
            <w:tcW w:w="1080" w:type="dxa"/>
            <w:vAlign w:val="bottom"/>
          </w:tcPr>
          <w:p>
            <w:pPr>
              <w:jc w:val="right"/>
              <w:ind w:right="441"/>
              <w:spacing w:after="0"/>
              <w:rPr>
                <w:sz w:val="20"/>
                <w:szCs w:val="20"/>
                <w:color w:val="auto"/>
              </w:rPr>
            </w:pPr>
            <w:r>
              <w:rPr>
                <w:rFonts w:ascii="Arial" w:cs="Arial" w:eastAsia="Arial" w:hAnsi="Arial"/>
                <w:sz w:val="20"/>
                <w:szCs w:val="20"/>
                <w:color w:val="auto"/>
              </w:rPr>
              <w:t>Fair</w:t>
            </w: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6"/>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Amount</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Value</w:t>
            </w:r>
          </w:p>
        </w:tc>
        <w:tc>
          <w:tcPr>
            <w:tcW w:w="280" w:type="dxa"/>
            <w:vAlign w:val="bottom"/>
          </w:tcPr>
          <w:p>
            <w:pPr>
              <w:spacing w:after="0"/>
              <w:rPr>
                <w:sz w:val="21"/>
                <w:szCs w:val="21"/>
                <w:color w:val="auto"/>
              </w:rPr>
            </w:pPr>
          </w:p>
        </w:tc>
        <w:tc>
          <w:tcPr>
            <w:tcW w:w="2560" w:type="dxa"/>
            <w:vAlign w:val="bottom"/>
            <w:tcBorders>
              <w:bottom w:val="single" w:sz="8" w:color="auto"/>
            </w:tcBorders>
          </w:tcPr>
          <w:p>
            <w:pPr>
              <w:ind w:left="340"/>
              <w:spacing w:after="0"/>
              <w:rPr>
                <w:sz w:val="20"/>
                <w:szCs w:val="20"/>
                <w:color w:val="auto"/>
              </w:rPr>
            </w:pPr>
            <w:r>
              <w:rPr>
                <w:rFonts w:ascii="Arial" w:cs="Arial" w:eastAsia="Arial" w:hAnsi="Arial"/>
                <w:sz w:val="20"/>
                <w:szCs w:val="20"/>
                <w:color w:val="auto"/>
              </w:rPr>
              <w:t>Balance Sheet Location</w:t>
            </w:r>
          </w:p>
        </w:tc>
        <w:tc>
          <w:tcPr>
            <w:tcW w:w="140" w:type="dxa"/>
            <w:vAlign w:val="bottom"/>
          </w:tcPr>
          <w:p>
            <w:pPr>
              <w:spacing w:after="0"/>
              <w:rPr>
                <w:sz w:val="21"/>
                <w:szCs w:val="21"/>
                <w:color w:val="auto"/>
              </w:rPr>
            </w:pPr>
          </w:p>
        </w:tc>
      </w:tr>
      <w:tr>
        <w:trPr>
          <w:trHeight w:val="287"/>
        </w:trPr>
        <w:tc>
          <w:tcPr>
            <w:tcW w:w="5260" w:type="dxa"/>
            <w:vAlign w:val="bottom"/>
            <w:gridSpan w:val="2"/>
          </w:tcPr>
          <w:p>
            <w:pPr>
              <w:spacing w:after="0"/>
              <w:rPr>
                <w:sz w:val="20"/>
                <w:szCs w:val="20"/>
                <w:color w:val="auto"/>
              </w:rPr>
            </w:pPr>
            <w:r>
              <w:rPr>
                <w:rFonts w:ascii="Arial" w:cs="Arial" w:eastAsia="Arial" w:hAnsi="Arial"/>
                <w:sz w:val="20"/>
                <w:szCs w:val="20"/>
                <w:color w:val="auto"/>
              </w:rPr>
              <w:t>Assets: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526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260" w:type="dxa"/>
            <w:vAlign w:val="bottom"/>
            <w:gridSpan w:val="2"/>
          </w:tcPr>
          <w:p>
            <w:pPr>
              <w:ind w:left="860"/>
              <w:spacing w:after="0"/>
              <w:rPr>
                <w:sz w:val="20"/>
                <w:szCs w:val="20"/>
                <w:color w:val="auto"/>
              </w:rPr>
            </w:pPr>
            <w:r>
              <w:rPr>
                <w:rFonts w:ascii="Arial" w:cs="Arial" w:eastAsia="Arial" w:hAnsi="Arial"/>
                <w:sz w:val="20"/>
                <w:szCs w:val="20"/>
                <w:color w:val="auto"/>
              </w:rPr>
              <w:t>Receive CAD/pay USD</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20,193</w:t>
            </w:r>
          </w:p>
        </w:tc>
        <w:tc>
          <w:tcPr>
            <w:tcW w:w="30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104</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860"/>
              <w:spacing w:after="0"/>
              <w:rPr>
                <w:sz w:val="20"/>
                <w:szCs w:val="20"/>
                <w:color w:val="auto"/>
              </w:rPr>
            </w:pPr>
            <w:r>
              <w:rPr>
                <w:rFonts w:ascii="Arial" w:cs="Arial" w:eastAsia="Arial" w:hAnsi="Arial"/>
                <w:sz w:val="20"/>
                <w:szCs w:val="20"/>
                <w:color w:val="auto"/>
              </w:rPr>
              <w:t>Receive USD/pay ZAR</w:t>
            </w:r>
          </w:p>
        </w:tc>
        <w:tc>
          <w:tcPr>
            <w:tcW w:w="28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20,664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365</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860"/>
              <w:spacing w:after="0"/>
              <w:rPr>
                <w:sz w:val="20"/>
                <w:szCs w:val="20"/>
                <w:color w:val="auto"/>
              </w:rPr>
            </w:pPr>
            <w:r>
              <w:rPr>
                <w:rFonts w:ascii="Arial" w:cs="Arial" w:eastAsia="Arial" w:hAnsi="Arial"/>
                <w:sz w:val="20"/>
                <w:szCs w:val="20"/>
                <w:color w:val="auto"/>
              </w:rPr>
              <w:t>Receive USD/pay MXN</w:t>
            </w:r>
          </w:p>
        </w:tc>
        <w:tc>
          <w:tcPr>
            <w:tcW w:w="28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19,948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336</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860"/>
              <w:spacing w:after="0"/>
              <w:rPr>
                <w:sz w:val="20"/>
                <w:szCs w:val="20"/>
                <w:color w:val="auto"/>
              </w:rPr>
            </w:pPr>
            <w:r>
              <w:rPr>
                <w:rFonts w:ascii="Arial" w:cs="Arial" w:eastAsia="Arial" w:hAnsi="Arial"/>
                <w:sz w:val="20"/>
                <w:szCs w:val="20"/>
                <w:color w:val="auto"/>
              </w:rPr>
              <w:t>Receive SGD/pay USD</w:t>
            </w:r>
          </w:p>
        </w:tc>
        <w:tc>
          <w:tcPr>
            <w:tcW w:w="28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10,091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7</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860"/>
              <w:spacing w:after="0"/>
              <w:rPr>
                <w:sz w:val="20"/>
                <w:szCs w:val="20"/>
                <w:color w:val="auto"/>
              </w:rPr>
            </w:pPr>
            <w:r>
              <w:rPr>
                <w:rFonts w:ascii="Arial" w:cs="Arial" w:eastAsia="Arial" w:hAnsi="Arial"/>
                <w:sz w:val="20"/>
                <w:szCs w:val="20"/>
                <w:color w:val="auto"/>
              </w:rPr>
              <w:t>Receive USD/pay BRL</w:t>
            </w:r>
          </w:p>
        </w:tc>
        <w:tc>
          <w:tcPr>
            <w:tcW w:w="28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4,589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25</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860"/>
              <w:spacing w:after="0"/>
              <w:rPr>
                <w:sz w:val="20"/>
                <w:szCs w:val="20"/>
                <w:color w:val="auto"/>
              </w:rPr>
            </w:pPr>
            <w:r>
              <w:rPr>
                <w:rFonts w:ascii="Arial" w:cs="Arial" w:eastAsia="Arial" w:hAnsi="Arial"/>
                <w:sz w:val="20"/>
                <w:szCs w:val="20"/>
                <w:color w:val="auto"/>
              </w:rPr>
              <w:t>Receive USD/pay CLP</w:t>
            </w:r>
          </w:p>
        </w:tc>
        <w:tc>
          <w:tcPr>
            <w:tcW w:w="28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4,747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50"/>
        </w:trPr>
        <w:tc>
          <w:tcPr>
            <w:tcW w:w="5260" w:type="dxa"/>
            <w:vAlign w:val="bottom"/>
            <w:gridSpan w:val="2"/>
          </w:tcPr>
          <w:p>
            <w:pPr>
              <w:ind w:left="860"/>
              <w:spacing w:after="0"/>
              <w:rPr>
                <w:sz w:val="20"/>
                <w:szCs w:val="20"/>
                <w:color w:val="auto"/>
              </w:rPr>
            </w:pPr>
            <w:r>
              <w:rPr>
                <w:rFonts w:ascii="Arial" w:cs="Arial" w:eastAsia="Arial" w:hAnsi="Arial"/>
                <w:sz w:val="20"/>
                <w:szCs w:val="20"/>
                <w:color w:val="auto"/>
              </w:rPr>
              <w:t>Receive USD/pay COP</w:t>
            </w:r>
          </w:p>
        </w:tc>
        <w:tc>
          <w:tcPr>
            <w:tcW w:w="280" w:type="dxa"/>
            <w:vAlign w:val="bottom"/>
          </w:tcPr>
          <w:p>
            <w:pPr>
              <w:spacing w:after="0"/>
              <w:rPr>
                <w:sz w:val="21"/>
                <w:szCs w:val="21"/>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1,906</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14</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21"/>
                <w:szCs w:val="21"/>
                <w:color w:val="auto"/>
              </w:rPr>
            </w:pPr>
          </w:p>
        </w:tc>
      </w:tr>
      <w:tr>
        <w:trPr>
          <w:trHeight w:val="668"/>
        </w:trPr>
        <w:tc>
          <w:tcPr>
            <w:tcW w:w="5260" w:type="dxa"/>
            <w:vAlign w:val="bottom"/>
            <w:gridSpan w:val="2"/>
          </w:tcPr>
          <w:p>
            <w:pPr>
              <w:spacing w:after="0"/>
              <w:rPr>
                <w:sz w:val="20"/>
                <w:szCs w:val="20"/>
                <w:color w:val="auto"/>
              </w:rPr>
            </w:pPr>
            <w:r>
              <w:rPr>
                <w:rFonts w:ascii="Arial" w:cs="Arial" w:eastAsia="Arial" w:hAnsi="Arial"/>
                <w:sz w:val="20"/>
                <w:szCs w:val="20"/>
                <w:color w:val="auto"/>
              </w:rPr>
              <w:t>Liabilities: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526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260" w:type="dxa"/>
            <w:vAlign w:val="bottom"/>
            <w:gridSpan w:val="2"/>
          </w:tcPr>
          <w:p>
            <w:pPr>
              <w:ind w:left="860"/>
              <w:spacing w:after="0"/>
              <w:rPr>
                <w:sz w:val="20"/>
                <w:szCs w:val="20"/>
                <w:color w:val="auto"/>
              </w:rPr>
            </w:pPr>
            <w:r>
              <w:rPr>
                <w:rFonts w:ascii="Arial" w:cs="Arial" w:eastAsia="Arial" w:hAnsi="Arial"/>
                <w:sz w:val="20"/>
                <w:szCs w:val="20"/>
                <w:color w:val="auto"/>
              </w:rPr>
              <w:t>Receive USD/pay GBP</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17,728</w:t>
            </w:r>
          </w:p>
        </w:tc>
        <w:tc>
          <w:tcPr>
            <w:tcW w:w="30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(118)</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860"/>
              <w:spacing w:after="0"/>
              <w:rPr>
                <w:sz w:val="20"/>
                <w:szCs w:val="20"/>
                <w:color w:val="auto"/>
              </w:rPr>
            </w:pPr>
            <w:r>
              <w:rPr>
                <w:rFonts w:ascii="Arial" w:cs="Arial" w:eastAsia="Arial" w:hAnsi="Arial"/>
                <w:sz w:val="20"/>
                <w:szCs w:val="20"/>
                <w:color w:val="auto"/>
              </w:rPr>
              <w:t>Receive USD/pay EUR</w:t>
            </w:r>
          </w:p>
        </w:tc>
        <w:tc>
          <w:tcPr>
            <w:tcW w:w="28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19,834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860"/>
              <w:spacing w:after="0"/>
              <w:rPr>
                <w:sz w:val="20"/>
                <w:szCs w:val="20"/>
                <w:color w:val="auto"/>
              </w:rPr>
            </w:pPr>
            <w:r>
              <w:rPr>
                <w:rFonts w:ascii="Arial" w:cs="Arial" w:eastAsia="Arial" w:hAnsi="Arial"/>
                <w:sz w:val="20"/>
                <w:szCs w:val="20"/>
                <w:color w:val="auto"/>
              </w:rPr>
              <w:t>Receive USD/pay AUD</w:t>
            </w:r>
          </w:p>
        </w:tc>
        <w:tc>
          <w:tcPr>
            <w:tcW w:w="28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24,791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(186)</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50"/>
        </w:trPr>
        <w:tc>
          <w:tcPr>
            <w:tcW w:w="5260" w:type="dxa"/>
            <w:vAlign w:val="bottom"/>
            <w:gridSpan w:val="2"/>
          </w:tcPr>
          <w:p>
            <w:pPr>
              <w:ind w:left="860"/>
              <w:spacing w:after="0"/>
              <w:rPr>
                <w:sz w:val="20"/>
                <w:szCs w:val="20"/>
                <w:color w:val="auto"/>
              </w:rPr>
            </w:pPr>
            <w:r>
              <w:rPr>
                <w:rFonts w:ascii="Arial" w:cs="Arial" w:eastAsia="Arial" w:hAnsi="Arial"/>
                <w:sz w:val="20"/>
                <w:szCs w:val="20"/>
                <w:color w:val="auto"/>
              </w:rPr>
              <w:t>Receive USD/pay NZD</w:t>
            </w:r>
          </w:p>
        </w:tc>
        <w:tc>
          <w:tcPr>
            <w:tcW w:w="280" w:type="dxa"/>
            <w:vAlign w:val="bottom"/>
          </w:tcPr>
          <w:p>
            <w:pPr>
              <w:spacing w:after="0"/>
              <w:rPr>
                <w:sz w:val="21"/>
                <w:szCs w:val="21"/>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1,971</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21"/>
                <w:szCs w:val="21"/>
                <w:color w:val="auto"/>
              </w:rPr>
            </w:pPr>
          </w:p>
        </w:tc>
      </w:tr>
      <w:tr>
        <w:trPr>
          <w:trHeight w:val="459"/>
        </w:trPr>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861"/>
              <w:spacing w:after="0"/>
              <w:rPr>
                <w:sz w:val="20"/>
                <w:szCs w:val="20"/>
                <w:color w:val="auto"/>
              </w:rPr>
            </w:pPr>
            <w:r>
              <w:rPr>
                <w:rFonts w:ascii="Arial" w:cs="Arial" w:eastAsia="Arial" w:hAnsi="Arial"/>
                <w:sz w:val="20"/>
                <w:szCs w:val="20"/>
                <w:color w:val="auto"/>
              </w:rPr>
              <w:t>13</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28"/>
        </w:trPr>
        <w:tc>
          <w:tcPr>
            <w:tcW w:w="4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December 31, 2016</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60" w:type="dxa"/>
            <w:vAlign w:val="bottom"/>
            <w:tcBorders>
              <w:top w:val="single" w:sz="8" w:color="auto"/>
            </w:tcBorders>
            <w:gridSpan w:val="2"/>
          </w:tcPr>
          <w:p>
            <w:pPr>
              <w:jc w:val="center"/>
              <w:ind w:right="300"/>
              <w:spacing w:after="0" w:line="207" w:lineRule="exact"/>
              <w:rPr>
                <w:sz w:val="20"/>
                <w:szCs w:val="20"/>
                <w:color w:val="auto"/>
              </w:rPr>
            </w:pPr>
            <w:r>
              <w:rPr>
                <w:rFonts w:ascii="Arial" w:cs="Arial" w:eastAsia="Arial" w:hAnsi="Arial"/>
                <w:sz w:val="20"/>
                <w:szCs w:val="20"/>
                <w:color w:val="auto"/>
                <w:w w:val="88"/>
              </w:rPr>
              <w:t>Derivatives not designated as</w:t>
            </w: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tcPr>
          <w:p>
            <w:pPr>
              <w:spacing w:after="0"/>
              <w:rPr>
                <w:sz w:val="17"/>
                <w:szCs w:val="17"/>
                <w:color w:val="auto"/>
              </w:rPr>
            </w:pPr>
          </w:p>
        </w:tc>
      </w:tr>
      <w:tr>
        <w:trPr>
          <w:trHeight w:val="230"/>
        </w:trPr>
        <w:tc>
          <w:tcPr>
            <w:tcW w:w="526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hedging instruments under</w:t>
            </w:r>
          </w:p>
        </w:tc>
        <w:tc>
          <w:tcPr>
            <w:tcW w:w="3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20"/>
                <w:szCs w:val="20"/>
                <w:color w:val="auto"/>
              </w:rPr>
              <w:t>Notional</w:t>
            </w:r>
          </w:p>
        </w:tc>
        <w:tc>
          <w:tcPr>
            <w:tcW w:w="340" w:type="dxa"/>
            <w:vAlign w:val="bottom"/>
          </w:tcPr>
          <w:p>
            <w:pPr>
              <w:spacing w:after="0"/>
              <w:rPr>
                <w:sz w:val="19"/>
                <w:szCs w:val="19"/>
                <w:color w:val="auto"/>
              </w:rPr>
            </w:pPr>
          </w:p>
        </w:tc>
        <w:tc>
          <w:tcPr>
            <w:tcW w:w="1060" w:type="dxa"/>
            <w:vAlign w:val="bottom"/>
          </w:tcPr>
          <w:p>
            <w:pPr>
              <w:jc w:val="right"/>
              <w:ind w:right="441"/>
              <w:spacing w:after="0"/>
              <w:rPr>
                <w:sz w:val="20"/>
                <w:szCs w:val="20"/>
                <w:color w:val="auto"/>
              </w:rPr>
            </w:pPr>
            <w:r>
              <w:rPr>
                <w:rFonts w:ascii="Arial" w:cs="Arial" w:eastAsia="Arial" w:hAnsi="Arial"/>
                <w:sz w:val="20"/>
                <w:szCs w:val="20"/>
                <w:color w:val="auto"/>
              </w:rPr>
              <w:t>Fair</w:t>
            </w: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46"/>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Amount</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Value</w:t>
            </w:r>
          </w:p>
        </w:tc>
        <w:tc>
          <w:tcPr>
            <w:tcW w:w="280" w:type="dxa"/>
            <w:vAlign w:val="bottom"/>
          </w:tcPr>
          <w:p>
            <w:pPr>
              <w:spacing w:after="0"/>
              <w:rPr>
                <w:sz w:val="21"/>
                <w:szCs w:val="21"/>
                <w:color w:val="auto"/>
              </w:rPr>
            </w:pPr>
          </w:p>
        </w:tc>
        <w:tc>
          <w:tcPr>
            <w:tcW w:w="2560" w:type="dxa"/>
            <w:vAlign w:val="bottom"/>
            <w:tcBorders>
              <w:bottom w:val="single" w:sz="8" w:color="auto"/>
            </w:tcBorders>
          </w:tcPr>
          <w:p>
            <w:pPr>
              <w:ind w:left="340"/>
              <w:spacing w:after="0"/>
              <w:rPr>
                <w:sz w:val="20"/>
                <w:szCs w:val="20"/>
                <w:color w:val="auto"/>
              </w:rPr>
            </w:pPr>
            <w:r>
              <w:rPr>
                <w:rFonts w:ascii="Arial" w:cs="Arial" w:eastAsia="Arial" w:hAnsi="Arial"/>
                <w:sz w:val="20"/>
                <w:szCs w:val="20"/>
                <w:color w:val="auto"/>
              </w:rPr>
              <w:t>Balance Sheet Location</w:t>
            </w:r>
          </w:p>
        </w:tc>
      </w:tr>
      <w:tr>
        <w:trPr>
          <w:trHeight w:val="287"/>
        </w:trPr>
        <w:tc>
          <w:tcPr>
            <w:tcW w:w="5260" w:type="dxa"/>
            <w:vAlign w:val="bottom"/>
            <w:gridSpan w:val="2"/>
          </w:tcPr>
          <w:p>
            <w:pPr>
              <w:spacing w:after="0"/>
              <w:rPr>
                <w:sz w:val="20"/>
                <w:szCs w:val="20"/>
                <w:color w:val="auto"/>
              </w:rPr>
            </w:pPr>
            <w:r>
              <w:rPr>
                <w:rFonts w:ascii="Arial" w:cs="Arial" w:eastAsia="Arial" w:hAnsi="Arial"/>
                <w:sz w:val="20"/>
                <w:szCs w:val="20"/>
                <w:color w:val="auto"/>
              </w:rPr>
              <w:t>Assets: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30"/>
        </w:trPr>
        <w:tc>
          <w:tcPr>
            <w:tcW w:w="526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5260" w:type="dxa"/>
            <w:vAlign w:val="bottom"/>
            <w:gridSpan w:val="2"/>
          </w:tcPr>
          <w:p>
            <w:pPr>
              <w:ind w:left="860"/>
              <w:spacing w:after="0"/>
              <w:rPr>
                <w:sz w:val="20"/>
                <w:szCs w:val="20"/>
                <w:color w:val="auto"/>
              </w:rPr>
            </w:pPr>
            <w:r>
              <w:rPr>
                <w:rFonts w:ascii="Arial" w:cs="Arial" w:eastAsia="Arial" w:hAnsi="Arial"/>
                <w:sz w:val="20"/>
                <w:szCs w:val="20"/>
                <w:color w:val="auto"/>
              </w:rPr>
              <w:t>Receive CAD/pay USD</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22,314</w:t>
            </w:r>
          </w:p>
        </w:tc>
        <w:tc>
          <w:tcPr>
            <w:tcW w:w="280" w:type="dxa"/>
            <w:vAlign w:val="bottom"/>
          </w:tcPr>
          <w:p>
            <w:pPr>
              <w:spacing w:after="0"/>
              <w:rPr>
                <w:sz w:val="19"/>
                <w:szCs w:val="19"/>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173</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230"/>
        </w:trPr>
        <w:tc>
          <w:tcPr>
            <w:tcW w:w="5260" w:type="dxa"/>
            <w:vAlign w:val="bottom"/>
            <w:gridSpan w:val="2"/>
          </w:tcPr>
          <w:p>
            <w:pPr>
              <w:ind w:left="860"/>
              <w:spacing w:after="0"/>
              <w:rPr>
                <w:sz w:val="20"/>
                <w:szCs w:val="20"/>
                <w:color w:val="auto"/>
              </w:rPr>
            </w:pPr>
            <w:r>
              <w:rPr>
                <w:rFonts w:ascii="Arial" w:cs="Arial" w:eastAsia="Arial" w:hAnsi="Arial"/>
                <w:sz w:val="20"/>
                <w:szCs w:val="20"/>
                <w:color w:val="auto"/>
              </w:rPr>
              <w:t>Receive SGD/pay USD</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7,915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24</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230"/>
        </w:trPr>
        <w:tc>
          <w:tcPr>
            <w:tcW w:w="5260" w:type="dxa"/>
            <w:vAlign w:val="bottom"/>
            <w:gridSpan w:val="2"/>
          </w:tcPr>
          <w:p>
            <w:pPr>
              <w:ind w:left="860"/>
              <w:spacing w:after="0"/>
              <w:rPr>
                <w:sz w:val="20"/>
                <w:szCs w:val="20"/>
                <w:color w:val="auto"/>
              </w:rPr>
            </w:pPr>
            <w:r>
              <w:rPr>
                <w:rFonts w:ascii="Arial" w:cs="Arial" w:eastAsia="Arial" w:hAnsi="Arial"/>
                <w:sz w:val="20"/>
                <w:szCs w:val="20"/>
                <w:color w:val="auto"/>
              </w:rPr>
              <w:t>Receive NOK/pay USD</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2,138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28</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230"/>
        </w:trPr>
        <w:tc>
          <w:tcPr>
            <w:tcW w:w="5260" w:type="dxa"/>
            <w:vAlign w:val="bottom"/>
            <w:gridSpan w:val="2"/>
          </w:tcPr>
          <w:p>
            <w:pPr>
              <w:ind w:left="860"/>
              <w:spacing w:after="0"/>
              <w:rPr>
                <w:sz w:val="20"/>
                <w:szCs w:val="20"/>
                <w:color w:val="auto"/>
              </w:rPr>
            </w:pPr>
            <w:r>
              <w:rPr>
                <w:rFonts w:ascii="Arial" w:cs="Arial" w:eastAsia="Arial" w:hAnsi="Arial"/>
                <w:sz w:val="20"/>
                <w:szCs w:val="20"/>
                <w:color w:val="auto"/>
              </w:rPr>
              <w:t>Receive USD/pay CLP</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4,094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9</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250"/>
        </w:trPr>
        <w:tc>
          <w:tcPr>
            <w:tcW w:w="5260" w:type="dxa"/>
            <w:vAlign w:val="bottom"/>
            <w:gridSpan w:val="2"/>
          </w:tcPr>
          <w:p>
            <w:pPr>
              <w:ind w:left="860"/>
              <w:spacing w:after="0"/>
              <w:rPr>
                <w:sz w:val="20"/>
                <w:szCs w:val="20"/>
                <w:color w:val="auto"/>
              </w:rPr>
            </w:pPr>
            <w:r>
              <w:rPr>
                <w:rFonts w:ascii="Arial" w:cs="Arial" w:eastAsia="Arial" w:hAnsi="Arial"/>
                <w:sz w:val="20"/>
                <w:szCs w:val="20"/>
                <w:color w:val="auto"/>
              </w:rPr>
              <w:t>Receive USD/pay COP</w:t>
            </w:r>
          </w:p>
        </w:tc>
        <w:tc>
          <w:tcPr>
            <w:tcW w:w="320" w:type="dxa"/>
            <w:vAlign w:val="bottom"/>
          </w:tcPr>
          <w:p>
            <w:pPr>
              <w:spacing w:after="0"/>
              <w:rPr>
                <w:sz w:val="21"/>
                <w:szCs w:val="21"/>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2,330</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bl>
    <w:p>
      <w:pPr>
        <w:sectPr>
          <w:pgSz w:w="11900" w:h="16838" w:orient="portrait"/>
          <w:cols w:equalWidth="0" w:num="1">
            <w:col w:w="11460"/>
          </w:cols>
          <w:pgMar w:left="240" w:top="121" w:right="1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20"/>
                <w:szCs w:val="20"/>
                <w:color w:val="auto"/>
              </w:rPr>
              <w:t>Liabilities:</w:t>
            </w: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20"/>
                <w:szCs w:val="20"/>
                <w:color w:val="auto"/>
              </w:rPr>
              <w:t>Foreign currency exchange contracts:</w:t>
            </w: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GBP</w:t>
            </w:r>
          </w:p>
        </w:tc>
        <w:tc>
          <w:tcPr>
            <w:tcW w:w="146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7,718</w:t>
            </w:r>
          </w:p>
        </w:tc>
        <w:tc>
          <w:tcPr>
            <w:tcW w:w="70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(57)</w:t>
            </w:r>
          </w:p>
        </w:tc>
        <w:tc>
          <w:tcPr>
            <w:tcW w:w="1620" w:type="dxa"/>
            <w:vAlign w:val="bottom"/>
          </w:tcPr>
          <w:p>
            <w:pPr>
              <w:ind w:left="160"/>
              <w:spacing w:after="0"/>
              <w:rPr>
                <w:sz w:val="20"/>
                <w:szCs w:val="20"/>
                <w:color w:val="auto"/>
              </w:rPr>
            </w:pPr>
            <w:r>
              <w:rPr>
                <w:rFonts w:ascii="Arial" w:cs="Arial" w:eastAsia="Arial" w:hAnsi="Arial"/>
                <w:sz w:val="20"/>
                <w:szCs w:val="20"/>
                <w:color w:val="auto"/>
                <w:w w:val="93"/>
              </w:rPr>
              <w:t>Accrued liabilities</w:t>
            </w:r>
          </w:p>
        </w:tc>
      </w:tr>
      <w:tr>
        <w:trPr>
          <w:trHeight w:val="23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EUR</w:t>
            </w:r>
          </w:p>
        </w:tc>
        <w:tc>
          <w:tcPr>
            <w:tcW w:w="1460" w:type="dxa"/>
            <w:vAlign w:val="bottom"/>
          </w:tcPr>
          <w:p>
            <w:pPr>
              <w:spacing w:after="0"/>
              <w:rPr>
                <w:sz w:val="19"/>
                <w:szCs w:val="19"/>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29,621</w:t>
            </w:r>
          </w:p>
        </w:tc>
        <w:tc>
          <w:tcPr>
            <w:tcW w:w="70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(325)</w:t>
            </w:r>
          </w:p>
        </w:tc>
        <w:tc>
          <w:tcPr>
            <w:tcW w:w="1620" w:type="dxa"/>
            <w:vAlign w:val="bottom"/>
          </w:tcPr>
          <w:p>
            <w:pPr>
              <w:ind w:left="160"/>
              <w:spacing w:after="0"/>
              <w:rPr>
                <w:sz w:val="20"/>
                <w:szCs w:val="20"/>
                <w:color w:val="auto"/>
              </w:rPr>
            </w:pPr>
            <w:r>
              <w:rPr>
                <w:rFonts w:ascii="Arial" w:cs="Arial" w:eastAsia="Arial" w:hAnsi="Arial"/>
                <w:sz w:val="20"/>
                <w:szCs w:val="20"/>
                <w:color w:val="auto"/>
                <w:w w:val="93"/>
              </w:rPr>
              <w:t>Accrued liabilities</w:t>
            </w:r>
          </w:p>
        </w:tc>
      </w:tr>
      <w:tr>
        <w:trPr>
          <w:trHeight w:val="23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AUD</w:t>
            </w:r>
          </w:p>
        </w:tc>
        <w:tc>
          <w:tcPr>
            <w:tcW w:w="1460" w:type="dxa"/>
            <w:vAlign w:val="bottom"/>
          </w:tcPr>
          <w:p>
            <w:pPr>
              <w:spacing w:after="0"/>
              <w:rPr>
                <w:sz w:val="19"/>
                <w:szCs w:val="19"/>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15,135</w:t>
            </w:r>
          </w:p>
        </w:tc>
        <w:tc>
          <w:tcPr>
            <w:tcW w:w="70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(74)</w:t>
            </w:r>
          </w:p>
        </w:tc>
        <w:tc>
          <w:tcPr>
            <w:tcW w:w="1620" w:type="dxa"/>
            <w:vAlign w:val="bottom"/>
          </w:tcPr>
          <w:p>
            <w:pPr>
              <w:ind w:left="160"/>
              <w:spacing w:after="0"/>
              <w:rPr>
                <w:sz w:val="20"/>
                <w:szCs w:val="20"/>
                <w:color w:val="auto"/>
              </w:rPr>
            </w:pPr>
            <w:r>
              <w:rPr>
                <w:rFonts w:ascii="Arial" w:cs="Arial" w:eastAsia="Arial" w:hAnsi="Arial"/>
                <w:sz w:val="20"/>
                <w:szCs w:val="20"/>
                <w:color w:val="auto"/>
                <w:w w:val="93"/>
              </w:rPr>
              <w:t>Accrued liabilities</w:t>
            </w:r>
          </w:p>
        </w:tc>
      </w:tr>
      <w:tr>
        <w:trPr>
          <w:trHeight w:val="23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ZAR</w:t>
            </w:r>
          </w:p>
        </w:tc>
        <w:tc>
          <w:tcPr>
            <w:tcW w:w="1460" w:type="dxa"/>
            <w:vAlign w:val="bottom"/>
          </w:tcPr>
          <w:p>
            <w:pPr>
              <w:spacing w:after="0"/>
              <w:rPr>
                <w:sz w:val="19"/>
                <w:szCs w:val="19"/>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20,405</w:t>
            </w:r>
          </w:p>
        </w:tc>
        <w:tc>
          <w:tcPr>
            <w:tcW w:w="70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(296)</w:t>
            </w:r>
          </w:p>
        </w:tc>
        <w:tc>
          <w:tcPr>
            <w:tcW w:w="1620" w:type="dxa"/>
            <w:vAlign w:val="bottom"/>
          </w:tcPr>
          <w:p>
            <w:pPr>
              <w:ind w:left="160"/>
              <w:spacing w:after="0"/>
              <w:rPr>
                <w:sz w:val="20"/>
                <w:szCs w:val="20"/>
                <w:color w:val="auto"/>
              </w:rPr>
            </w:pPr>
            <w:r>
              <w:rPr>
                <w:rFonts w:ascii="Arial" w:cs="Arial" w:eastAsia="Arial" w:hAnsi="Arial"/>
                <w:sz w:val="20"/>
                <w:szCs w:val="20"/>
                <w:color w:val="auto"/>
                <w:w w:val="93"/>
              </w:rPr>
              <w:t>Accrued liabilities</w:t>
            </w:r>
          </w:p>
        </w:tc>
      </w:tr>
      <w:tr>
        <w:trPr>
          <w:trHeight w:val="23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MXN</w:t>
            </w:r>
          </w:p>
        </w:tc>
        <w:tc>
          <w:tcPr>
            <w:tcW w:w="1460" w:type="dxa"/>
            <w:vAlign w:val="bottom"/>
          </w:tcPr>
          <w:p>
            <w:pPr>
              <w:spacing w:after="0"/>
              <w:rPr>
                <w:sz w:val="19"/>
                <w:szCs w:val="19"/>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25,864</w:t>
            </w:r>
          </w:p>
        </w:tc>
        <w:tc>
          <w:tcPr>
            <w:tcW w:w="70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(4)</w:t>
            </w:r>
          </w:p>
        </w:tc>
        <w:tc>
          <w:tcPr>
            <w:tcW w:w="1620" w:type="dxa"/>
            <w:vAlign w:val="bottom"/>
          </w:tcPr>
          <w:p>
            <w:pPr>
              <w:ind w:left="160"/>
              <w:spacing w:after="0"/>
              <w:rPr>
                <w:sz w:val="20"/>
                <w:szCs w:val="20"/>
                <w:color w:val="auto"/>
              </w:rPr>
            </w:pPr>
            <w:r>
              <w:rPr>
                <w:rFonts w:ascii="Arial" w:cs="Arial" w:eastAsia="Arial" w:hAnsi="Arial"/>
                <w:sz w:val="20"/>
                <w:szCs w:val="20"/>
                <w:color w:val="auto"/>
                <w:w w:val="93"/>
              </w:rPr>
              <w:t>Accrued liabilities</w:t>
            </w:r>
          </w:p>
        </w:tc>
      </w:tr>
      <w:tr>
        <w:trPr>
          <w:trHeight w:val="23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BRL</w:t>
            </w:r>
          </w:p>
        </w:tc>
        <w:tc>
          <w:tcPr>
            <w:tcW w:w="1460" w:type="dxa"/>
            <w:vAlign w:val="bottom"/>
          </w:tcPr>
          <w:p>
            <w:pPr>
              <w:spacing w:after="0"/>
              <w:rPr>
                <w:sz w:val="19"/>
                <w:szCs w:val="19"/>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3,138</w:t>
            </w:r>
          </w:p>
        </w:tc>
        <w:tc>
          <w:tcPr>
            <w:tcW w:w="70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w:t>
            </w:r>
          </w:p>
        </w:tc>
        <w:tc>
          <w:tcPr>
            <w:tcW w:w="1620" w:type="dxa"/>
            <w:vAlign w:val="bottom"/>
          </w:tcPr>
          <w:p>
            <w:pPr>
              <w:ind w:left="160"/>
              <w:spacing w:after="0"/>
              <w:rPr>
                <w:sz w:val="20"/>
                <w:szCs w:val="20"/>
                <w:color w:val="auto"/>
              </w:rPr>
            </w:pPr>
            <w:r>
              <w:rPr>
                <w:rFonts w:ascii="Arial" w:cs="Arial" w:eastAsia="Arial" w:hAnsi="Arial"/>
                <w:sz w:val="20"/>
                <w:szCs w:val="20"/>
                <w:color w:val="auto"/>
                <w:w w:val="93"/>
              </w:rPr>
              <w:t>Accrued liabilities</w:t>
            </w:r>
          </w:p>
        </w:tc>
      </w:tr>
      <w:tr>
        <w:trPr>
          <w:trHeight w:val="25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NZD</w:t>
            </w:r>
          </w:p>
        </w:tc>
        <w:tc>
          <w:tcPr>
            <w:tcW w:w="1460" w:type="dxa"/>
            <w:vAlign w:val="bottom"/>
          </w:tcPr>
          <w:p>
            <w:pPr>
              <w:spacing w:after="0"/>
              <w:rPr>
                <w:sz w:val="21"/>
                <w:szCs w:val="21"/>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2,076</w:t>
            </w:r>
          </w:p>
        </w:tc>
        <w:tc>
          <w:tcPr>
            <w:tcW w:w="70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(5)</w:t>
            </w:r>
          </w:p>
        </w:tc>
        <w:tc>
          <w:tcPr>
            <w:tcW w:w="1620" w:type="dxa"/>
            <w:vAlign w:val="bottom"/>
          </w:tcPr>
          <w:p>
            <w:pPr>
              <w:ind w:left="160"/>
              <w:spacing w:after="0"/>
              <w:rPr>
                <w:sz w:val="20"/>
                <w:szCs w:val="20"/>
                <w:color w:val="auto"/>
              </w:rPr>
            </w:pPr>
            <w:r>
              <w:rPr>
                <w:rFonts w:ascii="Arial" w:cs="Arial" w:eastAsia="Arial" w:hAnsi="Arial"/>
                <w:sz w:val="20"/>
                <w:szCs w:val="20"/>
                <w:color w:val="auto"/>
                <w:w w:val="93"/>
              </w:rPr>
              <w:t>Accrued liabilities</w:t>
            </w:r>
          </w:p>
        </w:tc>
      </w:tr>
    </w:tbl>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(losses) gains on derivative instruments in the condensed consolidated statements of income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gridSpan w:val="3"/>
          </w:tcPr>
          <w:p>
            <w:pPr>
              <w:jc w:val="center"/>
              <w:ind w:left="1"/>
              <w:spacing w:after="0"/>
              <w:rPr>
                <w:sz w:val="20"/>
                <w:szCs w:val="20"/>
                <w:color w:val="auto"/>
              </w:rPr>
            </w:pPr>
            <w:r>
              <w:rPr>
                <w:rFonts w:ascii="Arial" w:cs="Arial" w:eastAsia="Arial" w:hAnsi="Arial"/>
                <w:sz w:val="20"/>
                <w:szCs w:val="20"/>
                <w:color w:val="auto"/>
                <w:w w:val="93"/>
              </w:rPr>
              <w:t>Amount of (loss) gain</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gridSpan w:val="3"/>
          </w:tcPr>
          <w:p>
            <w:pPr>
              <w:jc w:val="center"/>
              <w:ind w:left="1"/>
              <w:spacing w:after="0"/>
              <w:rPr>
                <w:sz w:val="20"/>
                <w:szCs w:val="20"/>
                <w:color w:val="auto"/>
              </w:rPr>
            </w:pPr>
            <w:r>
              <w:rPr>
                <w:rFonts w:ascii="Arial" w:cs="Arial" w:eastAsia="Arial" w:hAnsi="Arial"/>
                <w:sz w:val="20"/>
                <w:szCs w:val="20"/>
                <w:color w:val="auto"/>
                <w:w w:val="90"/>
              </w:rPr>
              <w:t>recognized in income on</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center"/>
              <w:ind w:left="1"/>
              <w:spacing w:after="0"/>
              <w:rPr>
                <w:sz w:val="20"/>
                <w:szCs w:val="20"/>
                <w:color w:val="auto"/>
              </w:rPr>
            </w:pPr>
            <w:r>
              <w:rPr>
                <w:rFonts w:ascii="Arial" w:cs="Arial" w:eastAsia="Arial" w:hAnsi="Arial"/>
                <w:sz w:val="20"/>
                <w:szCs w:val="20"/>
                <w:color w:val="auto"/>
                <w:w w:val="92"/>
              </w:rPr>
              <w:t>derivatives</w:t>
            </w:r>
          </w:p>
        </w:tc>
        <w:tc>
          <w:tcPr>
            <w:tcW w:w="5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gridSpan w:val="2"/>
            <w:vMerge w:val="restart"/>
          </w:tcPr>
          <w:p>
            <w:pPr>
              <w:jc w:val="center"/>
              <w:ind w:right="300"/>
              <w:spacing w:after="0"/>
              <w:rPr>
                <w:sz w:val="20"/>
                <w:szCs w:val="20"/>
                <w:color w:val="auto"/>
              </w:rPr>
            </w:pPr>
            <w:r>
              <w:rPr>
                <w:rFonts w:ascii="Arial" w:cs="Arial" w:eastAsia="Arial" w:hAnsi="Arial"/>
                <w:sz w:val="20"/>
                <w:szCs w:val="20"/>
                <w:color w:val="auto"/>
                <w:w w:val="88"/>
              </w:rPr>
              <w:t>Derivatives not designated as</w:t>
            </w:r>
          </w:p>
        </w:tc>
        <w:tc>
          <w:tcPr>
            <w:tcW w:w="4280" w:type="dxa"/>
            <w:vAlign w:val="bottom"/>
            <w:gridSpan w:val="2"/>
            <w:vMerge w:val="restart"/>
          </w:tcPr>
          <w:p>
            <w:pPr>
              <w:jc w:val="center"/>
              <w:ind w:right="280"/>
              <w:spacing w:after="0"/>
              <w:rPr>
                <w:sz w:val="20"/>
                <w:szCs w:val="20"/>
                <w:color w:val="auto"/>
              </w:rPr>
            </w:pPr>
            <w:r>
              <w:rPr>
                <w:rFonts w:ascii="Arial" w:cs="Arial" w:eastAsia="Arial" w:hAnsi="Arial"/>
                <w:sz w:val="20"/>
                <w:szCs w:val="20"/>
                <w:color w:val="auto"/>
                <w:w w:val="91"/>
              </w:rPr>
              <w:t>Location of (loss) gain</w:t>
            </w:r>
          </w:p>
        </w:tc>
        <w:tc>
          <w:tcPr>
            <w:tcW w:w="4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center"/>
              <w:ind w:left="1"/>
              <w:spacing w:after="0" w:line="223" w:lineRule="exact"/>
              <w:rPr>
                <w:sz w:val="20"/>
                <w:szCs w:val="20"/>
                <w:color w:val="auto"/>
              </w:rPr>
            </w:pPr>
            <w:r>
              <w:rPr>
                <w:rFonts w:ascii="Arial" w:cs="Arial" w:eastAsia="Arial" w:hAnsi="Arial"/>
                <w:sz w:val="20"/>
                <w:szCs w:val="20"/>
                <w:color w:val="auto"/>
                <w:w w:val="88"/>
              </w:rPr>
              <w:t>Three-months ended</w:t>
            </w:r>
          </w:p>
        </w:tc>
        <w:tc>
          <w:tcPr>
            <w:tcW w:w="5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020" w:type="dxa"/>
            <w:vAlign w:val="bottom"/>
            <w:gridSpan w:val="2"/>
            <w:vMerge w:val="continue"/>
          </w:tcPr>
          <w:p>
            <w:pPr>
              <w:spacing w:after="0"/>
              <w:rPr>
                <w:sz w:val="16"/>
                <w:szCs w:val="16"/>
                <w:color w:val="auto"/>
              </w:rPr>
            </w:pPr>
          </w:p>
        </w:tc>
        <w:tc>
          <w:tcPr>
            <w:tcW w:w="428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hedging instruments under</w:t>
            </w:r>
          </w:p>
        </w:tc>
        <w:tc>
          <w:tcPr>
            <w:tcW w:w="428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recognized in income on</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280" w:type="dxa"/>
            <w:vAlign w:val="bottom"/>
          </w:tcPr>
          <w:p>
            <w:pPr>
              <w:spacing w:after="0"/>
              <w:rPr>
                <w:sz w:val="21"/>
                <w:szCs w:val="21"/>
                <w:color w:val="auto"/>
              </w:rPr>
            </w:pPr>
          </w:p>
        </w:tc>
        <w:tc>
          <w:tcPr>
            <w:tcW w:w="14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20"/>
                <w:szCs w:val="20"/>
                <w:color w:val="auto"/>
                <w:w w:val="97"/>
              </w:rPr>
              <w:t>June 30, 2017</w:t>
            </w:r>
          </w:p>
        </w:tc>
        <w:tc>
          <w:tcPr>
            <w:tcW w:w="280" w:type="dxa"/>
            <w:vAlign w:val="bottom"/>
          </w:tcPr>
          <w:p>
            <w:pPr>
              <w:spacing w:after="0"/>
              <w:rPr>
                <w:sz w:val="21"/>
                <w:szCs w:val="21"/>
                <w:color w:val="auto"/>
              </w:rPr>
            </w:pPr>
          </w:p>
        </w:tc>
        <w:tc>
          <w:tcPr>
            <w:tcW w:w="14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20"/>
                <w:szCs w:val="20"/>
                <w:color w:val="auto"/>
                <w:w w:val="97"/>
              </w:rPr>
              <w:t>June 30, 2016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402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428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Interest and other (expense) income, net</w:t>
            </w:r>
          </w:p>
        </w:tc>
        <w:tc>
          <w:tcPr>
            <w:tcW w:w="4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(4,439)</w:t>
            </w:r>
          </w:p>
        </w:tc>
        <w:tc>
          <w:tcPr>
            <w:tcW w:w="280" w:type="dxa"/>
            <w:vAlign w:val="bottom"/>
          </w:tcPr>
          <w:p>
            <w:pPr>
              <w:spacing w:after="0"/>
              <w:rPr>
                <w:sz w:val="24"/>
                <w:szCs w:val="24"/>
                <w:color w:val="auto"/>
              </w:rPr>
            </w:pPr>
          </w:p>
        </w:tc>
        <w:tc>
          <w:tcPr>
            <w:tcW w:w="92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gridSpan w:val="3"/>
          </w:tcPr>
          <w:p>
            <w:pPr>
              <w:jc w:val="center"/>
              <w:ind w:left="1"/>
              <w:spacing w:after="0"/>
              <w:rPr>
                <w:sz w:val="20"/>
                <w:szCs w:val="20"/>
                <w:color w:val="auto"/>
              </w:rPr>
            </w:pPr>
            <w:r>
              <w:rPr>
                <w:rFonts w:ascii="Arial" w:cs="Arial" w:eastAsia="Arial" w:hAnsi="Arial"/>
                <w:sz w:val="20"/>
                <w:szCs w:val="20"/>
                <w:color w:val="auto"/>
                <w:w w:val="93"/>
              </w:rPr>
              <w:t>Amount of (loss) gain</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gridSpan w:val="3"/>
          </w:tcPr>
          <w:p>
            <w:pPr>
              <w:jc w:val="center"/>
              <w:ind w:left="1"/>
              <w:spacing w:after="0"/>
              <w:rPr>
                <w:sz w:val="20"/>
                <w:szCs w:val="20"/>
                <w:color w:val="auto"/>
              </w:rPr>
            </w:pPr>
            <w:r>
              <w:rPr>
                <w:rFonts w:ascii="Arial" w:cs="Arial" w:eastAsia="Arial" w:hAnsi="Arial"/>
                <w:sz w:val="20"/>
                <w:szCs w:val="20"/>
                <w:color w:val="auto"/>
                <w:w w:val="90"/>
              </w:rPr>
              <w:t>recognized in income on</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center"/>
              <w:ind w:left="1"/>
              <w:spacing w:after="0"/>
              <w:rPr>
                <w:sz w:val="20"/>
                <w:szCs w:val="20"/>
                <w:color w:val="auto"/>
              </w:rPr>
            </w:pPr>
            <w:r>
              <w:rPr>
                <w:rFonts w:ascii="Arial" w:cs="Arial" w:eastAsia="Arial" w:hAnsi="Arial"/>
                <w:sz w:val="20"/>
                <w:szCs w:val="20"/>
                <w:color w:val="auto"/>
                <w:w w:val="92"/>
              </w:rPr>
              <w:t>derivatives</w:t>
            </w:r>
          </w:p>
        </w:tc>
        <w:tc>
          <w:tcPr>
            <w:tcW w:w="5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gridSpan w:val="2"/>
            <w:vMerge w:val="restart"/>
          </w:tcPr>
          <w:p>
            <w:pPr>
              <w:jc w:val="center"/>
              <w:ind w:right="300"/>
              <w:spacing w:after="0"/>
              <w:rPr>
                <w:sz w:val="20"/>
                <w:szCs w:val="20"/>
                <w:color w:val="auto"/>
              </w:rPr>
            </w:pPr>
            <w:r>
              <w:rPr>
                <w:rFonts w:ascii="Arial" w:cs="Arial" w:eastAsia="Arial" w:hAnsi="Arial"/>
                <w:sz w:val="20"/>
                <w:szCs w:val="20"/>
                <w:color w:val="auto"/>
                <w:w w:val="88"/>
              </w:rPr>
              <w:t>Derivatives not designated as</w:t>
            </w:r>
          </w:p>
        </w:tc>
        <w:tc>
          <w:tcPr>
            <w:tcW w:w="4280" w:type="dxa"/>
            <w:vAlign w:val="bottom"/>
            <w:gridSpan w:val="2"/>
            <w:vMerge w:val="restart"/>
          </w:tcPr>
          <w:p>
            <w:pPr>
              <w:jc w:val="center"/>
              <w:ind w:right="280"/>
              <w:spacing w:after="0"/>
              <w:rPr>
                <w:sz w:val="20"/>
                <w:szCs w:val="20"/>
                <w:color w:val="auto"/>
              </w:rPr>
            </w:pPr>
            <w:r>
              <w:rPr>
                <w:rFonts w:ascii="Arial" w:cs="Arial" w:eastAsia="Arial" w:hAnsi="Arial"/>
                <w:sz w:val="20"/>
                <w:szCs w:val="20"/>
                <w:color w:val="auto"/>
                <w:w w:val="91"/>
              </w:rPr>
              <w:t>Location of (loss) gain</w:t>
            </w:r>
          </w:p>
        </w:tc>
        <w:tc>
          <w:tcPr>
            <w:tcW w:w="4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center"/>
              <w:ind w:left="1"/>
              <w:spacing w:after="0" w:line="223" w:lineRule="exact"/>
              <w:rPr>
                <w:sz w:val="20"/>
                <w:szCs w:val="20"/>
                <w:color w:val="auto"/>
              </w:rPr>
            </w:pPr>
            <w:r>
              <w:rPr>
                <w:rFonts w:ascii="Arial" w:cs="Arial" w:eastAsia="Arial" w:hAnsi="Arial"/>
                <w:sz w:val="20"/>
                <w:szCs w:val="20"/>
                <w:color w:val="auto"/>
                <w:w w:val="89"/>
              </w:rPr>
              <w:t>Six-months ended</w:t>
            </w:r>
          </w:p>
        </w:tc>
        <w:tc>
          <w:tcPr>
            <w:tcW w:w="5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020" w:type="dxa"/>
            <w:vAlign w:val="bottom"/>
            <w:gridSpan w:val="2"/>
            <w:vMerge w:val="continue"/>
          </w:tcPr>
          <w:p>
            <w:pPr>
              <w:spacing w:after="0"/>
              <w:rPr>
                <w:sz w:val="16"/>
                <w:szCs w:val="16"/>
                <w:color w:val="auto"/>
              </w:rPr>
            </w:pPr>
          </w:p>
        </w:tc>
        <w:tc>
          <w:tcPr>
            <w:tcW w:w="428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hedging instruments under</w:t>
            </w:r>
          </w:p>
        </w:tc>
        <w:tc>
          <w:tcPr>
            <w:tcW w:w="428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recognized in income on</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280" w:type="dxa"/>
            <w:vAlign w:val="bottom"/>
          </w:tcPr>
          <w:p>
            <w:pPr>
              <w:spacing w:after="0"/>
              <w:rPr>
                <w:sz w:val="21"/>
                <w:szCs w:val="21"/>
                <w:color w:val="auto"/>
              </w:rPr>
            </w:pPr>
          </w:p>
        </w:tc>
        <w:tc>
          <w:tcPr>
            <w:tcW w:w="14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20"/>
                <w:szCs w:val="20"/>
                <w:color w:val="auto"/>
                <w:w w:val="97"/>
              </w:rPr>
              <w:t>June 30, 2017</w:t>
            </w:r>
          </w:p>
        </w:tc>
        <w:tc>
          <w:tcPr>
            <w:tcW w:w="280" w:type="dxa"/>
            <w:vAlign w:val="bottom"/>
          </w:tcPr>
          <w:p>
            <w:pPr>
              <w:spacing w:after="0"/>
              <w:rPr>
                <w:sz w:val="21"/>
                <w:szCs w:val="21"/>
                <w:color w:val="auto"/>
              </w:rPr>
            </w:pPr>
          </w:p>
        </w:tc>
        <w:tc>
          <w:tcPr>
            <w:tcW w:w="14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20"/>
                <w:szCs w:val="20"/>
                <w:color w:val="auto"/>
                <w:w w:val="97"/>
              </w:rPr>
              <w:t>June 30, 2016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402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428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Interest and other (expense) income, net</w:t>
            </w:r>
          </w:p>
        </w:tc>
        <w:tc>
          <w:tcPr>
            <w:tcW w:w="4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(9,467)</w:t>
            </w:r>
          </w:p>
        </w:tc>
        <w:tc>
          <w:tcPr>
            <w:tcW w:w="280" w:type="dxa"/>
            <w:vAlign w:val="bottom"/>
          </w:tcPr>
          <w:p>
            <w:pPr>
              <w:spacing w:after="0"/>
              <w:rPr>
                <w:sz w:val="24"/>
                <w:szCs w:val="24"/>
                <w:color w:val="auto"/>
              </w:rPr>
            </w:pPr>
          </w:p>
        </w:tc>
        <w:tc>
          <w:tcPr>
            <w:tcW w:w="92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0" w:type="dxa"/>
            <w:vAlign w:val="bottom"/>
            <w:vMerge w:val="restart"/>
          </w:tcPr>
          <w:p>
            <w:pPr>
              <w:jc w:val="right"/>
              <w:ind w:right="2101"/>
              <w:spacing w:after="0"/>
              <w:rPr>
                <w:sz w:val="20"/>
                <w:szCs w:val="20"/>
                <w:color w:val="auto"/>
              </w:rPr>
            </w:pPr>
            <w:r>
              <w:rPr>
                <w:rFonts w:ascii="Arial" w:cs="Arial" w:eastAsia="Arial" w:hAnsi="Arial"/>
                <w:sz w:val="20"/>
                <w:szCs w:val="20"/>
                <w:color w:val="auto"/>
              </w:rPr>
              <w:t>14</w:t>
            </w: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7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gridSpan w:val="2"/>
          </w:tcPr>
          <w:p>
            <w:pPr>
              <w:ind w:left="160"/>
              <w:spacing w:after="0"/>
              <w:rPr>
                <w:sz w:val="20"/>
                <w:szCs w:val="20"/>
                <w:color w:val="auto"/>
              </w:rPr>
            </w:pPr>
            <w:r>
              <w:rPr>
                <w:rFonts w:ascii="Arial" w:cs="Arial" w:eastAsia="Arial" w:hAnsi="Arial"/>
                <w:sz w:val="20"/>
                <w:szCs w:val="20"/>
                <w:color w:val="auto"/>
              </w:rPr>
              <w:t>June 30,</w:t>
            </w:r>
          </w:p>
        </w:tc>
        <w:tc>
          <w:tcPr>
            <w:tcW w:w="260" w:type="dxa"/>
            <w:vAlign w:val="bottom"/>
          </w:tcPr>
          <w:p>
            <w:pPr>
              <w:spacing w:after="0"/>
              <w:rPr>
                <w:sz w:val="19"/>
                <w:szCs w:val="19"/>
                <w:color w:val="auto"/>
              </w:rPr>
            </w:pPr>
          </w:p>
        </w:tc>
        <w:tc>
          <w:tcPr>
            <w:tcW w:w="1440" w:type="dxa"/>
            <w:vAlign w:val="bottom"/>
          </w:tcPr>
          <w:p>
            <w:pPr>
              <w:jc w:val="right"/>
              <w:ind w:right="201"/>
              <w:spacing w:after="0"/>
              <w:rPr>
                <w:sz w:val="20"/>
                <w:szCs w:val="20"/>
                <w:color w:val="auto"/>
              </w:rPr>
            </w:pPr>
            <w:r>
              <w:rPr>
                <w:rFonts w:ascii="Arial" w:cs="Arial" w:eastAsia="Arial" w:hAnsi="Arial"/>
                <w:sz w:val="20"/>
                <w:szCs w:val="20"/>
                <w:color w:val="auto"/>
                <w:w w:val="89"/>
              </w:rPr>
              <w:t>December 31,</w:t>
            </w:r>
          </w:p>
        </w:tc>
        <w:tc>
          <w:tcPr>
            <w:tcW w:w="0" w:type="dxa"/>
            <w:vAlign w:val="bottom"/>
          </w:tcPr>
          <w:p>
            <w:pPr>
              <w:spacing w:after="0"/>
              <w:rPr>
                <w:sz w:val="1"/>
                <w:szCs w:val="1"/>
                <w:color w:val="auto"/>
              </w:rPr>
            </w:pPr>
          </w:p>
        </w:tc>
      </w:tr>
      <w:tr>
        <w:trPr>
          <w:trHeight w:val="246"/>
        </w:trPr>
        <w:tc>
          <w:tcPr>
            <w:tcW w:w="6420" w:type="dxa"/>
            <w:vAlign w:val="bottom"/>
            <w:vMerge w:val="restart"/>
          </w:tcPr>
          <w:p>
            <w:pPr>
              <w:spacing w:after="0"/>
              <w:rPr>
                <w:sz w:val="20"/>
                <w:szCs w:val="20"/>
                <w:color w:val="auto"/>
              </w:rPr>
            </w:pPr>
            <w:r>
              <w:rPr>
                <w:rFonts w:ascii="Arial" w:cs="Arial" w:eastAsia="Arial" w:hAnsi="Arial"/>
                <w:sz w:val="20"/>
                <w:szCs w:val="20"/>
                <w:color w:val="auto"/>
              </w:rPr>
              <w:t>Raw materials</w:t>
            </w: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2017</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06"/>
        </w:trPr>
        <w:tc>
          <w:tcPr>
            <w:tcW w:w="6420" w:type="dxa"/>
            <w:vAlign w:val="bottom"/>
            <w:vMerge w:val="continue"/>
          </w:tcPr>
          <w:p>
            <w:pPr>
              <w:spacing w:after="0"/>
              <w:rPr>
                <w:sz w:val="17"/>
                <w:szCs w:val="17"/>
                <w:color w:val="auto"/>
              </w:rPr>
            </w:pPr>
          </w:p>
        </w:tc>
        <w:tc>
          <w:tcPr>
            <w:tcW w:w="36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360" w:type="dxa"/>
            <w:vAlign w:val="bottom"/>
          </w:tcPr>
          <w:p>
            <w:pPr>
              <w:jc w:val="right"/>
              <w:ind w:right="1"/>
              <w:spacing w:after="0" w:line="207" w:lineRule="exact"/>
              <w:rPr>
                <w:sz w:val="20"/>
                <w:szCs w:val="20"/>
                <w:color w:val="auto"/>
              </w:rPr>
            </w:pPr>
            <w:r>
              <w:rPr>
                <w:rFonts w:ascii="Arial" w:cs="Arial" w:eastAsia="Arial" w:hAnsi="Arial"/>
                <w:sz w:val="20"/>
                <w:szCs w:val="20"/>
                <w:color w:val="auto"/>
              </w:rPr>
              <w:t>79,924</w:t>
            </w:r>
          </w:p>
        </w:tc>
        <w:tc>
          <w:tcPr>
            <w:tcW w:w="560" w:type="dxa"/>
            <w:vAlign w:val="bottom"/>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40" w:type="dxa"/>
            <w:vAlign w:val="bottom"/>
          </w:tcPr>
          <w:p>
            <w:pPr>
              <w:jc w:val="right"/>
              <w:ind w:right="1"/>
              <w:spacing w:after="0" w:line="207" w:lineRule="exact"/>
              <w:rPr>
                <w:sz w:val="20"/>
                <w:szCs w:val="20"/>
                <w:color w:val="auto"/>
              </w:rPr>
            </w:pPr>
            <w:r>
              <w:rPr>
                <w:rFonts w:ascii="Arial" w:cs="Arial" w:eastAsia="Arial" w:hAnsi="Arial"/>
                <w:sz w:val="20"/>
                <w:szCs w:val="20"/>
                <w:color w:val="auto"/>
              </w:rPr>
              <w:t>58,658</w:t>
            </w:r>
          </w:p>
        </w:tc>
        <w:tc>
          <w:tcPr>
            <w:tcW w:w="0" w:type="dxa"/>
            <w:vAlign w:val="bottom"/>
          </w:tcPr>
          <w:p>
            <w:pPr>
              <w:spacing w:after="0"/>
              <w:rPr>
                <w:sz w:val="1"/>
                <w:szCs w:val="1"/>
                <w:color w:val="auto"/>
              </w:rPr>
            </w:pPr>
          </w:p>
        </w:tc>
      </w:tr>
      <w:tr>
        <w:trPr>
          <w:trHeight w:val="246"/>
        </w:trPr>
        <w:tc>
          <w:tcPr>
            <w:tcW w:w="6420" w:type="dxa"/>
            <w:vAlign w:val="bottom"/>
          </w:tcPr>
          <w:p>
            <w:pPr>
              <w:spacing w:after="0"/>
              <w:rPr>
                <w:sz w:val="20"/>
                <w:szCs w:val="20"/>
                <w:color w:val="auto"/>
              </w:rPr>
            </w:pPr>
            <w:r>
              <w:rPr>
                <w:rFonts w:ascii="Arial" w:cs="Arial" w:eastAsia="Arial" w:hAnsi="Arial"/>
                <w:sz w:val="20"/>
                <w:szCs w:val="20"/>
                <w:color w:val="auto"/>
              </w:rPr>
              <w:t>Finished goods</w:t>
            </w: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110,676</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103,313</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190,600</w:t>
            </w:r>
          </w:p>
        </w:tc>
        <w:tc>
          <w:tcPr>
            <w:tcW w:w="56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161,971</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2"/>
          </w:tcPr>
          <w:p>
            <w:pPr>
              <w:ind w:left="160"/>
              <w:spacing w:after="0"/>
              <w:rPr>
                <w:sz w:val="20"/>
                <w:szCs w:val="20"/>
                <w:color w:val="auto"/>
              </w:rPr>
            </w:pPr>
            <w:r>
              <w:rPr>
                <w:rFonts w:ascii="Arial" w:cs="Arial" w:eastAsia="Arial" w:hAnsi="Arial"/>
                <w:sz w:val="20"/>
                <w:szCs w:val="20"/>
                <w:color w:val="auto"/>
              </w:rPr>
              <w:t>June 30,</w:t>
            </w:r>
          </w:p>
        </w:tc>
        <w:tc>
          <w:tcPr>
            <w:tcW w:w="260" w:type="dxa"/>
            <w:vAlign w:val="bottom"/>
          </w:tcPr>
          <w:p>
            <w:pPr>
              <w:spacing w:after="0"/>
              <w:rPr>
                <w:sz w:val="19"/>
                <w:szCs w:val="19"/>
                <w:color w:val="auto"/>
              </w:rPr>
            </w:pPr>
          </w:p>
        </w:tc>
        <w:tc>
          <w:tcPr>
            <w:tcW w:w="1460" w:type="dxa"/>
            <w:vAlign w:val="bottom"/>
          </w:tcPr>
          <w:p>
            <w:pPr>
              <w:jc w:val="right"/>
              <w:ind w:right="201"/>
              <w:spacing w:after="0"/>
              <w:rPr>
                <w:sz w:val="20"/>
                <w:szCs w:val="20"/>
                <w:color w:val="auto"/>
              </w:rPr>
            </w:pPr>
            <w:r>
              <w:rPr>
                <w:rFonts w:ascii="Arial" w:cs="Arial" w:eastAsia="Arial" w:hAnsi="Arial"/>
                <w:sz w:val="20"/>
                <w:szCs w:val="20"/>
                <w:color w:val="auto"/>
                <w:w w:val="90"/>
              </w:rPr>
              <w:t>December 31,</w:t>
            </w:r>
          </w:p>
        </w:tc>
        <w:tc>
          <w:tcPr>
            <w:tcW w:w="0" w:type="dxa"/>
            <w:vAlign w:val="bottom"/>
          </w:tcPr>
          <w:p>
            <w:pPr>
              <w:spacing w:after="0"/>
              <w:rPr>
                <w:sz w:val="1"/>
                <w:szCs w:val="1"/>
                <w:color w:val="auto"/>
              </w:rPr>
            </w:pPr>
          </w:p>
        </w:tc>
      </w:tr>
      <w:tr>
        <w:trPr>
          <w:trHeight w:val="246"/>
        </w:trPr>
        <w:tc>
          <w:tcPr>
            <w:tcW w:w="6380" w:type="dxa"/>
            <w:vAlign w:val="bottom"/>
            <w:vMerge w:val="restart"/>
          </w:tcPr>
          <w:p>
            <w:pPr>
              <w:spacing w:after="0"/>
              <w:rPr>
                <w:sz w:val="20"/>
                <w:szCs w:val="20"/>
                <w:color w:val="auto"/>
              </w:rPr>
            </w:pPr>
            <w:r>
              <w:rPr>
                <w:rFonts w:ascii="Arial" w:cs="Arial" w:eastAsia="Arial" w:hAnsi="Arial"/>
                <w:sz w:val="20"/>
                <w:szCs w:val="20"/>
                <w:color w:val="auto"/>
              </w:rPr>
              <w:t>Land</w:t>
            </w: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2017</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06"/>
        </w:trPr>
        <w:tc>
          <w:tcPr>
            <w:tcW w:w="6380" w:type="dxa"/>
            <w:vAlign w:val="bottom"/>
            <w:vMerge w:val="continue"/>
          </w:tcPr>
          <w:p>
            <w:pPr>
              <w:spacing w:after="0"/>
              <w:rPr>
                <w:sz w:val="17"/>
                <w:szCs w:val="17"/>
                <w:color w:val="auto"/>
              </w:rPr>
            </w:pP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3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47,373</w:t>
            </w:r>
          </w:p>
        </w:tc>
        <w:tc>
          <w:tcPr>
            <w:tcW w:w="560" w:type="dxa"/>
            <w:vAlign w:val="bottom"/>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60" w:type="dxa"/>
            <w:vAlign w:val="bottom"/>
          </w:tcPr>
          <w:p>
            <w:pPr>
              <w:jc w:val="right"/>
              <w:ind w:right="1"/>
              <w:spacing w:after="0" w:line="207" w:lineRule="exact"/>
              <w:rPr>
                <w:sz w:val="20"/>
                <w:szCs w:val="20"/>
                <w:color w:val="auto"/>
              </w:rPr>
            </w:pPr>
            <w:r>
              <w:rPr>
                <w:rFonts w:ascii="Arial" w:cs="Arial" w:eastAsia="Arial" w:hAnsi="Arial"/>
                <w:sz w:val="20"/>
                <w:szCs w:val="20"/>
                <w:color w:val="auto"/>
              </w:rPr>
              <w:t>46,596</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20"/>
                <w:szCs w:val="20"/>
                <w:color w:val="auto"/>
              </w:rPr>
              <w:t>Leasehold improvements</w:t>
            </w:r>
          </w:p>
        </w:tc>
        <w:tc>
          <w:tcPr>
            <w:tcW w:w="38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3,906</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2,687</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20"/>
                <w:szCs w:val="20"/>
                <w:color w:val="auto"/>
              </w:rPr>
              <w:t>Furniture and fixtures</w:t>
            </w:r>
          </w:p>
        </w:tc>
        <w:tc>
          <w:tcPr>
            <w:tcW w:w="38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4,467</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3,635</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20"/>
                <w:szCs w:val="20"/>
                <w:color w:val="auto"/>
              </w:rPr>
              <w:t>Office and computer equipment</w:t>
            </w:r>
          </w:p>
        </w:tc>
        <w:tc>
          <w:tcPr>
            <w:tcW w:w="38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12,598</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11,701</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20"/>
                <w:szCs w:val="20"/>
                <w:color w:val="auto"/>
              </w:rPr>
              <w:t>Computer software</w:t>
            </w:r>
          </w:p>
        </w:tc>
        <w:tc>
          <w:tcPr>
            <w:tcW w:w="38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3,411</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3,274</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20"/>
                <w:szCs w:val="20"/>
                <w:color w:val="auto"/>
              </w:rPr>
              <w:t>Equipment</w:t>
            </w:r>
          </w:p>
        </w:tc>
        <w:tc>
          <w:tcPr>
            <w:tcW w:w="38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129,907</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114,230</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20"/>
                <w:szCs w:val="20"/>
                <w:color w:val="auto"/>
              </w:rPr>
              <w:t>Buildings</w:t>
            </w:r>
          </w:p>
        </w:tc>
        <w:tc>
          <w:tcPr>
            <w:tcW w:w="38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98,043</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69,547</w:t>
            </w:r>
          </w:p>
        </w:tc>
        <w:tc>
          <w:tcPr>
            <w:tcW w:w="0" w:type="dxa"/>
            <w:vAlign w:val="bottom"/>
          </w:tcPr>
          <w:p>
            <w:pPr>
              <w:spacing w:after="0"/>
              <w:rPr>
                <w:sz w:val="1"/>
                <w:szCs w:val="1"/>
                <w:color w:val="auto"/>
              </w:rPr>
            </w:pPr>
          </w:p>
        </w:tc>
      </w:tr>
      <w:tr>
        <w:trPr>
          <w:trHeight w:val="246"/>
        </w:trPr>
        <w:tc>
          <w:tcPr>
            <w:tcW w:w="6380" w:type="dxa"/>
            <w:vAlign w:val="bottom"/>
          </w:tcPr>
          <w:p>
            <w:pPr>
              <w:spacing w:after="0"/>
              <w:rPr>
                <w:sz w:val="20"/>
                <w:szCs w:val="20"/>
                <w:color w:val="auto"/>
              </w:rPr>
            </w:pPr>
            <w:r>
              <w:rPr>
                <w:rFonts w:ascii="Arial" w:cs="Arial" w:eastAsia="Arial" w:hAnsi="Arial"/>
                <w:sz w:val="20"/>
                <w:szCs w:val="20"/>
                <w:color w:val="auto"/>
              </w:rPr>
              <w:t>Vehicles</w:t>
            </w: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35,547</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31,582</w:t>
            </w:r>
          </w:p>
        </w:tc>
        <w:tc>
          <w:tcPr>
            <w:tcW w:w="0" w:type="dxa"/>
            <w:vAlign w:val="bottom"/>
          </w:tcPr>
          <w:p>
            <w:pPr>
              <w:spacing w:after="0"/>
              <w:rPr>
                <w:sz w:val="1"/>
                <w:szCs w:val="1"/>
                <w:color w:val="auto"/>
              </w:rPr>
            </w:pPr>
          </w:p>
        </w:tc>
      </w:tr>
      <w:tr>
        <w:trPr>
          <w:trHeight w:val="206"/>
        </w:trPr>
        <w:tc>
          <w:tcPr>
            <w:tcW w:w="6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335,252</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1"/>
              <w:spacing w:after="0" w:line="207" w:lineRule="exact"/>
              <w:rPr>
                <w:sz w:val="20"/>
                <w:szCs w:val="20"/>
                <w:color w:val="auto"/>
              </w:rPr>
            </w:pPr>
            <w:r>
              <w:rPr>
                <w:rFonts w:ascii="Arial" w:cs="Arial" w:eastAsia="Arial" w:hAnsi="Arial"/>
                <w:sz w:val="20"/>
                <w:szCs w:val="20"/>
                <w:color w:val="auto"/>
              </w:rPr>
              <w:t>283,252</w:t>
            </w:r>
          </w:p>
        </w:tc>
        <w:tc>
          <w:tcPr>
            <w:tcW w:w="0" w:type="dxa"/>
            <w:vAlign w:val="bottom"/>
          </w:tcPr>
          <w:p>
            <w:pPr>
              <w:spacing w:after="0"/>
              <w:rPr>
                <w:sz w:val="1"/>
                <w:szCs w:val="1"/>
                <w:color w:val="auto"/>
              </w:rPr>
            </w:pPr>
          </w:p>
        </w:tc>
      </w:tr>
      <w:tr>
        <w:trPr>
          <w:trHeight w:val="246"/>
        </w:trPr>
        <w:tc>
          <w:tcPr>
            <w:tcW w:w="6380" w:type="dxa"/>
            <w:vAlign w:val="bottom"/>
          </w:tcPr>
          <w:p>
            <w:pPr>
              <w:spacing w:after="0"/>
              <w:rPr>
                <w:sz w:val="20"/>
                <w:szCs w:val="20"/>
                <w:color w:val="auto"/>
              </w:rPr>
            </w:pPr>
            <w:r>
              <w:rPr>
                <w:rFonts w:ascii="Arial" w:cs="Arial" w:eastAsia="Arial" w:hAnsi="Arial"/>
                <w:sz w:val="20"/>
                <w:szCs w:val="20"/>
                <w:color w:val="auto"/>
              </w:rPr>
              <w:t>Less: accumulated depreciation and amortization</w:t>
            </w: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(123,697)</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(109,909)</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211,555</w:t>
            </w:r>
          </w:p>
        </w:tc>
        <w:tc>
          <w:tcPr>
            <w:tcW w:w="56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173,343</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581" w:right="199" w:bottom="0" w:gutter="0" w:footer="0" w:header="0"/>
        </w:sectPr>
      </w:pPr>
    </w:p>
    <w:bookmarkStart w:id="10" w:name="page11"/>
    <w:bookmarkEnd w:id="10"/>
    <w:p>
      <w:pPr>
        <w:jc w:val="both"/>
        <w:ind w:firstLine="648"/>
        <w:spacing w:after="0" w:line="250" w:lineRule="auto"/>
        <w:rPr>
          <w:sz w:val="20"/>
          <w:szCs w:val="20"/>
          <w:color w:val="auto"/>
        </w:rPr>
      </w:pPr>
      <w:r>
        <w:rPr>
          <w:rFonts w:ascii="Arial" w:cs="Arial" w:eastAsia="Arial" w:hAnsi="Arial"/>
          <w:sz w:val="20"/>
          <w:szCs w:val="20"/>
          <w:color w:val="auto"/>
        </w:rPr>
        <w:t>Total depreciation and amortization expense recorded was $8.6 million and $7.5 million for the three-months ended June 30, 2017 and 2016, respectively. Total depreciation and amortization expense recorded was $16.8 million and $14.7 million for the six-months ended June 30, 2017 and 2016, respectively.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GOODWILL AND OTHER INTANGIBLE ASSETS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is a roll-forward of goodwill for the six-months ended June 30, 2017 by reportable segment: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20"/>
                <w:szCs w:val="20"/>
                <w:color w:val="auto"/>
                <w:w w:val="91"/>
              </w:rPr>
              <w:t>Monster</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20"/>
                <w:szCs w:val="20"/>
                <w:color w:val="auto"/>
                <w:w w:val="92"/>
              </w:rPr>
              <w:t>Energy®</w:t>
            </w:r>
          </w:p>
        </w:tc>
        <w:tc>
          <w:tcPr>
            <w:tcW w:w="280" w:type="dxa"/>
            <w:vAlign w:val="bottom"/>
          </w:tcPr>
          <w:p>
            <w:pPr>
              <w:spacing w:after="0"/>
              <w:rPr>
                <w:sz w:val="19"/>
                <w:szCs w:val="19"/>
                <w:color w:val="auto"/>
              </w:rPr>
            </w:pPr>
          </w:p>
        </w:tc>
        <w:tc>
          <w:tcPr>
            <w:tcW w:w="960" w:type="dxa"/>
            <w:vAlign w:val="bottom"/>
            <w:gridSpan w:val="2"/>
          </w:tcPr>
          <w:p>
            <w:pPr>
              <w:ind w:left="40"/>
              <w:spacing w:after="0"/>
              <w:rPr>
                <w:sz w:val="20"/>
                <w:szCs w:val="20"/>
                <w:color w:val="auto"/>
              </w:rPr>
            </w:pPr>
            <w:r>
              <w:rPr>
                <w:rFonts w:ascii="Arial" w:cs="Arial" w:eastAsia="Arial" w:hAnsi="Arial"/>
                <w:sz w:val="20"/>
                <w:szCs w:val="20"/>
                <w:color w:val="auto"/>
              </w:rPr>
              <w:t>Strategic</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240" w:type="dxa"/>
            <w:vAlign w:val="bottom"/>
            <w:vMerge w:val="restart"/>
          </w:tcPr>
          <w:p>
            <w:pPr>
              <w:spacing w:after="0"/>
              <w:rPr>
                <w:sz w:val="20"/>
                <w:szCs w:val="20"/>
                <w:color w:val="auto"/>
              </w:rPr>
            </w:pPr>
            <w:r>
              <w:rPr>
                <w:rFonts w:ascii="Arial" w:cs="Arial" w:eastAsia="Arial" w:hAnsi="Arial"/>
                <w:sz w:val="20"/>
                <w:szCs w:val="20"/>
                <w:color w:val="auto"/>
              </w:rPr>
              <w:t>Balance at December 31, 2016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20"/>
                <w:szCs w:val="20"/>
                <w:color w:val="auto"/>
                <w:w w:val="95"/>
              </w:rPr>
              <w:t>Drinks</w:t>
            </w:r>
          </w:p>
        </w:tc>
        <w:tc>
          <w:tcPr>
            <w:tcW w:w="280" w:type="dxa"/>
            <w:vAlign w:val="bottom"/>
          </w:tcPr>
          <w:p>
            <w:pPr>
              <w:spacing w:after="0"/>
              <w:rPr>
                <w:sz w:val="21"/>
                <w:szCs w:val="21"/>
                <w:color w:val="auto"/>
              </w:rPr>
            </w:pPr>
          </w:p>
        </w:tc>
        <w:tc>
          <w:tcPr>
            <w:tcW w:w="960" w:type="dxa"/>
            <w:vAlign w:val="bottom"/>
            <w:gridSpan w:val="2"/>
          </w:tcPr>
          <w:p>
            <w:pPr>
              <w:ind w:left="100"/>
              <w:spacing w:after="0"/>
              <w:rPr>
                <w:sz w:val="20"/>
                <w:szCs w:val="20"/>
                <w:color w:val="auto"/>
              </w:rPr>
            </w:pPr>
            <w:r>
              <w:rPr>
                <w:rFonts w:ascii="Arial" w:cs="Arial" w:eastAsia="Arial" w:hAnsi="Arial"/>
                <w:sz w:val="20"/>
                <w:szCs w:val="20"/>
                <w:color w:val="auto"/>
              </w:rPr>
              <w:t>Brands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Other</w:t>
            </w:r>
          </w:p>
        </w:tc>
        <w:tc>
          <w:tcPr>
            <w:tcW w:w="380" w:type="dxa"/>
            <w:vAlign w:val="bottom"/>
          </w:tcPr>
          <w:p>
            <w:pPr>
              <w:spacing w:after="0"/>
              <w:rPr>
                <w:sz w:val="21"/>
                <w:szCs w:val="21"/>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240" w:type="dxa"/>
            <w:vAlign w:val="bottom"/>
            <w:vMerge w:val="continue"/>
          </w:tcPr>
          <w:p>
            <w:pPr>
              <w:spacing w:after="0"/>
              <w:rPr>
                <w:sz w:val="17"/>
                <w:szCs w:val="17"/>
                <w:color w:val="auto"/>
              </w:rPr>
            </w:pPr>
          </w:p>
        </w:tc>
        <w:tc>
          <w:tcPr>
            <w:tcW w:w="280" w:type="dxa"/>
            <w:vAlign w:val="bottom"/>
            <w:tcBorders>
              <w:top w:val="single" w:sz="8" w:color="auto"/>
            </w:tcBorders>
            <w:gridSpan w:val="2"/>
          </w:tcPr>
          <w:p>
            <w:pPr>
              <w:jc w:val="right"/>
              <w:spacing w:after="0" w:line="207"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693,644</w:t>
            </w:r>
          </w:p>
        </w:tc>
        <w:tc>
          <w:tcPr>
            <w:tcW w:w="280" w:type="dxa"/>
            <w:vAlign w:val="bottom"/>
          </w:tcPr>
          <w:p>
            <w:pPr>
              <w:spacing w:after="0"/>
              <w:rPr>
                <w:sz w:val="17"/>
                <w:szCs w:val="17"/>
                <w:color w:val="auto"/>
              </w:rPr>
            </w:pPr>
          </w:p>
        </w:tc>
        <w:tc>
          <w:tcPr>
            <w:tcW w:w="2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w w:val="99"/>
              </w:rPr>
              <w:t>637,999</w:t>
            </w:r>
          </w:p>
        </w:tc>
        <w:tc>
          <w:tcPr>
            <w:tcW w:w="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38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1,331,643</w:t>
            </w:r>
          </w:p>
        </w:tc>
        <w:tc>
          <w:tcPr>
            <w:tcW w:w="0" w:type="dxa"/>
            <w:vAlign w:val="bottom"/>
          </w:tcPr>
          <w:p>
            <w:pPr>
              <w:spacing w:after="0"/>
              <w:rPr>
                <w:sz w:val="1"/>
                <w:szCs w:val="1"/>
                <w:color w:val="auto"/>
              </w:rPr>
            </w:pPr>
          </w:p>
        </w:tc>
      </w:tr>
      <w:tr>
        <w:trPr>
          <w:trHeight w:val="240"/>
        </w:trPr>
        <w:tc>
          <w:tcPr>
            <w:tcW w:w="4240" w:type="dxa"/>
            <w:vAlign w:val="bottom"/>
          </w:tcPr>
          <w:p>
            <w:pPr>
              <w:spacing w:after="0"/>
              <w:rPr>
                <w:sz w:val="20"/>
                <w:szCs w:val="20"/>
                <w:color w:val="auto"/>
              </w:rPr>
            </w:pPr>
            <w:r>
              <w:rPr>
                <w:rFonts w:ascii="Arial" w:cs="Arial" w:eastAsia="Arial" w:hAnsi="Arial"/>
                <w:sz w:val="20"/>
                <w:szCs w:val="20"/>
                <w:color w:val="auto"/>
              </w:rPr>
              <w:t>Acquisitions</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240" w:type="dxa"/>
            <w:vAlign w:val="bottom"/>
          </w:tcPr>
          <w:p>
            <w:pPr>
              <w:spacing w:after="0" w:line="220" w:lineRule="exact"/>
              <w:rPr>
                <w:sz w:val="20"/>
                <w:szCs w:val="20"/>
                <w:color w:val="auto"/>
              </w:rPr>
            </w:pPr>
            <w:r>
              <w:rPr>
                <w:rFonts w:ascii="Arial" w:cs="Arial" w:eastAsia="Arial" w:hAnsi="Arial"/>
                <w:sz w:val="20"/>
                <w:szCs w:val="20"/>
                <w:color w:val="auto"/>
              </w:rPr>
              <w:t>Balance at June 30, 2017</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693,644</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637,999</w:t>
            </w:r>
          </w:p>
        </w:tc>
        <w:tc>
          <w:tcPr>
            <w:tcW w:w="1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1,331,643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20"/>
                <w:szCs w:val="20"/>
                <w:color w:val="auto"/>
              </w:rPr>
              <w:t>Intangible assets consist of the following at:</w:t>
            </w: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2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20"/>
                <w:szCs w:val="20"/>
                <w:color w:val="auto"/>
              </w:rPr>
              <w:t>June 30,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4"/>
          </w:tcPr>
          <w:p>
            <w:pPr>
              <w:jc w:val="center"/>
              <w:ind w:right="101"/>
              <w:spacing w:after="0"/>
              <w:rPr>
                <w:sz w:val="20"/>
                <w:szCs w:val="20"/>
                <w:color w:val="auto"/>
              </w:rPr>
            </w:pPr>
            <w:r>
              <w:rPr>
                <w:rFonts w:ascii="Arial" w:cs="Arial" w:eastAsia="Arial" w:hAnsi="Arial"/>
                <w:sz w:val="20"/>
                <w:szCs w:val="20"/>
                <w:color w:val="auto"/>
                <w:w w:val="87"/>
              </w:rPr>
              <w:t>December 31,</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240" w:type="dxa"/>
            <w:vAlign w:val="bottom"/>
            <w:vMerge w:val="restart"/>
          </w:tcPr>
          <w:p>
            <w:pPr>
              <w:spacing w:after="0"/>
              <w:rPr>
                <w:sz w:val="20"/>
                <w:szCs w:val="20"/>
                <w:color w:val="auto"/>
              </w:rPr>
            </w:pPr>
            <w:r>
              <w:rPr>
                <w:rFonts w:ascii="Arial" w:cs="Arial" w:eastAsia="Arial" w:hAnsi="Arial"/>
                <w:sz w:val="20"/>
                <w:szCs w:val="20"/>
                <w:color w:val="auto"/>
              </w:rPr>
              <w:t>Amortizing intangibles</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2017</w:t>
            </w:r>
          </w:p>
        </w:tc>
        <w:tc>
          <w:tcPr>
            <w:tcW w:w="2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2016</w:t>
            </w: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gridSpan w:val="2"/>
          </w:tcPr>
          <w:p>
            <w:pPr>
              <w:jc w:val="right"/>
              <w:ind w:right="100"/>
              <w:spacing w:after="0" w:line="207" w:lineRule="exact"/>
              <w:rPr>
                <w:sz w:val="20"/>
                <w:szCs w:val="20"/>
                <w:color w:val="auto"/>
              </w:rPr>
            </w:pPr>
            <w:r>
              <w:rPr>
                <w:rFonts w:ascii="Arial" w:cs="Arial" w:eastAsia="Arial" w:hAnsi="Arial"/>
                <w:sz w:val="20"/>
                <w:szCs w:val="20"/>
                <w:color w:val="auto"/>
              </w:rPr>
              <w:t>71,377</w:t>
            </w:r>
          </w:p>
        </w:tc>
        <w:tc>
          <w:tcPr>
            <w:tcW w:w="280" w:type="dxa"/>
            <w:vAlign w:val="bottom"/>
          </w:tcPr>
          <w:p>
            <w:pPr>
              <w:spacing w:after="0"/>
              <w:rPr>
                <w:sz w:val="17"/>
                <w:szCs w:val="17"/>
                <w:color w:val="auto"/>
              </w:rPr>
            </w:pPr>
          </w:p>
        </w:tc>
        <w:tc>
          <w:tcPr>
            <w:tcW w:w="220" w:type="dxa"/>
            <w:vAlign w:val="bottom"/>
          </w:tcPr>
          <w:p>
            <w:pPr>
              <w:ind w:left="100"/>
              <w:spacing w:after="0" w:line="207" w:lineRule="exact"/>
              <w:rPr>
                <w:sz w:val="20"/>
                <w:szCs w:val="20"/>
                <w:color w:val="auto"/>
              </w:rPr>
            </w:pPr>
            <w:r>
              <w:rPr>
                <w:rFonts w:ascii="Arial" w:cs="Arial" w:eastAsia="Arial" w:hAnsi="Arial"/>
                <w:sz w:val="20"/>
                <w:szCs w:val="20"/>
                <w:color w:val="auto"/>
                <w:w w:val="89"/>
              </w:rPr>
              <w:t>$</w:t>
            </w:r>
          </w:p>
        </w:tc>
        <w:tc>
          <w:tcPr>
            <w:tcW w:w="740" w:type="dxa"/>
            <w:vAlign w:val="bottom"/>
          </w:tcPr>
          <w:p>
            <w:pPr>
              <w:spacing w:after="0"/>
              <w:rPr>
                <w:sz w:val="17"/>
                <w:szCs w:val="17"/>
                <w:color w:val="auto"/>
              </w:rPr>
            </w:pPr>
          </w:p>
        </w:tc>
        <w:tc>
          <w:tcPr>
            <w:tcW w:w="640" w:type="dxa"/>
            <w:vAlign w:val="bottom"/>
            <w:gridSpan w:val="3"/>
          </w:tcPr>
          <w:p>
            <w:pPr>
              <w:jc w:val="right"/>
              <w:ind w:right="1"/>
              <w:spacing w:after="0" w:line="207" w:lineRule="exact"/>
              <w:rPr>
                <w:sz w:val="20"/>
                <w:szCs w:val="20"/>
                <w:color w:val="auto"/>
              </w:rPr>
            </w:pPr>
            <w:r>
              <w:rPr>
                <w:rFonts w:ascii="Arial" w:cs="Arial" w:eastAsia="Arial" w:hAnsi="Arial"/>
                <w:sz w:val="20"/>
                <w:szCs w:val="20"/>
                <w:color w:val="auto"/>
                <w:w w:val="84"/>
              </w:rPr>
              <w:t>71,290</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240" w:type="dxa"/>
            <w:vAlign w:val="bottom"/>
          </w:tcPr>
          <w:p>
            <w:pPr>
              <w:spacing w:after="0"/>
              <w:rPr>
                <w:sz w:val="20"/>
                <w:szCs w:val="20"/>
                <w:color w:val="auto"/>
              </w:rPr>
            </w:pPr>
            <w:r>
              <w:rPr>
                <w:rFonts w:ascii="Arial" w:cs="Arial" w:eastAsia="Arial" w:hAnsi="Arial"/>
                <w:sz w:val="20"/>
                <w:szCs w:val="20"/>
                <w:color w:val="auto"/>
              </w:rPr>
              <w:t>Accumulated amortization</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(20,459)</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(14,535)</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100"/>
              <w:spacing w:after="0" w:line="207" w:lineRule="exact"/>
              <w:rPr>
                <w:sz w:val="20"/>
                <w:szCs w:val="20"/>
                <w:color w:val="auto"/>
              </w:rPr>
            </w:pPr>
            <w:r>
              <w:rPr>
                <w:rFonts w:ascii="Arial" w:cs="Arial" w:eastAsia="Arial" w:hAnsi="Arial"/>
                <w:sz w:val="20"/>
                <w:szCs w:val="20"/>
                <w:color w:val="auto"/>
              </w:rPr>
              <w:t>50,918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gridSpan w:val="3"/>
          </w:tcPr>
          <w:p>
            <w:pPr>
              <w:jc w:val="right"/>
              <w:ind w:right="1"/>
              <w:spacing w:after="0" w:line="207" w:lineRule="exact"/>
              <w:rPr>
                <w:sz w:val="20"/>
                <w:szCs w:val="20"/>
                <w:color w:val="auto"/>
              </w:rPr>
            </w:pPr>
            <w:r>
              <w:rPr>
                <w:rFonts w:ascii="Arial" w:cs="Arial" w:eastAsia="Arial" w:hAnsi="Arial"/>
                <w:sz w:val="20"/>
                <w:szCs w:val="20"/>
                <w:color w:val="auto"/>
                <w:w w:val="84"/>
              </w:rPr>
              <w:t>56,755</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240" w:type="dxa"/>
            <w:vAlign w:val="bottom"/>
          </w:tcPr>
          <w:p>
            <w:pPr>
              <w:spacing w:after="0"/>
              <w:rPr>
                <w:sz w:val="20"/>
                <w:szCs w:val="20"/>
                <w:color w:val="auto"/>
              </w:rPr>
            </w:pPr>
            <w:r>
              <w:rPr>
                <w:rFonts w:ascii="Arial" w:cs="Arial" w:eastAsia="Arial" w:hAnsi="Arial"/>
                <w:sz w:val="20"/>
                <w:szCs w:val="20"/>
                <w:color w:val="auto"/>
              </w:rPr>
              <w:t>Non-amortizing intangibles</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981,956</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20"/>
                <w:szCs w:val="20"/>
                <w:color w:val="auto"/>
              </w:rPr>
              <w:t>975,880</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gridSpan w:val="2"/>
          </w:tcPr>
          <w:p>
            <w:pPr>
              <w:jc w:val="right"/>
              <w:ind w:right="100"/>
              <w:spacing w:after="0" w:line="223" w:lineRule="exact"/>
              <w:rPr>
                <w:sz w:val="20"/>
                <w:szCs w:val="20"/>
                <w:color w:val="auto"/>
              </w:rPr>
            </w:pPr>
            <w:r>
              <w:rPr>
                <w:rFonts w:ascii="Arial" w:cs="Arial" w:eastAsia="Arial" w:hAnsi="Arial"/>
                <w:sz w:val="20"/>
                <w:szCs w:val="20"/>
                <w:color w:val="auto"/>
              </w:rPr>
              <w:t>1,032,874</w:t>
            </w:r>
          </w:p>
        </w:tc>
        <w:tc>
          <w:tcPr>
            <w:tcW w:w="280" w:type="dxa"/>
            <w:vAlign w:val="bottom"/>
          </w:tcPr>
          <w:p>
            <w:pPr>
              <w:spacing w:after="0"/>
              <w:rPr>
                <w:sz w:val="19"/>
                <w:szCs w:val="19"/>
                <w:color w:val="auto"/>
              </w:rPr>
            </w:pPr>
          </w:p>
        </w:tc>
        <w:tc>
          <w:tcPr>
            <w:tcW w:w="22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w w:val="89"/>
              </w:rPr>
              <w:t>$</w:t>
            </w:r>
          </w:p>
        </w:tc>
        <w:tc>
          <w:tcPr>
            <w:tcW w:w="1380" w:type="dxa"/>
            <w:vAlign w:val="bottom"/>
            <w:tcBorders>
              <w:bottom w:val="single" w:sz="8" w:color="auto"/>
            </w:tcBorders>
            <w:gridSpan w:val="4"/>
          </w:tcPr>
          <w:p>
            <w:pPr>
              <w:jc w:val="right"/>
              <w:ind w:right="1"/>
              <w:spacing w:after="0" w:line="223" w:lineRule="exact"/>
              <w:rPr>
                <w:sz w:val="20"/>
                <w:szCs w:val="20"/>
                <w:color w:val="auto"/>
              </w:rPr>
            </w:pPr>
            <w:r>
              <w:rPr>
                <w:rFonts w:ascii="Arial" w:cs="Arial" w:eastAsia="Arial" w:hAnsi="Arial"/>
                <w:sz w:val="20"/>
                <w:szCs w:val="20"/>
                <w:color w:val="auto"/>
              </w:rPr>
              <w:t>1,032,635</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$3.0 million and $2.9 million for the three-months ended June 30, 2017 and 2016, respectively. Total amortization expense recorded was $6.0 million and $4.6 million for the six-months ended June 30, 2017 and 2016, respectively.</w:t>
      </w:r>
    </w:p>
    <w:p>
      <w:pPr>
        <w:spacing w:after="0" w:line="208"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accordance with ASC No. 420 “Exit or Disposal Cost Obligations”, the Company expenses distributor termination costs in the period in which the written notification of termination occurs. The Company incurred termination costs of $0.2 million and $25.3 million for the three-months ended June 30, 2017 and 2016, respectively. The Company incurred termination costs of $20.1 million and $28.7 million for the six-months ended June 30, 2017 and 2016, respectively. Such termination costs have been expensed in full and are included in operating expenses for the three- and six-months ended June 30, 2017 and 2016.</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$10.2 million and $12.1 million for the three-months ended June 30, 2017 and 2016, respectively. Revenue recognized was $20.1 million and $20.2 million for the six-months ended June 30, 2017 and 2016, respectively.</w:t>
      </w:r>
    </w:p>
    <w:p>
      <w:pPr>
        <w:spacing w:after="0" w:line="194"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had purchase commitments aggregating approximately $32.6 million at June 30, 2017, which represented commitments made by the Company and its subsidiaries to various suppliers of raw materials for the production of its products. These obligations vary in terms, but are generally satisfied within one year.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249" w:gutter="0" w:footer="0" w:header="0"/>
        </w:sectPr>
      </w:pPr>
    </w:p>
    <w:bookmarkStart w:id="11" w:name="page12"/>
    <w:bookmarkEnd w:id="11"/>
    <w:p>
      <w:pPr>
        <w:jc w:val="both"/>
        <w:ind w:firstLine="648"/>
        <w:spacing w:after="0" w:line="262" w:lineRule="auto"/>
        <w:rPr>
          <w:sz w:val="20"/>
          <w:szCs w:val="20"/>
          <w:color w:val="auto"/>
        </w:rPr>
      </w:pPr>
      <w:r>
        <w:rPr>
          <w:rFonts w:ascii="Arial" w:cs="Arial" w:eastAsia="Arial" w:hAnsi="Arial"/>
          <w:sz w:val="20"/>
          <w:szCs w:val="20"/>
          <w:color w:val="auto"/>
        </w:rPr>
        <w:t>The Company had contractual obligations aggregating approximately $146.0 million at June 30, 2017, which related primarily to sponsorships and other marketing activities.</w:t>
      </w:r>
    </w:p>
    <w:p>
      <w:pPr>
        <w:spacing w:after="0" w:line="1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 had operating lease commitments aggregating approximately $18.3 million at June 30, 2017, which related primarily to warehouse and office space.</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September 2016, the Company completed its acquisition of approximately 49 acres of land, located in Rialto, CA, for a purchase price of approximately $39.1 million. The Company is constructing an approximately 1,000,000 square-foot building, which it hopes to have LEED certified, to replace its current leased warehouse and distribution facilities located in Corona, CA. The Company has entered into an approximately $37.6 million guaranteed maximum price construction contract for the construction of the building of which $17.1 million remained outstanding as of June 30, 2017.</w:t>
      </w:r>
    </w:p>
    <w:p>
      <w:pPr>
        <w:spacing w:after="0" w:line="20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December 2016, the Company entered into a credit facility with HSBC Bank (China) Company Limited, Shanghai Branch consisting of a working capital line of credit under which the Company may borrow up to $4.0 million of non-collateralized debt. In February 2017, the working capital line limit was increased from $4.0 million to $9.0 million. Interest on borrowings under the line of credit is based on the People’s Bank of China benchmark lending rates multiplied by 1.05. As of June 30, 2017, the Company had $6.0 million outstanding on this line of credit including interest, which is included in accounts payable in the condensed consolidated balance sheet.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Legal Proceedings</w:t>
      </w:r>
    </w:p>
    <w:p>
      <w:pPr>
        <w:spacing w:after="0" w:line="229" w:lineRule="exact"/>
        <w:rPr>
          <w:sz w:val="20"/>
          <w:szCs w:val="20"/>
          <w:color w:val="auto"/>
        </w:rPr>
      </w:pPr>
    </w:p>
    <w:p>
      <w:pPr>
        <w:jc w:val="both"/>
        <w:ind w:firstLine="689"/>
        <w:spacing w:after="0" w:line="244" w:lineRule="auto"/>
        <w:rPr>
          <w:sz w:val="20"/>
          <w:szCs w:val="20"/>
          <w:color w:val="auto"/>
        </w:rPr>
      </w:pPr>
      <w:r>
        <w:rPr>
          <w:rFonts w:ascii="Arial" w:cs="Arial" w:eastAsia="Arial" w:hAnsi="Arial"/>
          <w:sz w:val="20"/>
          <w:szCs w:val="20"/>
          <w:i w:val="1"/>
          <w:iCs w:val="1"/>
          <w:color w:val="auto"/>
        </w:rPr>
        <w:t xml:space="preserve">Litigation – </w:t>
      </w:r>
      <w:r>
        <w:rPr>
          <w:rFonts w:ascii="Arial" w:cs="Arial" w:eastAsia="Arial" w:hAnsi="Arial"/>
          <w:sz w:val="20"/>
          <w:szCs w:val="20"/>
          <w:color w:val="auto"/>
        </w:rPr>
        <w:t>The Company has been named a defendant in numerous personal injury lawsuits, claiming that the death or other serious</w:t>
      </w:r>
      <w:r>
        <w:rPr>
          <w:rFonts w:ascii="Arial" w:cs="Arial" w:eastAsia="Arial" w:hAnsi="Arial"/>
          <w:sz w:val="20"/>
          <w:szCs w:val="20"/>
          <w:i w:val="1"/>
          <w:iCs w:val="1"/>
          <w:color w:val="auto"/>
        </w:rPr>
        <w:t xml:space="preserve"> </w:t>
      </w:r>
      <w:r>
        <w:rPr>
          <w:rFonts w:ascii="Arial" w:cs="Arial" w:eastAsia="Arial" w:hAnsi="Arial"/>
          <w:sz w:val="20"/>
          <w:szCs w:val="20"/>
          <w:color w:val="auto"/>
        </w:rPr>
        <w:t>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State Attorney General Inquiry </w:t>
      </w:r>
      <w:r>
        <w:rPr>
          <w:rFonts w:ascii="Arial" w:cs="Arial" w:eastAsia="Arial" w:hAnsi="Arial"/>
          <w:sz w:val="18"/>
          <w:szCs w:val="18"/>
          <w:color w:val="auto"/>
        </w:rPr>
        <w:t>– In July 2012, the Company received a subpoena from the Attorney General for the State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its investigation concerning the Company’s advertising, marketing, promotion, ingredients, usage and sale of its Monster Energy® brand energy drinks. Production of documents pursuant to that subpoena was completed in approximately May 2014.</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On August 6, 2014, the Attorney General for the State of New York issued a second subpoena seeking additional documents and the deposition of a Company employee. On September 8, 2014, the Company moved to quash the second subpoena in the Supreme Court, New York County. The motion was fully briefed and was argued on March 17, 2015. On January 13, 2017, the Court issued an opinion in which it agreed with certain Company arguments regarding the scope of the subpoena and the Attorney General’s investigation, but denied the motion to quash and granted the Attorney General’s cross-motion to compel compliance.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Furthermore, from time to time in the normal course of business, the Company is named in other litigation, including consumer class actions, intellectual property litigation and claims from prior distributors. 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June 30, 2017, the Company’s condensed consolidated balance sheet includes accrued loss contingencies of approximately $1.5 million.</w:t>
      </w:r>
    </w:p>
    <w:p>
      <w:pPr>
        <w:spacing w:after="0" w:line="165" w:lineRule="exact"/>
        <w:rPr>
          <w:sz w:val="20"/>
          <w:szCs w:val="20"/>
          <w:color w:val="auto"/>
        </w:rPr>
      </w:pPr>
    </w:p>
    <w:p>
      <w:pPr>
        <w:ind w:left="620" w:hanging="612"/>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accumulated other comprehensive loss by component, after tax, for the six-months ended June 30, 2017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center"/>
              <w:ind w:right="520"/>
              <w:spacing w:after="0"/>
              <w:rPr>
                <w:sz w:val="20"/>
                <w:szCs w:val="20"/>
                <w:color w:val="auto"/>
              </w:rPr>
            </w:pPr>
            <w:r>
              <w:rPr>
                <w:rFonts w:ascii="Arial" w:cs="Arial" w:eastAsia="Arial" w:hAnsi="Arial"/>
                <w:sz w:val="20"/>
                <w:szCs w:val="20"/>
                <w:color w:val="auto"/>
                <w:w w:val="92"/>
              </w:rPr>
              <w:t>Unrealized</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20"/>
                <w:szCs w:val="20"/>
                <w:color w:val="auto"/>
                <w:w w:val="91"/>
              </w:rPr>
              <w:t>Currency</w:t>
            </w:r>
          </w:p>
        </w:tc>
        <w:tc>
          <w:tcPr>
            <w:tcW w:w="220" w:type="dxa"/>
            <w:vAlign w:val="bottom"/>
          </w:tcPr>
          <w:p>
            <w:pPr>
              <w:spacing w:after="0"/>
              <w:rPr>
                <w:sz w:val="19"/>
                <w:szCs w:val="19"/>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20"/>
                <w:szCs w:val="20"/>
                <w:color w:val="auto"/>
                <w:w w:val="87"/>
              </w:rPr>
              <w:t>(Gains) Losses</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20"/>
                <w:szCs w:val="20"/>
                <w:color w:val="auto"/>
                <w:w w:val="90"/>
              </w:rPr>
              <w:t>Translation</w:t>
            </w:r>
          </w:p>
        </w:tc>
        <w:tc>
          <w:tcPr>
            <w:tcW w:w="1980" w:type="dxa"/>
            <w:vAlign w:val="bottom"/>
            <w:gridSpan w:val="3"/>
          </w:tcPr>
          <w:p>
            <w:pPr>
              <w:jc w:val="center"/>
              <w:ind w:right="300"/>
              <w:spacing w:after="0"/>
              <w:rPr>
                <w:sz w:val="20"/>
                <w:szCs w:val="20"/>
                <w:color w:val="auto"/>
              </w:rPr>
            </w:pPr>
            <w:r>
              <w:rPr>
                <w:rFonts w:ascii="Arial" w:cs="Arial" w:eastAsia="Arial" w:hAnsi="Arial"/>
                <w:sz w:val="20"/>
                <w:szCs w:val="20"/>
                <w:color w:val="auto"/>
                <w:w w:val="93"/>
              </w:rPr>
              <w:t>on Available-for-</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6"/>
        </w:trPr>
        <w:tc>
          <w:tcPr>
            <w:tcW w:w="5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20"/>
                <w:szCs w:val="20"/>
                <w:color w:val="auto"/>
                <w:w w:val="85"/>
              </w:rPr>
              <w:t>Losses</w:t>
            </w:r>
          </w:p>
        </w:tc>
        <w:tc>
          <w:tcPr>
            <w:tcW w:w="220" w:type="dxa"/>
            <w:vAlign w:val="bottom"/>
          </w:tcPr>
          <w:p>
            <w:pPr>
              <w:spacing w:after="0"/>
              <w:rPr>
                <w:sz w:val="21"/>
                <w:szCs w:val="21"/>
                <w:color w:val="auto"/>
              </w:rPr>
            </w:pPr>
          </w:p>
        </w:tc>
        <w:tc>
          <w:tcPr>
            <w:tcW w:w="1760" w:type="dxa"/>
            <w:vAlign w:val="bottom"/>
            <w:gridSpan w:val="2"/>
          </w:tcPr>
          <w:p>
            <w:pPr>
              <w:jc w:val="center"/>
              <w:ind w:right="520"/>
              <w:spacing w:after="0"/>
              <w:rPr>
                <w:sz w:val="20"/>
                <w:szCs w:val="20"/>
                <w:color w:val="auto"/>
              </w:rPr>
            </w:pPr>
            <w:r>
              <w:rPr>
                <w:rFonts w:ascii="Arial" w:cs="Arial" w:eastAsia="Arial" w:hAnsi="Arial"/>
                <w:sz w:val="20"/>
                <w:szCs w:val="20"/>
                <w:color w:val="auto"/>
                <w:w w:val="86"/>
              </w:rPr>
              <w:t>Sale Securities</w:t>
            </w:r>
          </w:p>
        </w:tc>
        <w:tc>
          <w:tcPr>
            <w:tcW w:w="420" w:type="dxa"/>
            <w:vAlign w:val="bottom"/>
          </w:tcPr>
          <w:p>
            <w:pPr>
              <w:spacing w:after="0"/>
              <w:rPr>
                <w:sz w:val="21"/>
                <w:szCs w:val="21"/>
                <w:color w:val="auto"/>
              </w:rPr>
            </w:pPr>
          </w:p>
        </w:tc>
        <w:tc>
          <w:tcPr>
            <w:tcW w:w="1280" w:type="dxa"/>
            <w:vAlign w:val="bottom"/>
          </w:tcPr>
          <w:p>
            <w:pPr>
              <w:jc w:val="right"/>
              <w:ind w:right="541"/>
              <w:spacing w:after="0"/>
              <w:rPr>
                <w:sz w:val="20"/>
                <w:szCs w:val="20"/>
                <w:color w:val="auto"/>
              </w:rPr>
            </w:pPr>
            <w:r>
              <w:rPr>
                <w:rFonts w:ascii="Arial" w:cs="Arial" w:eastAsia="Arial" w:hAnsi="Arial"/>
                <w:sz w:val="20"/>
                <w:szCs w:val="20"/>
                <w:color w:val="auto"/>
              </w:rPr>
              <w:t>Total</w:t>
            </w:r>
          </w:p>
        </w:tc>
      </w:tr>
      <w:tr>
        <w:trPr>
          <w:trHeight w:val="436"/>
        </w:trPr>
        <w:tc>
          <w:tcPr>
            <w:tcW w:w="5740" w:type="dxa"/>
            <w:vAlign w:val="bottom"/>
          </w:tcPr>
          <w:p>
            <w:pPr>
              <w:spacing w:after="0"/>
              <w:rPr>
                <w:sz w:val="20"/>
                <w:szCs w:val="20"/>
                <w:color w:val="auto"/>
              </w:rPr>
            </w:pPr>
            <w:r>
              <w:rPr>
                <w:rFonts w:ascii="Arial" w:cs="Arial" w:eastAsia="Arial" w:hAnsi="Arial"/>
                <w:sz w:val="20"/>
                <w:szCs w:val="20"/>
                <w:color w:val="auto"/>
              </w:rPr>
              <w:t>Balance at December 31, 2016</w:t>
            </w:r>
          </w:p>
        </w:tc>
        <w:tc>
          <w:tcPr>
            <w:tcW w:w="3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4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23,056</w:t>
            </w:r>
          </w:p>
        </w:tc>
        <w:tc>
          <w:tcPr>
            <w:tcW w:w="300" w:type="dxa"/>
            <w:vAlign w:val="bottom"/>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193</w:t>
            </w:r>
          </w:p>
        </w:tc>
        <w:tc>
          <w:tcPr>
            <w:tcW w:w="280" w:type="dxa"/>
            <w:vAlign w:val="bottom"/>
          </w:tcPr>
          <w:p>
            <w:pPr>
              <w:spacing w:after="0"/>
              <w:rPr>
                <w:sz w:val="24"/>
                <w:szCs w:val="24"/>
                <w:color w:val="auto"/>
              </w:rPr>
            </w:pPr>
          </w:p>
        </w:tc>
        <w:tc>
          <w:tcPr>
            <w:tcW w:w="420" w:type="dxa"/>
            <w:vAlign w:val="bottom"/>
            <w:tcBorders>
              <w:top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23,249</w:t>
            </w:r>
          </w:p>
        </w:tc>
      </w:tr>
      <w:tr>
        <w:trPr>
          <w:trHeight w:val="230"/>
        </w:trPr>
        <w:tc>
          <w:tcPr>
            <w:tcW w:w="5740" w:type="dxa"/>
            <w:vAlign w:val="bottom"/>
          </w:tcPr>
          <w:p>
            <w:pPr>
              <w:ind w:left="240"/>
              <w:spacing w:after="0"/>
              <w:rPr>
                <w:sz w:val="20"/>
                <w:szCs w:val="20"/>
                <w:color w:val="auto"/>
              </w:rPr>
            </w:pPr>
            <w:r>
              <w:rPr>
                <w:rFonts w:ascii="Arial" w:cs="Arial" w:eastAsia="Arial" w:hAnsi="Arial"/>
                <w:sz w:val="20"/>
                <w:szCs w:val="20"/>
                <w:color w:val="auto"/>
              </w:rPr>
              <w:t>Other comprehensive loss (gain) before reclassifications</w:t>
            </w:r>
          </w:p>
        </w:tc>
        <w:tc>
          <w:tcPr>
            <w:tcW w:w="30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30"/>
        </w:trPr>
        <w:tc>
          <w:tcPr>
            <w:tcW w:w="5740" w:type="dxa"/>
            <w:vAlign w:val="bottom"/>
          </w:tcPr>
          <w:p>
            <w:pPr>
              <w:ind w:left="240"/>
              <w:spacing w:after="0"/>
              <w:rPr>
                <w:sz w:val="20"/>
                <w:szCs w:val="20"/>
                <w:color w:val="auto"/>
              </w:rPr>
            </w:pPr>
            <w:r>
              <w:rPr>
                <w:rFonts w:ascii="Arial" w:cs="Arial" w:eastAsia="Arial" w:hAnsi="Arial"/>
                <w:sz w:val="20"/>
                <w:szCs w:val="20"/>
                <w:color w:val="auto"/>
              </w:rPr>
              <w:t>Amounts reclassified from accumulated other comprehensive</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740" w:type="dxa"/>
            <w:vAlign w:val="bottom"/>
          </w:tcPr>
          <w:p>
            <w:pPr>
              <w:ind w:left="380"/>
              <w:spacing w:after="0"/>
              <w:rPr>
                <w:sz w:val="20"/>
                <w:szCs w:val="20"/>
                <w:color w:val="auto"/>
              </w:rPr>
            </w:pPr>
            <w:r>
              <w:rPr>
                <w:rFonts w:ascii="Arial" w:cs="Arial" w:eastAsia="Arial" w:hAnsi="Arial"/>
                <w:sz w:val="20"/>
                <w:szCs w:val="20"/>
                <w:color w:val="auto"/>
              </w:rPr>
              <w:t>loss (gain)</w:t>
            </w:r>
          </w:p>
        </w:tc>
        <w:tc>
          <w:tcPr>
            <w:tcW w:w="30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40"/>
        </w:trPr>
        <w:tc>
          <w:tcPr>
            <w:tcW w:w="5740" w:type="dxa"/>
            <w:vAlign w:val="bottom"/>
          </w:tcPr>
          <w:p>
            <w:pPr>
              <w:ind w:left="240"/>
              <w:spacing w:after="0"/>
              <w:rPr>
                <w:sz w:val="20"/>
                <w:szCs w:val="20"/>
                <w:color w:val="auto"/>
              </w:rPr>
            </w:pPr>
            <w:r>
              <w:rPr>
                <w:rFonts w:ascii="Arial" w:cs="Arial" w:eastAsia="Arial" w:hAnsi="Arial"/>
                <w:sz w:val="20"/>
                <w:szCs w:val="20"/>
                <w:color w:val="auto"/>
              </w:rPr>
              <w:t>Net current-period other comprehensive loss (gain)</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(6,311)</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(6,416)</w:t>
            </w:r>
          </w:p>
        </w:tc>
      </w:tr>
      <w:tr>
        <w:trPr>
          <w:trHeight w:val="230"/>
        </w:trPr>
        <w:tc>
          <w:tcPr>
            <w:tcW w:w="5740" w:type="dxa"/>
            <w:vAlign w:val="bottom"/>
          </w:tcPr>
          <w:p>
            <w:pPr>
              <w:spacing w:after="0" w:line="220" w:lineRule="exact"/>
              <w:rPr>
                <w:sz w:val="20"/>
                <w:szCs w:val="20"/>
                <w:color w:val="auto"/>
              </w:rPr>
            </w:pPr>
            <w:r>
              <w:rPr>
                <w:rFonts w:ascii="Arial" w:cs="Arial" w:eastAsia="Arial" w:hAnsi="Arial"/>
                <w:sz w:val="20"/>
                <w:szCs w:val="20"/>
                <w:color w:val="auto"/>
              </w:rPr>
              <w:t>Balance at June 30, 2017</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16,745</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88</w:t>
            </w:r>
          </w:p>
        </w:tc>
        <w:tc>
          <w:tcPr>
            <w:tcW w:w="280" w:type="dxa"/>
            <w:vAlign w:val="bottom"/>
          </w:tcPr>
          <w:p>
            <w:pPr>
              <w:spacing w:after="0"/>
              <w:rPr>
                <w:sz w:val="19"/>
                <w:szCs w:val="19"/>
                <w:color w:val="auto"/>
              </w:rPr>
            </w:pPr>
          </w:p>
        </w:tc>
        <w:tc>
          <w:tcPr>
            <w:tcW w:w="4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16,833</w:t>
            </w:r>
          </w:p>
        </w:tc>
      </w:tr>
      <w:tr>
        <w:trPr>
          <w:trHeight w:val="20"/>
        </w:trPr>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12" w:name="page13"/>
    <w:bookmarkEnd w:id="12"/>
    <w:p>
      <w:pPr>
        <w:ind w:left="640" w:hanging="632"/>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TREASURY STOCK</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February 28, 2017, the Company’s Board of Directors authorized a new share repurchase program for the purchase of up to $500.0 million of our outstanding common stock (the “February 2017 Repurchase Plan”). As of August 8, 2017, no shares have been repurchased pursuant to the February 2017 Repurchase Plan.</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During the three-months ended June 30, 2017, 4,846 shares of common stock were purchased from employees in lieu of cash payments for options exercised or withholding taxes due, for a total amount of $0.2 million. While such purchases are considered common stock repurchases, they are not counted as purchases against the Company’s authorized share repurchase programs. Such shares are included in common stock in treasury in the accompanying condensed consolidated balance sheet at June 30, 2017.</w:t>
      </w:r>
    </w:p>
    <w:p>
      <w:pPr>
        <w:spacing w:after="0" w:line="190"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two stock-based compensation plans under which shares were available for grant at June 30, 2017: the Monster Beverage Corporation 2011 Omnibus Incentive Plan (the “2011 Omnibus Incentive Plan”) and the Monster Beverage Corporation Stock 2017 Compensation Plan for Non-Employee Directors (the “2017 Directors Plan”).</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Company recorded $12.8 million and $11.5 million of compensation expense relating to outstanding options, restricted stock awards, stock appreciation rights and restricted stock units during the three-months ended June 30, 2017 and 2016, respectively. The Company recorded $26.0 million and $21.6 million of compensation expense relating to outstanding options, restricted stock awards, stock appreciation rights and restricted stock units during the six-months ended June 30, 2017 and 2016, respectively.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excess tax benefit for tax deductions from non-qualified stock option exercises, disqualifying dispositions of incentive stock options, vesting of restricted stock units and restricted stock awards for the three-months ended June 30, 2017 and 2016 was $1.9 million and $2.0 million, respectively. The excess tax benefit for tax deductions from non-qualified stock option exercises, disqualifying dispositions of incentive stock options, vesting of restricted stock units and restricted stock awards for the six-months ended June 30, 2017 and 2016 was $11.3 million and $3.6 million, respectively.</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2016, the Company adopted the Monster Beverage Deferred Compensation Plan (the “Deferred Compensation Plan”) (a sub plan to the 2011 Omnibus Incentive Plan). Deferrals under the Deferred Compensation Plan are unfunded and unsecured. As of June 30, 2017, deferrals under the Deferred Compensation Plan are solely comprised of cash compensation and equity compensation coming due after June 30, 2018 and are not material in the aggregate.</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During the quarter ending June 30, 2017, the Company adopted the Monster Beverage Corporation Deferred Compensation Plan for Non-Employee Directors (the “Non-Employee Director Deferral Plan”) (a sub-plan to the 2017 Directors Plan), pursuant to which non-employee directors may elect to defer cash and/or equity based compensation and to receive the deferred compensation, either at a pre-determined time in the future or upon departure from the Company’s Board of Directors, as provided under the Non-Employee Director Deferral Plan. Deferrals under the Non-Employee Director Deferral Plan are unfunded and unsecured. As of June 30, 2017, there were no deferrals under the Non-Employee Director Deferral Plan.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Under the Company’s stock-based compensation plans, all stock options granted as of June 30, 2017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29" w:lineRule="exact"/>
        <w:rPr>
          <w:sz w:val="20"/>
          <w:szCs w:val="20"/>
          <w:color w:val="auto"/>
        </w:rPr>
      </w:pPr>
    </w:p>
    <w:tbl>
      <w:tblPr>
        <w:tblLayout w:type="fixed"/>
        <w:tblInd w:w="400" w:type="dxa"/>
        <w:tblCellMar>
          <w:top w:w="0" w:type="dxa"/>
          <w:left w:w="0" w:type="dxa"/>
          <w:bottom w:w="0" w:type="dxa"/>
          <w:right w:w="0" w:type="dxa"/>
        </w:tblCellMar>
      </w:tblPr>
      <w:tr>
        <w:trPr>
          <w:trHeight w:val="246"/>
        </w:trPr>
        <w:tc>
          <w:tcPr>
            <w:tcW w:w="3480" w:type="dxa"/>
            <w:vAlign w:val="bottom"/>
          </w:tcPr>
          <w:p>
            <w:pPr>
              <w:spacing w:after="0"/>
              <w:rPr>
                <w:sz w:val="21"/>
                <w:szCs w:val="21"/>
                <w:color w:val="auto"/>
              </w:rPr>
            </w:pPr>
          </w:p>
        </w:tc>
        <w:tc>
          <w:tcPr>
            <w:tcW w:w="3860" w:type="dxa"/>
            <w:vAlign w:val="bottom"/>
            <w:gridSpan w:val="4"/>
          </w:tcPr>
          <w:p>
            <w:pPr>
              <w:ind w:left="580"/>
              <w:spacing w:after="0"/>
              <w:rPr>
                <w:sz w:val="20"/>
                <w:szCs w:val="20"/>
                <w:color w:val="auto"/>
              </w:rPr>
            </w:pPr>
            <w:r>
              <w:rPr>
                <w:rFonts w:ascii="Arial" w:cs="Arial" w:eastAsia="Arial" w:hAnsi="Arial"/>
                <w:sz w:val="20"/>
                <w:szCs w:val="20"/>
                <w:color w:val="auto"/>
              </w:rPr>
              <w:t>Three-Months Ended June 30,</w:t>
            </w:r>
          </w:p>
        </w:tc>
        <w:tc>
          <w:tcPr>
            <w:tcW w:w="3620" w:type="dxa"/>
            <w:vAlign w:val="bottom"/>
            <w:gridSpan w:val="3"/>
          </w:tcPr>
          <w:p>
            <w:pPr>
              <w:jc w:val="right"/>
              <w:ind w:right="621"/>
              <w:spacing w:after="0"/>
              <w:rPr>
                <w:sz w:val="20"/>
                <w:szCs w:val="20"/>
                <w:color w:val="auto"/>
              </w:rPr>
            </w:pPr>
            <w:r>
              <w:rPr>
                <w:rFonts w:ascii="Arial" w:cs="Arial" w:eastAsia="Arial" w:hAnsi="Arial"/>
                <w:sz w:val="20"/>
                <w:szCs w:val="20"/>
                <w:color w:val="auto"/>
              </w:rPr>
              <w:t>Six-Months Ended June 30,</w:t>
            </w:r>
          </w:p>
        </w:tc>
        <w:tc>
          <w:tcPr>
            <w:tcW w:w="0" w:type="dxa"/>
            <w:vAlign w:val="bottom"/>
          </w:tcPr>
          <w:p>
            <w:pPr>
              <w:spacing w:after="0"/>
              <w:rPr>
                <w:sz w:val="1"/>
                <w:szCs w:val="1"/>
                <w:color w:val="auto"/>
              </w:rPr>
            </w:pPr>
          </w:p>
        </w:tc>
      </w:tr>
      <w:tr>
        <w:trPr>
          <w:trHeight w:val="223"/>
        </w:trPr>
        <w:tc>
          <w:tcPr>
            <w:tcW w:w="348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640" w:type="dxa"/>
            <w:vAlign w:val="bottom"/>
            <w:tcBorders>
              <w:top w:val="single" w:sz="8" w:color="auto"/>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2017</w:t>
            </w: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2016</w:t>
            </w:r>
          </w:p>
        </w:tc>
        <w:tc>
          <w:tcPr>
            <w:tcW w:w="30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2017</w:t>
            </w:r>
          </w:p>
        </w:tc>
        <w:tc>
          <w:tcPr>
            <w:tcW w:w="280" w:type="dxa"/>
            <w:vAlign w:val="bottom"/>
            <w:tcBorders>
              <w:top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06"/>
        </w:trPr>
        <w:tc>
          <w:tcPr>
            <w:tcW w:w="3480" w:type="dxa"/>
            <w:vAlign w:val="bottom"/>
            <w:vMerge w:val="continue"/>
          </w:tcPr>
          <w:p>
            <w:pPr>
              <w:spacing w:after="0"/>
              <w:rPr>
                <w:sz w:val="17"/>
                <w:szCs w:val="17"/>
                <w:color w:val="auto"/>
              </w:rPr>
            </w:pPr>
          </w:p>
        </w:tc>
        <w:tc>
          <w:tcPr>
            <w:tcW w:w="164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0.0%</w:t>
            </w:r>
          </w:p>
        </w:tc>
        <w:tc>
          <w:tcPr>
            <w:tcW w:w="280" w:type="dxa"/>
            <w:vAlign w:val="bottom"/>
          </w:tcPr>
          <w:p>
            <w:pPr>
              <w:spacing w:after="0"/>
              <w:rPr>
                <w:sz w:val="17"/>
                <w:szCs w:val="17"/>
                <w:color w:val="auto"/>
              </w:rPr>
            </w:pPr>
          </w:p>
        </w:tc>
        <w:tc>
          <w:tcPr>
            <w:tcW w:w="1640" w:type="dxa"/>
            <w:vAlign w:val="bottom"/>
          </w:tcPr>
          <w:p>
            <w:pPr>
              <w:jc w:val="right"/>
              <w:ind w:right="261"/>
              <w:spacing w:after="0" w:line="207" w:lineRule="exact"/>
              <w:rPr>
                <w:sz w:val="20"/>
                <w:szCs w:val="20"/>
                <w:color w:val="auto"/>
              </w:rPr>
            </w:pPr>
            <w:r>
              <w:rPr>
                <w:rFonts w:ascii="Arial" w:cs="Arial" w:eastAsia="Arial" w:hAnsi="Arial"/>
                <w:sz w:val="20"/>
                <w:szCs w:val="20"/>
                <w:color w:val="auto"/>
              </w:rPr>
              <w:t>0.0%</w:t>
            </w:r>
          </w:p>
        </w:tc>
        <w:tc>
          <w:tcPr>
            <w:tcW w:w="300" w:type="dxa"/>
            <w:vAlign w:val="bottom"/>
          </w:tcPr>
          <w:p>
            <w:pPr>
              <w:spacing w:after="0"/>
              <w:rPr>
                <w:sz w:val="17"/>
                <w:szCs w:val="17"/>
                <w:color w:val="auto"/>
              </w:rPr>
            </w:pPr>
          </w:p>
        </w:tc>
        <w:tc>
          <w:tcPr>
            <w:tcW w:w="1660" w:type="dxa"/>
            <w:vAlign w:val="bottom"/>
          </w:tcPr>
          <w:p>
            <w:pPr>
              <w:jc w:val="right"/>
              <w:ind w:right="181"/>
              <w:spacing w:after="0" w:line="207" w:lineRule="exact"/>
              <w:rPr>
                <w:sz w:val="20"/>
                <w:szCs w:val="20"/>
                <w:color w:val="auto"/>
              </w:rPr>
            </w:pPr>
            <w:r>
              <w:rPr>
                <w:rFonts w:ascii="Arial" w:cs="Arial" w:eastAsia="Arial" w:hAnsi="Arial"/>
                <w:sz w:val="20"/>
                <w:szCs w:val="20"/>
                <w:color w:val="auto"/>
              </w:rPr>
              <w:t>0.0%</w:t>
            </w:r>
          </w:p>
        </w:tc>
        <w:tc>
          <w:tcPr>
            <w:tcW w:w="280" w:type="dxa"/>
            <w:vAlign w:val="bottom"/>
          </w:tcPr>
          <w:p>
            <w:pPr>
              <w:spacing w:after="0"/>
              <w:rPr>
                <w:sz w:val="17"/>
                <w:szCs w:val="17"/>
                <w:color w:val="auto"/>
              </w:rPr>
            </w:pPr>
          </w:p>
        </w:tc>
        <w:tc>
          <w:tcPr>
            <w:tcW w:w="1680" w:type="dxa"/>
            <w:vAlign w:val="bottom"/>
          </w:tcPr>
          <w:p>
            <w:pPr>
              <w:jc w:val="right"/>
              <w:ind w:right="281"/>
              <w:spacing w:after="0" w:line="207" w:lineRule="exact"/>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20"/>
                <w:szCs w:val="20"/>
                <w:color w:val="auto"/>
              </w:rPr>
              <w:t>Expected volatility</w:t>
            </w:r>
          </w:p>
        </w:tc>
        <w:tc>
          <w:tcPr>
            <w:tcW w:w="1640" w:type="dxa"/>
            <w:vAlign w:val="bottom"/>
          </w:tcPr>
          <w:p>
            <w:pPr>
              <w:jc w:val="right"/>
              <w:ind w:right="161"/>
              <w:spacing w:after="0"/>
              <w:rPr>
                <w:sz w:val="20"/>
                <w:szCs w:val="20"/>
                <w:color w:val="auto"/>
              </w:rPr>
            </w:pPr>
            <w:r>
              <w:rPr>
                <w:rFonts w:ascii="Arial" w:cs="Arial" w:eastAsia="Arial" w:hAnsi="Arial"/>
                <w:sz w:val="20"/>
                <w:szCs w:val="20"/>
                <w:color w:val="auto"/>
              </w:rPr>
              <w:t>36.5%</w:t>
            </w:r>
          </w:p>
        </w:tc>
        <w:tc>
          <w:tcPr>
            <w:tcW w:w="280" w:type="dxa"/>
            <w:vAlign w:val="bottom"/>
          </w:tcPr>
          <w:p>
            <w:pPr>
              <w:spacing w:after="0"/>
              <w:rPr>
                <w:sz w:val="19"/>
                <w:szCs w:val="19"/>
                <w:color w:val="auto"/>
              </w:rPr>
            </w:pPr>
          </w:p>
        </w:tc>
        <w:tc>
          <w:tcPr>
            <w:tcW w:w="1640" w:type="dxa"/>
            <w:vAlign w:val="bottom"/>
          </w:tcPr>
          <w:p>
            <w:pPr>
              <w:jc w:val="right"/>
              <w:ind w:right="261"/>
              <w:spacing w:after="0"/>
              <w:rPr>
                <w:sz w:val="20"/>
                <w:szCs w:val="20"/>
                <w:color w:val="auto"/>
              </w:rPr>
            </w:pPr>
            <w:r>
              <w:rPr>
                <w:rFonts w:ascii="Arial" w:cs="Arial" w:eastAsia="Arial" w:hAnsi="Arial"/>
                <w:sz w:val="20"/>
                <w:szCs w:val="20"/>
                <w:color w:val="auto"/>
              </w:rPr>
              <w:t>36.2%</w:t>
            </w:r>
          </w:p>
        </w:tc>
        <w:tc>
          <w:tcPr>
            <w:tcW w:w="300" w:type="dxa"/>
            <w:vAlign w:val="bottom"/>
          </w:tcPr>
          <w:p>
            <w:pPr>
              <w:spacing w:after="0"/>
              <w:rPr>
                <w:sz w:val="19"/>
                <w:szCs w:val="19"/>
                <w:color w:val="auto"/>
              </w:rPr>
            </w:pPr>
          </w:p>
        </w:tc>
        <w:tc>
          <w:tcPr>
            <w:tcW w:w="1660" w:type="dxa"/>
            <w:vAlign w:val="bottom"/>
          </w:tcPr>
          <w:p>
            <w:pPr>
              <w:jc w:val="right"/>
              <w:ind w:right="181"/>
              <w:spacing w:after="0"/>
              <w:rPr>
                <w:sz w:val="20"/>
                <w:szCs w:val="20"/>
                <w:color w:val="auto"/>
              </w:rPr>
            </w:pPr>
            <w:r>
              <w:rPr>
                <w:rFonts w:ascii="Arial" w:cs="Arial" w:eastAsia="Arial" w:hAnsi="Arial"/>
                <w:sz w:val="20"/>
                <w:szCs w:val="20"/>
                <w:color w:val="auto"/>
              </w:rPr>
              <w:t>36.6%</w:t>
            </w:r>
          </w:p>
        </w:tc>
        <w:tc>
          <w:tcPr>
            <w:tcW w:w="280" w:type="dxa"/>
            <w:vAlign w:val="bottom"/>
          </w:tcPr>
          <w:p>
            <w:pPr>
              <w:spacing w:after="0"/>
              <w:rPr>
                <w:sz w:val="19"/>
                <w:szCs w:val="19"/>
                <w:color w:val="auto"/>
              </w:rPr>
            </w:pPr>
          </w:p>
        </w:tc>
        <w:tc>
          <w:tcPr>
            <w:tcW w:w="1680" w:type="dxa"/>
            <w:vAlign w:val="bottom"/>
          </w:tcPr>
          <w:p>
            <w:pPr>
              <w:jc w:val="right"/>
              <w:ind w:right="281"/>
              <w:spacing w:after="0"/>
              <w:rPr>
                <w:sz w:val="20"/>
                <w:szCs w:val="20"/>
                <w:color w:val="auto"/>
              </w:rPr>
            </w:pPr>
            <w:r>
              <w:rPr>
                <w:rFonts w:ascii="Arial" w:cs="Arial" w:eastAsia="Arial" w:hAnsi="Arial"/>
                <w:sz w:val="20"/>
                <w:szCs w:val="20"/>
                <w:color w:val="auto"/>
              </w:rPr>
              <w:t>36.2%</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20"/>
                <w:szCs w:val="20"/>
                <w:color w:val="auto"/>
              </w:rPr>
              <w:t>Risk-free interest rate</w:t>
            </w:r>
          </w:p>
        </w:tc>
        <w:tc>
          <w:tcPr>
            <w:tcW w:w="1640" w:type="dxa"/>
            <w:vAlign w:val="bottom"/>
          </w:tcPr>
          <w:p>
            <w:pPr>
              <w:jc w:val="right"/>
              <w:ind w:right="161"/>
              <w:spacing w:after="0"/>
              <w:rPr>
                <w:sz w:val="20"/>
                <w:szCs w:val="20"/>
                <w:color w:val="auto"/>
              </w:rPr>
            </w:pPr>
            <w:r>
              <w:rPr>
                <w:rFonts w:ascii="Arial" w:cs="Arial" w:eastAsia="Arial" w:hAnsi="Arial"/>
                <w:sz w:val="20"/>
                <w:szCs w:val="20"/>
                <w:color w:val="auto"/>
              </w:rPr>
              <w:t>1.8%</w:t>
            </w:r>
          </w:p>
        </w:tc>
        <w:tc>
          <w:tcPr>
            <w:tcW w:w="280" w:type="dxa"/>
            <w:vAlign w:val="bottom"/>
          </w:tcPr>
          <w:p>
            <w:pPr>
              <w:spacing w:after="0"/>
              <w:rPr>
                <w:sz w:val="19"/>
                <w:szCs w:val="19"/>
                <w:color w:val="auto"/>
              </w:rPr>
            </w:pPr>
          </w:p>
        </w:tc>
        <w:tc>
          <w:tcPr>
            <w:tcW w:w="1640" w:type="dxa"/>
            <w:vAlign w:val="bottom"/>
          </w:tcPr>
          <w:p>
            <w:pPr>
              <w:jc w:val="right"/>
              <w:ind w:right="261"/>
              <w:spacing w:after="0"/>
              <w:rPr>
                <w:sz w:val="20"/>
                <w:szCs w:val="20"/>
                <w:color w:val="auto"/>
              </w:rPr>
            </w:pPr>
            <w:r>
              <w:rPr>
                <w:rFonts w:ascii="Arial" w:cs="Arial" w:eastAsia="Arial" w:hAnsi="Arial"/>
                <w:sz w:val="20"/>
                <w:szCs w:val="20"/>
                <w:color w:val="auto"/>
              </w:rPr>
              <w:t>1.3%</w:t>
            </w:r>
          </w:p>
        </w:tc>
        <w:tc>
          <w:tcPr>
            <w:tcW w:w="300" w:type="dxa"/>
            <w:vAlign w:val="bottom"/>
          </w:tcPr>
          <w:p>
            <w:pPr>
              <w:spacing w:after="0"/>
              <w:rPr>
                <w:sz w:val="19"/>
                <w:szCs w:val="19"/>
                <w:color w:val="auto"/>
              </w:rPr>
            </w:pPr>
          </w:p>
        </w:tc>
        <w:tc>
          <w:tcPr>
            <w:tcW w:w="1660" w:type="dxa"/>
            <w:vAlign w:val="bottom"/>
          </w:tcPr>
          <w:p>
            <w:pPr>
              <w:jc w:val="right"/>
              <w:ind w:right="181"/>
              <w:spacing w:after="0"/>
              <w:rPr>
                <w:sz w:val="20"/>
                <w:szCs w:val="20"/>
                <w:color w:val="auto"/>
              </w:rPr>
            </w:pPr>
            <w:r>
              <w:rPr>
                <w:rFonts w:ascii="Arial" w:cs="Arial" w:eastAsia="Arial" w:hAnsi="Arial"/>
                <w:sz w:val="20"/>
                <w:szCs w:val="20"/>
                <w:color w:val="auto"/>
              </w:rPr>
              <w:t>2.1%</w:t>
            </w:r>
          </w:p>
        </w:tc>
        <w:tc>
          <w:tcPr>
            <w:tcW w:w="280" w:type="dxa"/>
            <w:vAlign w:val="bottom"/>
          </w:tcPr>
          <w:p>
            <w:pPr>
              <w:spacing w:after="0"/>
              <w:rPr>
                <w:sz w:val="19"/>
                <w:szCs w:val="19"/>
                <w:color w:val="auto"/>
              </w:rPr>
            </w:pPr>
          </w:p>
        </w:tc>
        <w:tc>
          <w:tcPr>
            <w:tcW w:w="1680" w:type="dxa"/>
            <w:vAlign w:val="bottom"/>
          </w:tcPr>
          <w:p>
            <w:pPr>
              <w:jc w:val="right"/>
              <w:ind w:right="281"/>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0"/>
                <w:szCs w:val="20"/>
                <w:color w:val="auto"/>
              </w:rPr>
            </w:pPr>
            <w:r>
              <w:rPr>
                <w:rFonts w:ascii="Arial" w:cs="Arial" w:eastAsia="Arial" w:hAnsi="Arial"/>
                <w:sz w:val="20"/>
                <w:szCs w:val="20"/>
                <w:color w:val="auto"/>
              </w:rPr>
              <w:t>Expected term</w:t>
            </w:r>
          </w:p>
        </w:tc>
        <w:tc>
          <w:tcPr>
            <w:tcW w:w="1920" w:type="dxa"/>
            <w:vAlign w:val="bottom"/>
            <w:gridSpan w:val="2"/>
          </w:tcPr>
          <w:p>
            <w:pPr>
              <w:ind w:left="680"/>
              <w:spacing w:after="0"/>
              <w:rPr>
                <w:sz w:val="20"/>
                <w:szCs w:val="20"/>
                <w:color w:val="auto"/>
              </w:rPr>
            </w:pPr>
            <w:r>
              <w:rPr>
                <w:rFonts w:ascii="Arial" w:cs="Arial" w:eastAsia="Arial" w:hAnsi="Arial"/>
                <w:sz w:val="20"/>
                <w:szCs w:val="20"/>
                <w:color w:val="auto"/>
              </w:rPr>
              <w:t>6.1 years</w:t>
            </w:r>
          </w:p>
        </w:tc>
        <w:tc>
          <w:tcPr>
            <w:tcW w:w="1940" w:type="dxa"/>
            <w:vAlign w:val="bottom"/>
            <w:gridSpan w:val="2"/>
          </w:tcPr>
          <w:p>
            <w:pPr>
              <w:ind w:left="560"/>
              <w:spacing w:after="0"/>
              <w:rPr>
                <w:sz w:val="20"/>
                <w:szCs w:val="20"/>
                <w:color w:val="auto"/>
              </w:rPr>
            </w:pPr>
            <w:r>
              <w:rPr>
                <w:rFonts w:ascii="Arial" w:cs="Arial" w:eastAsia="Arial" w:hAnsi="Arial"/>
                <w:sz w:val="20"/>
                <w:szCs w:val="20"/>
                <w:color w:val="auto"/>
              </w:rPr>
              <w:t>6.4 years</w:t>
            </w:r>
          </w:p>
        </w:tc>
        <w:tc>
          <w:tcPr>
            <w:tcW w:w="1940" w:type="dxa"/>
            <w:vAlign w:val="bottom"/>
            <w:gridSpan w:val="2"/>
          </w:tcPr>
          <w:p>
            <w:pPr>
              <w:ind w:left="660"/>
              <w:spacing w:after="0"/>
              <w:rPr>
                <w:sz w:val="20"/>
                <w:szCs w:val="20"/>
                <w:color w:val="auto"/>
              </w:rPr>
            </w:pPr>
            <w:r>
              <w:rPr>
                <w:rFonts w:ascii="Arial" w:cs="Arial" w:eastAsia="Arial" w:hAnsi="Arial"/>
                <w:sz w:val="20"/>
                <w:szCs w:val="20"/>
                <w:color w:val="auto"/>
              </w:rPr>
              <w:t>6.1 years</w:t>
            </w:r>
          </w:p>
        </w:tc>
        <w:tc>
          <w:tcPr>
            <w:tcW w:w="1680" w:type="dxa"/>
            <w:vAlign w:val="bottom"/>
          </w:tcPr>
          <w:p>
            <w:pPr>
              <w:jc w:val="right"/>
              <w:ind w:right="281"/>
              <w:spacing w:after="0"/>
              <w:rPr>
                <w:sz w:val="20"/>
                <w:szCs w:val="20"/>
                <w:color w:val="auto"/>
              </w:rPr>
            </w:pPr>
            <w:r>
              <w:rPr>
                <w:rFonts w:ascii="Arial" w:cs="Arial" w:eastAsia="Arial" w:hAnsi="Arial"/>
                <w:sz w:val="20"/>
                <w:szCs w:val="20"/>
                <w:color w:val="auto"/>
              </w:rPr>
              <w:t>6.3 years</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2" w:right="239" w:bottom="0" w:gutter="0" w:footer="0" w:header="0"/>
        </w:sectPr>
      </w:pPr>
    </w:p>
    <w:bookmarkStart w:id="13" w:name="page14"/>
    <w:bookmarkEnd w:id="13"/>
    <w:p>
      <w:pPr>
        <w:jc w:val="both"/>
        <w:ind w:firstLine="648"/>
        <w:spacing w:after="0" w:line="31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expected term of the option.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Weighted-</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20"/>
                <w:szCs w:val="20"/>
                <w:color w:val="auto"/>
                <w:w w:val="89"/>
              </w:rPr>
              <w:t>Weighted-</w:t>
            </w:r>
          </w:p>
        </w:tc>
        <w:tc>
          <w:tcPr>
            <w:tcW w:w="1720" w:type="dxa"/>
            <w:vAlign w:val="bottom"/>
            <w:gridSpan w:val="2"/>
          </w:tcPr>
          <w:p>
            <w:pPr>
              <w:jc w:val="center"/>
              <w:ind w:right="220"/>
              <w:spacing w:after="0"/>
              <w:rPr>
                <w:sz w:val="20"/>
                <w:szCs w:val="20"/>
                <w:color w:val="auto"/>
              </w:rPr>
            </w:pPr>
            <w:r>
              <w:rPr>
                <w:rFonts w:ascii="Arial" w:cs="Arial" w:eastAsia="Arial" w:hAnsi="Arial"/>
                <w:sz w:val="20"/>
                <w:szCs w:val="20"/>
                <w:color w:val="auto"/>
                <w:w w:val="88"/>
              </w:rPr>
              <w:t>Average</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20"/>
                <w:szCs w:val="20"/>
                <w:color w:val="auto"/>
                <w:w w:val="85"/>
              </w:rPr>
              <w:t>Average</w:t>
            </w:r>
          </w:p>
        </w:tc>
        <w:tc>
          <w:tcPr>
            <w:tcW w:w="172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Remaining</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20"/>
                <w:szCs w:val="20"/>
                <w:color w:val="auto"/>
                <w:w w:val="88"/>
              </w:rPr>
              <w:t>Exercise</w:t>
            </w:r>
          </w:p>
        </w:tc>
        <w:tc>
          <w:tcPr>
            <w:tcW w:w="1720" w:type="dxa"/>
            <w:vAlign w:val="bottom"/>
            <w:gridSpan w:val="2"/>
          </w:tcPr>
          <w:p>
            <w:pPr>
              <w:jc w:val="center"/>
              <w:ind w:right="240"/>
              <w:spacing w:after="0"/>
              <w:rPr>
                <w:sz w:val="20"/>
                <w:szCs w:val="20"/>
                <w:color w:val="auto"/>
              </w:rPr>
            </w:pPr>
            <w:r>
              <w:rPr>
                <w:rFonts w:ascii="Arial" w:cs="Arial" w:eastAsia="Arial" w:hAnsi="Arial"/>
                <w:sz w:val="20"/>
                <w:szCs w:val="20"/>
                <w:color w:val="auto"/>
                <w:w w:val="89"/>
              </w:rPr>
              <w:t>Contractual</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6"/>
              </w:rPr>
              <w:t>Shares (In</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20"/>
                <w:szCs w:val="20"/>
                <w:color w:val="auto"/>
                <w:w w:val="87"/>
              </w:rPr>
              <w:t>Price Per</w:t>
            </w:r>
          </w:p>
        </w:tc>
        <w:tc>
          <w:tcPr>
            <w:tcW w:w="1720" w:type="dxa"/>
            <w:vAlign w:val="bottom"/>
            <w:gridSpan w:val="2"/>
          </w:tcPr>
          <w:p>
            <w:pPr>
              <w:jc w:val="center"/>
              <w:ind w:right="220"/>
              <w:spacing w:after="0"/>
              <w:rPr>
                <w:sz w:val="20"/>
                <w:szCs w:val="20"/>
                <w:color w:val="auto"/>
              </w:rPr>
            </w:pPr>
            <w:r>
              <w:rPr>
                <w:rFonts w:ascii="Arial" w:cs="Arial" w:eastAsia="Arial" w:hAnsi="Arial"/>
                <w:sz w:val="20"/>
                <w:szCs w:val="20"/>
                <w:color w:val="auto"/>
                <w:w w:val="92"/>
              </w:rPr>
              <w:t>Term (In</w:t>
            </w:r>
          </w:p>
        </w:tc>
        <w:tc>
          <w:tcPr>
            <w:tcW w:w="220" w:type="dxa"/>
            <w:vAlign w:val="bottom"/>
          </w:tcPr>
          <w:p>
            <w:pPr>
              <w:spacing w:after="0"/>
              <w:rPr>
                <w:sz w:val="19"/>
                <w:szCs w:val="19"/>
                <w:color w:val="auto"/>
              </w:rPr>
            </w:pPr>
          </w:p>
        </w:tc>
        <w:tc>
          <w:tcPr>
            <w:tcW w:w="1400" w:type="dxa"/>
            <w:vAlign w:val="bottom"/>
          </w:tcPr>
          <w:p>
            <w:pPr>
              <w:jc w:val="right"/>
              <w:ind w:right="301"/>
              <w:spacing w:after="0"/>
              <w:rPr>
                <w:sz w:val="20"/>
                <w:szCs w:val="20"/>
                <w:color w:val="auto"/>
              </w:rPr>
            </w:pPr>
            <w:r>
              <w:rPr>
                <w:rFonts w:ascii="Arial" w:cs="Arial" w:eastAsia="Arial" w:hAnsi="Arial"/>
                <w:sz w:val="20"/>
                <w:szCs w:val="20"/>
                <w:color w:val="auto"/>
              </w:rPr>
              <w:t>Aggregate</w:t>
            </w:r>
          </w:p>
        </w:tc>
      </w:tr>
      <w:tr>
        <w:trPr>
          <w:trHeight w:val="246"/>
        </w:trPr>
        <w:tc>
          <w:tcPr>
            <w:tcW w:w="20" w:type="dxa"/>
            <w:vAlign w:val="bottom"/>
          </w:tcPr>
          <w:p>
            <w:pPr>
              <w:spacing w:after="0"/>
              <w:rPr>
                <w:sz w:val="21"/>
                <w:szCs w:val="21"/>
                <w:color w:val="auto"/>
              </w:rPr>
            </w:pPr>
          </w:p>
        </w:tc>
        <w:tc>
          <w:tcPr>
            <w:tcW w:w="4540" w:type="dxa"/>
            <w:vAlign w:val="bottom"/>
            <w:gridSpan w:val="2"/>
          </w:tcPr>
          <w:p>
            <w:pPr>
              <w:ind w:left="1840"/>
              <w:spacing w:after="0"/>
              <w:rPr>
                <w:sz w:val="20"/>
                <w:szCs w:val="20"/>
                <w:color w:val="auto"/>
              </w:rPr>
            </w:pPr>
            <w:r>
              <w:rPr>
                <w:rFonts w:ascii="Arial" w:cs="Arial" w:eastAsia="Arial" w:hAnsi="Arial"/>
                <w:sz w:val="20"/>
                <w:szCs w:val="20"/>
                <w:color w:val="auto"/>
              </w:rPr>
              <w:t>Options</w:t>
            </w:r>
          </w:p>
        </w:tc>
        <w:tc>
          <w:tcPr>
            <w:tcW w:w="1600" w:type="dxa"/>
            <w:vAlign w:val="bottom"/>
          </w:tcPr>
          <w:p>
            <w:pPr>
              <w:jc w:val="center"/>
              <w:spacing w:after="0"/>
              <w:rPr>
                <w:sz w:val="20"/>
                <w:szCs w:val="20"/>
                <w:color w:val="auto"/>
              </w:rPr>
            </w:pPr>
            <w:r>
              <w:rPr>
                <w:rFonts w:ascii="Arial" w:cs="Arial" w:eastAsia="Arial" w:hAnsi="Arial"/>
                <w:sz w:val="20"/>
                <w:szCs w:val="20"/>
                <w:color w:val="auto"/>
                <w:w w:val="86"/>
              </w:rPr>
              <w:t>thousands)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20"/>
                <w:szCs w:val="20"/>
                <w:color w:val="auto"/>
                <w:w w:val="82"/>
              </w:rPr>
              <w:t>Share</w:t>
            </w:r>
          </w:p>
        </w:tc>
        <w:tc>
          <w:tcPr>
            <w:tcW w:w="1720" w:type="dxa"/>
            <w:vAlign w:val="bottom"/>
            <w:gridSpan w:val="2"/>
          </w:tcPr>
          <w:p>
            <w:pPr>
              <w:jc w:val="center"/>
              <w:ind w:right="240"/>
              <w:spacing w:after="0"/>
              <w:rPr>
                <w:sz w:val="20"/>
                <w:szCs w:val="20"/>
                <w:color w:val="auto"/>
              </w:rPr>
            </w:pPr>
            <w:r>
              <w:rPr>
                <w:rFonts w:ascii="Arial" w:cs="Arial" w:eastAsia="Arial" w:hAnsi="Arial"/>
                <w:sz w:val="20"/>
                <w:szCs w:val="20"/>
                <w:color w:val="auto"/>
                <w:w w:val="86"/>
              </w:rPr>
              <w:t>years)</w:t>
            </w:r>
          </w:p>
        </w:tc>
        <w:tc>
          <w:tcPr>
            <w:tcW w:w="220" w:type="dxa"/>
            <w:vAlign w:val="bottom"/>
          </w:tcPr>
          <w:p>
            <w:pPr>
              <w:spacing w:after="0"/>
              <w:rPr>
                <w:sz w:val="21"/>
                <w:szCs w:val="21"/>
                <w:color w:val="auto"/>
              </w:rPr>
            </w:pPr>
          </w:p>
        </w:tc>
        <w:tc>
          <w:tcPr>
            <w:tcW w:w="1400" w:type="dxa"/>
            <w:vAlign w:val="bottom"/>
          </w:tcPr>
          <w:p>
            <w:pPr>
              <w:jc w:val="right"/>
              <w:ind w:right="141"/>
              <w:spacing w:after="0"/>
              <w:rPr>
                <w:sz w:val="20"/>
                <w:szCs w:val="20"/>
                <w:color w:val="auto"/>
              </w:rPr>
            </w:pPr>
            <w:r>
              <w:rPr>
                <w:rFonts w:ascii="Arial" w:cs="Arial" w:eastAsia="Arial" w:hAnsi="Arial"/>
                <w:sz w:val="20"/>
                <w:szCs w:val="20"/>
                <w:color w:val="auto"/>
                <w:w w:val="90"/>
              </w:rPr>
              <w:t>Intrinsic Value</w:t>
            </w:r>
          </w:p>
        </w:tc>
      </w:tr>
      <w:tr>
        <w:trPr>
          <w:trHeight w:val="206"/>
        </w:trPr>
        <w:tc>
          <w:tcPr>
            <w:tcW w:w="20" w:type="dxa"/>
            <w:vAlign w:val="bottom"/>
          </w:tcPr>
          <w:p>
            <w:pPr>
              <w:spacing w:after="0"/>
              <w:rPr>
                <w:sz w:val="17"/>
                <w:szCs w:val="17"/>
                <w:color w:val="auto"/>
              </w:rPr>
            </w:pPr>
          </w:p>
        </w:tc>
        <w:tc>
          <w:tcPr>
            <w:tcW w:w="43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Outstanding at January 1, 2017</w:t>
            </w:r>
          </w:p>
        </w:tc>
        <w:tc>
          <w:tcPr>
            <w:tcW w:w="220" w:type="dxa"/>
            <w:vAlign w:val="bottom"/>
          </w:tcPr>
          <w:p>
            <w:pPr>
              <w:spacing w:after="0"/>
              <w:rPr>
                <w:sz w:val="17"/>
                <w:szCs w:val="17"/>
                <w:color w:val="auto"/>
              </w:rPr>
            </w:pPr>
          </w:p>
        </w:tc>
        <w:tc>
          <w:tcPr>
            <w:tcW w:w="160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22,643</w:t>
            </w:r>
          </w:p>
        </w:tc>
        <w:tc>
          <w:tcPr>
            <w:tcW w:w="220" w:type="dxa"/>
            <w:vAlign w:val="bottom"/>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2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23.55</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5.8</w:t>
            </w:r>
          </w:p>
        </w:tc>
        <w:tc>
          <w:tcPr>
            <w:tcW w:w="240" w:type="dxa"/>
            <w:vAlign w:val="bottom"/>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4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474,739</w:t>
            </w:r>
          </w:p>
        </w:tc>
      </w:tr>
      <w:tr>
        <w:trPr>
          <w:trHeight w:val="230"/>
        </w:trPr>
        <w:tc>
          <w:tcPr>
            <w:tcW w:w="20" w:type="dxa"/>
            <w:vAlign w:val="bottom"/>
          </w:tcPr>
          <w:p>
            <w:pPr>
              <w:spacing w:after="0"/>
              <w:rPr>
                <w:sz w:val="19"/>
                <w:szCs w:val="19"/>
                <w:color w:val="auto"/>
              </w:rPr>
            </w:pPr>
          </w:p>
        </w:tc>
        <w:tc>
          <w:tcPr>
            <w:tcW w:w="4540" w:type="dxa"/>
            <w:vAlign w:val="bottom"/>
            <w:gridSpan w:val="2"/>
          </w:tcPr>
          <w:p>
            <w:pPr>
              <w:ind w:left="380"/>
              <w:spacing w:after="0"/>
              <w:rPr>
                <w:sz w:val="20"/>
                <w:szCs w:val="20"/>
                <w:color w:val="auto"/>
              </w:rPr>
            </w:pPr>
            <w:r>
              <w:rPr>
                <w:rFonts w:ascii="Arial" w:cs="Arial" w:eastAsia="Arial" w:hAnsi="Arial"/>
                <w:sz w:val="20"/>
                <w:szCs w:val="20"/>
                <w:color w:val="auto"/>
              </w:rPr>
              <w:t>Granted 01/01/17 - 03/31/17</w:t>
            </w:r>
          </w:p>
        </w:tc>
        <w:tc>
          <w:tcPr>
            <w:tcW w:w="1600" w:type="dxa"/>
            <w:vAlign w:val="bottom"/>
          </w:tcPr>
          <w:p>
            <w:pPr>
              <w:jc w:val="right"/>
              <w:ind w:right="21"/>
              <w:spacing w:after="0"/>
              <w:rPr>
                <w:sz w:val="20"/>
                <w:szCs w:val="20"/>
                <w:color w:val="auto"/>
              </w:rPr>
            </w:pPr>
            <w:r>
              <w:rPr>
                <w:rFonts w:ascii="Arial" w:cs="Arial" w:eastAsia="Arial" w:hAnsi="Arial"/>
                <w:sz w:val="20"/>
                <w:szCs w:val="20"/>
                <w:color w:val="auto"/>
              </w:rPr>
              <w:t>1,319</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45.94</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ind w:left="380"/>
              <w:spacing w:after="0"/>
              <w:rPr>
                <w:sz w:val="20"/>
                <w:szCs w:val="20"/>
                <w:color w:val="auto"/>
              </w:rPr>
            </w:pPr>
            <w:r>
              <w:rPr>
                <w:rFonts w:ascii="Arial" w:cs="Arial" w:eastAsia="Arial" w:hAnsi="Arial"/>
                <w:sz w:val="20"/>
                <w:szCs w:val="20"/>
                <w:color w:val="auto"/>
              </w:rPr>
              <w:t>Granted 04/01/17 - 06/30/17</w:t>
            </w:r>
          </w:p>
        </w:tc>
        <w:tc>
          <w:tcPr>
            <w:tcW w:w="1600" w:type="dxa"/>
            <w:vAlign w:val="bottom"/>
          </w:tcPr>
          <w:p>
            <w:pPr>
              <w:jc w:val="right"/>
              <w:ind w:right="21"/>
              <w:spacing w:after="0"/>
              <w:rPr>
                <w:sz w:val="20"/>
                <w:szCs w:val="20"/>
                <w:color w:val="auto"/>
              </w:rPr>
            </w:pPr>
            <w:r>
              <w:rPr>
                <w:rFonts w:ascii="Arial" w:cs="Arial" w:eastAsia="Arial" w:hAnsi="Arial"/>
                <w:sz w:val="20"/>
                <w:szCs w:val="20"/>
                <w:color w:val="auto"/>
              </w:rPr>
              <w:t>26</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49.71</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ind w:left="380"/>
              <w:spacing w:after="0"/>
              <w:rPr>
                <w:sz w:val="20"/>
                <w:szCs w:val="20"/>
                <w:color w:val="auto"/>
              </w:rPr>
            </w:pPr>
            <w:r>
              <w:rPr>
                <w:rFonts w:ascii="Arial" w:cs="Arial" w:eastAsia="Arial" w:hAnsi="Arial"/>
                <w:sz w:val="20"/>
                <w:szCs w:val="20"/>
                <w:color w:val="auto"/>
              </w:rPr>
              <w:t>Exercised</w:t>
            </w:r>
          </w:p>
        </w:tc>
        <w:tc>
          <w:tcPr>
            <w:tcW w:w="1600" w:type="dxa"/>
            <w:vAlign w:val="bottom"/>
          </w:tcPr>
          <w:p>
            <w:pPr>
              <w:jc w:val="right"/>
              <w:spacing w:after="0"/>
              <w:rPr>
                <w:sz w:val="20"/>
                <w:szCs w:val="20"/>
                <w:color w:val="auto"/>
              </w:rPr>
            </w:pPr>
            <w:r>
              <w:rPr>
                <w:rFonts w:ascii="Arial" w:cs="Arial" w:eastAsia="Arial" w:hAnsi="Arial"/>
                <w:sz w:val="20"/>
                <w:szCs w:val="20"/>
                <w:color w:val="auto"/>
              </w:rPr>
              <w:t>(1,278)</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14.94</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4540" w:type="dxa"/>
            <w:vAlign w:val="bottom"/>
            <w:gridSpan w:val="2"/>
          </w:tcPr>
          <w:p>
            <w:pPr>
              <w:ind w:left="380"/>
              <w:spacing w:after="0"/>
              <w:rPr>
                <w:sz w:val="20"/>
                <w:szCs w:val="20"/>
                <w:color w:val="auto"/>
              </w:rPr>
            </w:pPr>
            <w:r>
              <w:rPr>
                <w:rFonts w:ascii="Arial" w:cs="Arial" w:eastAsia="Arial" w:hAnsi="Arial"/>
                <w:sz w:val="20"/>
                <w:szCs w:val="20"/>
                <w:color w:val="auto"/>
              </w:rPr>
              <w:t>Cancelled or 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(299)</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40.47</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3"/>
        </w:trPr>
        <w:tc>
          <w:tcPr>
            <w:tcW w:w="4560" w:type="dxa"/>
            <w:vAlign w:val="bottom"/>
            <w:gridSpan w:val="3"/>
          </w:tcPr>
          <w:p>
            <w:pPr>
              <w:spacing w:after="0" w:line="213" w:lineRule="exact"/>
              <w:rPr>
                <w:sz w:val="20"/>
                <w:szCs w:val="20"/>
                <w:color w:val="auto"/>
              </w:rPr>
            </w:pPr>
            <w:r>
              <w:rPr>
                <w:rFonts w:ascii="Arial" w:cs="Arial" w:eastAsia="Arial" w:hAnsi="Arial"/>
                <w:sz w:val="20"/>
                <w:szCs w:val="20"/>
                <w:color w:val="auto"/>
              </w:rPr>
              <w:t>Outstanding at June 30, 2017</w:t>
            </w:r>
          </w:p>
        </w:tc>
        <w:tc>
          <w:tcPr>
            <w:tcW w:w="1600" w:type="dxa"/>
            <w:vAlign w:val="bottom"/>
          </w:tcPr>
          <w:p>
            <w:pPr>
              <w:jc w:val="right"/>
              <w:ind w:right="21"/>
              <w:spacing w:after="0" w:line="213" w:lineRule="exact"/>
              <w:rPr>
                <w:sz w:val="20"/>
                <w:szCs w:val="20"/>
                <w:color w:val="auto"/>
              </w:rPr>
            </w:pPr>
            <w:r>
              <w:rPr>
                <w:rFonts w:ascii="Arial" w:cs="Arial" w:eastAsia="Arial" w:hAnsi="Arial"/>
                <w:sz w:val="20"/>
                <w:szCs w:val="20"/>
                <w:color w:val="auto"/>
              </w:rPr>
              <w:t>22,411</w:t>
            </w:r>
          </w:p>
        </w:tc>
        <w:tc>
          <w:tcPr>
            <w:tcW w:w="480" w:type="dxa"/>
            <w:vAlign w:val="bottom"/>
            <w:gridSpan w:val="2"/>
          </w:tcPr>
          <w:p>
            <w:pPr>
              <w:jc w:val="right"/>
              <w:spacing w:after="0" w:line="213"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line="213" w:lineRule="exact"/>
              <w:rPr>
                <w:sz w:val="20"/>
                <w:szCs w:val="20"/>
                <w:color w:val="auto"/>
              </w:rPr>
            </w:pPr>
            <w:r>
              <w:rPr>
                <w:rFonts w:ascii="Arial" w:cs="Arial" w:eastAsia="Arial" w:hAnsi="Arial"/>
                <w:sz w:val="20"/>
                <w:szCs w:val="20"/>
                <w:color w:val="auto"/>
              </w:rPr>
              <w:t>25.16</w:t>
            </w:r>
          </w:p>
        </w:tc>
        <w:tc>
          <w:tcPr>
            <w:tcW w:w="220" w:type="dxa"/>
            <w:vAlign w:val="bottom"/>
          </w:tcPr>
          <w:p>
            <w:pPr>
              <w:spacing w:after="0"/>
              <w:rPr>
                <w:sz w:val="18"/>
                <w:szCs w:val="18"/>
                <w:color w:val="auto"/>
              </w:rPr>
            </w:pPr>
          </w:p>
        </w:tc>
        <w:tc>
          <w:tcPr>
            <w:tcW w:w="1480" w:type="dxa"/>
            <w:vAlign w:val="bottom"/>
          </w:tcPr>
          <w:p>
            <w:pPr>
              <w:jc w:val="right"/>
              <w:ind w:right="1"/>
              <w:spacing w:after="0" w:line="213" w:lineRule="exact"/>
              <w:rPr>
                <w:sz w:val="20"/>
                <w:szCs w:val="20"/>
                <w:color w:val="auto"/>
              </w:rPr>
            </w:pPr>
            <w:r>
              <w:rPr>
                <w:rFonts w:ascii="Arial" w:cs="Arial" w:eastAsia="Arial" w:hAnsi="Arial"/>
                <w:sz w:val="20"/>
                <w:szCs w:val="20"/>
                <w:color w:val="auto"/>
              </w:rPr>
              <w:t>5.6</w:t>
            </w:r>
          </w:p>
        </w:tc>
        <w:tc>
          <w:tcPr>
            <w:tcW w:w="240" w:type="dxa"/>
            <w:vAlign w:val="bottom"/>
          </w:tcPr>
          <w:p>
            <w:pPr>
              <w:spacing w:after="0"/>
              <w:rPr>
                <w:sz w:val="18"/>
                <w:szCs w:val="18"/>
                <w:color w:val="auto"/>
              </w:rPr>
            </w:pPr>
          </w:p>
        </w:tc>
        <w:tc>
          <w:tcPr>
            <w:tcW w:w="220" w:type="dxa"/>
            <w:vAlign w:val="bottom"/>
          </w:tcPr>
          <w:p>
            <w:pPr>
              <w:jc w:val="right"/>
              <w:spacing w:after="0" w:line="213" w:lineRule="exact"/>
              <w:rPr>
                <w:sz w:val="20"/>
                <w:szCs w:val="20"/>
                <w:color w:val="auto"/>
              </w:rPr>
            </w:pPr>
            <w:r>
              <w:rPr>
                <w:rFonts w:ascii="Arial" w:cs="Arial" w:eastAsia="Arial" w:hAnsi="Arial"/>
                <w:sz w:val="20"/>
                <w:szCs w:val="20"/>
                <w:color w:val="auto"/>
              </w:rPr>
              <w:t>$</w:t>
            </w:r>
          </w:p>
        </w:tc>
        <w:tc>
          <w:tcPr>
            <w:tcW w:w="1400" w:type="dxa"/>
            <w:vAlign w:val="bottom"/>
          </w:tcPr>
          <w:p>
            <w:pPr>
              <w:jc w:val="right"/>
              <w:ind w:right="1"/>
              <w:spacing w:after="0" w:line="213" w:lineRule="exact"/>
              <w:rPr>
                <w:sz w:val="20"/>
                <w:szCs w:val="20"/>
                <w:color w:val="auto"/>
              </w:rPr>
            </w:pPr>
            <w:r>
              <w:rPr>
                <w:rFonts w:ascii="Arial" w:cs="Arial" w:eastAsia="Arial" w:hAnsi="Arial"/>
                <w:sz w:val="20"/>
                <w:szCs w:val="20"/>
                <w:color w:val="auto"/>
              </w:rPr>
              <w:t>549,689</w:t>
            </w:r>
          </w:p>
        </w:tc>
      </w:tr>
      <w:tr>
        <w:trPr>
          <w:trHeight w:val="230"/>
        </w:trPr>
        <w:tc>
          <w:tcPr>
            <w:tcW w:w="4560" w:type="dxa"/>
            <w:vAlign w:val="bottom"/>
            <w:gridSpan w:val="3"/>
          </w:tcPr>
          <w:p>
            <w:pPr>
              <w:spacing w:after="0"/>
              <w:rPr>
                <w:sz w:val="20"/>
                <w:szCs w:val="20"/>
                <w:color w:val="auto"/>
              </w:rPr>
            </w:pPr>
            <w:r>
              <w:rPr>
                <w:rFonts w:ascii="Arial" w:cs="Arial" w:eastAsia="Arial" w:hAnsi="Arial"/>
                <w:sz w:val="20"/>
                <w:szCs w:val="20"/>
                <w:color w:val="auto"/>
                <w:w w:val="96"/>
              </w:rPr>
              <w:t>Vested and expected to vest in the future at June 30,</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340" w:type="dxa"/>
            <w:vAlign w:val="bottom"/>
            <w:gridSpan w:val="2"/>
          </w:tcPr>
          <w:p>
            <w:pPr>
              <w:ind w:left="400"/>
              <w:spacing w:after="0"/>
              <w:rPr>
                <w:sz w:val="20"/>
                <w:szCs w:val="20"/>
                <w:color w:val="auto"/>
              </w:rPr>
            </w:pPr>
            <w:r>
              <w:rPr>
                <w:rFonts w:ascii="Arial" w:cs="Arial" w:eastAsia="Arial" w:hAnsi="Arial"/>
                <w:sz w:val="20"/>
                <w:szCs w:val="20"/>
                <w:color w:val="auto"/>
              </w:rPr>
              <w:t>2017</w:t>
            </w:r>
          </w:p>
        </w:tc>
        <w:tc>
          <w:tcPr>
            <w:tcW w:w="220" w:type="dxa"/>
            <w:vAlign w:val="bottom"/>
          </w:tcPr>
          <w:p>
            <w:pPr>
              <w:spacing w:after="0"/>
              <w:rPr>
                <w:sz w:val="19"/>
                <w:szCs w:val="19"/>
                <w:color w:val="auto"/>
              </w:rPr>
            </w:pPr>
          </w:p>
        </w:tc>
        <w:tc>
          <w:tcPr>
            <w:tcW w:w="1600" w:type="dxa"/>
            <w:vAlign w:val="bottom"/>
          </w:tcPr>
          <w:p>
            <w:pPr>
              <w:jc w:val="right"/>
              <w:ind w:right="21"/>
              <w:spacing w:after="0"/>
              <w:rPr>
                <w:sz w:val="20"/>
                <w:szCs w:val="20"/>
                <w:color w:val="auto"/>
              </w:rPr>
            </w:pPr>
            <w:r>
              <w:rPr>
                <w:rFonts w:ascii="Arial" w:cs="Arial" w:eastAsia="Arial" w:hAnsi="Arial"/>
                <w:sz w:val="20"/>
                <w:szCs w:val="20"/>
                <w:color w:val="auto"/>
              </w:rPr>
              <w:t>21,157</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24.12</w:t>
            </w:r>
          </w:p>
        </w:tc>
        <w:tc>
          <w:tcPr>
            <w:tcW w:w="220" w:type="dxa"/>
            <w:vAlign w:val="bottom"/>
          </w:tcPr>
          <w:p>
            <w:pPr>
              <w:spacing w:after="0"/>
              <w:rPr>
                <w:sz w:val="19"/>
                <w:szCs w:val="19"/>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5.4</w:t>
            </w:r>
          </w:p>
        </w:tc>
        <w:tc>
          <w:tcPr>
            <w:tcW w:w="2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540,993</w:t>
            </w:r>
          </w:p>
        </w:tc>
      </w:tr>
      <w:tr>
        <w:trPr>
          <w:trHeight w:val="250"/>
        </w:trPr>
        <w:tc>
          <w:tcPr>
            <w:tcW w:w="4560" w:type="dxa"/>
            <w:vAlign w:val="bottom"/>
            <w:gridSpan w:val="3"/>
          </w:tcPr>
          <w:p>
            <w:pPr>
              <w:spacing w:after="0"/>
              <w:rPr>
                <w:sz w:val="20"/>
                <w:szCs w:val="20"/>
                <w:color w:val="auto"/>
              </w:rPr>
            </w:pPr>
            <w:r>
              <w:rPr>
                <w:rFonts w:ascii="Arial" w:cs="Arial" w:eastAsia="Arial" w:hAnsi="Arial"/>
                <w:sz w:val="20"/>
                <w:szCs w:val="20"/>
                <w:color w:val="auto"/>
              </w:rPr>
              <w:t>Exercisable at June 30, 2017</w:t>
            </w:r>
          </w:p>
        </w:tc>
        <w:tc>
          <w:tcPr>
            <w:tcW w:w="1600" w:type="dxa"/>
            <w:vAlign w:val="bottom"/>
          </w:tcPr>
          <w:p>
            <w:pPr>
              <w:jc w:val="right"/>
              <w:ind w:right="21"/>
              <w:spacing w:after="0"/>
              <w:rPr>
                <w:sz w:val="20"/>
                <w:szCs w:val="20"/>
                <w:color w:val="auto"/>
              </w:rPr>
            </w:pPr>
            <w:r>
              <w:rPr>
                <w:rFonts w:ascii="Arial" w:cs="Arial" w:eastAsia="Arial" w:hAnsi="Arial"/>
                <w:sz w:val="20"/>
                <w:szCs w:val="20"/>
                <w:color w:val="auto"/>
              </w:rPr>
              <w:t>13,135</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14.33</w:t>
            </w:r>
          </w:p>
        </w:tc>
        <w:tc>
          <w:tcPr>
            <w:tcW w:w="220" w:type="dxa"/>
            <w:vAlign w:val="bottom"/>
          </w:tcPr>
          <w:p>
            <w:pPr>
              <w:spacing w:after="0"/>
              <w:rPr>
                <w:sz w:val="21"/>
                <w:szCs w:val="21"/>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3.7</w:t>
            </w:r>
          </w:p>
        </w:tc>
        <w:tc>
          <w:tcPr>
            <w:tcW w:w="2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464,352</w:t>
            </w:r>
          </w:p>
        </w:tc>
      </w:tr>
    </w:tbl>
    <w:p>
      <w:pPr>
        <w:spacing w:after="0" w:line="200" w:lineRule="exact"/>
        <w:rPr>
          <w:sz w:val="20"/>
          <w:szCs w:val="20"/>
          <w:color w:val="auto"/>
        </w:rPr>
      </w:pPr>
    </w:p>
    <w:p>
      <w:pPr>
        <w:spacing w:after="0" w:line="2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weighted-average grant-date fair value of options granted during the three-months ended June 30, 2017 and 2016 was $18.97 per share and $17.44 per share, respectively. The weighted-average grant-date fair value of options granted during the six-months ended June 30, 2017 and 2016 was $18.01 per share and $16.89 per share, respectively. The total intrinsic value of options exercised during the three-months ended June 30, 2017 and 2016 was $8.5 million and $10.9 million, respectively. The total intrinsic value of options exercised during the six-months ended June 30, 2017 and 2016 was $40.9 million and $21.4 million, respectively.</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Cash received from option exercises under all plans for the three-months ended June 30, 2017 and 2016 was approximately $5.5 million and $4.1 million, respectively. Cash received from option exercises under all plans for the six-months ended June 30, 2017 and 2016 was approximately $19.1 million and $8.1 million, respectively.</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June 30, 2017, there was $101.2 million of total unrecognized compensation expense related to non-vested options granted to employees under the Company’s share-based payment plans. That cost is expected to be recognized over a weighted-average period of 3.0 years.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Awards and Restricted Stock Units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cost of stock-based compensation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following table summarizes the Company’s activities with respect to non-vested restricted stock awards and non-vested restricted stock units as follows:</w:t>
      </w:r>
    </w:p>
    <w:p>
      <w:pPr>
        <w:sectPr>
          <w:pgSz w:w="11900" w:h="16839" w:orient="portrait"/>
          <w:cols w:equalWidth="0" w:num="1">
            <w:col w:w="11420"/>
          </w:cols>
          <w:pgMar w:left="240" w:top="122" w:right="239" w:bottom="0" w:gutter="0" w:footer="0" w:header="0"/>
        </w:sectPr>
      </w:pPr>
    </w:p>
    <w:bookmarkStart w:id="14" w:name="page15"/>
    <w:bookmarkEnd w:id="14"/>
    <w:p>
      <w:pPr>
        <w:spacing w:after="0" w:line="1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61"/>
              <w:spacing w:after="0"/>
              <w:rPr>
                <w:sz w:val="20"/>
                <w:szCs w:val="20"/>
                <w:color w:val="auto"/>
              </w:rPr>
            </w:pPr>
            <w:r>
              <w:rPr>
                <w:rFonts w:ascii="Arial" w:cs="Arial" w:eastAsia="Arial" w:hAnsi="Arial"/>
                <w:sz w:val="20"/>
                <w:szCs w:val="20"/>
                <w:color w:val="auto"/>
                <w:w w:val="89"/>
              </w:rPr>
              <w:t>Weighted</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20"/>
                <w:szCs w:val="20"/>
                <w:color w:val="auto"/>
                <w:w w:val="94"/>
              </w:rPr>
              <w:t>Number of</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81"/>
              <w:spacing w:after="0"/>
              <w:rPr>
                <w:sz w:val="20"/>
                <w:szCs w:val="20"/>
                <w:color w:val="auto"/>
              </w:rPr>
            </w:pPr>
            <w:r>
              <w:rPr>
                <w:rFonts w:ascii="Arial" w:cs="Arial" w:eastAsia="Arial" w:hAnsi="Arial"/>
                <w:sz w:val="20"/>
                <w:szCs w:val="20"/>
                <w:color w:val="auto"/>
                <w:w w:val="88"/>
              </w:rPr>
              <w:t>Average</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20"/>
                <w:szCs w:val="20"/>
                <w:color w:val="auto"/>
                <w:w w:val="87"/>
              </w:rPr>
              <w:t>Shares (in</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61"/>
              <w:spacing w:after="0"/>
              <w:rPr>
                <w:sz w:val="20"/>
                <w:szCs w:val="20"/>
                <w:color w:val="auto"/>
              </w:rPr>
            </w:pPr>
            <w:r>
              <w:rPr>
                <w:rFonts w:ascii="Arial" w:cs="Arial" w:eastAsia="Arial" w:hAnsi="Arial"/>
                <w:sz w:val="20"/>
                <w:szCs w:val="20"/>
                <w:color w:val="auto"/>
                <w:w w:val="88"/>
              </w:rPr>
              <w:t>Grant-Date</w:t>
            </w:r>
          </w:p>
        </w:tc>
        <w:tc>
          <w:tcPr>
            <w:tcW w:w="0" w:type="dxa"/>
            <w:vAlign w:val="bottom"/>
          </w:tcPr>
          <w:p>
            <w:pPr>
              <w:spacing w:after="0"/>
              <w:rPr>
                <w:sz w:val="1"/>
                <w:szCs w:val="1"/>
                <w:color w:val="auto"/>
              </w:rPr>
            </w:pPr>
          </w:p>
        </w:tc>
      </w:tr>
      <w:tr>
        <w:trPr>
          <w:trHeight w:val="246"/>
        </w:trPr>
        <w:tc>
          <w:tcPr>
            <w:tcW w:w="4260" w:type="dxa"/>
            <w:vAlign w:val="bottom"/>
            <w:vMerge w:val="restart"/>
          </w:tcPr>
          <w:p>
            <w:pPr>
              <w:spacing w:after="0"/>
              <w:rPr>
                <w:sz w:val="20"/>
                <w:szCs w:val="20"/>
                <w:color w:val="auto"/>
              </w:rPr>
            </w:pPr>
            <w:r>
              <w:rPr>
                <w:rFonts w:ascii="Arial" w:cs="Arial" w:eastAsia="Arial" w:hAnsi="Arial"/>
                <w:sz w:val="20"/>
                <w:szCs w:val="20"/>
                <w:color w:val="auto"/>
              </w:rPr>
              <w:t>Non-vested at January 1, 2017</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4"/>
              </w:rPr>
              <w:t>thousands)</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81"/>
              <w:spacing w:after="0"/>
              <w:rPr>
                <w:sz w:val="20"/>
                <w:szCs w:val="20"/>
                <w:color w:val="auto"/>
              </w:rPr>
            </w:pPr>
            <w:r>
              <w:rPr>
                <w:rFonts w:ascii="Arial" w:cs="Arial" w:eastAsia="Arial" w:hAnsi="Arial"/>
                <w:sz w:val="20"/>
                <w:szCs w:val="20"/>
                <w:color w:val="auto"/>
                <w:w w:val="89"/>
              </w:rPr>
              <w:t>Fair Value</w:t>
            </w:r>
          </w:p>
        </w:tc>
        <w:tc>
          <w:tcPr>
            <w:tcW w:w="0" w:type="dxa"/>
            <w:vAlign w:val="bottom"/>
          </w:tcPr>
          <w:p>
            <w:pPr>
              <w:spacing w:after="0"/>
              <w:rPr>
                <w:sz w:val="1"/>
                <w:szCs w:val="1"/>
                <w:color w:val="auto"/>
              </w:rPr>
            </w:pPr>
          </w:p>
        </w:tc>
      </w:tr>
      <w:tr>
        <w:trPr>
          <w:trHeight w:val="206"/>
        </w:trPr>
        <w:tc>
          <w:tcPr>
            <w:tcW w:w="4260" w:type="dxa"/>
            <w:vAlign w:val="bottom"/>
            <w:vMerge w:val="continue"/>
          </w:tcPr>
          <w:p>
            <w:pPr>
              <w:spacing w:after="0"/>
              <w:rPr>
                <w:sz w:val="17"/>
                <w:szCs w:val="17"/>
                <w:color w:val="auto"/>
              </w:rPr>
            </w:pPr>
          </w:p>
        </w:tc>
        <w:tc>
          <w:tcPr>
            <w:tcW w:w="1440" w:type="dxa"/>
            <w:vAlign w:val="bottom"/>
          </w:tcPr>
          <w:p>
            <w:pPr>
              <w:jc w:val="right"/>
              <w:ind w:right="1"/>
              <w:spacing w:after="0" w:line="207" w:lineRule="exact"/>
              <w:rPr>
                <w:sz w:val="20"/>
                <w:szCs w:val="20"/>
                <w:color w:val="auto"/>
              </w:rPr>
            </w:pPr>
            <w:r>
              <w:rPr>
                <w:rFonts w:ascii="Arial" w:cs="Arial" w:eastAsia="Arial" w:hAnsi="Arial"/>
                <w:sz w:val="20"/>
                <w:szCs w:val="20"/>
                <w:color w:val="auto"/>
              </w:rPr>
              <w:t>556</w:t>
            </w:r>
          </w:p>
        </w:tc>
        <w:tc>
          <w:tcPr>
            <w:tcW w:w="300" w:type="dxa"/>
            <w:vAlign w:val="bottom"/>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1"/>
              <w:spacing w:after="0" w:line="207" w:lineRule="exact"/>
              <w:rPr>
                <w:sz w:val="20"/>
                <w:szCs w:val="20"/>
                <w:color w:val="auto"/>
              </w:rPr>
            </w:pPr>
            <w:r>
              <w:rPr>
                <w:rFonts w:ascii="Arial" w:cs="Arial" w:eastAsia="Arial" w:hAnsi="Arial"/>
                <w:sz w:val="20"/>
                <w:szCs w:val="20"/>
                <w:color w:val="auto"/>
              </w:rPr>
              <w:t>39.95</w:t>
            </w:r>
          </w:p>
        </w:tc>
        <w:tc>
          <w:tcPr>
            <w:tcW w:w="0" w:type="dxa"/>
            <w:vAlign w:val="bottom"/>
          </w:tcPr>
          <w:p>
            <w:pPr>
              <w:spacing w:after="0"/>
              <w:rPr>
                <w:sz w:val="1"/>
                <w:szCs w:val="1"/>
                <w:color w:val="auto"/>
              </w:rPr>
            </w:pPr>
          </w:p>
        </w:tc>
      </w:tr>
      <w:tr>
        <w:trPr>
          <w:trHeight w:val="230"/>
        </w:trPr>
        <w:tc>
          <w:tcPr>
            <w:tcW w:w="4260" w:type="dxa"/>
            <w:vAlign w:val="bottom"/>
          </w:tcPr>
          <w:p>
            <w:pPr>
              <w:ind w:left="400"/>
              <w:spacing w:after="0"/>
              <w:rPr>
                <w:sz w:val="20"/>
                <w:szCs w:val="20"/>
                <w:color w:val="auto"/>
              </w:rPr>
            </w:pPr>
            <w:r>
              <w:rPr>
                <w:rFonts w:ascii="Arial" w:cs="Arial" w:eastAsia="Arial" w:hAnsi="Arial"/>
                <w:sz w:val="20"/>
                <w:szCs w:val="20"/>
                <w:color w:val="auto"/>
              </w:rPr>
              <w:t>Granted 01/01/17- 03/31/17</w:t>
            </w: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252</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46.27</w:t>
            </w:r>
          </w:p>
        </w:tc>
        <w:tc>
          <w:tcPr>
            <w:tcW w:w="0" w:type="dxa"/>
            <w:vAlign w:val="bottom"/>
          </w:tcPr>
          <w:p>
            <w:pPr>
              <w:spacing w:after="0"/>
              <w:rPr>
                <w:sz w:val="1"/>
                <w:szCs w:val="1"/>
                <w:color w:val="auto"/>
              </w:rPr>
            </w:pPr>
          </w:p>
        </w:tc>
      </w:tr>
      <w:tr>
        <w:trPr>
          <w:trHeight w:val="230"/>
        </w:trPr>
        <w:tc>
          <w:tcPr>
            <w:tcW w:w="4260" w:type="dxa"/>
            <w:vAlign w:val="bottom"/>
          </w:tcPr>
          <w:p>
            <w:pPr>
              <w:ind w:left="400"/>
              <w:spacing w:after="0"/>
              <w:rPr>
                <w:sz w:val="20"/>
                <w:szCs w:val="20"/>
                <w:color w:val="auto"/>
              </w:rPr>
            </w:pPr>
            <w:r>
              <w:rPr>
                <w:rFonts w:ascii="Arial" w:cs="Arial" w:eastAsia="Arial" w:hAnsi="Arial"/>
                <w:sz w:val="20"/>
                <w:szCs w:val="20"/>
                <w:color w:val="auto"/>
              </w:rPr>
              <w:t>Granted 04/01/17- 06/30/17</w:t>
            </w: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23</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50.86</w:t>
            </w:r>
          </w:p>
        </w:tc>
        <w:tc>
          <w:tcPr>
            <w:tcW w:w="0" w:type="dxa"/>
            <w:vAlign w:val="bottom"/>
          </w:tcPr>
          <w:p>
            <w:pPr>
              <w:spacing w:after="0"/>
              <w:rPr>
                <w:sz w:val="1"/>
                <w:szCs w:val="1"/>
                <w:color w:val="auto"/>
              </w:rPr>
            </w:pPr>
          </w:p>
        </w:tc>
      </w:tr>
      <w:tr>
        <w:trPr>
          <w:trHeight w:val="230"/>
        </w:trPr>
        <w:tc>
          <w:tcPr>
            <w:tcW w:w="4260" w:type="dxa"/>
            <w:vAlign w:val="bottom"/>
          </w:tcPr>
          <w:p>
            <w:pPr>
              <w:ind w:left="400"/>
              <w:spacing w:after="0"/>
              <w:rPr>
                <w:sz w:val="20"/>
                <w:szCs w:val="20"/>
                <w:color w:val="auto"/>
              </w:rPr>
            </w:pPr>
            <w:r>
              <w:rPr>
                <w:rFonts w:ascii="Arial" w:cs="Arial" w:eastAsia="Arial" w:hAnsi="Arial"/>
                <w:sz w:val="20"/>
                <w:szCs w:val="20"/>
                <w:color w:val="auto"/>
              </w:rPr>
              <w:t>Vested</w:t>
            </w:r>
          </w:p>
        </w:tc>
        <w:tc>
          <w:tcPr>
            <w:tcW w:w="1440" w:type="dxa"/>
            <w:vAlign w:val="bottom"/>
          </w:tcPr>
          <w:p>
            <w:pPr>
              <w:jc w:val="right"/>
              <w:spacing w:after="0"/>
              <w:rPr>
                <w:sz w:val="20"/>
                <w:szCs w:val="20"/>
                <w:color w:val="auto"/>
              </w:rPr>
            </w:pPr>
            <w:r>
              <w:rPr>
                <w:rFonts w:ascii="Arial" w:cs="Arial" w:eastAsia="Arial" w:hAnsi="Arial"/>
                <w:sz w:val="20"/>
                <w:szCs w:val="20"/>
                <w:color w:val="auto"/>
              </w:rPr>
              <w:t>(283)</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37.95</w:t>
            </w:r>
          </w:p>
        </w:tc>
        <w:tc>
          <w:tcPr>
            <w:tcW w:w="0" w:type="dxa"/>
            <w:vAlign w:val="bottom"/>
          </w:tcPr>
          <w:p>
            <w:pPr>
              <w:spacing w:after="0"/>
              <w:rPr>
                <w:sz w:val="1"/>
                <w:szCs w:val="1"/>
                <w:color w:val="auto"/>
              </w:rPr>
            </w:pPr>
          </w:p>
        </w:tc>
      </w:tr>
      <w:tr>
        <w:trPr>
          <w:trHeight w:val="240"/>
        </w:trPr>
        <w:tc>
          <w:tcPr>
            <w:tcW w:w="4260" w:type="dxa"/>
            <w:vAlign w:val="bottom"/>
          </w:tcPr>
          <w:p>
            <w:pPr>
              <w:ind w:left="400"/>
              <w:spacing w:after="0"/>
              <w:rPr>
                <w:sz w:val="20"/>
                <w:szCs w:val="20"/>
                <w:color w:val="auto"/>
              </w:rPr>
            </w:pPr>
            <w:r>
              <w:rPr>
                <w:rFonts w:ascii="Arial" w:cs="Arial" w:eastAsia="Arial" w:hAnsi="Arial"/>
                <w:sz w:val="20"/>
                <w:szCs w:val="20"/>
                <w:color w:val="auto"/>
              </w:rPr>
              <w:t>Forfeited/cancelled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20.69</w:t>
            </w:r>
          </w:p>
        </w:tc>
        <w:tc>
          <w:tcPr>
            <w:tcW w:w="0" w:type="dxa"/>
            <w:vAlign w:val="bottom"/>
          </w:tcPr>
          <w:p>
            <w:pPr>
              <w:spacing w:after="0"/>
              <w:rPr>
                <w:sz w:val="1"/>
                <w:szCs w:val="1"/>
                <w:color w:val="auto"/>
              </w:rPr>
            </w:pPr>
          </w:p>
        </w:tc>
      </w:tr>
      <w:tr>
        <w:trPr>
          <w:trHeight w:val="230"/>
        </w:trPr>
        <w:tc>
          <w:tcPr>
            <w:tcW w:w="4260" w:type="dxa"/>
            <w:vAlign w:val="bottom"/>
          </w:tcPr>
          <w:p>
            <w:pPr>
              <w:spacing w:after="0" w:line="220" w:lineRule="exact"/>
              <w:rPr>
                <w:sz w:val="20"/>
                <w:szCs w:val="20"/>
                <w:color w:val="auto"/>
              </w:rPr>
            </w:pPr>
            <w:r>
              <w:rPr>
                <w:rFonts w:ascii="Arial" w:cs="Arial" w:eastAsia="Arial" w:hAnsi="Arial"/>
                <w:sz w:val="20"/>
                <w:szCs w:val="20"/>
                <w:color w:val="auto"/>
              </w:rPr>
              <w:t>Non-vested at June 30, 2017</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546</w:t>
            </w:r>
          </w:p>
        </w:tc>
        <w:tc>
          <w:tcPr>
            <w:tcW w:w="560" w:type="dxa"/>
            <w:vAlign w:val="bottom"/>
            <w:gridSpan w:val="2"/>
          </w:tcPr>
          <w:p>
            <w:pPr>
              <w:jc w:val="right"/>
              <w:spacing w:after="0" w:line="220"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1"/>
              <w:spacing w:after="0" w:line="220" w:lineRule="exact"/>
              <w:rPr>
                <w:sz w:val="20"/>
                <w:szCs w:val="20"/>
                <w:color w:val="auto"/>
              </w:rPr>
            </w:pPr>
            <w:r>
              <w:rPr>
                <w:rFonts w:ascii="Arial" w:cs="Arial" w:eastAsia="Arial" w:hAnsi="Arial"/>
                <w:sz w:val="20"/>
                <w:szCs w:val="20"/>
                <w:color w:val="auto"/>
              </w:rPr>
              <w:t>44.43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weighted-average grant-date fair value of restricted stock units and restricted stock awards granted during the three-months ended June 30, 2017 and 2016 was $50.86 per share and $49.65 per share, respectively. The weighted-average grant-date fair value of restricted stock units and restricted stock awards granted during the six-months ended June 30, 2017 and 2016 was $46.65 per share and $44.71 per share, respectively. As of June 30, 2017, 0.5 million of restricted stock units and restricted stock awards are expected to vest over their respective terms.</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At June 30, 2017, total unrecognized compensation expense relating to non-vested restricted stock awards and non-vested restricted stock units was $20.4 million, which is expected to be recognized over a weighted-average period of 2.0 years.</w:t>
      </w:r>
    </w:p>
    <w:p>
      <w:pPr>
        <w:spacing w:after="0" w:line="190"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six-months ended June 30, 2017:</w:t>
      </w:r>
    </w:p>
    <w:p>
      <w:pPr>
        <w:spacing w:after="0" w:line="190"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tcPr>
          <w:p>
            <w:pPr>
              <w:jc w:val="right"/>
              <w:ind w:right="581"/>
              <w:spacing w:after="0"/>
              <w:rPr>
                <w:sz w:val="20"/>
                <w:szCs w:val="20"/>
                <w:color w:val="auto"/>
              </w:rPr>
            </w:pPr>
            <w:r>
              <w:rPr>
                <w:rFonts w:ascii="Arial" w:cs="Arial" w:eastAsia="Arial" w:hAnsi="Arial"/>
                <w:sz w:val="20"/>
                <w:szCs w:val="20"/>
                <w:color w:val="auto"/>
                <w:w w:val="94"/>
              </w:rPr>
              <w:t>Gross Unrecognized Tax</w:t>
            </w:r>
          </w:p>
        </w:tc>
        <w:tc>
          <w:tcPr>
            <w:tcW w:w="0" w:type="dxa"/>
            <w:vAlign w:val="bottom"/>
          </w:tcPr>
          <w:p>
            <w:pPr>
              <w:spacing w:after="0"/>
              <w:rPr>
                <w:sz w:val="1"/>
                <w:szCs w:val="1"/>
                <w:color w:val="auto"/>
              </w:rPr>
            </w:pPr>
          </w:p>
        </w:tc>
      </w:tr>
      <w:tr>
        <w:trPr>
          <w:trHeight w:val="246"/>
        </w:trPr>
        <w:tc>
          <w:tcPr>
            <w:tcW w:w="4300" w:type="dxa"/>
            <w:vAlign w:val="bottom"/>
            <w:vMerge w:val="restart"/>
          </w:tcPr>
          <w:p>
            <w:pPr>
              <w:spacing w:after="0"/>
              <w:rPr>
                <w:sz w:val="20"/>
                <w:szCs w:val="20"/>
                <w:color w:val="auto"/>
              </w:rPr>
            </w:pPr>
            <w:r>
              <w:rPr>
                <w:rFonts w:ascii="Arial" w:cs="Arial" w:eastAsia="Arial" w:hAnsi="Arial"/>
                <w:sz w:val="20"/>
                <w:szCs w:val="20"/>
                <w:color w:val="auto"/>
              </w:rPr>
              <w:t>Balance at December 31, 2016</w:t>
            </w:r>
          </w:p>
        </w:tc>
        <w:tc>
          <w:tcPr>
            <w:tcW w:w="3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jc w:val="right"/>
              <w:ind w:right="1221"/>
              <w:spacing w:after="0"/>
              <w:rPr>
                <w:sz w:val="20"/>
                <w:szCs w:val="20"/>
                <w:color w:val="auto"/>
              </w:rPr>
            </w:pPr>
            <w:r>
              <w:rPr>
                <w:rFonts w:ascii="Arial" w:cs="Arial" w:eastAsia="Arial" w:hAnsi="Arial"/>
                <w:sz w:val="20"/>
                <w:szCs w:val="20"/>
                <w:color w:val="auto"/>
              </w:rPr>
              <w:t>Benefits</w:t>
            </w:r>
          </w:p>
        </w:tc>
        <w:tc>
          <w:tcPr>
            <w:tcW w:w="0" w:type="dxa"/>
            <w:vAlign w:val="bottom"/>
          </w:tcPr>
          <w:p>
            <w:pPr>
              <w:spacing w:after="0"/>
              <w:rPr>
                <w:sz w:val="1"/>
                <w:szCs w:val="1"/>
                <w:color w:val="auto"/>
              </w:rPr>
            </w:pPr>
          </w:p>
        </w:tc>
      </w:tr>
      <w:tr>
        <w:trPr>
          <w:trHeight w:val="206"/>
        </w:trPr>
        <w:tc>
          <w:tcPr>
            <w:tcW w:w="4300" w:type="dxa"/>
            <w:vAlign w:val="bottom"/>
            <w:vMerge w:val="continue"/>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278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20"/>
                <w:szCs w:val="20"/>
                <w:color w:val="auto"/>
              </w:rPr>
              <w:t>Additions for tax positions related to the current</w:t>
            </w:r>
          </w:p>
        </w:tc>
        <w:tc>
          <w:tcPr>
            <w:tcW w:w="3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20"/>
                <w:szCs w:val="20"/>
                <w:color w:val="auto"/>
              </w:rPr>
              <w:t>year</w:t>
            </w:r>
          </w:p>
        </w:tc>
        <w:tc>
          <w:tcPr>
            <w:tcW w:w="340" w:type="dxa"/>
            <w:vAlign w:val="bottom"/>
          </w:tcPr>
          <w:p>
            <w:pPr>
              <w:spacing w:after="0"/>
              <w:rPr>
                <w:sz w:val="19"/>
                <w:szCs w:val="19"/>
                <w:color w:val="auto"/>
              </w:rPr>
            </w:pPr>
          </w:p>
        </w:tc>
        <w:tc>
          <w:tcPr>
            <w:tcW w:w="27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20"/>
                <w:szCs w:val="20"/>
                <w:color w:val="auto"/>
              </w:rPr>
              <w:t>Additions for tax positions related to the prior</w:t>
            </w:r>
          </w:p>
        </w:tc>
        <w:tc>
          <w:tcPr>
            <w:tcW w:w="3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20"/>
                <w:szCs w:val="20"/>
                <w:color w:val="auto"/>
              </w:rPr>
              <w:t>year</w:t>
            </w:r>
          </w:p>
        </w:tc>
        <w:tc>
          <w:tcPr>
            <w:tcW w:w="340" w:type="dxa"/>
            <w:vAlign w:val="bottom"/>
          </w:tcPr>
          <w:p>
            <w:pPr>
              <w:spacing w:after="0"/>
              <w:rPr>
                <w:sz w:val="19"/>
                <w:szCs w:val="19"/>
                <w:color w:val="auto"/>
              </w:rPr>
            </w:pPr>
          </w:p>
        </w:tc>
        <w:tc>
          <w:tcPr>
            <w:tcW w:w="2780" w:type="dxa"/>
            <w:vAlign w:val="bottom"/>
          </w:tcPr>
          <w:p>
            <w:pPr>
              <w:jc w:val="right"/>
              <w:ind w:right="101"/>
              <w:spacing w:after="0"/>
              <w:rPr>
                <w:sz w:val="20"/>
                <w:szCs w:val="20"/>
                <w:color w:val="auto"/>
              </w:rPr>
            </w:pPr>
            <w:r>
              <w:rPr>
                <w:rFonts w:ascii="Arial" w:cs="Arial" w:eastAsia="Arial" w:hAnsi="Arial"/>
                <w:sz w:val="20"/>
                <w:szCs w:val="20"/>
                <w:color w:val="auto"/>
              </w:rPr>
              <w:t>6,540</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20"/>
                <w:szCs w:val="20"/>
                <w:color w:val="auto"/>
              </w:rPr>
              <w:t>Decreases related to settlement with taxing</w:t>
            </w:r>
          </w:p>
        </w:tc>
        <w:tc>
          <w:tcPr>
            <w:tcW w:w="3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180"/>
              <w:spacing w:after="0"/>
              <w:rPr>
                <w:sz w:val="20"/>
                <w:szCs w:val="20"/>
                <w:color w:val="auto"/>
              </w:rPr>
            </w:pPr>
            <w:r>
              <w:rPr>
                <w:rFonts w:ascii="Arial" w:cs="Arial" w:eastAsia="Arial" w:hAnsi="Arial"/>
                <w:sz w:val="20"/>
                <w:szCs w:val="20"/>
                <w:color w:val="auto"/>
              </w:rPr>
              <w:t>authority</w:t>
            </w:r>
          </w:p>
        </w:tc>
        <w:tc>
          <w:tcPr>
            <w:tcW w:w="3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30"/>
        </w:trPr>
        <w:tc>
          <w:tcPr>
            <w:tcW w:w="4300" w:type="dxa"/>
            <w:vAlign w:val="bottom"/>
          </w:tcPr>
          <w:p>
            <w:pPr>
              <w:spacing w:after="0" w:line="220" w:lineRule="exact"/>
              <w:rPr>
                <w:sz w:val="20"/>
                <w:szCs w:val="20"/>
                <w:color w:val="auto"/>
              </w:rPr>
            </w:pPr>
            <w:r>
              <w:rPr>
                <w:rFonts w:ascii="Arial" w:cs="Arial" w:eastAsia="Arial" w:hAnsi="Arial"/>
                <w:sz w:val="20"/>
                <w:szCs w:val="20"/>
                <w:color w:val="auto"/>
              </w:rPr>
              <w:t>Balance at June 30, 2017</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27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6,540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recognizes accrued interest and penalties related to unrecognized tax benefits in the provision for income taxes in the Company’s condensed consolidated financial statements. As of June 30, 2017, the Company had approximately $1.1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August 7, 2015, the Internal Revenue Service (the “IRS”) began its examination of the Company’s U.S. federal income tax returns for the years ended December 31, 2012 and 2013. On October 18, 2016, the IRS began its examination of the Company’s U.S. federal income tax return for the year ended December 31, 2014. On March 27, 2017, the IRS began its examination of the Company’s U.S. federal income tax return for the year ended December 31, 2015.</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is in various stages of examination with certain states and certain foreign jurisdictions. The Company’s 2012 through 2016 U.S. federal income tax returns are subject to examination by the IRS. The Company’s state income tax returns are subject to examination for the 2012 through 2016 tax years.</w:t>
      </w:r>
    </w:p>
    <w:p>
      <w:pPr>
        <w:spacing w:after="0" w:line="200"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 reconciliation of the weighted-average shares used in the basic and diluted earnings per common share computations is presented below (in thousands):</w:t>
      </w:r>
    </w:p>
    <w:p>
      <w:pPr>
        <w:spacing w:after="0" w:line="190"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326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Three-Months Ended</w:t>
            </w:r>
          </w:p>
        </w:tc>
        <w:tc>
          <w:tcPr>
            <w:tcW w:w="3020" w:type="dxa"/>
            <w:vAlign w:val="bottom"/>
          </w:tcPr>
          <w:p>
            <w:pPr>
              <w:jc w:val="center"/>
              <w:spacing w:after="0"/>
              <w:rPr>
                <w:sz w:val="20"/>
                <w:szCs w:val="20"/>
                <w:color w:val="auto"/>
              </w:rPr>
            </w:pPr>
            <w:r>
              <w:rPr>
                <w:rFonts w:ascii="Arial" w:cs="Arial" w:eastAsia="Arial" w:hAnsi="Arial"/>
                <w:sz w:val="20"/>
                <w:szCs w:val="20"/>
                <w:color w:val="auto"/>
                <w:w w:val="91"/>
              </w:rPr>
              <w:t>Six-Months Ended</w:t>
            </w:r>
          </w:p>
        </w:tc>
      </w:tr>
      <w:tr>
        <w:trPr>
          <w:trHeight w:val="246"/>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June 30,</w:t>
            </w:r>
          </w:p>
        </w:tc>
        <w:tc>
          <w:tcPr>
            <w:tcW w:w="280" w:type="dxa"/>
            <w:vAlign w:val="bottom"/>
          </w:tcPr>
          <w:p>
            <w:pPr>
              <w:spacing w:after="0"/>
              <w:rPr>
                <w:sz w:val="21"/>
                <w:szCs w:val="21"/>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June 30,</w:t>
            </w:r>
          </w:p>
        </w:tc>
      </w:tr>
    </w:tbl>
    <w:p>
      <w:pPr>
        <w:sectPr>
          <w:pgSz w:w="11900" w:h="16857" w:orient="portrait"/>
          <w:cols w:equalWidth="0" w:num="1">
            <w:col w:w="11420"/>
          </w:cols>
          <w:pgMar w:left="240" w:top="352" w:right="239" w:bottom="0" w:gutter="0" w:footer="0" w:header="0"/>
        </w:sectPr>
      </w:pPr>
    </w:p>
    <w:bookmarkStart w:id="15" w:name="page16"/>
    <w:bookmarkEnd w:id="15"/>
    <w:p>
      <w:pPr>
        <w:spacing w:after="0" w:line="62" w:lineRule="exact"/>
        <w:rPr>
          <w:sz w:val="20"/>
          <w:szCs w:val="20"/>
          <w:color w:val="auto"/>
        </w:rPr>
      </w:pPr>
    </w:p>
    <w:tbl>
      <w:tblPr>
        <w:tblLayout w:type="fixed"/>
        <w:tblInd w:w="520" w:type="dxa"/>
        <w:tblCellMar>
          <w:top w:w="0" w:type="dxa"/>
          <w:left w:w="0" w:type="dxa"/>
          <w:bottom w:w="0" w:type="dxa"/>
          <w:right w:w="0" w:type="dxa"/>
        </w:tblCellMar>
      </w:tblPr>
      <w:tr>
        <w:trPr>
          <w:trHeight w:val="248"/>
        </w:trPr>
        <w:tc>
          <w:tcPr>
            <w:tcW w:w="4100" w:type="dxa"/>
            <w:vAlign w:val="bottom"/>
            <w:vMerge w:val="restart"/>
          </w:tcPr>
          <w:p>
            <w:pPr>
              <w:spacing w:after="0"/>
              <w:rPr>
                <w:sz w:val="20"/>
                <w:szCs w:val="20"/>
                <w:color w:val="auto"/>
              </w:rPr>
            </w:pPr>
            <w:r>
              <w:rPr>
                <w:rFonts w:ascii="Arial" w:cs="Arial" w:eastAsia="Arial" w:hAnsi="Arial"/>
                <w:sz w:val="20"/>
                <w:szCs w:val="20"/>
                <w:color w:val="auto"/>
              </w:rPr>
              <w:t>Weighted-average shares outstanding:</w:t>
            </w:r>
          </w:p>
        </w:tc>
        <w:tc>
          <w:tcPr>
            <w:tcW w:w="134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2017</w:t>
            </w:r>
          </w:p>
        </w:tc>
        <w:tc>
          <w:tcPr>
            <w:tcW w:w="280" w:type="dxa"/>
            <w:vAlign w:val="bottom"/>
          </w:tcPr>
          <w:p>
            <w:pPr>
              <w:spacing w:after="0"/>
              <w:rPr>
                <w:sz w:val="21"/>
                <w:szCs w:val="21"/>
                <w:color w:val="auto"/>
              </w:rPr>
            </w:pPr>
          </w:p>
        </w:tc>
        <w:tc>
          <w:tcPr>
            <w:tcW w:w="13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2016</w:t>
            </w:r>
          </w:p>
        </w:tc>
        <w:tc>
          <w:tcPr>
            <w:tcW w:w="280" w:type="dxa"/>
            <w:vAlign w:val="bottom"/>
          </w:tcPr>
          <w:p>
            <w:pPr>
              <w:spacing w:after="0"/>
              <w:rPr>
                <w:sz w:val="21"/>
                <w:szCs w:val="21"/>
                <w:color w:val="auto"/>
              </w:rPr>
            </w:pPr>
          </w:p>
        </w:tc>
        <w:tc>
          <w:tcPr>
            <w:tcW w:w="13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2017</w:t>
            </w:r>
          </w:p>
        </w:tc>
        <w:tc>
          <w:tcPr>
            <w:tcW w:w="280" w:type="dxa"/>
            <w:vAlign w:val="bottom"/>
          </w:tcPr>
          <w:p>
            <w:pPr>
              <w:spacing w:after="0"/>
              <w:rPr>
                <w:sz w:val="21"/>
                <w:szCs w:val="21"/>
                <w:color w:val="auto"/>
              </w:rPr>
            </w:pPr>
          </w:p>
        </w:tc>
        <w:tc>
          <w:tcPr>
            <w:tcW w:w="13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193"/>
        </w:trPr>
        <w:tc>
          <w:tcPr>
            <w:tcW w:w="410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60"/>
              <w:spacing w:after="0"/>
              <w:rPr>
                <w:sz w:val="20"/>
                <w:szCs w:val="20"/>
                <w:color w:val="auto"/>
              </w:rPr>
            </w:pPr>
            <w:r>
              <w:rPr>
                <w:rFonts w:ascii="Arial" w:cs="Arial" w:eastAsia="Arial" w:hAnsi="Arial"/>
                <w:sz w:val="20"/>
                <w:szCs w:val="20"/>
                <w:color w:val="auto"/>
              </w:rPr>
              <w:t>Basic</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567,910</w:t>
            </w:r>
          </w:p>
        </w:tc>
        <w:tc>
          <w:tcPr>
            <w:tcW w:w="2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602,937</w:t>
            </w:r>
          </w:p>
        </w:tc>
        <w:tc>
          <w:tcPr>
            <w:tcW w:w="2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567,384</w:t>
            </w:r>
          </w:p>
        </w:tc>
        <w:tc>
          <w:tcPr>
            <w:tcW w:w="28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605,886</w:t>
            </w:r>
          </w:p>
        </w:tc>
        <w:tc>
          <w:tcPr>
            <w:tcW w:w="0" w:type="dxa"/>
            <w:vAlign w:val="bottom"/>
          </w:tcPr>
          <w:p>
            <w:pPr>
              <w:spacing w:after="0"/>
              <w:rPr>
                <w:sz w:val="1"/>
                <w:szCs w:val="1"/>
                <w:color w:val="auto"/>
              </w:rPr>
            </w:pPr>
          </w:p>
        </w:tc>
      </w:tr>
      <w:tr>
        <w:trPr>
          <w:trHeight w:val="240"/>
        </w:trPr>
        <w:tc>
          <w:tcPr>
            <w:tcW w:w="4100" w:type="dxa"/>
            <w:vAlign w:val="bottom"/>
          </w:tcPr>
          <w:p>
            <w:pPr>
              <w:ind w:left="160"/>
              <w:spacing w:after="0"/>
              <w:rPr>
                <w:sz w:val="20"/>
                <w:szCs w:val="20"/>
                <w:color w:val="auto"/>
              </w:rPr>
            </w:pPr>
            <w:r>
              <w:rPr>
                <w:rFonts w:ascii="Arial" w:cs="Arial" w:eastAsia="Arial" w:hAnsi="Arial"/>
                <w:sz w:val="20"/>
                <w:szCs w:val="20"/>
                <w:color w:val="auto"/>
              </w:rPr>
              <w:t>Dilutive</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10,110</w:t>
            </w: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11,967</w:t>
            </w: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10,335</w:t>
            </w:r>
          </w:p>
        </w:tc>
        <w:tc>
          <w:tcPr>
            <w:tcW w:w="280" w:type="dxa"/>
            <w:vAlign w:val="bottom"/>
          </w:tcPr>
          <w:p>
            <w:pPr>
              <w:spacing w:after="0"/>
              <w:rPr>
                <w:sz w:val="20"/>
                <w:szCs w:val="20"/>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11,958</w:t>
            </w:r>
          </w:p>
        </w:tc>
        <w:tc>
          <w:tcPr>
            <w:tcW w:w="0" w:type="dxa"/>
            <w:vAlign w:val="bottom"/>
          </w:tcPr>
          <w:p>
            <w:pPr>
              <w:spacing w:after="0"/>
              <w:rPr>
                <w:sz w:val="1"/>
                <w:szCs w:val="1"/>
                <w:color w:val="auto"/>
              </w:rPr>
            </w:pPr>
          </w:p>
        </w:tc>
      </w:tr>
      <w:tr>
        <w:trPr>
          <w:trHeight w:val="230"/>
        </w:trPr>
        <w:tc>
          <w:tcPr>
            <w:tcW w:w="4100" w:type="dxa"/>
            <w:vAlign w:val="bottom"/>
          </w:tcPr>
          <w:p>
            <w:pPr>
              <w:ind w:left="160"/>
              <w:spacing w:after="0" w:line="220" w:lineRule="exact"/>
              <w:rPr>
                <w:sz w:val="20"/>
                <w:szCs w:val="20"/>
                <w:color w:val="auto"/>
              </w:rPr>
            </w:pPr>
            <w:r>
              <w:rPr>
                <w:rFonts w:ascii="Arial" w:cs="Arial" w:eastAsia="Arial" w:hAnsi="Arial"/>
                <w:sz w:val="20"/>
                <w:szCs w:val="20"/>
                <w:color w:val="auto"/>
              </w:rPr>
              <w:t>Diluted</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578,020</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614,904</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577,719</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617,844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the three-months ended June 30, 2017 and 2016, options and awards outstanding totaling 8.8 million shares and 2.0 million shares, respectively, were excluded from the calculations as their effect would have been antidilutive. For the six-months ended June 30, 2017 and 2016, options and awards outstanding totaling 8.4 million shares and 1.6 million shares, respectively, were excluded from the calculations as their effect would have been antidilutive.</w:t>
      </w:r>
    </w:p>
    <w:p>
      <w:pPr>
        <w:spacing w:after="0" w:line="205"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three operating and reportable segments, (i) Monster Energy® Drinks segment (“Monster Energy® Drinks”), which is comprised of the Company’s Monster Energy® drinks, Monster Hydro</w:t>
      </w:r>
      <w:r>
        <w:rPr>
          <w:rFonts w:ascii="Arial" w:cs="Arial" w:eastAsia="Arial" w:hAnsi="Arial"/>
          <w:sz w:val="12"/>
          <w:szCs w:val="12"/>
          <w:color w:val="auto"/>
        </w:rPr>
        <w:t>TM</w:t>
      </w:r>
      <w:r>
        <w:rPr>
          <w:rFonts w:ascii="Arial" w:cs="Arial" w:eastAsia="Arial" w:hAnsi="Arial"/>
          <w:sz w:val="20"/>
          <w:szCs w:val="20"/>
          <w:color w:val="auto"/>
        </w:rPr>
        <w:t xml:space="preserve"> energy drinks and Mutant® Super Soda drinks, (ii) Strategic Brands segment (“Strategic Brands”), which is comprised of the various energy drink brands acquired from The Coca-Cola Company (“TCCC”) in 2015 and (iii) Other segment (“Other”), which is comprised of certain products sold by American Fruits &amp; Flavors LLC, a wholly-owned subsidiary of the Company, to independent third-party customers.</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Company’s Monster Energy® Drinks segment generates net operating revenues by selling ready-to-drink packaged drinks primarily to bottlers and full service beverage distributors. In some cases, the Company sells directly to retail grocery and specialty chains, wholesalers, club stores, mass merchandisers, convenience chains, food service customers and the military.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both"/>
        <w:ind w:firstLine="689"/>
        <w:spacing w:after="0" w:line="276"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full service distributors or retailers, including, retail grocery and specialty chains, wholesalers, club stores, mass merchandisers, convenience chains, food service customers, drug stores and the military. To a lesser extent, the Company’s Strategic Brands segment generates net operating revenues by selling ready-to-drink packaged energy drinks to bottlers and full service beverage distributors.</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Generally, the Monster Energy® Drinks segment generates higher per case net operating revenues, but lower per case gross profit margins than the Strategic Brands segment.</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Corporate and unallocated amounts that do not relate to a reportable segment have been allocated to “Corporate &amp; Unallocated.” No asset information, other than goodwill and other intangible assets, has been provided for in the Company’s reportable segments as management does not measure or allocate such assets on a segment basis.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net revenues derived from the Company’s reportable segments and other financial information related thereto for the three- and six-months ended June 30, 2017 and 2016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60" w:type="dxa"/>
            <w:vAlign w:val="bottom"/>
            <w:gridSpan w:val="7"/>
          </w:tcPr>
          <w:p>
            <w:pPr>
              <w:jc w:val="center"/>
              <w:ind w:right="660"/>
              <w:spacing w:after="0"/>
              <w:rPr>
                <w:sz w:val="20"/>
                <w:szCs w:val="20"/>
                <w:color w:val="auto"/>
              </w:rPr>
            </w:pPr>
            <w:r>
              <w:rPr>
                <w:rFonts w:ascii="Arial" w:cs="Arial" w:eastAsia="Arial" w:hAnsi="Arial"/>
                <w:sz w:val="20"/>
                <w:szCs w:val="20"/>
                <w:color w:val="auto"/>
                <w:w w:val="90"/>
              </w:rPr>
              <w:t>Three-Months Ended</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60" w:type="dxa"/>
            <w:vAlign w:val="bottom"/>
            <w:gridSpan w:val="5"/>
          </w:tcPr>
          <w:p>
            <w:pPr>
              <w:jc w:val="center"/>
              <w:ind w:right="281"/>
              <w:spacing w:after="0"/>
              <w:rPr>
                <w:sz w:val="20"/>
                <w:szCs w:val="20"/>
                <w:color w:val="auto"/>
              </w:rPr>
            </w:pPr>
            <w:r>
              <w:rPr>
                <w:rFonts w:ascii="Arial" w:cs="Arial" w:eastAsia="Arial" w:hAnsi="Arial"/>
                <w:sz w:val="20"/>
                <w:szCs w:val="20"/>
                <w:color w:val="auto"/>
                <w:w w:val="90"/>
              </w:rPr>
              <w:t>Six-Months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jc w:val="center"/>
              <w:ind w:left="621"/>
              <w:spacing w:after="0"/>
              <w:rPr>
                <w:sz w:val="20"/>
                <w:szCs w:val="20"/>
                <w:color w:val="auto"/>
              </w:rPr>
            </w:pPr>
            <w:r>
              <w:rPr>
                <w:rFonts w:ascii="Arial" w:cs="Arial" w:eastAsia="Arial" w:hAnsi="Arial"/>
                <w:sz w:val="20"/>
                <w:szCs w:val="20"/>
                <w:color w:val="auto"/>
                <w:w w:val="85"/>
              </w:rPr>
              <w:t>June 30,</w:t>
            </w:r>
          </w:p>
        </w:tc>
        <w:tc>
          <w:tcPr>
            <w:tcW w:w="1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center"/>
              <w:ind w:left="641"/>
              <w:spacing w:after="0"/>
              <w:rPr>
                <w:sz w:val="20"/>
                <w:szCs w:val="20"/>
                <w:color w:val="auto"/>
              </w:rPr>
            </w:pPr>
            <w:r>
              <w:rPr>
                <w:rFonts w:ascii="Arial" w:cs="Arial" w:eastAsia="Arial" w:hAnsi="Arial"/>
                <w:sz w:val="20"/>
                <w:szCs w:val="20"/>
                <w:color w:val="auto"/>
                <w:w w:val="85"/>
              </w:rPr>
              <w:t>June 30,</w:t>
            </w:r>
          </w:p>
        </w:tc>
        <w:tc>
          <w:tcPr>
            <w:tcW w:w="1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2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30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815,261</w:t>
            </w:r>
          </w:p>
        </w:tc>
        <w:tc>
          <w:tcPr>
            <w:tcW w:w="280" w:type="dxa"/>
            <w:vAlign w:val="bottom"/>
          </w:tcPr>
          <w:p>
            <w:pPr>
              <w:spacing w:after="0"/>
              <w:rPr>
                <w:sz w:val="19"/>
                <w:szCs w:val="19"/>
                <w:color w:val="auto"/>
              </w:rPr>
            </w:pPr>
          </w:p>
        </w:tc>
        <w:tc>
          <w:tcPr>
            <w:tcW w:w="38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743,453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1,483,831</w:t>
            </w:r>
          </w:p>
        </w:tc>
        <w:tc>
          <w:tcPr>
            <w:tcW w:w="280" w:type="dxa"/>
            <w:vAlign w:val="bottom"/>
          </w:tcPr>
          <w:p>
            <w:pPr>
              <w:spacing w:after="0"/>
              <w:rPr>
                <w:sz w:val="19"/>
                <w:szCs w:val="19"/>
                <w:color w:val="auto"/>
              </w:rPr>
            </w:pPr>
          </w:p>
        </w:tc>
        <w:tc>
          <w:tcPr>
            <w:tcW w:w="38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1,365,381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300"/>
              <w:spacing w:after="0"/>
              <w:rPr>
                <w:sz w:val="20"/>
                <w:szCs w:val="20"/>
                <w:color w:val="auto"/>
              </w:rPr>
            </w:pPr>
            <w:r>
              <w:rPr>
                <w:rFonts w:ascii="Arial" w:cs="Arial" w:eastAsia="Arial" w:hAnsi="Arial"/>
                <w:sz w:val="20"/>
                <w:szCs w:val="20"/>
                <w:color w:val="auto"/>
              </w:rPr>
              <w:t>Strategic Brands</w:t>
            </w:r>
          </w:p>
        </w:tc>
        <w:tc>
          <w:tcPr>
            <w:tcW w:w="3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85,633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77,400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153,669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135,852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300"/>
              <w:spacing w:after="0"/>
              <w:rPr>
                <w:sz w:val="20"/>
                <w:szCs w:val="20"/>
                <w:color w:val="auto"/>
              </w:rPr>
            </w:pPr>
            <w:r>
              <w:rPr>
                <w:rFonts w:ascii="Arial" w:cs="Arial" w:eastAsia="Arial" w:hAnsi="Arial"/>
                <w:sz w:val="20"/>
                <w:szCs w:val="20"/>
                <w:color w:val="auto"/>
              </w:rPr>
              <w:t>Other</w:t>
            </w:r>
          </w:p>
        </w:tc>
        <w:tc>
          <w:tcPr>
            <w:tcW w:w="3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6,174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6,635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11,714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6,441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20" w:type="dxa"/>
            <w:vAlign w:val="bottom"/>
          </w:tcPr>
          <w:p>
            <w:pPr>
              <w:ind w:left="300"/>
              <w:spacing w:after="0"/>
              <w:rPr>
                <w:sz w:val="20"/>
                <w:szCs w:val="20"/>
                <w:color w:val="auto"/>
              </w:rPr>
            </w:pPr>
            <w:r>
              <w:rPr>
                <w:rFonts w:ascii="Arial" w:cs="Arial" w:eastAsia="Arial" w:hAnsi="Arial"/>
                <w:sz w:val="20"/>
                <w:szCs w:val="20"/>
                <w:color w:val="auto"/>
              </w:rPr>
              <w:t>Corporate and unallocated</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907,068</w:t>
            </w:r>
          </w:p>
        </w:tc>
        <w:tc>
          <w:tcPr>
            <w:tcW w:w="28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827,488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1,649,214</w:t>
            </w:r>
          </w:p>
        </w:tc>
        <w:tc>
          <w:tcPr>
            <w:tcW w:w="28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1,507,674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gridSpan w:val="7"/>
          </w:tcPr>
          <w:p>
            <w:pPr>
              <w:jc w:val="center"/>
              <w:ind w:right="640"/>
              <w:spacing w:after="0"/>
              <w:rPr>
                <w:sz w:val="20"/>
                <w:szCs w:val="20"/>
                <w:color w:val="auto"/>
              </w:rPr>
            </w:pPr>
            <w:r>
              <w:rPr>
                <w:rFonts w:ascii="Arial" w:cs="Arial" w:eastAsia="Arial" w:hAnsi="Arial"/>
                <w:sz w:val="20"/>
                <w:szCs w:val="20"/>
                <w:color w:val="auto"/>
                <w:w w:val="89"/>
              </w:rPr>
              <w:t>Three-Months Ended</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5"/>
          </w:tcPr>
          <w:p>
            <w:pPr>
              <w:jc w:val="center"/>
              <w:ind w:right="261"/>
              <w:spacing w:after="0"/>
              <w:rPr>
                <w:sz w:val="20"/>
                <w:szCs w:val="20"/>
                <w:color w:val="auto"/>
              </w:rPr>
            </w:pPr>
            <w:r>
              <w:rPr>
                <w:rFonts w:ascii="Arial" w:cs="Arial" w:eastAsia="Arial" w:hAnsi="Arial"/>
                <w:sz w:val="20"/>
                <w:szCs w:val="20"/>
                <w:color w:val="auto"/>
                <w:w w:val="91"/>
              </w:rPr>
              <w:t>Six-Months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7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jc w:val="center"/>
              <w:ind w:left="621"/>
              <w:spacing w:after="0"/>
              <w:rPr>
                <w:sz w:val="20"/>
                <w:szCs w:val="20"/>
                <w:color w:val="auto"/>
              </w:rPr>
            </w:pPr>
            <w:r>
              <w:rPr>
                <w:rFonts w:ascii="Arial" w:cs="Arial" w:eastAsia="Arial" w:hAnsi="Arial"/>
                <w:sz w:val="20"/>
                <w:szCs w:val="20"/>
                <w:color w:val="auto"/>
                <w:w w:val="85"/>
              </w:rPr>
              <w:t>June 30,</w:t>
            </w:r>
          </w:p>
        </w:tc>
        <w:tc>
          <w:tcPr>
            <w:tcW w:w="1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center"/>
              <w:ind w:left="641"/>
              <w:spacing w:after="0"/>
              <w:rPr>
                <w:sz w:val="20"/>
                <w:szCs w:val="20"/>
                <w:color w:val="auto"/>
              </w:rPr>
            </w:pPr>
            <w:r>
              <w:rPr>
                <w:rFonts w:ascii="Arial" w:cs="Arial" w:eastAsia="Arial" w:hAnsi="Arial"/>
                <w:sz w:val="20"/>
                <w:szCs w:val="20"/>
                <w:color w:val="auto"/>
                <w:w w:val="85"/>
              </w:rPr>
              <w:t>June 30,</w:t>
            </w:r>
          </w:p>
        </w:tc>
        <w:tc>
          <w:tcPr>
            <w:tcW w:w="1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20" w:type="dxa"/>
            <w:vAlign w:val="bottom"/>
            <w:vMerge w:val="restart"/>
          </w:tcPr>
          <w:p>
            <w:pPr>
              <w:spacing w:after="0"/>
              <w:rPr>
                <w:sz w:val="20"/>
                <w:szCs w:val="20"/>
                <w:color w:val="auto"/>
              </w:rPr>
            </w:pPr>
            <w:r>
              <w:rPr>
                <w:rFonts w:ascii="Arial" w:cs="Arial" w:eastAsia="Arial" w:hAnsi="Arial"/>
                <w:sz w:val="20"/>
                <w:szCs w:val="20"/>
                <w:color w:val="auto"/>
              </w:rPr>
              <w:t>Operating Income:</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2016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30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 (2)</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356,223</w:t>
            </w:r>
          </w:p>
        </w:tc>
        <w:tc>
          <w:tcPr>
            <w:tcW w:w="280" w:type="dxa"/>
            <w:vAlign w:val="bottom"/>
          </w:tcPr>
          <w:p>
            <w:pPr>
              <w:spacing w:after="0"/>
              <w:rPr>
                <w:sz w:val="19"/>
                <w:szCs w:val="19"/>
                <w:color w:val="auto"/>
              </w:rPr>
            </w:pPr>
          </w:p>
        </w:tc>
        <w:tc>
          <w:tcPr>
            <w:tcW w:w="38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298,942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635,654</w:t>
            </w:r>
          </w:p>
        </w:tc>
        <w:tc>
          <w:tcPr>
            <w:tcW w:w="280" w:type="dxa"/>
            <w:vAlign w:val="bottom"/>
          </w:tcPr>
          <w:p>
            <w:pPr>
              <w:spacing w:after="0"/>
              <w:rPr>
                <w:sz w:val="19"/>
                <w:szCs w:val="19"/>
                <w:color w:val="auto"/>
              </w:rPr>
            </w:pPr>
          </w:p>
        </w:tc>
        <w:tc>
          <w:tcPr>
            <w:tcW w:w="38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566,329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300"/>
              <w:spacing w:after="0"/>
              <w:rPr>
                <w:sz w:val="20"/>
                <w:szCs w:val="20"/>
                <w:color w:val="auto"/>
              </w:rPr>
            </w:pPr>
            <w:r>
              <w:rPr>
                <w:rFonts w:ascii="Arial" w:cs="Arial" w:eastAsia="Arial" w:hAnsi="Arial"/>
                <w:sz w:val="20"/>
                <w:szCs w:val="20"/>
                <w:color w:val="auto"/>
              </w:rPr>
              <w:t>Strategic Brands</w:t>
            </w:r>
          </w:p>
        </w:tc>
        <w:tc>
          <w:tcPr>
            <w:tcW w:w="3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53,175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48,019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95,281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87,095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300"/>
              <w:spacing w:after="0"/>
              <w:rPr>
                <w:sz w:val="20"/>
                <w:szCs w:val="20"/>
                <w:color w:val="auto"/>
              </w:rPr>
            </w:pPr>
            <w:r>
              <w:rPr>
                <w:rFonts w:ascii="Arial" w:cs="Arial" w:eastAsia="Arial" w:hAnsi="Arial"/>
                <w:sz w:val="20"/>
                <w:szCs w:val="20"/>
                <w:color w:val="auto"/>
              </w:rPr>
              <w:t>Other</w:t>
            </w:r>
          </w:p>
        </w:tc>
        <w:tc>
          <w:tcPr>
            <w:tcW w:w="3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1,718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686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3,134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20" w:type="dxa"/>
            <w:vAlign w:val="bottom"/>
          </w:tcPr>
          <w:p>
            <w:pPr>
              <w:ind w:left="300"/>
              <w:spacing w:after="0"/>
              <w:rPr>
                <w:sz w:val="20"/>
                <w:szCs w:val="20"/>
                <w:color w:val="auto"/>
              </w:rPr>
            </w:pPr>
            <w:r>
              <w:rPr>
                <w:rFonts w:ascii="Arial" w:cs="Arial" w:eastAsia="Arial" w:hAnsi="Arial"/>
                <w:sz w:val="20"/>
                <w:szCs w:val="20"/>
                <w:color w:val="auto"/>
              </w:rPr>
              <w:t>Corporate and unallocated</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(61,075)</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(59,124)</w:t>
            </w:r>
          </w:p>
        </w:tc>
        <w:tc>
          <w:tcPr>
            <w:tcW w:w="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(119,766)</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(110,529)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350,041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288,523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614,303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543,237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gridSpan w:val="7"/>
          </w:tcPr>
          <w:p>
            <w:pPr>
              <w:jc w:val="center"/>
              <w:ind w:right="640"/>
              <w:spacing w:after="0"/>
              <w:rPr>
                <w:sz w:val="20"/>
                <w:szCs w:val="20"/>
                <w:color w:val="auto"/>
              </w:rPr>
            </w:pPr>
            <w:r>
              <w:rPr>
                <w:rFonts w:ascii="Arial" w:cs="Arial" w:eastAsia="Arial" w:hAnsi="Arial"/>
                <w:sz w:val="20"/>
                <w:szCs w:val="20"/>
                <w:color w:val="auto"/>
                <w:w w:val="89"/>
              </w:rPr>
              <w:t>Three-Months Ended</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5"/>
          </w:tcPr>
          <w:p>
            <w:pPr>
              <w:jc w:val="center"/>
              <w:ind w:right="261"/>
              <w:spacing w:after="0"/>
              <w:rPr>
                <w:sz w:val="20"/>
                <w:szCs w:val="20"/>
                <w:color w:val="auto"/>
              </w:rPr>
            </w:pPr>
            <w:r>
              <w:rPr>
                <w:rFonts w:ascii="Arial" w:cs="Arial" w:eastAsia="Arial" w:hAnsi="Arial"/>
                <w:sz w:val="20"/>
                <w:szCs w:val="20"/>
                <w:color w:val="auto"/>
                <w:w w:val="91"/>
              </w:rPr>
              <w:t>Six-Months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7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jc w:val="center"/>
              <w:ind w:left="621"/>
              <w:spacing w:after="0"/>
              <w:rPr>
                <w:sz w:val="20"/>
                <w:szCs w:val="20"/>
                <w:color w:val="auto"/>
              </w:rPr>
            </w:pPr>
            <w:r>
              <w:rPr>
                <w:rFonts w:ascii="Arial" w:cs="Arial" w:eastAsia="Arial" w:hAnsi="Arial"/>
                <w:sz w:val="20"/>
                <w:szCs w:val="20"/>
                <w:color w:val="auto"/>
                <w:w w:val="85"/>
              </w:rPr>
              <w:t>June 30,</w:t>
            </w:r>
          </w:p>
        </w:tc>
        <w:tc>
          <w:tcPr>
            <w:tcW w:w="1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center"/>
              <w:ind w:left="641"/>
              <w:spacing w:after="0"/>
              <w:rPr>
                <w:sz w:val="20"/>
                <w:szCs w:val="20"/>
                <w:color w:val="auto"/>
              </w:rPr>
            </w:pPr>
            <w:r>
              <w:rPr>
                <w:rFonts w:ascii="Arial" w:cs="Arial" w:eastAsia="Arial" w:hAnsi="Arial"/>
                <w:sz w:val="20"/>
                <w:szCs w:val="20"/>
                <w:color w:val="auto"/>
                <w:w w:val="85"/>
              </w:rPr>
              <w:t>June 30,</w:t>
            </w:r>
          </w:p>
        </w:tc>
        <w:tc>
          <w:tcPr>
            <w:tcW w:w="1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2"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vMerge w:val="restart"/>
          </w:tcPr>
          <w:p>
            <w:pPr>
              <w:spacing w:after="0"/>
              <w:rPr>
                <w:sz w:val="20"/>
                <w:szCs w:val="20"/>
                <w:color w:val="auto"/>
              </w:rPr>
            </w:pPr>
            <w:r>
              <w:rPr>
                <w:rFonts w:ascii="Arial" w:cs="Arial" w:eastAsia="Arial" w:hAnsi="Arial"/>
                <w:sz w:val="20"/>
                <w:szCs w:val="20"/>
                <w:color w:val="auto"/>
              </w:rPr>
              <w:t>Income before tax:</w:t>
            </w:r>
          </w:p>
        </w:tc>
        <w:tc>
          <w:tcPr>
            <w:tcW w:w="3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20"/>
                <w:szCs w:val="20"/>
                <w:color w:val="auto"/>
              </w:rPr>
              <w:t>2017</w:t>
            </w:r>
          </w:p>
        </w:tc>
        <w:tc>
          <w:tcPr>
            <w:tcW w:w="3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20"/>
                <w:szCs w:val="20"/>
                <w:color w:val="auto"/>
              </w:rPr>
              <w:t>2016</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20"/>
                <w:szCs w:val="20"/>
                <w:color w:val="auto"/>
              </w:rPr>
              <w:t>2017</w:t>
            </w: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193"/>
        </w:trPr>
        <w:tc>
          <w:tcPr>
            <w:tcW w:w="3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30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 (2)</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356,316</w:t>
            </w:r>
          </w:p>
        </w:tc>
        <w:tc>
          <w:tcPr>
            <w:tcW w:w="30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298,974</w:t>
            </w:r>
          </w:p>
        </w:tc>
        <w:tc>
          <w:tcPr>
            <w:tcW w:w="28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635,651</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566,412</w:t>
            </w:r>
          </w:p>
        </w:tc>
        <w:tc>
          <w:tcPr>
            <w:tcW w:w="0" w:type="dxa"/>
            <w:vAlign w:val="bottom"/>
          </w:tcPr>
          <w:p>
            <w:pPr>
              <w:spacing w:after="0"/>
              <w:rPr>
                <w:sz w:val="1"/>
                <w:szCs w:val="1"/>
                <w:color w:val="auto"/>
              </w:rPr>
            </w:pPr>
          </w:p>
        </w:tc>
      </w:tr>
      <w:tr>
        <w:trPr>
          <w:trHeight w:val="230"/>
        </w:trPr>
        <w:tc>
          <w:tcPr>
            <w:tcW w:w="3720" w:type="dxa"/>
            <w:vAlign w:val="bottom"/>
          </w:tcPr>
          <w:p>
            <w:pPr>
              <w:ind w:left="300"/>
              <w:spacing w:after="0"/>
              <w:rPr>
                <w:sz w:val="20"/>
                <w:szCs w:val="20"/>
                <w:color w:val="auto"/>
              </w:rPr>
            </w:pPr>
            <w:r>
              <w:rPr>
                <w:rFonts w:ascii="Arial" w:cs="Arial" w:eastAsia="Arial" w:hAnsi="Arial"/>
                <w:sz w:val="20"/>
                <w:szCs w:val="20"/>
                <w:color w:val="auto"/>
              </w:rPr>
              <w:t>Strategic Brands</w:t>
            </w:r>
          </w:p>
        </w:tc>
        <w:tc>
          <w:tcPr>
            <w:tcW w:w="3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53,174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48,008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95,268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87,068</w:t>
            </w:r>
          </w:p>
        </w:tc>
        <w:tc>
          <w:tcPr>
            <w:tcW w:w="0" w:type="dxa"/>
            <w:vAlign w:val="bottom"/>
          </w:tcPr>
          <w:p>
            <w:pPr>
              <w:spacing w:after="0"/>
              <w:rPr>
                <w:sz w:val="1"/>
                <w:szCs w:val="1"/>
                <w:color w:val="auto"/>
              </w:rPr>
            </w:pPr>
          </w:p>
        </w:tc>
      </w:tr>
      <w:tr>
        <w:trPr>
          <w:trHeight w:val="230"/>
        </w:trPr>
        <w:tc>
          <w:tcPr>
            <w:tcW w:w="3720" w:type="dxa"/>
            <w:vAlign w:val="bottom"/>
          </w:tcPr>
          <w:p>
            <w:pPr>
              <w:ind w:left="300"/>
              <w:spacing w:after="0"/>
              <w:rPr>
                <w:sz w:val="20"/>
                <w:szCs w:val="20"/>
                <w:color w:val="auto"/>
              </w:rPr>
            </w:pPr>
            <w:r>
              <w:rPr>
                <w:rFonts w:ascii="Arial" w:cs="Arial" w:eastAsia="Arial" w:hAnsi="Arial"/>
                <w:sz w:val="20"/>
                <w:szCs w:val="20"/>
                <w:color w:val="auto"/>
              </w:rPr>
              <w:t>Other</w:t>
            </w:r>
          </w:p>
        </w:tc>
        <w:tc>
          <w:tcPr>
            <w:tcW w:w="3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1,718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686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3,134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342</w:t>
            </w:r>
          </w:p>
        </w:tc>
        <w:tc>
          <w:tcPr>
            <w:tcW w:w="0" w:type="dxa"/>
            <w:vAlign w:val="bottom"/>
          </w:tcPr>
          <w:p>
            <w:pPr>
              <w:spacing w:after="0"/>
              <w:rPr>
                <w:sz w:val="1"/>
                <w:szCs w:val="1"/>
                <w:color w:val="auto"/>
              </w:rPr>
            </w:pPr>
          </w:p>
        </w:tc>
      </w:tr>
      <w:tr>
        <w:trPr>
          <w:trHeight w:val="246"/>
        </w:trPr>
        <w:tc>
          <w:tcPr>
            <w:tcW w:w="3720" w:type="dxa"/>
            <w:vAlign w:val="bottom"/>
          </w:tcPr>
          <w:p>
            <w:pPr>
              <w:ind w:left="300"/>
              <w:spacing w:after="0"/>
              <w:rPr>
                <w:sz w:val="20"/>
                <w:szCs w:val="20"/>
                <w:color w:val="auto"/>
              </w:rPr>
            </w:pPr>
            <w:r>
              <w:rPr>
                <w:rFonts w:ascii="Arial" w:cs="Arial" w:eastAsia="Arial" w:hAnsi="Arial"/>
                <w:sz w:val="20"/>
                <w:szCs w:val="20"/>
                <w:color w:val="auto"/>
              </w:rPr>
              <w:t>Corporate and unallocated</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(63,718)</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(59,367)</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(121,643)</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(110,199)</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347,490</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288,301</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612,410</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543,623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hanging="328"/>
        <w:spacing w:after="0" w:line="253" w:lineRule="auto"/>
        <w:tabs>
          <w:tab w:leader="none" w:pos="639"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$10.2 million and $12.1 million for the three-months ended June 30, 2017 and 2016, respectively, related to the recognition of deferred revenue. Includes $20.1 million and $20.2 million for the six-months ended June 30, 2017 and 2016, respectively, related to the recognition of deferred revenue.</w:t>
      </w:r>
    </w:p>
    <w:p>
      <w:pPr>
        <w:spacing w:after="0" w:line="187" w:lineRule="exact"/>
        <w:rPr>
          <w:rFonts w:ascii="Arial" w:cs="Arial" w:eastAsia="Arial" w:hAnsi="Arial"/>
          <w:sz w:val="14"/>
          <w:szCs w:val="14"/>
          <w:i w:val="1"/>
          <w:iCs w:val="1"/>
          <w:color w:val="auto"/>
        </w:rPr>
      </w:pPr>
    </w:p>
    <w:p>
      <w:pPr>
        <w:ind w:left="660" w:hanging="328"/>
        <w:spacing w:after="0" w:line="253" w:lineRule="auto"/>
        <w:tabs>
          <w:tab w:leader="none" w:pos="639"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$0.2 million and $25.3 million for the three-months ended June 30, 2017 and 2016, respectively, related to distributor termination costs. Includes $20.1 million and $28.7 million for the six-months ended June 30, 2017 and 2016, respectively, related to distributor termination costs.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40" w:type="dxa"/>
            <w:vAlign w:val="bottom"/>
            <w:gridSpan w:val="8"/>
          </w:tcPr>
          <w:p>
            <w:pPr>
              <w:ind w:left="660"/>
              <w:spacing w:after="0"/>
              <w:rPr>
                <w:sz w:val="20"/>
                <w:szCs w:val="20"/>
                <w:color w:val="auto"/>
              </w:rPr>
            </w:pPr>
            <w:r>
              <w:rPr>
                <w:rFonts w:ascii="Arial" w:cs="Arial" w:eastAsia="Arial" w:hAnsi="Arial"/>
                <w:sz w:val="20"/>
                <w:szCs w:val="20"/>
                <w:color w:val="auto"/>
              </w:rPr>
              <w:t>Three-Months Ended</w:t>
            </w:r>
          </w:p>
        </w:tc>
        <w:tc>
          <w:tcPr>
            <w:tcW w:w="380" w:type="dxa"/>
            <w:vAlign w:val="bottom"/>
          </w:tcPr>
          <w:p>
            <w:pPr>
              <w:spacing w:after="0"/>
              <w:rPr>
                <w:sz w:val="19"/>
                <w:szCs w:val="19"/>
                <w:color w:val="auto"/>
              </w:rPr>
            </w:pPr>
          </w:p>
        </w:tc>
        <w:tc>
          <w:tcPr>
            <w:tcW w:w="3080" w:type="dxa"/>
            <w:vAlign w:val="bottom"/>
            <w:gridSpan w:val="4"/>
          </w:tcPr>
          <w:p>
            <w:pPr>
              <w:jc w:val="right"/>
              <w:ind w:right="901"/>
              <w:spacing w:after="0"/>
              <w:rPr>
                <w:sz w:val="20"/>
                <w:szCs w:val="20"/>
                <w:color w:val="auto"/>
              </w:rPr>
            </w:pPr>
            <w:r>
              <w:rPr>
                <w:rFonts w:ascii="Arial" w:cs="Arial" w:eastAsia="Arial" w:hAnsi="Arial"/>
                <w:sz w:val="20"/>
                <w:szCs w:val="20"/>
                <w:color w:val="auto"/>
              </w:rPr>
              <w:t>Six-Months Ended</w:t>
            </w:r>
          </w:p>
        </w:tc>
        <w:tc>
          <w:tcPr>
            <w:tcW w:w="0" w:type="dxa"/>
            <w:vAlign w:val="bottom"/>
          </w:tcPr>
          <w:p>
            <w:pPr>
              <w:spacing w:after="0"/>
              <w:rPr>
                <w:sz w:val="1"/>
                <w:szCs w:val="1"/>
                <w:color w:val="auto"/>
              </w:rPr>
            </w:pPr>
          </w:p>
        </w:tc>
      </w:tr>
      <w:tr>
        <w:trPr>
          <w:trHeight w:val="246"/>
        </w:trPr>
        <w:tc>
          <w:tcPr>
            <w:tcW w:w="3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5"/>
          </w:tcPr>
          <w:p>
            <w:pPr>
              <w:jc w:val="right"/>
              <w:ind w:right="21"/>
              <w:spacing w:after="0"/>
              <w:rPr>
                <w:sz w:val="20"/>
                <w:szCs w:val="20"/>
                <w:color w:val="auto"/>
              </w:rPr>
            </w:pPr>
            <w:r>
              <w:rPr>
                <w:rFonts w:ascii="Arial" w:cs="Arial" w:eastAsia="Arial" w:hAnsi="Arial"/>
                <w:sz w:val="20"/>
                <w:szCs w:val="20"/>
                <w:color w:val="auto"/>
              </w:rPr>
              <w:t>June 30,</w:t>
            </w:r>
          </w:p>
        </w:tc>
        <w:tc>
          <w:tcPr>
            <w:tcW w:w="1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20"/>
                <w:szCs w:val="20"/>
                <w:color w:val="auto"/>
              </w:rPr>
              <w:t>June 30,</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80" w:type="dxa"/>
            <w:vAlign w:val="bottom"/>
            <w:vMerge w:val="restart"/>
          </w:tcPr>
          <w:p>
            <w:pPr>
              <w:spacing w:after="0"/>
              <w:rPr>
                <w:sz w:val="20"/>
                <w:szCs w:val="20"/>
                <w:color w:val="auto"/>
              </w:rPr>
            </w:pPr>
            <w:r>
              <w:rPr>
                <w:rFonts w:ascii="Arial" w:cs="Arial" w:eastAsia="Arial" w:hAnsi="Arial"/>
                <w:sz w:val="20"/>
                <w:szCs w:val="20"/>
                <w:color w:val="auto"/>
              </w:rPr>
              <w:t>Depreciation and amortization:</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2017</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2016</w:t>
            </w:r>
          </w:p>
        </w:tc>
        <w:tc>
          <w:tcPr>
            <w:tcW w:w="1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193"/>
        </w:trPr>
        <w:tc>
          <w:tcPr>
            <w:tcW w:w="3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80"/>
              <w:spacing w:after="0"/>
              <w:rPr>
                <w:sz w:val="20"/>
                <w:szCs w:val="20"/>
                <w:color w:val="auto"/>
              </w:rPr>
            </w:pPr>
            <w:r>
              <w:rPr>
                <w:rFonts w:ascii="Arial" w:cs="Arial" w:eastAsia="Arial" w:hAnsi="Arial"/>
                <w:sz w:val="20"/>
                <w:szCs w:val="20"/>
                <w:color w:val="auto"/>
              </w:rPr>
              <w:t>Monster Energy® Drinks</w:t>
            </w:r>
          </w:p>
        </w:tc>
        <w:tc>
          <w:tcPr>
            <w:tcW w:w="4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6,873</w:t>
            </w:r>
          </w:p>
        </w:tc>
        <w:tc>
          <w:tcPr>
            <w:tcW w:w="600" w:type="dxa"/>
            <w:vAlign w:val="bottom"/>
            <w:gridSpan w:val="3"/>
          </w:tcPr>
          <w:p>
            <w:pPr>
              <w:jc w:val="right"/>
              <w:ind w:right="1"/>
              <w:spacing w:after="0"/>
              <w:rPr>
                <w:sz w:val="20"/>
                <w:szCs w:val="20"/>
                <w:color w:val="auto"/>
              </w:rPr>
            </w:pPr>
            <w:r>
              <w:rPr>
                <w:rFonts w:ascii="Arial" w:cs="Arial" w:eastAsia="Arial" w:hAnsi="Arial"/>
                <w:sz w:val="20"/>
                <w:szCs w:val="20"/>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5,795</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13,413</w:t>
            </w:r>
          </w:p>
        </w:tc>
        <w:tc>
          <w:tcPr>
            <w:tcW w:w="280" w:type="dxa"/>
            <w:vAlign w:val="bottom"/>
          </w:tcPr>
          <w:p>
            <w:pPr>
              <w:spacing w:after="0"/>
              <w:rPr>
                <w:sz w:val="19"/>
                <w:szCs w:val="19"/>
                <w:color w:val="auto"/>
              </w:rPr>
            </w:pP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11,573</w:t>
            </w:r>
          </w:p>
        </w:tc>
        <w:tc>
          <w:tcPr>
            <w:tcW w:w="0" w:type="dxa"/>
            <w:vAlign w:val="bottom"/>
          </w:tcPr>
          <w:p>
            <w:pPr>
              <w:spacing w:after="0"/>
              <w:rPr>
                <w:sz w:val="1"/>
                <w:szCs w:val="1"/>
                <w:color w:val="auto"/>
              </w:rPr>
            </w:pPr>
          </w:p>
        </w:tc>
      </w:tr>
      <w:tr>
        <w:trPr>
          <w:trHeight w:val="230"/>
        </w:trPr>
        <w:tc>
          <w:tcPr>
            <w:tcW w:w="3880" w:type="dxa"/>
            <w:vAlign w:val="bottom"/>
          </w:tcPr>
          <w:p>
            <w:pPr>
              <w:ind w:left="280"/>
              <w:spacing w:after="0"/>
              <w:rPr>
                <w:sz w:val="20"/>
                <w:szCs w:val="20"/>
                <w:color w:val="auto"/>
              </w:rPr>
            </w:pPr>
            <w:r>
              <w:rPr>
                <w:rFonts w:ascii="Arial" w:cs="Arial" w:eastAsia="Arial" w:hAnsi="Arial"/>
                <w:sz w:val="20"/>
                <w:szCs w:val="20"/>
                <w:color w:val="auto"/>
              </w:rPr>
              <w:t>Strategic Brands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1,842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1,778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3,638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3,548</w:t>
            </w:r>
          </w:p>
        </w:tc>
        <w:tc>
          <w:tcPr>
            <w:tcW w:w="0" w:type="dxa"/>
            <w:vAlign w:val="bottom"/>
          </w:tcPr>
          <w:p>
            <w:pPr>
              <w:spacing w:after="0"/>
              <w:rPr>
                <w:sz w:val="1"/>
                <w:szCs w:val="1"/>
                <w:color w:val="auto"/>
              </w:rPr>
            </w:pPr>
          </w:p>
        </w:tc>
      </w:tr>
      <w:tr>
        <w:trPr>
          <w:trHeight w:val="230"/>
        </w:trPr>
        <w:tc>
          <w:tcPr>
            <w:tcW w:w="3880" w:type="dxa"/>
            <w:vAlign w:val="bottom"/>
          </w:tcPr>
          <w:p>
            <w:pPr>
              <w:ind w:left="280"/>
              <w:spacing w:after="0"/>
              <w:rPr>
                <w:sz w:val="20"/>
                <w:szCs w:val="20"/>
                <w:color w:val="auto"/>
              </w:rPr>
            </w:pPr>
            <w:r>
              <w:rPr>
                <w:rFonts w:ascii="Arial" w:cs="Arial" w:eastAsia="Arial" w:hAnsi="Arial"/>
                <w:sz w:val="20"/>
                <w:szCs w:val="20"/>
                <w:color w:val="auto"/>
              </w:rPr>
              <w:t>Other</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1,153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0"/>
                <w:szCs w:val="20"/>
                <w:color w:val="auto"/>
              </w:rPr>
              <w:t>1,135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2,306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1,136</w:t>
            </w:r>
          </w:p>
        </w:tc>
        <w:tc>
          <w:tcPr>
            <w:tcW w:w="0" w:type="dxa"/>
            <w:vAlign w:val="bottom"/>
          </w:tcPr>
          <w:p>
            <w:pPr>
              <w:spacing w:after="0"/>
              <w:rPr>
                <w:sz w:val="1"/>
                <w:szCs w:val="1"/>
                <w:color w:val="auto"/>
              </w:rPr>
            </w:pPr>
          </w:p>
        </w:tc>
      </w:tr>
      <w:tr>
        <w:trPr>
          <w:trHeight w:val="246"/>
        </w:trPr>
        <w:tc>
          <w:tcPr>
            <w:tcW w:w="3880" w:type="dxa"/>
            <w:vAlign w:val="bottom"/>
          </w:tcPr>
          <w:p>
            <w:pPr>
              <w:ind w:left="280"/>
              <w:spacing w:after="0"/>
              <w:rPr>
                <w:sz w:val="20"/>
                <w:szCs w:val="20"/>
                <w:color w:val="auto"/>
              </w:rPr>
            </w:pPr>
            <w:r>
              <w:rPr>
                <w:rFonts w:ascii="Arial" w:cs="Arial" w:eastAsia="Arial" w:hAnsi="Arial"/>
                <w:sz w:val="20"/>
                <w:szCs w:val="20"/>
                <w:color w:val="auto"/>
              </w:rPr>
              <w:t>Corporate and unallocated</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1,725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1,598</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3,418</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3,072</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gridSpan w:val="2"/>
          </w:tcPr>
          <w:p>
            <w:pPr>
              <w:jc w:val="right"/>
              <w:ind w:right="100"/>
              <w:spacing w:after="0" w:line="223" w:lineRule="exact"/>
              <w:rPr>
                <w:sz w:val="20"/>
                <w:szCs w:val="20"/>
                <w:color w:val="auto"/>
              </w:rPr>
            </w:pPr>
            <w:r>
              <w:rPr>
                <w:rFonts w:ascii="Arial" w:cs="Arial" w:eastAsia="Arial" w:hAnsi="Arial"/>
                <w:sz w:val="20"/>
                <w:szCs w:val="20"/>
                <w:color w:val="auto"/>
              </w:rPr>
              <w:t>11,593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gridSpan w:val="2"/>
          </w:tcPr>
          <w:p>
            <w:pPr>
              <w:jc w:val="right"/>
              <w:ind w:right="120"/>
              <w:spacing w:after="0" w:line="223" w:lineRule="exact"/>
              <w:rPr>
                <w:sz w:val="20"/>
                <w:szCs w:val="20"/>
                <w:color w:val="auto"/>
              </w:rPr>
            </w:pPr>
            <w:r>
              <w:rPr>
                <w:rFonts w:ascii="Arial" w:cs="Arial" w:eastAsia="Arial" w:hAnsi="Arial"/>
                <w:sz w:val="20"/>
                <w:szCs w:val="20"/>
                <w:color w:val="auto"/>
              </w:rPr>
              <w:t>10,306</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22,775</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19,329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20"/>
                <w:szCs w:val="20"/>
                <w:color w:val="auto"/>
                <w:w w:val="88"/>
              </w:rPr>
              <w:t>June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4"/>
          </w:tcPr>
          <w:p>
            <w:pPr>
              <w:ind w:left="60"/>
              <w:spacing w:after="0"/>
              <w:rPr>
                <w:sz w:val="20"/>
                <w:szCs w:val="20"/>
                <w:color w:val="auto"/>
              </w:rPr>
            </w:pPr>
            <w:r>
              <w:rPr>
                <w:rFonts w:ascii="Arial" w:cs="Arial" w:eastAsia="Arial" w:hAnsi="Arial"/>
                <w:sz w:val="20"/>
                <w:szCs w:val="20"/>
                <w:color w:val="auto"/>
              </w:rPr>
              <w:t>December 31,</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880" w:type="dxa"/>
            <w:vAlign w:val="bottom"/>
            <w:vMerge w:val="restart"/>
          </w:tcPr>
          <w:p>
            <w:pPr>
              <w:spacing w:after="0"/>
              <w:rPr>
                <w:sz w:val="20"/>
                <w:szCs w:val="20"/>
                <w:color w:val="auto"/>
              </w:rPr>
            </w:pPr>
            <w:r>
              <w:rPr>
                <w:rFonts w:ascii="Arial" w:cs="Arial" w:eastAsia="Arial" w:hAnsi="Arial"/>
                <w:sz w:val="20"/>
                <w:szCs w:val="20"/>
                <w:color w:val="auto"/>
              </w:rPr>
              <w:t>Goodwill and other intangible assets:</w:t>
            </w: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80"/>
              <w:spacing w:after="0"/>
              <w:rPr>
                <w:sz w:val="20"/>
                <w:szCs w:val="20"/>
                <w:color w:val="auto"/>
              </w:rPr>
            </w:pPr>
            <w:r>
              <w:rPr>
                <w:rFonts w:ascii="Arial" w:cs="Arial" w:eastAsia="Arial" w:hAnsi="Arial"/>
                <w:sz w:val="20"/>
                <w:szCs w:val="20"/>
                <w:color w:val="auto"/>
              </w:rPr>
              <w:t>Monster Energy® Drinks</w:t>
            </w:r>
          </w:p>
        </w:tc>
        <w:tc>
          <w:tcPr>
            <w:tcW w:w="44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1,340,125</w:t>
            </w:r>
          </w:p>
        </w:tc>
        <w:tc>
          <w:tcPr>
            <w:tcW w:w="180" w:type="dxa"/>
            <w:vAlign w:val="bottom"/>
          </w:tcPr>
          <w:p>
            <w:pPr>
              <w:spacing w:after="0"/>
              <w:rPr>
                <w:sz w:val="19"/>
                <w:szCs w:val="19"/>
                <w:color w:val="auto"/>
              </w:rPr>
            </w:pPr>
          </w:p>
        </w:tc>
        <w:tc>
          <w:tcPr>
            <w:tcW w:w="600" w:type="dxa"/>
            <w:vAlign w:val="bottom"/>
            <w:gridSpan w:val="3"/>
          </w:tcPr>
          <w:p>
            <w:pPr>
              <w:jc w:val="right"/>
              <w:ind w:right="20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1,334,494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80"/>
              <w:spacing w:after="0"/>
              <w:rPr>
                <w:sz w:val="20"/>
                <w:szCs w:val="20"/>
                <w:color w:val="auto"/>
              </w:rPr>
            </w:pPr>
            <w:r>
              <w:rPr>
                <w:rFonts w:ascii="Arial" w:cs="Arial" w:eastAsia="Arial" w:hAnsi="Arial"/>
                <w:sz w:val="20"/>
                <w:szCs w:val="20"/>
                <w:color w:val="auto"/>
              </w:rPr>
              <w:t>Strategic Brands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998,625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1,001,749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80"/>
              <w:spacing w:after="0"/>
              <w:rPr>
                <w:sz w:val="20"/>
                <w:szCs w:val="20"/>
                <w:color w:val="auto"/>
              </w:rPr>
            </w:pPr>
            <w:r>
              <w:rPr>
                <w:rFonts w:ascii="Arial" w:cs="Arial" w:eastAsia="Arial" w:hAnsi="Arial"/>
                <w:sz w:val="20"/>
                <w:szCs w:val="20"/>
                <w:color w:val="auto"/>
              </w:rPr>
              <w:t>Other</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25,767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28,035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880" w:type="dxa"/>
            <w:vAlign w:val="bottom"/>
          </w:tcPr>
          <w:p>
            <w:pPr>
              <w:ind w:left="280"/>
              <w:spacing w:after="0"/>
              <w:rPr>
                <w:sz w:val="20"/>
                <w:szCs w:val="20"/>
                <w:color w:val="auto"/>
              </w:rPr>
            </w:pPr>
            <w:r>
              <w:rPr>
                <w:rFonts w:ascii="Arial" w:cs="Arial" w:eastAsia="Arial" w:hAnsi="Arial"/>
                <w:sz w:val="20"/>
                <w:szCs w:val="20"/>
                <w:color w:val="auto"/>
              </w:rPr>
              <w:t>Corporate and unallocated</w:t>
            </w: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2,364,517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gridSpan w:val="2"/>
          </w:tcPr>
          <w:p>
            <w:pPr>
              <w:jc w:val="right"/>
              <w:ind w:right="20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2,364,278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Corporate and unallocated expenses for the three-months ended June 30, 2017 include $38.4 million of payroll costs, of which $12.8 million was attributable to stock-based compensation expenses (see Note 13, “Stock-Based Compensation”), as well as $14.0 million attributable to professional service expenses, including accounting and legal costs, and $8.6 million of other operating expenses. Corporate and unallocated expenses for the three-months ended June 30, 2016 include $31.1 million of payroll costs, of which $11.5 million was attributable to stock-based compensation expenses (see Note 13, “Stock-Based Compensation”), as well as $19.6 million attributable to professional service expenses, including accounting and legal costs, and $8.7 million of other operating expenses.</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Corporate and unallocated expenses for the six-months ended June 30, 2017 include $76.1 million of payroll costs, of which $26.0 million was attributable to stock-based compensation expenses (see Note 13, “Stock-Based Compensation”), as well as $26.4 million attributable to professional service expenses, including accounting and legal costs, and $17.3 million of other operating expenses. Corporate and unallocated expenses for the six-months ended June 30, 2016 include $59.5 million of payroll costs, of which $21.5 million was attributable to stock-based compensation expenses (see Note 13, “Stock-Based Compensation”), as well as $35.5 million attributable to professional service expenses, including accounting and legal costs, and $15.2 million of other operating expenses.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TCCC, through certain wholly-owned subsidiaries (the “TCCC Subsidiaries”), accounted for approximately 17% and 42% of the Company’s net sales for the three-months ended June 30, 2017 and 2016, respectively. The TCCC Subsidiaries accounted for approximately 25% and 44% of the Company’s net sales for the six-months ended June 30, 2017 and 2016, respectively. As part of TCCC’s North America Refranchising initiative (the “North America Refranchising”), the territories of certain TCCC Subsidiaries have been transitioned to certain independent/non wholly-owned TCCC bottlers/distributors. Accordingly, the Company’s percentage of net sales classified as sales to the TCCC Subsidiaries decreased for three- and six-months ended June 30, 2017.</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0" w:gutter="0" w:footer="0" w:header="0"/>
        </w:sectPr>
      </w:pPr>
    </w:p>
    <w:bookmarkStart w:id="17" w:name="page18"/>
    <w:bookmarkEnd w:id="17"/>
    <w:p>
      <w:pPr>
        <w:jc w:val="both"/>
        <w:ind w:right="20" w:firstLine="648"/>
        <w:spacing w:after="0" w:line="250" w:lineRule="auto"/>
        <w:rPr>
          <w:sz w:val="20"/>
          <w:szCs w:val="20"/>
          <w:color w:val="auto"/>
        </w:rPr>
      </w:pPr>
      <w:r>
        <w:rPr>
          <w:rFonts w:ascii="Arial" w:cs="Arial" w:eastAsia="Arial" w:hAnsi="Arial"/>
          <w:sz w:val="20"/>
          <w:szCs w:val="20"/>
          <w:color w:val="auto"/>
        </w:rPr>
        <w:t>Net sales to customers outside the United States amounted to $247.9 million and $200.2 million for the three-months ended June 30, 2017 and 2016, respectively. Net sales to customers outside the United States amounted to $438.8 million and $349.3 million for the six-months ended June 30, 2017 and 2016, respectively.</w:t>
      </w:r>
    </w:p>
    <w:p>
      <w:pPr>
        <w:spacing w:after="0" w:line="201"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RELATED PARTY TRANSACTIONS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TCCC controls more than 10% of the voting interests of the Company. TCCC, through the TCCC Subsidiaries and through certain TCCC affiliated companies (the “TCCC Affiliates”) purchases and distributes certain of the Company’s products both domestically and in certain international territories. The Company also pays TCCC a commission based on certain sales within the TCCC distribution network.</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TCCC commissions, based on sales to the TCCC Affiliates for the three-months ended June 30, 2017 and 2016, were $12.8 million and $8.3 million, respectively. TCCC commissions, based on sales to the TCCC Affiliates for the six-months ended June 30, 2017 and 2016, were $20.7 million and $10.9 million, respectively.</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TCCC commissions, based on sales to the TCCC Subsidiaries, are accounted for as a reduction to revenue and are reported in net sales to the TCCC Subsidiaries.</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Net sales to the TCCC Subsidiaries for the three-months ended June 30, 2017 and 2016 were $154.5 million and $344.0 million, respectively. Net sales to the TCCC Subsidiaries for the six-months ended June 30, 2017 and 2016 were $409.7 million and $659.2 million, respectively. As part of the North America Refranchising, the territories of certain TCCC Subsidiaries have been transitioned to certain independent/non wholly-owned TCCC bottlers/distributors. Accordingly, the Company’s net sales classified as sales to the TCCC Subsidiaries decreased for three- and six-months ended June 30, 2017.</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also purchases concentrates from TCCC which are then sold to both the TCCC Affiliates and the TCCC Subsidiaries.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Concentrate purchases from TCCC were $6.6 million and $8.0 million for the three-months ended June 30, 2017 and 2016, respectively.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Concentrate purchases from TCCC were $12.5 million and $14.7 million for the six-months ended June 30, 2017 and 2016, respectively.</w:t>
      </w:r>
    </w:p>
    <w:p>
      <w:pPr>
        <w:spacing w:after="0" w:line="2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Certain TCCC Subsidiaries also contract manufacture certain of the Company’s Monster Energy® brand energy drinks as well as Mutant® Super Soda drinks. Contract manufacturing expenses were $2.9 million and $2.2 million for the three-months ended June 30, 2017 and 2016, respectively. Contract manufacturing expenses were $5.1 million and $3.8 million for the six-months ended June 30, 2017 and 2016,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Accounts receivable, accounts payable and accrued promotional allowances related to the TCCC Subsidiaries are as follows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20"/>
                <w:szCs w:val="20"/>
                <w:color w:val="auto"/>
                <w:w w:val="93"/>
              </w:rPr>
              <w:t>June 30,</w:t>
            </w:r>
          </w:p>
        </w:tc>
        <w:tc>
          <w:tcPr>
            <w:tcW w:w="1360" w:type="dxa"/>
            <w:vAlign w:val="bottom"/>
            <w:gridSpan w:val="2"/>
          </w:tcPr>
          <w:p>
            <w:pPr>
              <w:jc w:val="right"/>
              <w:ind w:right="41"/>
              <w:spacing w:after="0"/>
              <w:rPr>
                <w:sz w:val="20"/>
                <w:szCs w:val="20"/>
                <w:color w:val="auto"/>
              </w:rPr>
            </w:pPr>
            <w:r>
              <w:rPr>
                <w:rFonts w:ascii="Arial" w:cs="Arial" w:eastAsia="Arial" w:hAnsi="Arial"/>
                <w:sz w:val="20"/>
                <w:szCs w:val="20"/>
                <w:color w:val="auto"/>
                <w:w w:val="95"/>
              </w:rPr>
              <w:t>December 31,</w:t>
            </w:r>
          </w:p>
        </w:tc>
      </w:tr>
      <w:tr>
        <w:trPr>
          <w:trHeight w:val="246"/>
        </w:trPr>
        <w:tc>
          <w:tcPr>
            <w:tcW w:w="37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2017</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2016</w:t>
            </w:r>
          </w:p>
        </w:tc>
      </w:tr>
      <w:tr>
        <w:trPr>
          <w:trHeight w:val="436"/>
        </w:trPr>
        <w:tc>
          <w:tcPr>
            <w:tcW w:w="3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99,337</w:t>
            </w:r>
          </w:p>
        </w:tc>
        <w:tc>
          <w:tcPr>
            <w:tcW w:w="300" w:type="dxa"/>
            <w:vAlign w:val="bottom"/>
          </w:tcPr>
          <w:p>
            <w:pPr>
              <w:spacing w:after="0"/>
              <w:rPr>
                <w:sz w:val="24"/>
                <w:szCs w:val="24"/>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151,756</w:t>
            </w:r>
          </w:p>
        </w:tc>
      </w:tr>
      <w:tr>
        <w:trPr>
          <w:trHeight w:val="230"/>
        </w:trPr>
        <w:tc>
          <w:tcPr>
            <w:tcW w:w="3720" w:type="dxa"/>
            <w:vAlign w:val="bottom"/>
          </w:tcPr>
          <w:p>
            <w:pPr>
              <w:spacing w:after="0"/>
              <w:rPr>
                <w:sz w:val="20"/>
                <w:szCs w:val="20"/>
                <w:color w:val="auto"/>
              </w:rPr>
            </w:pPr>
            <w:r>
              <w:rPr>
                <w:rFonts w:ascii="Arial" w:cs="Arial" w:eastAsia="Arial" w:hAnsi="Arial"/>
                <w:sz w:val="20"/>
                <w:szCs w:val="20"/>
                <w:color w:val="auto"/>
              </w:rPr>
              <w:t>TCCC transaction receivable</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125,000</w:t>
            </w:r>
          </w:p>
        </w:tc>
      </w:tr>
      <w:tr>
        <w:trPr>
          <w:trHeight w:val="230"/>
        </w:trPr>
        <w:tc>
          <w:tcPr>
            <w:tcW w:w="3720" w:type="dxa"/>
            <w:vAlign w:val="bottom"/>
          </w:tcPr>
          <w:p>
            <w:pPr>
              <w:spacing w:after="0"/>
              <w:rPr>
                <w:sz w:val="20"/>
                <w:szCs w:val="20"/>
                <w:color w:val="auto"/>
              </w:rPr>
            </w:pPr>
            <w:r>
              <w:rPr>
                <w:rFonts w:ascii="Arial" w:cs="Arial" w:eastAsia="Arial" w:hAnsi="Arial"/>
                <w:sz w:val="20"/>
                <w:szCs w:val="20"/>
                <w:color w:val="auto"/>
              </w:rPr>
              <w:t>Accounts payable</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20"/>
                <w:szCs w:val="20"/>
                <w:color w:val="auto"/>
              </w:rPr>
              <w:t>(22,332)</w:t>
            </w: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(41,210)</w:t>
            </w:r>
          </w:p>
        </w:tc>
      </w:tr>
      <w:tr>
        <w:trPr>
          <w:trHeight w:val="250"/>
        </w:trPr>
        <w:tc>
          <w:tcPr>
            <w:tcW w:w="3720" w:type="dxa"/>
            <w:vAlign w:val="bottom"/>
          </w:tcPr>
          <w:p>
            <w:pPr>
              <w:spacing w:after="0"/>
              <w:rPr>
                <w:sz w:val="20"/>
                <w:szCs w:val="20"/>
                <w:color w:val="auto"/>
              </w:rPr>
            </w:pPr>
            <w:r>
              <w:rPr>
                <w:rFonts w:ascii="Arial" w:cs="Arial" w:eastAsia="Arial" w:hAnsi="Arial"/>
                <w:sz w:val="20"/>
                <w:szCs w:val="20"/>
                <w:color w:val="auto"/>
              </w:rPr>
              <w:t>Accrued promotional allowances</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20"/>
                <w:szCs w:val="20"/>
                <w:color w:val="auto"/>
              </w:rPr>
              <w:t>(20,257)</w:t>
            </w: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(27,056)</w:t>
            </w:r>
          </w:p>
        </w:tc>
      </w:tr>
    </w:tbl>
    <w:p>
      <w:pPr>
        <w:spacing w:after="0" w:line="20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June 30, 2017 and 2016 were $1.2 million and $0.2 million, respectively. Expenses incurred with such company in connection with promotional materials purchased during the six-months ended June 30, 2017 and 2016 were $1.4 million and $0.3 million,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as well as Mutant® Super Sodas.</w:t>
      </w:r>
    </w:p>
    <w:p>
      <w:pPr>
        <w:sectPr>
          <w:pgSz w:w="11900" w:h="16838" w:orient="portrait"/>
          <w:cols w:equalWidth="0" w:num="1">
            <w:col w:w="11420"/>
          </w:cols>
          <w:pgMar w:left="240" w:top="122" w:right="239" w:bottom="0" w:gutter="0" w:footer="0" w:header="0"/>
        </w:sect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Acquisitions and Divestitures</w:t>
      </w:r>
    </w:p>
    <w:p>
      <w:pPr>
        <w:sectPr>
          <w:pgSz w:w="11900" w:h="16838" w:orient="portrait"/>
          <w:cols w:equalWidth="0" w:num="1">
            <w:col w:w="11420"/>
          </w:cols>
          <w:pgMar w:left="240" w:top="122" w:right="239" w:bottom="0" w:gutter="0" w:footer="0" w:header="0"/>
          <w:type w:val="continuous"/>
        </w:sectPr>
      </w:pPr>
    </w:p>
    <w:bookmarkStart w:id="18" w:name="page19"/>
    <w:bookmarkEnd w:id="18"/>
    <w:p>
      <w:pPr>
        <w:spacing w:after="0" w:line="16"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On April 1, 2016, we completed our acquisition of flavor supplier and long-time business partner American Fruits &amp; Flavors (“AFF”), in an asset acquisition that brought our primary flavor supplier in-house, secured the intellectual property of our most important flavors in perpetuity and further enhanced our flavor development and global flavor footprint capabilities (the “AFF Transaction”). Pursuant to the terms of the AFF Transaction, we purchased AFF for $688.5 million in cash.</w:t>
      </w:r>
    </w:p>
    <w:p>
      <w:pPr>
        <w:spacing w:after="0" w:line="205" w:lineRule="exact"/>
        <w:rPr>
          <w:sz w:val="20"/>
          <w:szCs w:val="20"/>
          <w:color w:val="auto"/>
        </w:rPr>
      </w:pPr>
    </w:p>
    <w:p>
      <w:pPr>
        <w:jc w:val="both"/>
        <w:ind w:right="40" w:firstLine="648"/>
        <w:spacing w:after="0" w:line="274" w:lineRule="auto"/>
        <w:rPr>
          <w:sz w:val="20"/>
          <w:szCs w:val="20"/>
          <w:color w:val="auto"/>
        </w:rPr>
      </w:pPr>
      <w:r>
        <w:rPr>
          <w:rFonts w:ascii="Arial" w:cs="Arial" w:eastAsia="Arial" w:hAnsi="Arial"/>
          <w:sz w:val="18"/>
          <w:szCs w:val="18"/>
          <w:color w:val="auto"/>
        </w:rPr>
        <w:t>We accounted for the AFF Transaction in accordance with Financial Accounting Standards Board (“FASB”) Accounting Standards Codification (“ASC”) 805 “Business Combinations”. Inventory purchased under the AFF Transaction was recorded at fair value. Raw material cost savings from the AFF Transaction were approximately $28.6 million and $1.1 million in the three-months ended June 30, 2017 and 2016, respectively. Raw material cost savings from the AFF Transaction were approximately $51.9 million and $1.1 million in the six-months ended June 30, 2017 and 2016, respectively. Raw material costs savings from the AFF Transaction were minimally realized in the three- and six-months ended June 30, 2016 as the Company’s inventory on hand prior to the AFF Transaction, as well as the inventory acquired in the AFF Transaction which was recorded at fair value, were not recognized through cost of goods sold until the end of the second quarter of 2016.</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Distributor Terminations</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9"/>
          <w:szCs w:val="19"/>
          <w:color w:val="auto"/>
        </w:rPr>
        <w:t>In accordance with ASC No. 420 “Exit or Disposal Cost Obligations”, we expense distributor termination costs in the period in which the written notification of termination occurs. We incurred termination costs of $0.2 million and $25.3 million for the three-months ended June 30, 2017 and 2016, respectively, related to the distribution rights transferred to The Coca-Cola Company’s (“TCCC”) distribution network. We incurred termination costs of $20.1 million and $28.7 million for the six-months ended June 30, 2017 and 2016, respectively, related to the distribution rights transferred to TCCC’s distribution network. Such termination costs have been expensed in full and are included in operating expenses for the three- and six-months ended June 30, 2017 and 2016.</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We develop, market, sell and distribute energy drink beverages, super sodas and/or concentrates for energy drink beverages, primarily under the following brand names: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Monster Energy®</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Naplu®</w:t>
            </w:r>
          </w:p>
        </w:tc>
      </w:t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Monster Rehab®</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NOS®</w:t>
            </w: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20"/>
                <w:szCs w:val="20"/>
                <w:color w:val="auto"/>
              </w:rPr>
              <w:t>·  Monster Energy Extra Strength Nitrous Technology®</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Full Throttle®</w:t>
            </w:r>
          </w:p>
        </w:tc>
      </w:t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Java Monster®</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Burn®</w:t>
            </w:r>
          </w:p>
        </w:tc>
      </w:t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Muscle Monster®</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Mother®</w:t>
            </w:r>
          </w:p>
        </w:tc>
      </w:t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Mega Monster Energy®</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Ultra®</w:t>
            </w:r>
          </w:p>
        </w:tc>
      </w:t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Punch Monster®</w:t>
            </w:r>
          </w:p>
        </w:tc>
        <w:tc>
          <w:tcPr>
            <w:tcW w:w="6320" w:type="dxa"/>
            <w:vAlign w:val="bottom"/>
            <w:gridSpan w:val="2"/>
          </w:tcPr>
          <w:p>
            <w:pPr>
              <w:ind w:left="1620"/>
              <w:spacing w:after="0"/>
              <w:rPr>
                <w:sz w:val="20"/>
                <w:szCs w:val="20"/>
                <w:color w:val="auto"/>
              </w:rPr>
            </w:pPr>
            <w:r>
              <w:rPr>
                <w:rFonts w:ascii="Arial" w:cs="Arial" w:eastAsia="Arial" w:hAnsi="Arial"/>
                <w:sz w:val="20"/>
                <w:szCs w:val="20"/>
                <w:color w:val="auto"/>
              </w:rPr>
              <w:t>·  Play® and Power Play®</w:t>
            </w:r>
          </w:p>
        </w:tc>
      </w:t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Juice Monster®</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Gladiator®</w:t>
            </w:r>
          </w:p>
        </w:tc>
      </w:t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Übermonster®</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Relentless®</w:t>
            </w:r>
          </w:p>
        </w:tc>
      </w:t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BU®</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Samurai®</w:t>
            </w:r>
          </w:p>
        </w:tc>
      </w:t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Mutant® Super Soda</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BPM®</w:t>
            </w:r>
          </w:p>
        </w:tc>
      </w:tr>
      <w:tr>
        <w:trPr>
          <w:trHeight w:val="25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Monster Hydro</w:t>
            </w:r>
            <w:r>
              <w:rPr>
                <w:rFonts w:ascii="Arial" w:cs="Arial" w:eastAsia="Arial" w:hAnsi="Arial"/>
                <w:sz w:val="12"/>
                <w:szCs w:val="12"/>
                <w:color w:val="auto"/>
              </w:rPr>
              <w:t>TM</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Monster Energy Ultra</w:t>
            </w:r>
            <w:r>
              <w:rPr>
                <w:rFonts w:ascii="Arial" w:cs="Arial" w:eastAsia="Arial" w:hAnsi="Arial"/>
                <w:sz w:val="12"/>
                <w:szCs w:val="12"/>
                <w:color w:val="auto"/>
              </w:rPr>
              <w:t>TM</w:t>
            </w:r>
          </w:p>
        </w:tc>
      </w:tr>
      <w:tr>
        <w:trPr>
          <w:trHeight w:val="442"/>
        </w:trPr>
        <w:tc>
          <w:tcPr>
            <w:tcW w:w="3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80" w:type="dxa"/>
            <w:vAlign w:val="bottom"/>
          </w:tcPr>
          <w:p>
            <w:pPr>
              <w:ind w:left="480"/>
              <w:spacing w:after="0"/>
              <w:rPr>
                <w:sz w:val="20"/>
                <w:szCs w:val="20"/>
                <w:color w:val="auto"/>
              </w:rPr>
            </w:pPr>
            <w:r>
              <w:rPr>
                <w:rFonts w:ascii="Arial" w:cs="Arial" w:eastAsia="Arial" w:hAnsi="Arial"/>
                <w:sz w:val="18"/>
                <w:szCs w:val="18"/>
                <w:color w:val="auto"/>
              </w:rPr>
              <w:t>27</w:t>
            </w:r>
          </w:p>
        </w:tc>
        <w:tc>
          <w:tcPr>
            <w:tcW w:w="4540" w:type="dxa"/>
            <w:vAlign w:val="bottom"/>
          </w:tcPr>
          <w:p>
            <w:pPr>
              <w:spacing w:after="0"/>
              <w:rPr>
                <w:sz w:val="24"/>
                <w:szCs w:val="24"/>
                <w:color w:val="auto"/>
              </w:rPr>
            </w:pPr>
          </w:p>
        </w:tc>
      </w:tr>
      <w:tr>
        <w:trPr>
          <w:trHeight w:val="132"/>
        </w:trPr>
        <w:tc>
          <w:tcPr>
            <w:tcW w:w="30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c>
          <w:tcPr>
            <w:tcW w:w="45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Our Monster Energy® brand energy drinks, which represented 89.4% and 89.8% of our net sales for the three-months ended June 30, 2017 and 2016, respectively, primarily include the following:</w:t>
      </w:r>
    </w:p>
    <w:p>
      <w:pPr>
        <w:spacing w:after="0" w:line="183" w:lineRule="exact"/>
        <w:rPr>
          <w:sz w:val="20"/>
          <w:szCs w:val="20"/>
          <w:color w:val="auto"/>
        </w:rPr>
      </w:pPr>
    </w:p>
    <w:tbl>
      <w:tblPr>
        <w:tblLayout w:type="fixed"/>
        <w:tblInd w:w="140" w:type="dxa"/>
        <w:tblCellMar>
          <w:top w:w="0" w:type="dxa"/>
          <w:left w:w="0" w:type="dxa"/>
          <w:bottom w:w="0" w:type="dxa"/>
          <w:right w:w="0" w:type="dxa"/>
        </w:tblCellMar>
      </w:tblPr>
      <w:tr>
        <w:trPr>
          <w:trHeight w:val="218"/>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5520" w:type="dxa"/>
            <w:vAlign w:val="bottom"/>
          </w:tcPr>
          <w:p>
            <w:pPr>
              <w:ind w:left="120"/>
              <w:spacing w:after="0"/>
              <w:rPr>
                <w:sz w:val="20"/>
                <w:szCs w:val="20"/>
                <w:color w:val="auto"/>
              </w:rPr>
            </w:pPr>
            <w:r>
              <w:rPr>
                <w:rFonts w:ascii="Arial" w:cs="Arial" w:eastAsia="Arial" w:hAnsi="Arial"/>
                <w:sz w:val="19"/>
                <w:szCs w:val="19"/>
                <w:color w:val="auto"/>
              </w:rPr>
              <w:t>Monster Energy®</w:t>
            </w:r>
          </w:p>
        </w:tc>
        <w:tc>
          <w:tcPr>
            <w:tcW w:w="5300" w:type="dxa"/>
            <w:vAlign w:val="bottom"/>
            <w:gridSpan w:val="2"/>
          </w:tcPr>
          <w:p>
            <w:pPr>
              <w:ind w:left="960"/>
              <w:spacing w:after="0"/>
              <w:rPr>
                <w:sz w:val="20"/>
                <w:szCs w:val="20"/>
                <w:color w:val="auto"/>
              </w:rPr>
            </w:pPr>
            <w:r>
              <w:rPr>
                <w:rFonts w:ascii="Arial" w:cs="Arial" w:eastAsia="Arial" w:hAnsi="Arial"/>
                <w:sz w:val="19"/>
                <w:szCs w:val="19"/>
                <w:color w:val="auto"/>
              </w:rPr>
              <w:t>·   Java Monster® Kona Blend</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Lo-Carb Monster Energy®</w:t>
            </w:r>
          </w:p>
        </w:tc>
        <w:tc>
          <w:tcPr>
            <w:tcW w:w="5300" w:type="dxa"/>
            <w:vAlign w:val="bottom"/>
            <w:gridSpan w:val="2"/>
          </w:tcPr>
          <w:p>
            <w:pPr>
              <w:ind w:left="960"/>
              <w:spacing w:after="0" w:line="216" w:lineRule="exact"/>
              <w:rPr>
                <w:sz w:val="20"/>
                <w:szCs w:val="20"/>
                <w:color w:val="auto"/>
              </w:rPr>
            </w:pPr>
            <w:r>
              <w:rPr>
                <w:rFonts w:ascii="Arial" w:cs="Arial" w:eastAsia="Arial" w:hAnsi="Arial"/>
                <w:sz w:val="19"/>
                <w:szCs w:val="19"/>
                <w:color w:val="auto"/>
              </w:rPr>
              <w:t>·   Java Monster® Loca Moca®</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Monster Assault®</w:t>
            </w:r>
          </w:p>
        </w:tc>
        <w:tc>
          <w:tcPr>
            <w:tcW w:w="5300" w:type="dxa"/>
            <w:vAlign w:val="bottom"/>
            <w:gridSpan w:val="2"/>
          </w:tcPr>
          <w:p>
            <w:pPr>
              <w:ind w:left="960"/>
              <w:spacing w:after="0" w:line="216" w:lineRule="exact"/>
              <w:rPr>
                <w:sz w:val="20"/>
                <w:szCs w:val="20"/>
                <w:color w:val="auto"/>
              </w:rPr>
            </w:pPr>
            <w:r>
              <w:rPr>
                <w:rFonts w:ascii="Arial" w:cs="Arial" w:eastAsia="Arial" w:hAnsi="Arial"/>
                <w:sz w:val="19"/>
                <w:szCs w:val="19"/>
                <w:color w:val="auto"/>
              </w:rPr>
              <w:t>·   Java Monster® Mean Bean®</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Juice Monster® Khaos®</w:t>
            </w:r>
          </w:p>
        </w:tc>
        <w:tc>
          <w:tcPr>
            <w:tcW w:w="5300" w:type="dxa"/>
            <w:vAlign w:val="bottom"/>
            <w:gridSpan w:val="2"/>
          </w:tcPr>
          <w:p>
            <w:pPr>
              <w:ind w:left="960"/>
              <w:spacing w:after="0" w:line="216" w:lineRule="exact"/>
              <w:rPr>
                <w:sz w:val="20"/>
                <w:szCs w:val="20"/>
                <w:color w:val="auto"/>
              </w:rPr>
            </w:pPr>
            <w:r>
              <w:rPr>
                <w:rFonts w:ascii="Arial" w:cs="Arial" w:eastAsia="Arial" w:hAnsi="Arial"/>
                <w:sz w:val="19"/>
                <w:szCs w:val="19"/>
                <w:color w:val="auto"/>
              </w:rPr>
              <w:t>·   Java Monster® Vanilla Light</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Juice Monster® Ripper®</w:t>
            </w:r>
          </w:p>
        </w:tc>
        <w:tc>
          <w:tcPr>
            <w:tcW w:w="5300" w:type="dxa"/>
            <w:vAlign w:val="bottom"/>
            <w:gridSpan w:val="2"/>
          </w:tcPr>
          <w:p>
            <w:pPr>
              <w:ind w:left="960"/>
              <w:spacing w:after="0" w:line="216" w:lineRule="exact"/>
              <w:rPr>
                <w:sz w:val="20"/>
                <w:szCs w:val="20"/>
                <w:color w:val="auto"/>
              </w:rPr>
            </w:pPr>
            <w:r>
              <w:rPr>
                <w:rFonts w:ascii="Arial" w:cs="Arial" w:eastAsia="Arial" w:hAnsi="Arial"/>
                <w:sz w:val="19"/>
                <w:szCs w:val="19"/>
                <w:color w:val="auto"/>
              </w:rPr>
              <w:t>·   Java Monster® Irish Blend®</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Juice Monster® Pipeline Punch®</w:t>
            </w:r>
          </w:p>
        </w:tc>
        <w:tc>
          <w:tcPr>
            <w:tcW w:w="5300" w:type="dxa"/>
            <w:vAlign w:val="bottom"/>
            <w:gridSpan w:val="2"/>
          </w:tcPr>
          <w:p>
            <w:pPr>
              <w:ind w:left="960"/>
              <w:spacing w:after="0" w:line="216" w:lineRule="exact"/>
              <w:rPr>
                <w:sz w:val="20"/>
                <w:szCs w:val="20"/>
                <w:color w:val="auto"/>
              </w:rPr>
            </w:pPr>
            <w:r>
              <w:rPr>
                <w:rFonts w:ascii="Arial" w:cs="Arial" w:eastAsia="Arial" w:hAnsi="Arial"/>
                <w:sz w:val="19"/>
                <w:szCs w:val="19"/>
                <w:color w:val="auto"/>
              </w:rPr>
              <w:t>·   Java Monster® Salted Caramel</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Juice Monster® Mango Loco</w:t>
            </w:r>
          </w:p>
        </w:tc>
        <w:tc>
          <w:tcPr>
            <w:tcW w:w="1120" w:type="dxa"/>
            <w:vAlign w:val="bottom"/>
          </w:tcPr>
          <w:p>
            <w:pPr>
              <w:ind w:left="960"/>
              <w:spacing w:after="0" w:line="216" w:lineRule="exact"/>
              <w:rPr>
                <w:sz w:val="20"/>
                <w:szCs w:val="20"/>
                <w:color w:val="auto"/>
              </w:rPr>
            </w:pPr>
            <w:r>
              <w:rPr>
                <w:rFonts w:ascii="Arial" w:cs="Arial" w:eastAsia="Arial" w:hAnsi="Arial"/>
                <w:sz w:val="19"/>
                <w:szCs w:val="19"/>
                <w:color w:val="auto"/>
              </w:rPr>
              <w:t>·</w:t>
            </w:r>
          </w:p>
        </w:tc>
        <w:tc>
          <w:tcPr>
            <w:tcW w:w="4180" w:type="dxa"/>
            <w:vAlign w:val="bottom"/>
          </w:tcPr>
          <w:p>
            <w:pPr>
              <w:ind w:left="120"/>
              <w:spacing w:after="0" w:line="216" w:lineRule="exact"/>
              <w:rPr>
                <w:sz w:val="20"/>
                <w:szCs w:val="20"/>
                <w:color w:val="auto"/>
              </w:rPr>
            </w:pPr>
            <w:r>
              <w:rPr>
                <w:rFonts w:ascii="Arial" w:cs="Arial" w:eastAsia="Arial" w:hAnsi="Arial"/>
                <w:sz w:val="19"/>
                <w:szCs w:val="19"/>
                <w:color w:val="auto"/>
              </w:rPr>
              <w:t>Mega Monster Energy®</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Monster Energy® Import</w:t>
            </w:r>
          </w:p>
        </w:tc>
        <w:tc>
          <w:tcPr>
            <w:tcW w:w="5300" w:type="dxa"/>
            <w:vAlign w:val="bottom"/>
            <w:gridSpan w:val="2"/>
          </w:tcPr>
          <w:p>
            <w:pPr>
              <w:ind w:left="960"/>
              <w:spacing w:after="0" w:line="216" w:lineRule="exact"/>
              <w:rPr>
                <w:sz w:val="20"/>
                <w:szCs w:val="20"/>
                <w:color w:val="auto"/>
              </w:rPr>
            </w:pPr>
            <w:r>
              <w:rPr>
                <w:rFonts w:ascii="Arial" w:cs="Arial" w:eastAsia="Arial" w:hAnsi="Arial"/>
                <w:sz w:val="19"/>
                <w:szCs w:val="19"/>
                <w:color w:val="auto"/>
                <w:w w:val="92"/>
              </w:rPr>
              <w:t>·   Monster Energy Extra Strength Nitrous Technology®</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Punch Monster® Baller’s Blend® (formerly Dub Edition)</w:t>
            </w:r>
          </w:p>
        </w:tc>
        <w:tc>
          <w:tcPr>
            <w:tcW w:w="1120" w:type="dxa"/>
            <w:vAlign w:val="bottom"/>
          </w:tcPr>
          <w:p>
            <w:pPr>
              <w:spacing w:after="0"/>
              <w:rPr>
                <w:sz w:val="18"/>
                <w:szCs w:val="18"/>
                <w:color w:val="auto"/>
              </w:rPr>
            </w:pPr>
          </w:p>
        </w:tc>
        <w:tc>
          <w:tcPr>
            <w:tcW w:w="4180" w:type="dxa"/>
            <w:vAlign w:val="bottom"/>
          </w:tcPr>
          <w:p>
            <w:pPr>
              <w:ind w:left="160"/>
              <w:spacing w:after="0" w:line="216" w:lineRule="exact"/>
              <w:rPr>
                <w:sz w:val="20"/>
                <w:szCs w:val="20"/>
                <w:color w:val="auto"/>
              </w:rPr>
            </w:pPr>
            <w:r>
              <w:rPr>
                <w:rFonts w:ascii="Arial" w:cs="Arial" w:eastAsia="Arial" w:hAnsi="Arial"/>
                <w:sz w:val="19"/>
                <w:szCs w:val="19"/>
                <w:color w:val="auto"/>
              </w:rPr>
              <w:t>Super Dry™</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Punch Monster® Mad Dog (formerly Dub Edition)</w:t>
            </w:r>
          </w:p>
        </w:tc>
        <w:tc>
          <w:tcPr>
            <w:tcW w:w="5300" w:type="dxa"/>
            <w:vAlign w:val="bottom"/>
            <w:gridSpan w:val="2"/>
          </w:tcPr>
          <w:p>
            <w:pPr>
              <w:ind w:left="960"/>
              <w:spacing w:after="0" w:line="216" w:lineRule="exact"/>
              <w:rPr>
                <w:sz w:val="20"/>
                <w:szCs w:val="20"/>
                <w:color w:val="auto"/>
              </w:rPr>
            </w:pPr>
            <w:r>
              <w:rPr>
                <w:rFonts w:ascii="Arial" w:cs="Arial" w:eastAsia="Arial" w:hAnsi="Arial"/>
                <w:sz w:val="19"/>
                <w:szCs w:val="19"/>
                <w:color w:val="auto"/>
                <w:w w:val="92"/>
              </w:rPr>
              <w:t>·   Monster Energy Extra Strength Nitrous Technology®</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Tea + Lemonade + Energy</w:t>
            </w:r>
          </w:p>
        </w:tc>
        <w:tc>
          <w:tcPr>
            <w:tcW w:w="1120" w:type="dxa"/>
            <w:vAlign w:val="bottom"/>
          </w:tcPr>
          <w:p>
            <w:pPr>
              <w:spacing w:after="0"/>
              <w:rPr>
                <w:sz w:val="18"/>
                <w:szCs w:val="18"/>
                <w:color w:val="auto"/>
              </w:rPr>
            </w:pPr>
          </w:p>
        </w:tc>
        <w:tc>
          <w:tcPr>
            <w:tcW w:w="4180" w:type="dxa"/>
            <w:vAlign w:val="bottom"/>
          </w:tcPr>
          <w:p>
            <w:pPr>
              <w:ind w:left="160"/>
              <w:spacing w:after="0" w:line="216" w:lineRule="exact"/>
              <w:rPr>
                <w:sz w:val="20"/>
                <w:szCs w:val="20"/>
                <w:color w:val="auto"/>
              </w:rPr>
            </w:pPr>
            <w:r>
              <w:rPr>
                <w:rFonts w:ascii="Arial" w:cs="Arial" w:eastAsia="Arial" w:hAnsi="Arial"/>
                <w:sz w:val="19"/>
                <w:szCs w:val="19"/>
                <w:color w:val="auto"/>
              </w:rPr>
              <w:t>Anti-Gravity®</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Raspberry Tea + Energy (formerly Rojo)</w:t>
            </w:r>
          </w:p>
        </w:tc>
        <w:tc>
          <w:tcPr>
            <w:tcW w:w="5300" w:type="dxa"/>
            <w:vAlign w:val="bottom"/>
            <w:gridSpan w:val="2"/>
          </w:tcPr>
          <w:p>
            <w:pPr>
              <w:ind w:left="960"/>
              <w:spacing w:after="0" w:line="216" w:lineRule="exact"/>
              <w:rPr>
                <w:sz w:val="20"/>
                <w:szCs w:val="20"/>
                <w:color w:val="auto"/>
              </w:rPr>
            </w:pPr>
            <w:r>
              <w:rPr>
                <w:rFonts w:ascii="Arial" w:cs="Arial" w:eastAsia="Arial" w:hAnsi="Arial"/>
                <w:sz w:val="19"/>
                <w:szCs w:val="19"/>
                <w:color w:val="auto"/>
              </w:rPr>
              <w:t>·   M3® Monster Energy® Super Concentrate</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Green Tea + Energy</w:t>
            </w:r>
          </w:p>
        </w:tc>
        <w:tc>
          <w:tcPr>
            <w:tcW w:w="5300" w:type="dxa"/>
            <w:vAlign w:val="bottom"/>
            <w:gridSpan w:val="2"/>
          </w:tcPr>
          <w:p>
            <w:pPr>
              <w:ind w:left="960"/>
              <w:spacing w:after="0" w:line="216" w:lineRule="exact"/>
              <w:rPr>
                <w:sz w:val="20"/>
                <w:szCs w:val="20"/>
                <w:color w:val="auto"/>
              </w:rPr>
            </w:pPr>
            <w:r>
              <w:rPr>
                <w:rFonts w:ascii="Arial" w:cs="Arial" w:eastAsia="Arial" w:hAnsi="Arial"/>
                <w:sz w:val="19"/>
                <w:szCs w:val="19"/>
                <w:color w:val="auto"/>
              </w:rPr>
              <w:t>·   Monster Energy Zero Ultra®</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Tea + Orangeade + Energy</w:t>
            </w:r>
          </w:p>
        </w:tc>
        <w:tc>
          <w:tcPr>
            <w:tcW w:w="5300" w:type="dxa"/>
            <w:vAlign w:val="bottom"/>
            <w:gridSpan w:val="2"/>
          </w:tcPr>
          <w:p>
            <w:pPr>
              <w:ind w:left="960"/>
              <w:spacing w:after="0" w:line="216" w:lineRule="exact"/>
              <w:rPr>
                <w:sz w:val="20"/>
                <w:szCs w:val="20"/>
                <w:color w:val="auto"/>
              </w:rPr>
            </w:pPr>
            <w:r>
              <w:rPr>
                <w:rFonts w:ascii="Arial" w:cs="Arial" w:eastAsia="Arial" w:hAnsi="Arial"/>
                <w:sz w:val="19"/>
                <w:szCs w:val="19"/>
                <w:color w:val="auto"/>
              </w:rPr>
              <w:t>·   Monster Energy Ultra Blue®</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Tea + Pink Lemonade + Energy</w:t>
            </w:r>
          </w:p>
        </w:tc>
        <w:tc>
          <w:tcPr>
            <w:tcW w:w="5300" w:type="dxa"/>
            <w:vAlign w:val="bottom"/>
            <w:gridSpan w:val="2"/>
          </w:tcPr>
          <w:p>
            <w:pPr>
              <w:ind w:left="960"/>
              <w:spacing w:after="0" w:line="216" w:lineRule="exact"/>
              <w:rPr>
                <w:sz w:val="20"/>
                <w:szCs w:val="20"/>
                <w:color w:val="auto"/>
              </w:rPr>
            </w:pPr>
            <w:r>
              <w:rPr>
                <w:rFonts w:ascii="Arial" w:cs="Arial" w:eastAsia="Arial" w:hAnsi="Arial"/>
                <w:sz w:val="19"/>
                <w:szCs w:val="19"/>
                <w:color w:val="auto"/>
              </w:rPr>
              <w:t>·   Monster Energy Ultra Red®</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Peach Tea + Energy</w:t>
            </w:r>
          </w:p>
        </w:tc>
        <w:tc>
          <w:tcPr>
            <w:tcW w:w="5300" w:type="dxa"/>
            <w:vAlign w:val="bottom"/>
            <w:gridSpan w:val="2"/>
          </w:tcPr>
          <w:p>
            <w:pPr>
              <w:ind w:left="960"/>
              <w:spacing w:after="0" w:line="216" w:lineRule="exact"/>
              <w:rPr>
                <w:sz w:val="20"/>
                <w:szCs w:val="20"/>
                <w:color w:val="auto"/>
              </w:rPr>
            </w:pPr>
            <w:r>
              <w:rPr>
                <w:rFonts w:ascii="Arial" w:cs="Arial" w:eastAsia="Arial" w:hAnsi="Arial"/>
                <w:sz w:val="19"/>
                <w:szCs w:val="19"/>
                <w:color w:val="auto"/>
              </w:rPr>
              <w:t>·   Monster Energy Ultra Black®</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Muscle Monster® Vanilla</w:t>
            </w:r>
          </w:p>
        </w:tc>
        <w:tc>
          <w:tcPr>
            <w:tcW w:w="5300" w:type="dxa"/>
            <w:vAlign w:val="bottom"/>
            <w:gridSpan w:val="2"/>
          </w:tcPr>
          <w:p>
            <w:pPr>
              <w:ind w:left="960"/>
              <w:spacing w:after="0" w:line="216" w:lineRule="exact"/>
              <w:rPr>
                <w:sz w:val="20"/>
                <w:szCs w:val="20"/>
                <w:color w:val="auto"/>
              </w:rPr>
            </w:pPr>
            <w:r>
              <w:rPr>
                <w:rFonts w:ascii="Arial" w:cs="Arial" w:eastAsia="Arial" w:hAnsi="Arial"/>
                <w:sz w:val="19"/>
                <w:szCs w:val="19"/>
                <w:color w:val="auto"/>
              </w:rPr>
              <w:t>·   Monster Energy Ultra Sunrise®</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Muscle Monster® Chocolate</w:t>
            </w:r>
          </w:p>
        </w:tc>
        <w:tc>
          <w:tcPr>
            <w:tcW w:w="5300" w:type="dxa"/>
            <w:vAlign w:val="bottom"/>
            <w:gridSpan w:val="2"/>
          </w:tcPr>
          <w:p>
            <w:pPr>
              <w:ind w:left="960"/>
              <w:spacing w:after="0" w:line="216" w:lineRule="exact"/>
              <w:rPr>
                <w:sz w:val="20"/>
                <w:szCs w:val="20"/>
                <w:color w:val="auto"/>
              </w:rPr>
            </w:pPr>
            <w:r>
              <w:rPr>
                <w:rFonts w:ascii="Arial" w:cs="Arial" w:eastAsia="Arial" w:hAnsi="Arial"/>
                <w:sz w:val="19"/>
                <w:szCs w:val="19"/>
                <w:color w:val="auto"/>
              </w:rPr>
              <w:t>·   Monster Energy Ultra Citron®</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Muscle Monster® Strawberry</w:t>
            </w:r>
          </w:p>
        </w:tc>
        <w:tc>
          <w:tcPr>
            <w:tcW w:w="5300" w:type="dxa"/>
            <w:vAlign w:val="bottom"/>
            <w:gridSpan w:val="2"/>
          </w:tcPr>
          <w:p>
            <w:pPr>
              <w:ind w:left="960"/>
              <w:spacing w:after="0" w:line="216" w:lineRule="exact"/>
              <w:rPr>
                <w:sz w:val="20"/>
                <w:szCs w:val="20"/>
                <w:color w:val="auto"/>
              </w:rPr>
            </w:pPr>
            <w:r>
              <w:rPr>
                <w:rFonts w:ascii="Arial" w:cs="Arial" w:eastAsia="Arial" w:hAnsi="Arial"/>
                <w:sz w:val="19"/>
                <w:szCs w:val="19"/>
                <w:color w:val="auto"/>
              </w:rPr>
              <w:t>·   Monster Energy Ultra Violet</w:t>
            </w:r>
            <w:r>
              <w:rPr>
                <w:rFonts w:ascii="Arial" w:cs="Arial" w:eastAsia="Arial" w:hAnsi="Arial"/>
                <w:sz w:val="25"/>
                <w:szCs w:val="25"/>
                <w:color w:val="auto"/>
                <w:vertAlign w:val="superscript"/>
              </w:rPr>
              <w:t>TM</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Muscle Monster® Banana</w:t>
            </w:r>
          </w:p>
        </w:tc>
        <w:tc>
          <w:tcPr>
            <w:tcW w:w="5300" w:type="dxa"/>
            <w:vAlign w:val="bottom"/>
            <w:gridSpan w:val="2"/>
          </w:tcPr>
          <w:p>
            <w:pPr>
              <w:ind w:left="960"/>
              <w:spacing w:after="0" w:line="216" w:lineRule="exact"/>
              <w:rPr>
                <w:sz w:val="20"/>
                <w:szCs w:val="20"/>
                <w:color w:val="auto"/>
              </w:rPr>
            </w:pPr>
            <w:r>
              <w:rPr>
                <w:rFonts w:ascii="Arial" w:cs="Arial" w:eastAsia="Arial" w:hAnsi="Arial"/>
                <w:sz w:val="19"/>
                <w:szCs w:val="19"/>
                <w:color w:val="auto"/>
              </w:rPr>
              <w:t>·   Monster Energy® Valentino Rossi</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Monster Energy Absolutely Zero®</w:t>
            </w:r>
          </w:p>
        </w:tc>
        <w:tc>
          <w:tcPr>
            <w:tcW w:w="1120" w:type="dxa"/>
            <w:vAlign w:val="bottom"/>
          </w:tcPr>
          <w:p>
            <w:pPr>
              <w:ind w:left="960"/>
              <w:spacing w:after="0" w:line="216" w:lineRule="exact"/>
              <w:rPr>
                <w:sz w:val="20"/>
                <w:szCs w:val="20"/>
                <w:color w:val="auto"/>
              </w:rPr>
            </w:pPr>
            <w:r>
              <w:rPr>
                <w:rFonts w:ascii="Arial" w:cs="Arial" w:eastAsia="Arial" w:hAnsi="Arial"/>
                <w:sz w:val="19"/>
                <w:szCs w:val="19"/>
                <w:color w:val="auto"/>
              </w:rPr>
              <w:t>·</w:t>
            </w:r>
          </w:p>
        </w:tc>
        <w:tc>
          <w:tcPr>
            <w:tcW w:w="4180" w:type="dxa"/>
            <w:vAlign w:val="bottom"/>
          </w:tcPr>
          <w:p>
            <w:pPr>
              <w:ind w:left="120"/>
              <w:spacing w:after="0" w:line="216" w:lineRule="exact"/>
              <w:rPr>
                <w:sz w:val="20"/>
                <w:szCs w:val="20"/>
                <w:color w:val="auto"/>
              </w:rPr>
            </w:pPr>
            <w:r>
              <w:rPr>
                <w:rFonts w:ascii="Arial" w:cs="Arial" w:eastAsia="Arial" w:hAnsi="Arial"/>
                <w:sz w:val="19"/>
                <w:szCs w:val="19"/>
                <w:color w:val="auto"/>
              </w:rPr>
              <w:t>Übermonster® Energy Brew</w:t>
            </w:r>
            <w:r>
              <w:rPr>
                <w:rFonts w:ascii="Arial" w:cs="Arial" w:eastAsia="Arial" w:hAnsi="Arial"/>
                <w:sz w:val="25"/>
                <w:szCs w:val="25"/>
                <w:color w:val="auto"/>
                <w:vertAlign w:val="superscript"/>
              </w:rPr>
              <w:t>TM</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Monster Hydro</w:t>
            </w:r>
            <w:r>
              <w:rPr>
                <w:rFonts w:ascii="Arial" w:cs="Arial" w:eastAsia="Arial" w:hAnsi="Arial"/>
                <w:sz w:val="25"/>
                <w:szCs w:val="25"/>
                <w:color w:val="auto"/>
                <w:vertAlign w:val="superscript"/>
              </w:rPr>
              <w:t>TM</w:t>
            </w:r>
            <w:r>
              <w:rPr>
                <w:rFonts w:ascii="Arial" w:cs="Arial" w:eastAsia="Arial" w:hAnsi="Arial"/>
                <w:sz w:val="19"/>
                <w:szCs w:val="19"/>
                <w:color w:val="auto"/>
              </w:rPr>
              <w:t xml:space="preserve"> Mean Green®</w:t>
            </w:r>
          </w:p>
        </w:tc>
        <w:tc>
          <w:tcPr>
            <w:tcW w:w="5300" w:type="dxa"/>
            <w:vAlign w:val="bottom"/>
            <w:gridSpan w:val="2"/>
          </w:tcPr>
          <w:p>
            <w:pPr>
              <w:ind w:left="960"/>
              <w:spacing w:after="0" w:line="216" w:lineRule="exact"/>
              <w:rPr>
                <w:sz w:val="20"/>
                <w:szCs w:val="20"/>
                <w:color w:val="auto"/>
              </w:rPr>
            </w:pPr>
            <w:r>
              <w:rPr>
                <w:rFonts w:ascii="Arial" w:cs="Arial" w:eastAsia="Arial" w:hAnsi="Arial"/>
                <w:sz w:val="19"/>
                <w:szCs w:val="19"/>
                <w:color w:val="auto"/>
              </w:rPr>
              <w:t>·   Monster Energy® Lewis Hamilton 44</w:t>
            </w:r>
          </w:p>
        </w:tc>
      </w:tr>
      <w:tr>
        <w:trPr>
          <w:trHeight w:val="232"/>
        </w:trPr>
        <w:tc>
          <w:tcPr>
            <w:tcW w:w="5680" w:type="dxa"/>
            <w:vAlign w:val="bottom"/>
            <w:gridSpan w:val="2"/>
          </w:tcPr>
          <w:p>
            <w:pPr>
              <w:spacing w:after="0" w:line="232" w:lineRule="exact"/>
              <w:rPr>
                <w:sz w:val="20"/>
                <w:szCs w:val="20"/>
                <w:color w:val="auto"/>
              </w:rPr>
            </w:pPr>
            <w:r>
              <w:rPr>
                <w:rFonts w:ascii="Arial" w:cs="Arial" w:eastAsia="Arial" w:hAnsi="Arial"/>
                <w:sz w:val="19"/>
                <w:szCs w:val="19"/>
                <w:color w:val="auto"/>
              </w:rPr>
              <w:t>·   Monster Hydro</w:t>
            </w:r>
            <w:r>
              <w:rPr>
                <w:rFonts w:ascii="Arial" w:cs="Arial" w:eastAsia="Arial" w:hAnsi="Arial"/>
                <w:sz w:val="25"/>
                <w:szCs w:val="25"/>
                <w:color w:val="auto"/>
                <w:vertAlign w:val="superscript"/>
              </w:rPr>
              <w:t>TM</w:t>
            </w:r>
            <w:r>
              <w:rPr>
                <w:rFonts w:ascii="Arial" w:cs="Arial" w:eastAsia="Arial" w:hAnsi="Arial"/>
                <w:sz w:val="19"/>
                <w:szCs w:val="19"/>
                <w:color w:val="auto"/>
              </w:rPr>
              <w:t xml:space="preserve"> Manic Melon</w:t>
            </w:r>
            <w:r>
              <w:rPr>
                <w:rFonts w:ascii="Arial" w:cs="Arial" w:eastAsia="Arial" w:hAnsi="Arial"/>
                <w:sz w:val="25"/>
                <w:szCs w:val="25"/>
                <w:color w:val="auto"/>
                <w:vertAlign w:val="superscript"/>
              </w:rPr>
              <w:t>TM</w:t>
            </w:r>
          </w:p>
        </w:tc>
        <w:tc>
          <w:tcPr>
            <w:tcW w:w="1120" w:type="dxa"/>
            <w:vAlign w:val="bottom"/>
          </w:tcPr>
          <w:p>
            <w:pPr>
              <w:ind w:left="960"/>
              <w:spacing w:after="0"/>
              <w:rPr>
                <w:sz w:val="20"/>
                <w:szCs w:val="20"/>
                <w:color w:val="auto"/>
              </w:rPr>
            </w:pPr>
            <w:r>
              <w:rPr>
                <w:rFonts w:ascii="Arial" w:cs="Arial" w:eastAsia="Arial" w:hAnsi="Arial"/>
                <w:sz w:val="19"/>
                <w:szCs w:val="19"/>
                <w:color w:val="auto"/>
              </w:rPr>
              <w:t>·</w:t>
            </w:r>
          </w:p>
        </w:tc>
        <w:tc>
          <w:tcPr>
            <w:tcW w:w="4180" w:type="dxa"/>
            <w:vAlign w:val="bottom"/>
          </w:tcPr>
          <w:p>
            <w:pPr>
              <w:ind w:left="120"/>
              <w:spacing w:after="0"/>
              <w:rPr>
                <w:sz w:val="20"/>
                <w:szCs w:val="20"/>
                <w:color w:val="auto"/>
              </w:rPr>
            </w:pPr>
            <w:r>
              <w:rPr>
                <w:rFonts w:ascii="Arial" w:cs="Arial" w:eastAsia="Arial" w:hAnsi="Arial"/>
                <w:sz w:val="19"/>
                <w:szCs w:val="19"/>
                <w:color w:val="auto"/>
              </w:rPr>
              <w:t>Monster Energy® Gronk</w:t>
            </w:r>
          </w:p>
        </w:tc>
      </w:tr>
    </w:tbl>
    <w:p>
      <w:pPr>
        <w:ind w:left="420" w:hanging="282"/>
        <w:spacing w:after="0"/>
        <w:tabs>
          <w:tab w:leader="none" w:pos="4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Monster Hydro</w:t>
      </w:r>
      <w:r>
        <w:rPr>
          <w:rFonts w:ascii="Arial" w:cs="Arial" w:eastAsia="Arial" w:hAnsi="Arial"/>
          <w:sz w:val="25"/>
          <w:szCs w:val="25"/>
          <w:color w:val="auto"/>
          <w:vertAlign w:val="superscript"/>
        </w:rPr>
        <w:t>TM</w:t>
      </w:r>
      <w:r>
        <w:rPr>
          <w:rFonts w:ascii="Arial" w:cs="Arial" w:eastAsia="Arial" w:hAnsi="Arial"/>
          <w:sz w:val="19"/>
          <w:szCs w:val="19"/>
          <w:color w:val="auto"/>
        </w:rPr>
        <w:t xml:space="preserve"> Tropical Thunder</w:t>
      </w:r>
      <w:r>
        <w:rPr>
          <w:rFonts w:ascii="Arial" w:cs="Arial" w:eastAsia="Arial" w:hAnsi="Arial"/>
          <w:sz w:val="25"/>
          <w:szCs w:val="25"/>
          <w:color w:val="auto"/>
          <w:vertAlign w:val="superscript"/>
        </w:rPr>
        <w:t>TM</w:t>
      </w:r>
    </w:p>
    <w:p>
      <w:pPr>
        <w:sectPr>
          <w:pgSz w:w="11900" w:h="16854" w:orient="portrait"/>
          <w:cols w:equalWidth="0" w:num="1">
            <w:col w:w="11460"/>
          </w:cols>
          <w:pgMar w:left="240" w:top="352" w:right="199" w:bottom="0" w:gutter="0" w:footer="0" w:header="0"/>
        </w:sectPr>
      </w:pPr>
    </w:p>
    <w:bookmarkStart w:id="19" w:name="page20"/>
    <w:bookmarkEnd w:id="19"/>
    <w:p>
      <w:pPr>
        <w:jc w:val="both"/>
        <w:ind w:firstLine="648"/>
        <w:spacing w:after="0" w:line="282" w:lineRule="auto"/>
        <w:rPr>
          <w:sz w:val="20"/>
          <w:szCs w:val="20"/>
          <w:color w:val="auto"/>
        </w:rPr>
      </w:pPr>
      <w:r>
        <w:rPr>
          <w:rFonts w:ascii="Arial" w:cs="Arial" w:eastAsia="Arial" w:hAnsi="Arial"/>
          <w:sz w:val="18"/>
          <w:szCs w:val="18"/>
          <w:color w:val="auto"/>
        </w:rPr>
        <w:t>We have three operating and reportable segments, (i) Monster Energy® Drinks segment (“Monster Energy® Drinks”), which is comprised of the Company’s Monster Energy® drinks, Monster Hydro</w:t>
      </w:r>
      <w:r>
        <w:rPr>
          <w:rFonts w:ascii="Arial" w:cs="Arial" w:eastAsia="Arial" w:hAnsi="Arial"/>
          <w:sz w:val="11"/>
          <w:szCs w:val="11"/>
          <w:color w:val="auto"/>
        </w:rPr>
        <w:t>TM</w:t>
      </w:r>
      <w:r>
        <w:rPr>
          <w:rFonts w:ascii="Arial" w:cs="Arial" w:eastAsia="Arial" w:hAnsi="Arial"/>
          <w:sz w:val="18"/>
          <w:szCs w:val="18"/>
          <w:color w:val="auto"/>
        </w:rPr>
        <w:t xml:space="preserve"> energy drinks and Mutant® Super Soda drinks, (ii) Strategic Brands segment (“Strategic Brands”), which is comprised of the various energy drink brands acquired from TCCC in 2015 and (iii) Other segment (“Other”), which is comprised of certain products sold by AFF to independent third-party customers (the “AFF Third- Party Products”).</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three-months ended June 30, 2017, we continued to expand our existing energy drink portfolio and further develop our distribution markets. During the three-months ended June 30, 2017, we introduced the following products:</w:t>
      </w:r>
    </w:p>
    <w:p>
      <w:pPr>
        <w:spacing w:after="0" w:line="190" w:lineRule="exact"/>
        <w:rPr>
          <w:sz w:val="20"/>
          <w:szCs w:val="20"/>
          <w:color w:val="auto"/>
        </w:rPr>
      </w:pPr>
    </w:p>
    <w:p>
      <w:pPr>
        <w:ind w:left="620" w:hanging="288"/>
        <w:spacing w:after="0"/>
        <w:tabs>
          <w:tab w:leader="none" w:pos="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Monster Energy® Lewis Hamilton 44 (April 2017)</w:t>
      </w:r>
    </w:p>
    <w:p>
      <w:pPr>
        <w:spacing w:after="0" w:line="15" w:lineRule="exact"/>
        <w:rPr>
          <w:rFonts w:ascii="Arial" w:cs="Arial" w:eastAsia="Arial" w:hAnsi="Arial"/>
          <w:sz w:val="20"/>
          <w:szCs w:val="20"/>
          <w:color w:val="auto"/>
        </w:rPr>
      </w:pPr>
    </w:p>
    <w:p>
      <w:pPr>
        <w:ind w:left="620" w:hanging="288"/>
        <w:spacing w:after="0"/>
        <w:tabs>
          <w:tab w:leader="none" w:pos="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Mutant® Super Soda White Lightning (April 2017)</w:t>
      </w:r>
    </w:p>
    <w:p>
      <w:pPr>
        <w:ind w:left="620" w:hanging="288"/>
        <w:spacing w:after="0"/>
        <w:tabs>
          <w:tab w:leader="none" w:pos="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Monster Hydro</w:t>
      </w:r>
      <w:r>
        <w:rPr>
          <w:rFonts w:ascii="Arial" w:cs="Arial" w:eastAsia="Arial" w:hAnsi="Arial"/>
          <w:sz w:val="12"/>
          <w:szCs w:val="12"/>
          <w:color w:val="auto"/>
        </w:rPr>
        <w:t>TM</w:t>
      </w:r>
      <w:r>
        <w:rPr>
          <w:rFonts w:ascii="Arial" w:cs="Arial" w:eastAsia="Arial" w:hAnsi="Arial"/>
          <w:sz w:val="20"/>
          <w:szCs w:val="20"/>
          <w:color w:val="auto"/>
        </w:rPr>
        <w:t xml:space="preserve"> Mean Green® (May 2017)</w:t>
      </w:r>
    </w:p>
    <w:p>
      <w:pPr>
        <w:ind w:left="620" w:hanging="288"/>
        <w:spacing w:after="0"/>
        <w:tabs>
          <w:tab w:leader="none" w:pos="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Monster Hydro</w:t>
      </w:r>
      <w:r>
        <w:rPr>
          <w:rFonts w:ascii="Arial" w:cs="Arial" w:eastAsia="Arial" w:hAnsi="Arial"/>
          <w:sz w:val="12"/>
          <w:szCs w:val="12"/>
          <w:color w:val="auto"/>
        </w:rPr>
        <w:t>TM</w:t>
      </w:r>
      <w:r>
        <w:rPr>
          <w:rFonts w:ascii="Arial" w:cs="Arial" w:eastAsia="Arial" w:hAnsi="Arial"/>
          <w:sz w:val="20"/>
          <w:szCs w:val="20"/>
          <w:color w:val="auto"/>
        </w:rPr>
        <w:t xml:space="preserve"> Manic Melon</w:t>
      </w:r>
      <w:r>
        <w:rPr>
          <w:rFonts w:ascii="Arial" w:cs="Arial" w:eastAsia="Arial" w:hAnsi="Arial"/>
          <w:sz w:val="12"/>
          <w:szCs w:val="12"/>
          <w:color w:val="auto"/>
        </w:rPr>
        <w:t>TM</w:t>
      </w:r>
      <w:r>
        <w:rPr>
          <w:rFonts w:ascii="Arial" w:cs="Arial" w:eastAsia="Arial" w:hAnsi="Arial"/>
          <w:sz w:val="20"/>
          <w:szCs w:val="20"/>
          <w:color w:val="auto"/>
        </w:rPr>
        <w:t xml:space="preserve"> (May 2017)</w:t>
      </w:r>
    </w:p>
    <w:p>
      <w:pPr>
        <w:ind w:left="620" w:hanging="288"/>
        <w:spacing w:after="0"/>
        <w:tabs>
          <w:tab w:leader="none" w:pos="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Monster Hydro</w:t>
      </w:r>
      <w:r>
        <w:rPr>
          <w:rFonts w:ascii="Arial" w:cs="Arial" w:eastAsia="Arial" w:hAnsi="Arial"/>
          <w:sz w:val="12"/>
          <w:szCs w:val="12"/>
          <w:color w:val="auto"/>
        </w:rPr>
        <w:t>TM</w:t>
      </w:r>
      <w:r>
        <w:rPr>
          <w:rFonts w:ascii="Arial" w:cs="Arial" w:eastAsia="Arial" w:hAnsi="Arial"/>
          <w:sz w:val="20"/>
          <w:szCs w:val="20"/>
          <w:color w:val="auto"/>
        </w:rPr>
        <w:t xml:space="preserve"> Tropical Thunder</w:t>
      </w:r>
      <w:r>
        <w:rPr>
          <w:rFonts w:ascii="Arial" w:cs="Arial" w:eastAsia="Arial" w:hAnsi="Arial"/>
          <w:sz w:val="12"/>
          <w:szCs w:val="12"/>
          <w:color w:val="auto"/>
        </w:rPr>
        <w:t>TM</w:t>
      </w:r>
      <w:r>
        <w:rPr>
          <w:rFonts w:ascii="Arial" w:cs="Arial" w:eastAsia="Arial" w:hAnsi="Arial"/>
          <w:sz w:val="20"/>
          <w:szCs w:val="20"/>
          <w:color w:val="auto"/>
        </w:rPr>
        <w:t xml:space="preserve"> (May 2017)</w:t>
      </w:r>
    </w:p>
    <w:p>
      <w:pPr>
        <w:ind w:left="620" w:hanging="288"/>
        <w:spacing w:after="0"/>
        <w:tabs>
          <w:tab w:leader="none" w:pos="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Juice Monster® Mango Loco (May 2017)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or product lines discontinued in the three-months ended June 30, 2017, either individually or in aggregate, did not have a material adverse impact on our financial position, results of operations or liquidity.</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net sales of $907.1 million for the three-months ended June 30, 2017 represented record sales for our second fiscal quarter. The vast majority of our net sales are derived from our Monster Energy® brand energy drinks. Net sales of our Monster Energy® brand energy drinks were $810.5 million for the three-months ended June 30, 2017. Net sales of our Strategic Brands were $85.6 million for the three-months ended June 30, 2017.</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Monster Energy® Drinks segment represented 89.9% and 89.8% of our consolidated net sales for the three-months ended June 30, 2017 and 2016, respectively. Our Strategic Brands segment represented 9.4% of our consolidated net sales for both the three-months ended June 30, 2017 and 2016. Our Other segment represented 0.7% and 0.8% of our consolidated net sales for the three-months ended June 30, 2017 and 2016, respectively.</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Net changes in foreign currency exchange rates had an unfavorable impact on net sales in the Monster Energy® Drinks segment of approximately $8.3 million for the three-months ended June 30, 2017. Net changes in foreign currency exchange rates had a favorable impact on net sales in the Strategic Brands segment of approximately $0.1 million for the three-months ended June 30, 2017.</w:t>
      </w:r>
    </w:p>
    <w:p>
      <w:pPr>
        <w:spacing w:after="0" w:line="165" w:lineRule="exact"/>
        <w:rPr>
          <w:sz w:val="20"/>
          <w:szCs w:val="20"/>
          <w:color w:val="auto"/>
        </w:rPr>
      </w:pPr>
    </w:p>
    <w:p>
      <w:pPr>
        <w:jc w:val="both"/>
        <w:ind w:firstLine="743"/>
        <w:spacing w:after="0" w:line="257" w:lineRule="auto"/>
        <w:rPr>
          <w:sz w:val="20"/>
          <w:szCs w:val="20"/>
          <w:color w:val="auto"/>
        </w:rPr>
      </w:pPr>
      <w:r>
        <w:rPr>
          <w:rFonts w:ascii="Arial" w:cs="Arial" w:eastAsia="Arial" w:hAnsi="Arial"/>
          <w:sz w:val="19"/>
          <w:szCs w:val="19"/>
          <w:color w:val="auto"/>
        </w:rPr>
        <w:t>Our sales and marketing strategy for all our beverages is to focus our efforts on developing brand awareness through image-enhancing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sports personality endorsements, sampling and sponsorship of selected athletes, teams, series, bands, esports, causes and events. In-store posters, outdoor posters, print, radio and television advertising (directly and through our sponsorships and endorsements) and coupons may also be used to promote our brands.</w:t>
      </w:r>
    </w:p>
    <w:p>
      <w:pPr>
        <w:spacing w:after="0" w:line="19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believe that one of the keys to success in the beverage industry is differentiation, making our brands and products visually appealing and distinctive from other beverages on the shelves of retailers. We review our products and packaging on an ongoing basis and, where practical, endeavor to make them different and unique. The labels and graphics for many of our products are redesigned from time to time to maximize their visibility and identification, wherever they may be placed in stores, which we will continue to reevaluate from time to time.</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Our growth strategy includes expanding our international business. Net sales to customers outside the United States amounted to $247.9 million and $200.2 million for the three-months ended June 30, 2017 and 2016, respectively. Such sales were approximately 27% and 24% of net sales for the three-months ended June 30, 2017 and 2016, respectively. Net changes in foreign currency exchange rates had an unfavorable impact on net sales to customers outside the United States of approximately 3% for the three-months ended June 30, 2017.</w:t>
      </w:r>
    </w:p>
    <w:p>
      <w:pPr>
        <w:spacing w:after="0" w:line="17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customers are primarily full service beverage bottlers/distributors, retail grocery and specialty chains, wholesalers, club stores, mass merchandisers, convenience chains, food service customers and the military. Percentages of our gross sales to our various customer types for the three- and six-months ended June 30, 2017 and 2016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52" w:right="23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19"/>
                <w:szCs w:val="19"/>
                <w:color w:val="auto"/>
              </w:rPr>
            </w:pPr>
          </w:p>
        </w:tc>
        <w:tc>
          <w:tcPr>
            <w:tcW w:w="3200" w:type="dxa"/>
            <w:vAlign w:val="bottom"/>
            <w:gridSpan w:val="5"/>
          </w:tcPr>
          <w:p>
            <w:pPr>
              <w:jc w:val="center"/>
              <w:ind w:right="200"/>
              <w:spacing w:after="0"/>
              <w:rPr>
                <w:sz w:val="20"/>
                <w:szCs w:val="20"/>
                <w:color w:val="auto"/>
              </w:rPr>
            </w:pPr>
            <w:r>
              <w:rPr>
                <w:rFonts w:ascii="Arial" w:cs="Arial" w:eastAsia="Arial" w:hAnsi="Arial"/>
                <w:sz w:val="20"/>
                <w:szCs w:val="20"/>
                <w:color w:val="auto"/>
                <w:w w:val="89"/>
              </w:rPr>
              <w:t>Three-Months Ended</w:t>
            </w:r>
          </w:p>
        </w:tc>
        <w:tc>
          <w:tcPr>
            <w:tcW w:w="2960" w:type="dxa"/>
            <w:vAlign w:val="bottom"/>
            <w:gridSpan w:val="4"/>
          </w:tcPr>
          <w:p>
            <w:pPr>
              <w:jc w:val="center"/>
              <w:spacing w:after="0"/>
              <w:rPr>
                <w:sz w:val="20"/>
                <w:szCs w:val="20"/>
                <w:color w:val="auto"/>
              </w:rPr>
            </w:pPr>
            <w:r>
              <w:rPr>
                <w:rFonts w:ascii="Arial" w:cs="Arial" w:eastAsia="Arial" w:hAnsi="Arial"/>
                <w:sz w:val="20"/>
                <w:szCs w:val="20"/>
                <w:color w:val="auto"/>
                <w:w w:val="90"/>
              </w:rPr>
              <w:t>Six-Months Ended</w:t>
            </w:r>
          </w:p>
        </w:tc>
        <w:tc>
          <w:tcPr>
            <w:tcW w:w="0" w:type="dxa"/>
            <w:vAlign w:val="bottom"/>
          </w:tcPr>
          <w:p>
            <w:pPr>
              <w:spacing w:after="0"/>
              <w:rPr>
                <w:sz w:val="1"/>
                <w:szCs w:val="1"/>
                <w:color w:val="auto"/>
              </w:rPr>
            </w:pPr>
          </w:p>
        </w:tc>
      </w:tr>
      <w:tr>
        <w:trPr>
          <w:trHeight w:val="246"/>
        </w:trPr>
        <w:tc>
          <w:tcPr>
            <w:tcW w:w="5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160" w:type="dxa"/>
            <w:vAlign w:val="bottom"/>
            <w:gridSpan w:val="4"/>
          </w:tcPr>
          <w:p>
            <w:pPr>
              <w:jc w:val="center"/>
              <w:ind w:right="1260"/>
              <w:spacing w:after="0"/>
              <w:rPr>
                <w:sz w:val="20"/>
                <w:szCs w:val="20"/>
                <w:color w:val="auto"/>
              </w:rPr>
            </w:pPr>
            <w:r>
              <w:rPr>
                <w:rFonts w:ascii="Arial" w:cs="Arial" w:eastAsia="Arial" w:hAnsi="Arial"/>
                <w:sz w:val="20"/>
                <w:szCs w:val="20"/>
                <w:color w:val="auto"/>
                <w:w w:val="85"/>
              </w:rPr>
              <w:t>June 30,</w:t>
            </w:r>
          </w:p>
        </w:tc>
        <w:tc>
          <w:tcPr>
            <w:tcW w:w="1020" w:type="dxa"/>
            <w:vAlign w:val="bottom"/>
          </w:tcPr>
          <w:p>
            <w:pPr>
              <w:spacing w:after="0"/>
              <w:rPr>
                <w:sz w:val="21"/>
                <w:szCs w:val="21"/>
                <w:color w:val="auto"/>
              </w:rPr>
            </w:pPr>
          </w:p>
        </w:tc>
        <w:tc>
          <w:tcPr>
            <w:tcW w:w="1940" w:type="dxa"/>
            <w:vAlign w:val="bottom"/>
            <w:gridSpan w:val="3"/>
          </w:tcPr>
          <w:p>
            <w:pPr>
              <w:jc w:val="center"/>
              <w:ind w:right="921"/>
              <w:spacing w:after="0"/>
              <w:rPr>
                <w:sz w:val="20"/>
                <w:szCs w:val="20"/>
                <w:color w:val="auto"/>
              </w:rPr>
            </w:pPr>
            <w:r>
              <w:rPr>
                <w:rFonts w:ascii="Arial" w:cs="Arial" w:eastAsia="Arial" w:hAnsi="Arial"/>
                <w:sz w:val="20"/>
                <w:szCs w:val="20"/>
                <w:color w:val="auto"/>
                <w:w w:val="83"/>
              </w:rPr>
              <w:t>June 30,</w:t>
            </w:r>
          </w:p>
        </w:tc>
        <w:tc>
          <w:tcPr>
            <w:tcW w:w="0" w:type="dxa"/>
            <w:vAlign w:val="bottom"/>
          </w:tcPr>
          <w:p>
            <w:pPr>
              <w:spacing w:after="0"/>
              <w:rPr>
                <w:sz w:val="1"/>
                <w:szCs w:val="1"/>
                <w:color w:val="auto"/>
              </w:rPr>
            </w:pPr>
          </w:p>
        </w:tc>
      </w:tr>
      <w:tr>
        <w:trPr>
          <w:trHeight w:val="223"/>
        </w:trPr>
        <w:tc>
          <w:tcPr>
            <w:tcW w:w="5160" w:type="dxa"/>
            <w:vAlign w:val="bottom"/>
            <w:vMerge w:val="restart"/>
          </w:tcPr>
          <w:p>
            <w:pPr>
              <w:spacing w:after="0"/>
              <w:rPr>
                <w:sz w:val="20"/>
                <w:szCs w:val="20"/>
                <w:color w:val="auto"/>
              </w:rPr>
            </w:pPr>
            <w:r>
              <w:rPr>
                <w:rFonts w:ascii="Arial" w:cs="Arial" w:eastAsia="Arial" w:hAnsi="Arial"/>
                <w:sz w:val="20"/>
                <w:szCs w:val="20"/>
                <w:color w:val="auto"/>
              </w:rPr>
              <w:t>U.S. full service bottlers/distributors</w:t>
            </w:r>
          </w:p>
        </w:tc>
        <w:tc>
          <w:tcPr>
            <w:tcW w:w="1040" w:type="dxa"/>
            <w:vAlign w:val="bottom"/>
            <w:tcBorders>
              <w:top w:val="single" w:sz="8" w:color="auto"/>
            </w:tcBorders>
          </w:tcPr>
          <w:p>
            <w:pPr>
              <w:jc w:val="center"/>
              <w:ind w:left="261"/>
              <w:spacing w:after="0" w:line="223" w:lineRule="exact"/>
              <w:rPr>
                <w:sz w:val="20"/>
                <w:szCs w:val="20"/>
                <w:color w:val="auto"/>
              </w:rPr>
            </w:pPr>
            <w:r>
              <w:rPr>
                <w:rFonts w:ascii="Arial" w:cs="Arial" w:eastAsia="Arial" w:hAnsi="Arial"/>
                <w:sz w:val="20"/>
                <w:szCs w:val="20"/>
                <w:color w:val="auto"/>
                <w:w w:val="89"/>
              </w:rPr>
              <w:t>2017</w:t>
            </w:r>
          </w:p>
        </w:tc>
        <w:tc>
          <w:tcPr>
            <w:tcW w:w="1960" w:type="dxa"/>
            <w:vAlign w:val="bottom"/>
            <w:tcBorders>
              <w:top w:val="single" w:sz="8" w:color="auto"/>
            </w:tcBorders>
            <w:gridSpan w:val="3"/>
          </w:tcPr>
          <w:p>
            <w:pPr>
              <w:jc w:val="center"/>
              <w:ind w:left="461"/>
              <w:spacing w:after="0" w:line="223" w:lineRule="exact"/>
              <w:rPr>
                <w:sz w:val="20"/>
                <w:szCs w:val="20"/>
                <w:color w:val="auto"/>
              </w:rPr>
            </w:pPr>
            <w:r>
              <w:rPr>
                <w:rFonts w:ascii="Arial" w:cs="Arial" w:eastAsia="Arial" w:hAnsi="Arial"/>
                <w:sz w:val="20"/>
                <w:szCs w:val="20"/>
                <w:color w:val="auto"/>
                <w:w w:val="89"/>
              </w:rPr>
              <w:t>2016</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center"/>
              <w:ind w:left="261"/>
              <w:spacing w:after="0" w:line="223" w:lineRule="exact"/>
              <w:rPr>
                <w:sz w:val="20"/>
                <w:szCs w:val="20"/>
                <w:color w:val="auto"/>
              </w:rPr>
            </w:pPr>
            <w:r>
              <w:rPr>
                <w:rFonts w:ascii="Arial" w:cs="Arial" w:eastAsia="Arial" w:hAnsi="Arial"/>
                <w:sz w:val="20"/>
                <w:szCs w:val="20"/>
                <w:color w:val="auto"/>
                <w:w w:val="85"/>
              </w:rPr>
              <w:t>2017</w:t>
            </w:r>
          </w:p>
        </w:tc>
        <w:tc>
          <w:tcPr>
            <w:tcW w:w="1940" w:type="dxa"/>
            <w:vAlign w:val="bottom"/>
            <w:tcBorders>
              <w:top w:val="single" w:sz="8" w:color="auto"/>
            </w:tcBorders>
            <w:gridSpan w:val="3"/>
          </w:tcPr>
          <w:p>
            <w:pPr>
              <w:jc w:val="center"/>
              <w:ind w:left="461"/>
              <w:spacing w:after="0" w:line="223" w:lineRule="exact"/>
              <w:rPr>
                <w:sz w:val="20"/>
                <w:szCs w:val="20"/>
                <w:color w:val="auto"/>
              </w:rPr>
            </w:pPr>
            <w:r>
              <w:rPr>
                <w:rFonts w:ascii="Arial" w:cs="Arial" w:eastAsia="Arial" w:hAnsi="Arial"/>
                <w:sz w:val="20"/>
                <w:szCs w:val="20"/>
                <w:color w:val="auto"/>
                <w:w w:val="85"/>
              </w:rPr>
              <w:t>2016</w:t>
            </w:r>
          </w:p>
        </w:tc>
        <w:tc>
          <w:tcPr>
            <w:tcW w:w="0" w:type="dxa"/>
            <w:vAlign w:val="bottom"/>
          </w:tcPr>
          <w:p>
            <w:pPr>
              <w:spacing w:after="0"/>
              <w:rPr>
                <w:sz w:val="1"/>
                <w:szCs w:val="1"/>
                <w:color w:val="auto"/>
              </w:rPr>
            </w:pPr>
          </w:p>
        </w:tc>
      </w:tr>
      <w:tr>
        <w:trPr>
          <w:trHeight w:val="206"/>
        </w:trPr>
        <w:tc>
          <w:tcPr>
            <w:tcW w:w="5160" w:type="dxa"/>
            <w:vAlign w:val="bottom"/>
            <w:vMerge w:val="continue"/>
          </w:tcPr>
          <w:p>
            <w:pPr>
              <w:spacing w:after="0"/>
              <w:rPr>
                <w:sz w:val="17"/>
                <w:szCs w:val="17"/>
                <w:color w:val="auto"/>
              </w:rPr>
            </w:pPr>
          </w:p>
        </w:tc>
        <w:tc>
          <w:tcPr>
            <w:tcW w:w="1040" w:type="dxa"/>
            <w:vAlign w:val="bottom"/>
            <w:tcBorders>
              <w:top w:val="single" w:sz="8" w:color="auto"/>
            </w:tcBorders>
          </w:tcPr>
          <w:p>
            <w:pPr>
              <w:jc w:val="center"/>
              <w:ind w:left="261"/>
              <w:spacing w:after="0" w:line="207" w:lineRule="exact"/>
              <w:rPr>
                <w:sz w:val="20"/>
                <w:szCs w:val="20"/>
                <w:color w:val="auto"/>
              </w:rPr>
            </w:pPr>
            <w:r>
              <w:rPr>
                <w:rFonts w:ascii="Arial" w:cs="Arial" w:eastAsia="Arial" w:hAnsi="Arial"/>
                <w:sz w:val="20"/>
                <w:szCs w:val="20"/>
                <w:color w:val="auto"/>
                <w:w w:val="89"/>
              </w:rPr>
              <w:t>62%</w:t>
            </w:r>
          </w:p>
        </w:tc>
        <w:tc>
          <w:tcPr>
            <w:tcW w:w="3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64%</w:t>
            </w:r>
          </w:p>
        </w:tc>
        <w:tc>
          <w:tcPr>
            <w:tcW w:w="200" w:type="dxa"/>
            <w:vAlign w:val="bottom"/>
          </w:tcPr>
          <w:p>
            <w:pPr>
              <w:spacing w:after="0"/>
              <w:rPr>
                <w:sz w:val="17"/>
                <w:szCs w:val="17"/>
                <w:color w:val="auto"/>
              </w:rPr>
            </w:pPr>
          </w:p>
        </w:tc>
        <w:tc>
          <w:tcPr>
            <w:tcW w:w="1020" w:type="dxa"/>
            <w:vAlign w:val="bottom"/>
            <w:tcBorders>
              <w:top w:val="single" w:sz="8" w:color="auto"/>
            </w:tcBorders>
          </w:tcPr>
          <w:p>
            <w:pPr>
              <w:jc w:val="center"/>
              <w:ind w:left="261"/>
              <w:spacing w:after="0" w:line="207" w:lineRule="exact"/>
              <w:rPr>
                <w:sz w:val="20"/>
                <w:szCs w:val="20"/>
                <w:color w:val="auto"/>
              </w:rPr>
            </w:pPr>
            <w:r>
              <w:rPr>
                <w:rFonts w:ascii="Arial" w:cs="Arial" w:eastAsia="Arial" w:hAnsi="Arial"/>
                <w:sz w:val="20"/>
                <w:szCs w:val="20"/>
                <w:color w:val="auto"/>
                <w:w w:val="94"/>
              </w:rPr>
              <w:t>63%</w:t>
            </w:r>
          </w:p>
        </w:tc>
        <w:tc>
          <w:tcPr>
            <w:tcW w:w="3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65%</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Club stores and mass merchandisers</w:t>
            </w:r>
          </w:p>
        </w:tc>
        <w:tc>
          <w:tcPr>
            <w:tcW w:w="1040" w:type="dxa"/>
            <w:vAlign w:val="bottom"/>
          </w:tcPr>
          <w:p>
            <w:pPr>
              <w:jc w:val="center"/>
              <w:ind w:left="241"/>
              <w:spacing w:after="0"/>
              <w:rPr>
                <w:sz w:val="20"/>
                <w:szCs w:val="20"/>
                <w:color w:val="auto"/>
              </w:rPr>
            </w:pPr>
            <w:r>
              <w:rPr>
                <w:rFonts w:ascii="Arial" w:cs="Arial" w:eastAsia="Arial" w:hAnsi="Arial"/>
                <w:sz w:val="20"/>
                <w:szCs w:val="20"/>
                <w:color w:val="auto"/>
                <w:w w:val="89"/>
              </w:rPr>
              <w:t>8%</w:t>
            </w:r>
          </w:p>
        </w:tc>
        <w:tc>
          <w:tcPr>
            <w:tcW w:w="1960" w:type="dxa"/>
            <w:vAlign w:val="bottom"/>
            <w:gridSpan w:val="3"/>
          </w:tcPr>
          <w:p>
            <w:pPr>
              <w:jc w:val="center"/>
              <w:ind w:left="481"/>
              <w:spacing w:after="0"/>
              <w:rPr>
                <w:sz w:val="20"/>
                <w:szCs w:val="20"/>
                <w:color w:val="auto"/>
              </w:rPr>
            </w:pPr>
            <w:r>
              <w:rPr>
                <w:rFonts w:ascii="Arial" w:cs="Arial" w:eastAsia="Arial" w:hAnsi="Arial"/>
                <w:sz w:val="20"/>
                <w:szCs w:val="20"/>
                <w:color w:val="auto"/>
                <w:w w:val="89"/>
              </w:rPr>
              <w:t>8%</w:t>
            </w:r>
          </w:p>
        </w:tc>
        <w:tc>
          <w:tcPr>
            <w:tcW w:w="200" w:type="dxa"/>
            <w:vAlign w:val="bottom"/>
          </w:tcPr>
          <w:p>
            <w:pPr>
              <w:spacing w:after="0"/>
              <w:rPr>
                <w:sz w:val="19"/>
                <w:szCs w:val="19"/>
                <w:color w:val="auto"/>
              </w:rPr>
            </w:pPr>
          </w:p>
        </w:tc>
        <w:tc>
          <w:tcPr>
            <w:tcW w:w="1020" w:type="dxa"/>
            <w:vAlign w:val="bottom"/>
          </w:tcPr>
          <w:p>
            <w:pPr>
              <w:jc w:val="center"/>
              <w:ind w:left="261"/>
              <w:spacing w:after="0"/>
              <w:rPr>
                <w:sz w:val="20"/>
                <w:szCs w:val="20"/>
                <w:color w:val="auto"/>
              </w:rPr>
            </w:pPr>
            <w:r>
              <w:rPr>
                <w:rFonts w:ascii="Arial" w:cs="Arial" w:eastAsia="Arial" w:hAnsi="Arial"/>
                <w:sz w:val="20"/>
                <w:szCs w:val="20"/>
                <w:color w:val="auto"/>
                <w:w w:val="89"/>
              </w:rPr>
              <w:t>7%</w:t>
            </w:r>
          </w:p>
        </w:tc>
        <w:tc>
          <w:tcPr>
            <w:tcW w:w="1940" w:type="dxa"/>
            <w:vAlign w:val="bottom"/>
            <w:gridSpan w:val="3"/>
          </w:tcPr>
          <w:p>
            <w:pPr>
              <w:jc w:val="center"/>
              <w:ind w:left="461"/>
              <w:spacing w:after="0"/>
              <w:rPr>
                <w:sz w:val="20"/>
                <w:szCs w:val="20"/>
                <w:color w:val="auto"/>
              </w:rPr>
            </w:pPr>
            <w:r>
              <w:rPr>
                <w:rFonts w:ascii="Arial" w:cs="Arial" w:eastAsia="Arial" w:hAnsi="Arial"/>
                <w:sz w:val="20"/>
                <w:szCs w:val="20"/>
                <w:color w:val="auto"/>
                <w:w w:val="89"/>
              </w:rPr>
              <w:t>8%</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International full service bottlers/distributors</w:t>
            </w:r>
          </w:p>
        </w:tc>
        <w:tc>
          <w:tcPr>
            <w:tcW w:w="1040" w:type="dxa"/>
            <w:vAlign w:val="bottom"/>
          </w:tcPr>
          <w:p>
            <w:pPr>
              <w:jc w:val="center"/>
              <w:ind w:left="261"/>
              <w:spacing w:after="0"/>
              <w:rPr>
                <w:sz w:val="20"/>
                <w:szCs w:val="20"/>
                <w:color w:val="auto"/>
              </w:rPr>
            </w:pPr>
            <w:r>
              <w:rPr>
                <w:rFonts w:ascii="Arial" w:cs="Arial" w:eastAsia="Arial" w:hAnsi="Arial"/>
                <w:sz w:val="20"/>
                <w:szCs w:val="20"/>
                <w:color w:val="auto"/>
                <w:w w:val="89"/>
              </w:rPr>
              <w:t>29%</w:t>
            </w:r>
          </w:p>
        </w:tc>
        <w:tc>
          <w:tcPr>
            <w:tcW w:w="1960" w:type="dxa"/>
            <w:vAlign w:val="bottom"/>
            <w:gridSpan w:val="3"/>
          </w:tcPr>
          <w:p>
            <w:pPr>
              <w:jc w:val="center"/>
              <w:ind w:left="461"/>
              <w:spacing w:after="0"/>
              <w:rPr>
                <w:sz w:val="20"/>
                <w:szCs w:val="20"/>
                <w:color w:val="auto"/>
              </w:rPr>
            </w:pPr>
            <w:r>
              <w:rPr>
                <w:rFonts w:ascii="Arial" w:cs="Arial" w:eastAsia="Arial" w:hAnsi="Arial"/>
                <w:sz w:val="20"/>
                <w:szCs w:val="20"/>
                <w:color w:val="auto"/>
                <w:w w:val="89"/>
              </w:rPr>
              <w:t>26%</w:t>
            </w:r>
          </w:p>
        </w:tc>
        <w:tc>
          <w:tcPr>
            <w:tcW w:w="200" w:type="dxa"/>
            <w:vAlign w:val="bottom"/>
          </w:tcPr>
          <w:p>
            <w:pPr>
              <w:spacing w:after="0"/>
              <w:rPr>
                <w:sz w:val="19"/>
                <w:szCs w:val="19"/>
                <w:color w:val="auto"/>
              </w:rPr>
            </w:pPr>
          </w:p>
        </w:tc>
        <w:tc>
          <w:tcPr>
            <w:tcW w:w="1020" w:type="dxa"/>
            <w:vAlign w:val="bottom"/>
          </w:tcPr>
          <w:p>
            <w:pPr>
              <w:jc w:val="center"/>
              <w:ind w:left="261"/>
              <w:spacing w:after="0"/>
              <w:rPr>
                <w:sz w:val="20"/>
                <w:szCs w:val="20"/>
                <w:color w:val="auto"/>
              </w:rPr>
            </w:pPr>
            <w:r>
              <w:rPr>
                <w:rFonts w:ascii="Arial" w:cs="Arial" w:eastAsia="Arial" w:hAnsi="Arial"/>
                <w:sz w:val="20"/>
                <w:szCs w:val="20"/>
                <w:color w:val="auto"/>
                <w:w w:val="94"/>
              </w:rPr>
              <w:t>28%</w:t>
            </w:r>
          </w:p>
        </w:tc>
        <w:tc>
          <w:tcPr>
            <w:tcW w:w="1940" w:type="dxa"/>
            <w:vAlign w:val="bottom"/>
            <w:gridSpan w:val="3"/>
          </w:tcPr>
          <w:p>
            <w:pPr>
              <w:jc w:val="center"/>
              <w:ind w:left="461"/>
              <w:spacing w:after="0"/>
              <w:rPr>
                <w:sz w:val="20"/>
                <w:szCs w:val="20"/>
                <w:color w:val="auto"/>
              </w:rPr>
            </w:pPr>
            <w:r>
              <w:rPr>
                <w:rFonts w:ascii="Arial" w:cs="Arial" w:eastAsia="Arial" w:hAnsi="Arial"/>
                <w:sz w:val="20"/>
                <w:szCs w:val="20"/>
                <w:color w:val="auto"/>
                <w:w w:val="94"/>
              </w:rPr>
              <w:t>25%</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1040" w:type="dxa"/>
            <w:vAlign w:val="bottom"/>
          </w:tcPr>
          <w:p>
            <w:pPr>
              <w:jc w:val="center"/>
              <w:ind w:left="241"/>
              <w:spacing w:after="0"/>
              <w:rPr>
                <w:sz w:val="20"/>
                <w:szCs w:val="20"/>
                <w:color w:val="auto"/>
              </w:rPr>
            </w:pPr>
            <w:r>
              <w:rPr>
                <w:rFonts w:ascii="Arial" w:cs="Arial" w:eastAsia="Arial" w:hAnsi="Arial"/>
                <w:sz w:val="20"/>
                <w:szCs w:val="20"/>
                <w:color w:val="auto"/>
                <w:w w:val="89"/>
              </w:rPr>
              <w:t>1%</w:t>
            </w:r>
          </w:p>
        </w:tc>
        <w:tc>
          <w:tcPr>
            <w:tcW w:w="1960" w:type="dxa"/>
            <w:vAlign w:val="bottom"/>
            <w:gridSpan w:val="3"/>
          </w:tcPr>
          <w:p>
            <w:pPr>
              <w:jc w:val="center"/>
              <w:ind w:left="481"/>
              <w:spacing w:after="0"/>
              <w:rPr>
                <w:sz w:val="20"/>
                <w:szCs w:val="20"/>
                <w:color w:val="auto"/>
              </w:rPr>
            </w:pPr>
            <w:r>
              <w:rPr>
                <w:rFonts w:ascii="Arial" w:cs="Arial" w:eastAsia="Arial" w:hAnsi="Arial"/>
                <w:sz w:val="20"/>
                <w:szCs w:val="20"/>
                <w:color w:val="auto"/>
                <w:w w:val="89"/>
              </w:rPr>
              <w:t>1%</w:t>
            </w:r>
          </w:p>
        </w:tc>
        <w:tc>
          <w:tcPr>
            <w:tcW w:w="200" w:type="dxa"/>
            <w:vAlign w:val="bottom"/>
          </w:tcPr>
          <w:p>
            <w:pPr>
              <w:spacing w:after="0"/>
              <w:rPr>
                <w:sz w:val="19"/>
                <w:szCs w:val="19"/>
                <w:color w:val="auto"/>
              </w:rPr>
            </w:pPr>
          </w:p>
        </w:tc>
        <w:tc>
          <w:tcPr>
            <w:tcW w:w="1020" w:type="dxa"/>
            <w:vAlign w:val="bottom"/>
          </w:tcPr>
          <w:p>
            <w:pPr>
              <w:jc w:val="center"/>
              <w:ind w:left="261"/>
              <w:spacing w:after="0"/>
              <w:rPr>
                <w:sz w:val="20"/>
                <w:szCs w:val="20"/>
                <w:color w:val="auto"/>
              </w:rPr>
            </w:pPr>
            <w:r>
              <w:rPr>
                <w:rFonts w:ascii="Arial" w:cs="Arial" w:eastAsia="Arial" w:hAnsi="Arial"/>
                <w:sz w:val="20"/>
                <w:szCs w:val="20"/>
                <w:color w:val="auto"/>
                <w:w w:val="89"/>
              </w:rPr>
              <w:t>1%</w:t>
            </w:r>
          </w:p>
        </w:tc>
        <w:tc>
          <w:tcPr>
            <w:tcW w:w="1940" w:type="dxa"/>
            <w:vAlign w:val="bottom"/>
            <w:gridSpan w:val="3"/>
          </w:tcPr>
          <w:p>
            <w:pPr>
              <w:jc w:val="center"/>
              <w:ind w:left="461"/>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0"/>
                <w:szCs w:val="20"/>
                <w:color w:val="auto"/>
              </w:rPr>
            </w:pPr>
            <w:r>
              <w:rPr>
                <w:rFonts w:ascii="Arial" w:cs="Arial" w:eastAsia="Arial" w:hAnsi="Arial"/>
                <w:sz w:val="20"/>
                <w:szCs w:val="20"/>
                <w:color w:val="auto"/>
              </w:rPr>
              <w:t>Other</w:t>
            </w:r>
          </w:p>
        </w:tc>
        <w:tc>
          <w:tcPr>
            <w:tcW w:w="1040" w:type="dxa"/>
            <w:vAlign w:val="bottom"/>
          </w:tcPr>
          <w:p>
            <w:pPr>
              <w:jc w:val="center"/>
              <w:ind w:left="241"/>
              <w:spacing w:after="0"/>
              <w:rPr>
                <w:sz w:val="20"/>
                <w:szCs w:val="20"/>
                <w:color w:val="auto"/>
              </w:rPr>
            </w:pPr>
            <w:r>
              <w:rPr>
                <w:rFonts w:ascii="Arial" w:cs="Arial" w:eastAsia="Arial" w:hAnsi="Arial"/>
                <w:sz w:val="20"/>
                <w:szCs w:val="20"/>
                <w:color w:val="auto"/>
                <w:w w:val="89"/>
              </w:rPr>
              <w:t>0%</w:t>
            </w:r>
          </w:p>
        </w:tc>
        <w:tc>
          <w:tcPr>
            <w:tcW w:w="1960" w:type="dxa"/>
            <w:vAlign w:val="bottom"/>
            <w:gridSpan w:val="3"/>
          </w:tcPr>
          <w:p>
            <w:pPr>
              <w:jc w:val="center"/>
              <w:ind w:left="481"/>
              <w:spacing w:after="0"/>
              <w:rPr>
                <w:sz w:val="20"/>
                <w:szCs w:val="20"/>
                <w:color w:val="auto"/>
              </w:rPr>
            </w:pPr>
            <w:r>
              <w:rPr>
                <w:rFonts w:ascii="Arial" w:cs="Arial" w:eastAsia="Arial" w:hAnsi="Arial"/>
                <w:sz w:val="20"/>
                <w:szCs w:val="20"/>
                <w:color w:val="auto"/>
                <w:w w:val="89"/>
              </w:rPr>
              <w:t>1%</w:t>
            </w:r>
          </w:p>
        </w:tc>
        <w:tc>
          <w:tcPr>
            <w:tcW w:w="200" w:type="dxa"/>
            <w:vAlign w:val="bottom"/>
          </w:tcPr>
          <w:p>
            <w:pPr>
              <w:spacing w:after="0"/>
              <w:rPr>
                <w:sz w:val="21"/>
                <w:szCs w:val="21"/>
                <w:color w:val="auto"/>
              </w:rPr>
            </w:pPr>
          </w:p>
        </w:tc>
        <w:tc>
          <w:tcPr>
            <w:tcW w:w="1020" w:type="dxa"/>
            <w:vAlign w:val="bottom"/>
          </w:tcPr>
          <w:p>
            <w:pPr>
              <w:jc w:val="center"/>
              <w:ind w:left="261"/>
              <w:spacing w:after="0"/>
              <w:rPr>
                <w:sz w:val="20"/>
                <w:szCs w:val="20"/>
                <w:color w:val="auto"/>
              </w:rPr>
            </w:pPr>
            <w:r>
              <w:rPr>
                <w:rFonts w:ascii="Arial" w:cs="Arial" w:eastAsia="Arial" w:hAnsi="Arial"/>
                <w:sz w:val="20"/>
                <w:szCs w:val="20"/>
                <w:color w:val="auto"/>
                <w:w w:val="89"/>
              </w:rPr>
              <w:t>1%</w:t>
            </w:r>
          </w:p>
        </w:tc>
        <w:tc>
          <w:tcPr>
            <w:tcW w:w="1940" w:type="dxa"/>
            <w:vAlign w:val="bottom"/>
            <w:gridSpan w:val="3"/>
          </w:tcPr>
          <w:p>
            <w:pPr>
              <w:jc w:val="center"/>
              <w:ind w:left="461"/>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customers include Coca-Cola Refreshments USA, Inc., Coca-Cola Bottling Company, CCBCC Operations, LLC, United Bottling Contracts Company, LLC, and certain other TCCC independent bottlers, Coca-Cola European Partners, Coca-Cola Hellenic, Coca-Cola FEMSA, Coca-Cola Amatil, Swire Coca-Cola group in China, COFCO Coca-Cola group in China, Asahi Soft Drinks, Co., Ltd., Kalil Bottling Group, Wal-Mart, Inc. (including Sam’s Club), Costco Wholesale Corporation and select Anheuser-Busch distributors (the “AB Distributors”). TCCC, through certain wholly-owned subsidiaries (the “TCCC Subsidiaries”), accounted for approximately 17% and 42% of our net sales for the three-months ended June 30, 2017 and 2016, respectively. The TCCC Subsidiaries, accounted for approximately 25% and 44% of our net sales for the six-months ended June 30, 2017 and 2016, respectively. As part of TCCC’s North America Refranchising initiative (the “North America Refranchising”), the territories of certain TCCC Subsidiaries have been transitioned to certain independent/non wholly-owned TCCC bottler/distributors. Accordingly, our percentage of net sales classified as sales to the TCCC Subsidiaries decreased for the three- and six-months ended June 30, 2017. A decision by any large customer to decrease amounts purchased from us or to cease carrying our products could have a material negative effect on our financial condition and consolidated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key statistics for the three- and six-months ended June 30, 2017 and 2016.</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Three-Months Ended</w:t>
            </w: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Percentage</w:t>
            </w:r>
          </w:p>
        </w:tc>
        <w:tc>
          <w:tcPr>
            <w:tcW w:w="280" w:type="dxa"/>
            <w:vAlign w:val="bottom"/>
          </w:tcPr>
          <w:p>
            <w:pPr>
              <w:spacing w:after="0"/>
              <w:rPr>
                <w:sz w:val="17"/>
                <w:szCs w:val="17"/>
                <w:color w:val="auto"/>
              </w:rPr>
            </w:pPr>
          </w:p>
        </w:tc>
        <w:tc>
          <w:tcPr>
            <w:tcW w:w="2420" w:type="dxa"/>
            <w:vAlign w:val="bottom"/>
            <w:gridSpan w:val="5"/>
          </w:tcPr>
          <w:p>
            <w:pPr>
              <w:ind w:left="340"/>
              <w:spacing w:after="0"/>
              <w:rPr>
                <w:sz w:val="20"/>
                <w:szCs w:val="20"/>
                <w:color w:val="auto"/>
              </w:rPr>
            </w:pPr>
            <w:r>
              <w:rPr>
                <w:rFonts w:ascii="Arial" w:cs="Arial" w:eastAsia="Arial" w:hAnsi="Arial"/>
                <w:sz w:val="16"/>
                <w:szCs w:val="16"/>
                <w:b w:val="1"/>
                <w:bCs w:val="1"/>
                <w:color w:val="auto"/>
              </w:rPr>
              <w:t>Six-Months Ended</w:t>
            </w:r>
          </w:p>
        </w:tc>
        <w:tc>
          <w:tcPr>
            <w:tcW w:w="12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6"/>
                <w:szCs w:val="16"/>
                <w:color w:val="auto"/>
              </w:rPr>
              <w:t>(In thousands, except per share amounts)</w:t>
            </w:r>
          </w:p>
        </w:tc>
        <w:tc>
          <w:tcPr>
            <w:tcW w:w="280" w:type="dxa"/>
            <w:vAlign w:val="bottom"/>
          </w:tcPr>
          <w:p>
            <w:pPr>
              <w:spacing w:after="0"/>
              <w:rPr>
                <w:sz w:val="18"/>
                <w:szCs w:val="18"/>
                <w:color w:val="auto"/>
              </w:rPr>
            </w:pPr>
          </w:p>
        </w:tc>
        <w:tc>
          <w:tcPr>
            <w:tcW w:w="13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Change</w:t>
            </w:r>
          </w:p>
        </w:tc>
        <w:tc>
          <w:tcPr>
            <w:tcW w:w="280" w:type="dxa"/>
            <w:vAlign w:val="bottom"/>
          </w:tcPr>
          <w:p>
            <w:pPr>
              <w:spacing w:after="0"/>
              <w:rPr>
                <w:sz w:val="18"/>
                <w:szCs w:val="18"/>
                <w:color w:val="auto"/>
              </w:rPr>
            </w:pPr>
          </w:p>
        </w:tc>
        <w:tc>
          <w:tcPr>
            <w:tcW w:w="13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02"/>
        </w:trPr>
        <w:tc>
          <w:tcPr>
            <w:tcW w:w="3380" w:type="dxa"/>
            <w:vAlign w:val="bottom"/>
            <w:vMerge w:val="restart"/>
          </w:tcPr>
          <w:p>
            <w:pPr>
              <w:spacing w:after="0"/>
              <w:rPr>
                <w:sz w:val="20"/>
                <w:szCs w:val="20"/>
                <w:color w:val="auto"/>
              </w:rPr>
            </w:pPr>
            <w:r>
              <w:rPr>
                <w:rFonts w:ascii="Arial" w:cs="Arial" w:eastAsia="Arial" w:hAnsi="Arial"/>
                <w:sz w:val="16"/>
                <w:szCs w:val="16"/>
                <w:color w:val="auto"/>
              </w:rPr>
              <w:t>Net sales</w:t>
            </w:r>
            <w:r>
              <w:rPr>
                <w:rFonts w:ascii="Arial" w:cs="Arial" w:eastAsia="Arial" w:hAnsi="Arial"/>
                <w:sz w:val="21"/>
                <w:szCs w:val="21"/>
                <w:color w:val="auto"/>
                <w:vertAlign w:val="superscript"/>
              </w:rPr>
              <w:t>1</w:t>
            </w: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8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17 vs. 16</w:t>
            </w: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17 vs. 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380" w:type="dxa"/>
            <w:vAlign w:val="bottom"/>
            <w:vMerge w:val="continue"/>
          </w:tcPr>
          <w:p>
            <w:pPr>
              <w:spacing w:after="0"/>
              <w:rPr>
                <w:sz w:val="16"/>
                <w:szCs w:val="16"/>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907,068</w:t>
            </w:r>
          </w:p>
        </w:tc>
        <w:tc>
          <w:tcPr>
            <w:tcW w:w="180" w:type="dxa"/>
            <w:vAlign w:val="bottom"/>
          </w:tcPr>
          <w:p>
            <w:pPr>
              <w:spacing w:after="0"/>
              <w:rPr>
                <w:sz w:val="16"/>
                <w:szCs w:val="16"/>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827,488</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w:t>
            </w:r>
          </w:p>
        </w:tc>
        <w:tc>
          <w:tcPr>
            <w:tcW w:w="180" w:type="dxa"/>
            <w:vAlign w:val="bottom"/>
          </w:tcPr>
          <w:p>
            <w:pPr>
              <w:spacing w:after="0"/>
              <w:rPr>
                <w:sz w:val="16"/>
                <w:szCs w:val="16"/>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1,649,214</w:t>
            </w:r>
          </w:p>
        </w:tc>
        <w:tc>
          <w:tcPr>
            <w:tcW w:w="160" w:type="dxa"/>
            <w:vAlign w:val="bottom"/>
          </w:tcPr>
          <w:p>
            <w:pPr>
              <w:spacing w:after="0"/>
              <w:rPr>
                <w:sz w:val="16"/>
                <w:szCs w:val="16"/>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1,507,674</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80" w:type="dxa"/>
            <w:vAlign w:val="bottom"/>
          </w:tcPr>
          <w:p>
            <w:pPr>
              <w:spacing w:after="0"/>
              <w:rPr>
                <w:sz w:val="20"/>
                <w:szCs w:val="20"/>
                <w:color w:val="auto"/>
              </w:rPr>
            </w:pPr>
            <w:r>
              <w:rPr>
                <w:rFonts w:ascii="Arial" w:cs="Arial" w:eastAsia="Arial" w:hAnsi="Arial"/>
                <w:sz w:val="16"/>
                <w:szCs w:val="16"/>
                <w:color w:val="auto"/>
              </w:rPr>
              <w:t>Cost of sales</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323,571</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309,674</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584,843</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566,762</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0"/>
                <w:szCs w:val="20"/>
                <w:color w:val="auto"/>
              </w:rPr>
            </w:pPr>
            <w:r>
              <w:rPr>
                <w:rFonts w:ascii="Arial" w:cs="Arial" w:eastAsia="Arial" w:hAnsi="Arial"/>
                <w:sz w:val="16"/>
                <w:szCs w:val="16"/>
                <w:color w:val="auto"/>
              </w:rPr>
              <w:t>Gross profit*</w:t>
            </w:r>
            <w:r>
              <w:rPr>
                <w:rFonts w:ascii="Arial" w:cs="Arial" w:eastAsia="Arial" w:hAnsi="Arial"/>
                <w:sz w:val="21"/>
                <w:szCs w:val="21"/>
                <w:color w:val="auto"/>
                <w:vertAlign w:val="superscript"/>
              </w:rPr>
              <w:t>1</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583,497</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517,814</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1,064,371</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940,912</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3380" w:type="dxa"/>
            <w:vAlign w:val="bottom"/>
          </w:tcPr>
          <w:p>
            <w:pPr>
              <w:spacing w:after="0"/>
              <w:rPr>
                <w:sz w:val="20"/>
                <w:szCs w:val="20"/>
                <w:color w:val="auto"/>
              </w:rPr>
            </w:pPr>
            <w:r>
              <w:rPr>
                <w:rFonts w:ascii="Arial" w:cs="Arial" w:eastAsia="Arial" w:hAnsi="Arial"/>
                <w:sz w:val="16"/>
                <w:szCs w:val="16"/>
                <w:color w:val="auto"/>
              </w:rPr>
              <w:t>Gross profit as a percentage of net sales</w:t>
            </w:r>
            <w:r>
              <w:rPr>
                <w:rFonts w:ascii="Arial" w:cs="Arial" w:eastAsia="Arial" w:hAnsi="Arial"/>
                <w:sz w:val="21"/>
                <w:szCs w:val="21"/>
                <w:color w:val="auto"/>
                <w:vertAlign w:val="superscript"/>
              </w:rPr>
              <w:t>1</w:t>
            </w:r>
          </w:p>
        </w:tc>
        <w:tc>
          <w:tcPr>
            <w:tcW w:w="28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64.3%</w:t>
            </w:r>
          </w:p>
        </w:tc>
        <w:tc>
          <w:tcPr>
            <w:tcW w:w="3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62.6%</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64.5%</w:t>
            </w:r>
          </w:p>
        </w:tc>
        <w:tc>
          <w:tcPr>
            <w:tcW w:w="3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62.4%</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3380" w:type="dxa"/>
            <w:vAlign w:val="bottom"/>
          </w:tcPr>
          <w:p>
            <w:pPr>
              <w:spacing w:after="0"/>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2</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233,456</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229,291</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450,068</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397,675</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3380" w:type="dxa"/>
            <w:vAlign w:val="bottom"/>
          </w:tcPr>
          <w:p>
            <w:pPr>
              <w:spacing w:after="0"/>
              <w:rPr>
                <w:sz w:val="20"/>
                <w:szCs w:val="20"/>
                <w:color w:val="auto"/>
              </w:rPr>
            </w:pPr>
            <w:r>
              <w:rPr>
                <w:rFonts w:ascii="Arial" w:cs="Arial" w:eastAsia="Arial" w:hAnsi="Arial"/>
                <w:sz w:val="16"/>
                <w:szCs w:val="16"/>
                <w:color w:val="auto"/>
                <w:w w:val="96"/>
              </w:rPr>
              <w:t>Operating expenses as a percentage of net sales</w:t>
            </w:r>
          </w:p>
        </w:tc>
        <w:tc>
          <w:tcPr>
            <w:tcW w:w="28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25.7%</w:t>
            </w:r>
          </w:p>
        </w:tc>
        <w:tc>
          <w:tcPr>
            <w:tcW w:w="3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27.7%</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27.3%</w:t>
            </w:r>
          </w:p>
        </w:tc>
        <w:tc>
          <w:tcPr>
            <w:tcW w:w="3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26.4%</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3380" w:type="dxa"/>
            <w:vAlign w:val="bottom"/>
          </w:tcPr>
          <w:p>
            <w:pPr>
              <w:spacing w:after="0"/>
              <w:rPr>
                <w:sz w:val="20"/>
                <w:szCs w:val="20"/>
                <w:color w:val="auto"/>
              </w:rPr>
            </w:pPr>
            <w:r>
              <w:rPr>
                <w:rFonts w:ascii="Arial" w:cs="Arial" w:eastAsia="Arial" w:hAnsi="Arial"/>
                <w:sz w:val="16"/>
                <w:szCs w:val="16"/>
                <w:color w:val="auto"/>
              </w:rPr>
              <w:t>Operating income</w:t>
            </w:r>
            <w:r>
              <w:rPr>
                <w:rFonts w:ascii="Arial" w:cs="Arial" w:eastAsia="Arial" w:hAnsi="Arial"/>
                <w:sz w:val="21"/>
                <w:szCs w:val="21"/>
                <w:color w:val="auto"/>
                <w:vertAlign w:val="superscript"/>
              </w:rPr>
              <w:t>1,2</w:t>
            </w: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350,041</w:t>
            </w:r>
          </w:p>
        </w:tc>
        <w:tc>
          <w:tcPr>
            <w:tcW w:w="1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288,523</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21.3%</w:t>
            </w:r>
          </w:p>
        </w:tc>
        <w:tc>
          <w:tcPr>
            <w:tcW w:w="1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614,303</w:t>
            </w:r>
          </w:p>
        </w:tc>
        <w:tc>
          <w:tcPr>
            <w:tcW w:w="1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543,237</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380" w:type="dxa"/>
            <w:vAlign w:val="bottom"/>
          </w:tcPr>
          <w:p>
            <w:pPr>
              <w:spacing w:after="0"/>
              <w:rPr>
                <w:sz w:val="20"/>
                <w:szCs w:val="20"/>
                <w:color w:val="auto"/>
              </w:rPr>
            </w:pPr>
            <w:r>
              <w:rPr>
                <w:rFonts w:ascii="Arial" w:cs="Arial" w:eastAsia="Arial" w:hAnsi="Arial"/>
                <w:sz w:val="16"/>
                <w:szCs w:val="16"/>
                <w:color w:val="auto"/>
              </w:rPr>
              <w:t>Operating income as a percentage of net sales</w:t>
            </w:r>
          </w:p>
        </w:tc>
        <w:tc>
          <w:tcPr>
            <w:tcW w:w="28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38.6%</w:t>
            </w:r>
          </w:p>
        </w:tc>
        <w:tc>
          <w:tcPr>
            <w:tcW w:w="3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34.9%</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36.0%</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380" w:type="dxa"/>
            <w:vAlign w:val="bottom"/>
          </w:tcPr>
          <w:p>
            <w:pPr>
              <w:spacing w:after="0"/>
              <w:rPr>
                <w:sz w:val="20"/>
                <w:szCs w:val="20"/>
                <w:color w:val="auto"/>
              </w:rPr>
            </w:pPr>
            <w:r>
              <w:rPr>
                <w:rFonts w:ascii="Arial" w:cs="Arial" w:eastAsia="Arial" w:hAnsi="Arial"/>
                <w:sz w:val="16"/>
                <w:szCs w:val="16"/>
                <w:color w:val="auto"/>
              </w:rPr>
              <w:t>Interest and other (expense) income, net</w:t>
            </w:r>
          </w:p>
        </w:tc>
        <w:tc>
          <w:tcPr>
            <w:tcW w:w="28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(2,551)</w:t>
            </w:r>
          </w:p>
        </w:tc>
        <w:tc>
          <w:tcPr>
            <w:tcW w:w="3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(222)</w:t>
            </w:r>
          </w:p>
        </w:tc>
        <w:tc>
          <w:tcPr>
            <w:tcW w:w="1260" w:type="dxa"/>
            <w:vAlign w:val="bottom"/>
          </w:tcPr>
          <w:p>
            <w:pPr>
              <w:jc w:val="right"/>
              <w:spacing w:after="0"/>
              <w:rPr>
                <w:sz w:val="20"/>
                <w:szCs w:val="20"/>
                <w:color w:val="auto"/>
              </w:rPr>
            </w:pPr>
            <w:r>
              <w:rPr>
                <w:rFonts w:ascii="Arial" w:cs="Arial" w:eastAsia="Arial" w:hAnsi="Arial"/>
                <w:sz w:val="16"/>
                <w:szCs w:val="16"/>
                <w:color w:val="auto"/>
              </w:rPr>
              <w:t>1,049.1%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(1,893)</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386</w:t>
            </w:r>
          </w:p>
        </w:tc>
        <w:tc>
          <w:tcPr>
            <w:tcW w:w="16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(590.4%)</w:t>
            </w:r>
          </w:p>
        </w:tc>
        <w:tc>
          <w:tcPr>
            <w:tcW w:w="0" w:type="dxa"/>
            <w:vAlign w:val="bottom"/>
          </w:tcPr>
          <w:p>
            <w:pPr>
              <w:spacing w:after="0"/>
              <w:rPr>
                <w:sz w:val="1"/>
                <w:szCs w:val="1"/>
                <w:color w:val="auto"/>
              </w:rPr>
            </w:pPr>
          </w:p>
        </w:tc>
      </w:tr>
      <w:tr>
        <w:trPr>
          <w:trHeight w:val="470"/>
        </w:trPr>
        <w:tc>
          <w:tcPr>
            <w:tcW w:w="3380" w:type="dxa"/>
            <w:vAlign w:val="bottom"/>
          </w:tcPr>
          <w:p>
            <w:pPr>
              <w:spacing w:after="0"/>
              <w:rPr>
                <w:sz w:val="20"/>
                <w:szCs w:val="20"/>
                <w:color w:val="auto"/>
              </w:rPr>
            </w:pPr>
            <w:r>
              <w:rPr>
                <w:rFonts w:ascii="Arial" w:cs="Arial" w:eastAsia="Arial" w:hAnsi="Arial"/>
                <w:sz w:val="16"/>
                <w:szCs w:val="16"/>
                <w:color w:val="auto"/>
              </w:rPr>
              <w:t>Income before provision for income taxes</w:t>
            </w:r>
            <w:r>
              <w:rPr>
                <w:rFonts w:ascii="Arial" w:cs="Arial" w:eastAsia="Arial" w:hAnsi="Arial"/>
                <w:sz w:val="21"/>
                <w:szCs w:val="21"/>
                <w:color w:val="auto"/>
                <w:vertAlign w:val="superscript"/>
              </w:rPr>
              <w:t>1,2</w:t>
            </w: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347,490</w:t>
            </w:r>
          </w:p>
        </w:tc>
        <w:tc>
          <w:tcPr>
            <w:tcW w:w="1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288,301</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20.5%</w:t>
            </w:r>
          </w:p>
        </w:tc>
        <w:tc>
          <w:tcPr>
            <w:tcW w:w="1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612,410</w:t>
            </w:r>
          </w:p>
        </w:tc>
        <w:tc>
          <w:tcPr>
            <w:tcW w:w="1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543,623</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3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124,857</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104,082</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w:t>
            </w: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211,797</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195,526</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3380" w:type="dxa"/>
            <w:vAlign w:val="bottom"/>
          </w:tcPr>
          <w:p>
            <w:pPr>
              <w:spacing w:after="0"/>
              <w:rPr>
                <w:sz w:val="20"/>
                <w:szCs w:val="20"/>
                <w:color w:val="auto"/>
              </w:rPr>
            </w:pPr>
            <w:r>
              <w:rPr>
                <w:rFonts w:ascii="Arial" w:cs="Arial" w:eastAsia="Arial" w:hAnsi="Arial"/>
                <w:sz w:val="16"/>
                <w:szCs w:val="16"/>
                <w:color w:val="auto"/>
                <w:w w:val="99"/>
              </w:rPr>
              <w:t>Income taxes as a percentage of income before</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taxes</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35.9%</w:t>
            </w:r>
          </w:p>
        </w:tc>
        <w:tc>
          <w:tcPr>
            <w:tcW w:w="3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36.1%</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34.6%</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36.0%</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3380" w:type="dxa"/>
            <w:vAlign w:val="bottom"/>
          </w:tcPr>
          <w:p>
            <w:pPr>
              <w:spacing w:after="0"/>
              <w:rPr>
                <w:sz w:val="20"/>
                <w:szCs w:val="20"/>
                <w:color w:val="auto"/>
              </w:rPr>
            </w:pPr>
            <w:r>
              <w:rPr>
                <w:rFonts w:ascii="Arial" w:cs="Arial" w:eastAsia="Arial" w:hAnsi="Arial"/>
                <w:sz w:val="16"/>
                <w:szCs w:val="16"/>
                <w:color w:val="auto"/>
              </w:rPr>
              <w:t>Net income</w:t>
            </w:r>
            <w:r>
              <w:rPr>
                <w:rFonts w:ascii="Arial" w:cs="Arial" w:eastAsia="Arial" w:hAnsi="Arial"/>
                <w:sz w:val="21"/>
                <w:szCs w:val="21"/>
                <w:color w:val="auto"/>
                <w:vertAlign w:val="superscript"/>
              </w:rPr>
              <w:t>1,2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222,633</w:t>
            </w:r>
          </w:p>
        </w:tc>
        <w:tc>
          <w:tcPr>
            <w:tcW w:w="180" w:type="dxa"/>
            <w:vAlign w:val="bottom"/>
          </w:tcPr>
          <w:p>
            <w:pPr>
              <w:spacing w:after="0"/>
              <w:rPr>
                <w:sz w:val="24"/>
                <w:szCs w:val="24"/>
                <w:color w:val="auto"/>
              </w:rPr>
            </w:pP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184,219</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20.9%</w:t>
            </w:r>
          </w:p>
        </w:tc>
        <w:tc>
          <w:tcPr>
            <w:tcW w:w="180" w:type="dxa"/>
            <w:vAlign w:val="bottom"/>
          </w:tcPr>
          <w:p>
            <w:pPr>
              <w:spacing w:after="0"/>
              <w:rPr>
                <w:sz w:val="24"/>
                <w:szCs w:val="24"/>
                <w:color w:val="auto"/>
              </w:rPr>
            </w:pP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400,613</w:t>
            </w:r>
          </w:p>
        </w:tc>
        <w:tc>
          <w:tcPr>
            <w:tcW w:w="160" w:type="dxa"/>
            <w:vAlign w:val="bottom"/>
          </w:tcPr>
          <w:p>
            <w:pPr>
              <w:spacing w:after="0"/>
              <w:rPr>
                <w:sz w:val="24"/>
                <w:szCs w:val="24"/>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348,097</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6"/>
                <w:szCs w:val="16"/>
                <w:color w:val="auto"/>
              </w:rPr>
              <w:t>Net income as a percentage of net sales</w:t>
            </w: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80" w:type="dxa"/>
            <w:vAlign w:val="bottom"/>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3380" w:type="dxa"/>
            <w:vAlign w:val="bottom"/>
          </w:tcPr>
          <w:p>
            <w:pPr>
              <w:spacing w:after="0"/>
              <w:rPr>
                <w:sz w:val="20"/>
                <w:szCs w:val="20"/>
                <w:color w:val="auto"/>
              </w:rPr>
            </w:pPr>
            <w:r>
              <w:rPr>
                <w:rFonts w:ascii="Arial" w:cs="Arial" w:eastAsia="Arial" w:hAnsi="Arial"/>
                <w:sz w:val="16"/>
                <w:szCs w:val="16"/>
                <w:color w:val="auto"/>
              </w:rPr>
              <w:t>Net income per common share:</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18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0.39</w:t>
            </w:r>
          </w:p>
        </w:tc>
        <w:tc>
          <w:tcPr>
            <w:tcW w:w="180" w:type="dxa"/>
            <w:vAlign w:val="bottom"/>
          </w:tcPr>
          <w:p>
            <w:pPr>
              <w:spacing w:after="0"/>
              <w:rPr>
                <w:sz w:val="17"/>
                <w:szCs w:val="17"/>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0.31</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28.3%</w:t>
            </w:r>
          </w:p>
        </w:tc>
        <w:tc>
          <w:tcPr>
            <w:tcW w:w="180" w:type="dxa"/>
            <w:vAlign w:val="bottom"/>
          </w:tcPr>
          <w:p>
            <w:pPr>
              <w:spacing w:after="0"/>
              <w:rPr>
                <w:sz w:val="17"/>
                <w:szCs w:val="17"/>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0.71</w:t>
            </w:r>
          </w:p>
        </w:tc>
        <w:tc>
          <w:tcPr>
            <w:tcW w:w="160" w:type="dxa"/>
            <w:vAlign w:val="bottom"/>
          </w:tcPr>
          <w:p>
            <w:pPr>
              <w:spacing w:after="0"/>
              <w:rPr>
                <w:sz w:val="17"/>
                <w:szCs w:val="17"/>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0.57</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0.39</w:t>
            </w:r>
          </w:p>
        </w:tc>
        <w:tc>
          <w:tcPr>
            <w:tcW w:w="180" w:type="dxa"/>
            <w:vAlign w:val="bottom"/>
          </w:tcPr>
          <w:p>
            <w:pPr>
              <w:spacing w:after="0"/>
              <w:rPr>
                <w:sz w:val="17"/>
                <w:szCs w:val="17"/>
                <w:color w:val="auto"/>
              </w:rPr>
            </w:pP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0.30</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28.6%</w:t>
            </w:r>
          </w:p>
        </w:tc>
        <w:tc>
          <w:tcPr>
            <w:tcW w:w="180" w:type="dxa"/>
            <w:vAlign w:val="bottom"/>
          </w:tcPr>
          <w:p>
            <w:pPr>
              <w:spacing w:after="0"/>
              <w:rPr>
                <w:sz w:val="17"/>
                <w:szCs w:val="17"/>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0.69</w:t>
            </w:r>
          </w:p>
        </w:tc>
        <w:tc>
          <w:tcPr>
            <w:tcW w:w="160" w:type="dxa"/>
            <w:vAlign w:val="bottom"/>
          </w:tcPr>
          <w:p>
            <w:pPr>
              <w:spacing w:after="0"/>
              <w:rPr>
                <w:sz w:val="17"/>
                <w:szCs w:val="17"/>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0.56</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3380" w:type="dxa"/>
            <w:vAlign w:val="bottom"/>
          </w:tcPr>
          <w:p>
            <w:pPr>
              <w:spacing w:after="0"/>
              <w:rPr>
                <w:sz w:val="20"/>
                <w:szCs w:val="20"/>
                <w:color w:val="auto"/>
              </w:rPr>
            </w:pPr>
            <w:r>
              <w:rPr>
                <w:rFonts w:ascii="Arial" w:cs="Arial" w:eastAsia="Arial" w:hAnsi="Arial"/>
                <w:sz w:val="16"/>
                <w:szCs w:val="16"/>
                <w:color w:val="auto"/>
              </w:rPr>
              <w:t>Case sales (in thousands)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(in 192-ounce case equivalents)</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97,233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87,574</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177,225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160,227</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both"/>
        <w:spacing w:after="0" w:line="230"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Includes $10.2 million and $12.1 million for the three-months ended June 30, 2017 and 2016, respectively, related to the recognition of deferred revenue. Includes $20.1 million and $20.2 million for the six-months ended June 30, 2017 and 2016, respectively, related to the recognition of deferred revenue.</w:t>
      </w:r>
    </w:p>
    <w:p>
      <w:pPr>
        <w:spacing w:after="0" w:line="200" w:lineRule="exact"/>
        <w:rPr>
          <w:sz w:val="20"/>
          <w:szCs w:val="20"/>
          <w:color w:val="auto"/>
        </w:rPr>
      </w:pPr>
    </w:p>
    <w:p>
      <w:pPr>
        <w:jc w:val="both"/>
        <w:ind w:right="20"/>
        <w:spacing w:after="0" w:line="230"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Includes $0.2 million and $25.3 million for the three-months ended June 30, 2017 and 2016, respectively, of distributor termination costs. Includes $20.1 million and $28.7 million for the six-months ended June 30, 2017 and 2016, respectively, of distributor termination costs.</w:t>
      </w:r>
    </w:p>
    <w:p>
      <w:pPr>
        <w:sectPr>
          <w:pgSz w:w="11900" w:h="16838" w:orient="portrait"/>
          <w:cols w:equalWidth="0" w:num="1">
            <w:col w:w="11420"/>
          </w:cols>
          <w:pgMar w:left="240" w:top="338" w:right="239" w:bottom="0" w:gutter="0" w:footer="0" w:header="0"/>
        </w:sectPr>
      </w:pPr>
    </w:p>
    <w:bookmarkStart w:id="21" w:name="page22"/>
    <w:bookmarkEnd w:id="21"/>
    <w:p>
      <w:pPr>
        <w:jc w:val="both"/>
        <w:spacing w:after="0" w:line="278" w:lineRule="auto"/>
        <w:rPr>
          <w:sz w:val="20"/>
          <w:szCs w:val="20"/>
          <w:color w:val="auto"/>
        </w:rPr>
      </w:pPr>
      <w:r>
        <w:rPr>
          <w:rFonts w:ascii="Arial" w:cs="Arial" w:eastAsia="Arial" w:hAnsi="Arial"/>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Three-Months Ended June 30, 2017 Compared to the Three-Months Ended June 30, 2016.</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$907.1 million for the three-months ended June 30, 2017, an increase of approximately $79.6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9.6% higher than net sales of $827.5 million for the three-months ended June 30, 2016. The increase in net sales of our Monster Energy® brand energy drinks represented approximately $67.1 million of the overall increase in net sales. Net sales of our Monster Energy® brand energy drinks increased partially due to increased sales by volume as a result of increased domestic and international consumer demand. Net sales of our Strategic Brands were $85.6 million for the three-months ended June 30, 2017, an increase of $8.2 million, or 10.6% higher than net sales of $77.4 million for the three-months ended June 30, 2016. Net sales of our AFF Third-Party Products were $6.2 million for the three-months ended June 30, 2017, a decrease of $0.5 million, or 7.0% lower than net sales of $6.6 million for the three-months ended June 30, 2016. No other individual product line contributed either a material increase or decrease to net sales for the three-months ended June 30, 2017.</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Net changes in foreign currency exchange rates had an unfavorable impact on net sales in the Monster Energy® Drinks segment of approximately $8.3 million for the three-months ended June 30, 2017. Net changes in foreign currency exchange rates had a favorable impact on net sales in the Strategic Brands segment of approximately $0.1 million for the three-months ended June 30, 2017.</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Case sales, in 192-ounce case equivalents, were 97.2 million cases for the three-months ended June 30, 2017, an increase of approximately 9.7 million cases, or 11.0% higher than case sales of 87.6 million cases for the three-months ended June 30, 2016. The overall average net sales per case (excluding net sales of AFF Third-Party Products of $6.2 million and $6.6 million for the three-months ended June 30, 2017 and 2016, respectively, as these sales do not have unit case equivalents) decreased to $9.27 for the three-months ended June 30, 2017, which was 1.2% lower than the average net sales per case of $9.37 for the three-months ended June 30, 2016. The lower average net sales price per case was primarily attributable to the changes in geographic sales mix.</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Net sales for the Monster Energy® Drinks segment were $815.3 million for the three-months ended June 30, 2017, an increase of approximately $71.8 million, or 9.7% higher than net sales of $743.5 million for the three-months ended June 30, 2016. No other individual product line contributed either a material increase or decrease to net sales for the three-months ended June 30, 2017.</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for the Strategic Brands segment were $85.6 million for the three-months ended June 30, 2017, an increase of approximately $8.2 million, or 10.6% higher than net sales of $77.4 million for the three-months ended June 30, 2016.</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Net sales for the Other segment were $6.2 million for the three-months ended June 30, 2017, a decrease of approximately $0.5 million, or 7.0% lower than net sales of $6.6 million for the three-months ended June 30, 2016.</w:t>
      </w:r>
    </w:p>
    <w:p>
      <w:pPr>
        <w:spacing w:after="0" w:line="1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$583.5 million for the three-months ended June 30, 2017, an increase of approximately $65.7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12.7% higher than the gross profit of $517.8 million for the three-months ended June 30, 2016. Gross profit as a percentage of net sales increased to 64.3% for the three-months ended June 30, 2017 from 62.6% for the three-months ended June 30, 2016. The increase in gross profit dollars was primarily the result of the $67.1 million increase in net sales of our Monster Energy® brand energy drinks as well as an approximate $27.5 million increase in the raw material cost savings for the three-months ended June 30, 2017 from the AFF Transaction. The increase in gross profit as a percentage of net sales was primarily attributable to the raw material cost savings from the AFF Transaction and changes in domestic product sales mix, which were partially offset by geographical sales mix and certain increases in other costs.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$233.5 million for the three-months ended June 30, 2017,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$4.2 million, or 1.8% higher than total operating expenses of $229.3 million for the three-months ended June 30, 2016. The increase in operating expenses was primarily due to increased payroll expenses of $10.1 million (of which $1.3 million was related to an increase in stock-based compensation), increased expenditures of $7.0 million for sponsorships and endorsements, increased expenditures of $4.3 million for commissions and increased expenditures of $2.7 million for premiums. The increase in operating expenses was partially offset by decreased expenditures of $25.1 million associated with distributor terminations.</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Contribution Margin. </w:t>
      </w:r>
      <w:r>
        <w:rPr>
          <w:rFonts w:ascii="Arial" w:cs="Arial" w:eastAsia="Arial" w:hAnsi="Arial"/>
          <w:sz w:val="20"/>
          <w:szCs w:val="20"/>
          <w:color w:val="auto"/>
        </w:rPr>
        <w:t>Contribution margin for the Monster Energy® Drinks segment was $356.2 million for the three-months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June 30, 2017, an increase of approximately $57.3 million, or 19.2% higher than contribution margin of $298.9 million for the three-months ended June 30, 2016. The increase in contribution margin for the Monster Energy® Drinks segment was primarily the result of the $67.1 million increase in net sales of our Monster Energy® brand energy drinks, an approximate $27.5 million increase in the raw material cost savings during the three-months ended June 30, 2017 from the AFF Transaction and by decreased expenditures of $25.1 million associated with distributor terminations.</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Contribution margin for the Strategic Brands segment was $53.2 million for the three-months ended June 30, 2017, an increase of approximately $5.2 million, or 10.7% higher than contribution margin of $48.0 million for the three-months ended June 30, 2016. The increase in contribution margin for the Strategic Brands segment was primarily due to an increase in net sales.</w:t>
      </w:r>
    </w:p>
    <w:p>
      <w:pPr>
        <w:sectPr>
          <w:pgSz w:w="11900" w:h="16838" w:orient="portrait"/>
          <w:cols w:equalWidth="0" w:num="1">
            <w:col w:w="11420"/>
          </w:cols>
          <w:pgMar w:left="240" w:top="130" w:right="239" w:bottom="0" w:gutter="0" w:footer="0" w:header="0"/>
        </w:sectPr>
      </w:pPr>
    </w:p>
    <w:bookmarkStart w:id="22" w:name="page23"/>
    <w:bookmarkEnd w:id="22"/>
    <w:p>
      <w:pPr>
        <w:spacing w:after="0" w:line="1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Contribution margin for the Other segment was $1.7 million for the three-months ended June 30, 2017, an increase of approximately $1.0 million, or 150.3% higher than contribution margin of $0.7 million for the three-months ended June 30, 2016.</w:t>
      </w:r>
    </w:p>
    <w:p>
      <w:pPr>
        <w:spacing w:after="0" w:line="18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$350.0 million for the three-months ended June 30, 2017, an increase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$61.5 million, or 21.3% higher than operating income of $288.5 million for the three-months ended June 30, 2016. Operating income as a percentage of net sales increased to 38.6% for the three-months ended June 30, 2017 from 34.9% for the three-months ended June 30, 2016. The increase in operating income as a percentage of net sales was primarily due to the approximately $27.5 million increase in the raw material cost savings during the three-months ended June 30, 2017 from the AFF Transaction as well as the decreased expenditures of $25.1 million associated with distributor terminations. Operating income was $44.5 million and $30.4 million for the three-months ended June 30, 2017 and 2016, respectively, in connection with our operations in Africa, Asia, Australia, Europe, the Middle East and South America.</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Interest and Other (Expense) Income, net</w:t>
      </w:r>
      <w:r>
        <w:rPr>
          <w:rFonts w:ascii="Arial" w:cs="Arial" w:eastAsia="Arial" w:hAnsi="Arial"/>
          <w:sz w:val="19"/>
          <w:szCs w:val="19"/>
          <w:color w:val="auto"/>
        </w:rPr>
        <w:t>. Interest and other (expense) income, net, was ($2.6) million for the three-months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June 30, 2017, as compared to interest and other (expense) income, net of ($0.2) million for the three-months ended June 30, 2016. Foreign currency transaction losses were $3.9 million and $1.4 million for the three-months ended June 30, 2017 and 2016, respectively. Interest income was $1.4 million and $1.2 million for the three-months ended June 30, 2017 and 2016, respectively.</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$124.9 million for the three-months ended June 30, 2017,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$20.8 million or 20.0% higher than the provision for income taxes of $104.1 million for the three-months ended June 30, 2016. The effective combined federal, state and foreign tax rate decreased to 35.9% from 36.1% for the three-months ended June 30, 2017 and 2016, respectively.</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$222.6 million for the three-months ended June 30, 2017, an increase of $38.4 million or 20.9% higher</w:t>
      </w:r>
      <w:r>
        <w:rPr>
          <w:rFonts w:ascii="Arial" w:cs="Arial" w:eastAsia="Arial" w:hAnsi="Arial"/>
          <w:sz w:val="20"/>
          <w:szCs w:val="20"/>
          <w:i w:val="1"/>
          <w:iCs w:val="1"/>
          <w:color w:val="auto"/>
        </w:rPr>
        <w:t xml:space="preserve"> </w:t>
      </w:r>
      <w:r>
        <w:rPr>
          <w:rFonts w:ascii="Arial" w:cs="Arial" w:eastAsia="Arial" w:hAnsi="Arial"/>
          <w:sz w:val="20"/>
          <w:szCs w:val="20"/>
          <w:color w:val="auto"/>
        </w:rPr>
        <w:t>than net income of $184.2 million for the three-months ended June 30, 2016. The increase in net income was primarily due to the $65.7 million increase in gross profit.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Six-Months Ended June 30, 2017 Compared to the Six-Months Ended June 30, 2016.</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Net Sales. </w:t>
      </w:r>
      <w:r>
        <w:rPr>
          <w:rFonts w:ascii="Arial" w:cs="Arial" w:eastAsia="Arial" w:hAnsi="Arial"/>
          <w:sz w:val="19"/>
          <w:szCs w:val="19"/>
          <w:color w:val="auto"/>
        </w:rPr>
        <w:t>Net sales were $1,649.2 million for the six-months ended June 30, 2017, an increase of approximately $141.5 million, or</w:t>
      </w:r>
      <w:r>
        <w:rPr>
          <w:rFonts w:ascii="Arial" w:cs="Arial" w:eastAsia="Arial" w:hAnsi="Arial"/>
          <w:sz w:val="19"/>
          <w:szCs w:val="19"/>
          <w:i w:val="1"/>
          <w:iCs w:val="1"/>
          <w:color w:val="auto"/>
        </w:rPr>
        <w:t xml:space="preserve"> </w:t>
      </w:r>
      <w:r>
        <w:rPr>
          <w:rFonts w:ascii="Arial" w:cs="Arial" w:eastAsia="Arial" w:hAnsi="Arial"/>
          <w:sz w:val="19"/>
          <w:szCs w:val="19"/>
          <w:color w:val="auto"/>
        </w:rPr>
        <w:t>9.4% higher than net sales of $1,507.7 million for the six-months ended June 30, 2016. The increase in net sales of our Monster Energy® brand energy drinks represented approximately $113.6 million of the overall increase in net sales. Net sales of our Monster Energy® brand energy drinks increased partially due to increased sales by volume as a result of increased domestic and international consumer demand. Net sales of our Strategic Brands were $153.7 million for the six-months ended June 30, 2017, an increase of $17.8 million, or 13.1% higher than net sales of $135.9 million for the six-months ended June 30, 2016. Net sales of our AFF Third-Party Products were $11.7 million for the six-months ended June 30, 2017, an increase of $5.3 million, or 81.9% higher than net sales of $6.4 million (effectively from April 1, 2016 to June 30, 2016) for the six-months ended June 30, 2016. No other individual product line contributed either a material increase or decrease to net sales for the six-months ended June 30, 2017.</w:t>
      </w:r>
    </w:p>
    <w:p>
      <w:pPr>
        <w:spacing w:after="0" w:line="1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Net changes in foreign currency exchange rates had an unfavorable impact on net sales in the Monster Energy® Drinks segment of approximately $12.9 million for the six-months ended June 30, 2017. Net changes in foreign currency exchange rates had a favorable impact on net sales in the Strategic Brands segment of approximately $1.1 million for the six-months ended June 30, 2017.</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Case sales, in 192-ounce case equivalents, were 177.2 million cases for the six-months ended June 30, 2017, an increase of approximately 17.0 million cases or 10.6% higher than case sales of 160.2 million cases for the six-months ended June 30, 2016. The overall average net sales per case (excluding net sales of AFF Third-Party Products of $11.7 million and $6.4 million for the six-months ended June 30, 2017 and 2016, respectively, as these sales do not have unit case equivalents) decreased to $9.24 for the six-months ended June 30, 2017, which was 1.4% lower than the average net sales per case of $9.37 for the six-months ended June 30, 2016. The lower average net sales price per case was primarily attributable to the changes in geographic sales mix.</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Net sales for the Monster Energy® Drinks segment were $1,483.8 million for the six-months ended June 30, 2017, an increase of approximately $118.4 million, or 8.7% higher than net sales of $1,365.4 million for the six-months ended June 30, 2016. No other individual product line contributed either a material increase or decrease to net sales for the six-months ended June 30, 2017.</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for the Strategic Brands segment were $153.7 million for the six-months ended June 30, 2017, an increase of approximately $17.8 million, or 13.1% higher than net sales of $135.9 million for the six-months ended June 30, 2016.</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Net sales for the Other segment were $11.7 million for the six-months ended June 30, 2017, an increase of approximately $5.3 million, or 81.9% higher than net sales of $6.4 million (effectively from April 1, 2016 to June 30, 2016) for the six-months ended June 30, 2016.</w:t>
      </w:r>
    </w:p>
    <w:p>
      <w:pPr>
        <w:spacing w:after="0" w:line="14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$1,064.4 million for the six-months ended June 30, 2017, an increase of approximately $123.5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13.1% higher than the gross profit of $940.9 million for the six-months ended June 30, 2016. Gross profit as a percentage of net sales increased to 64.5% for the six-months ended June 30, 2017 from 62.4% for the six-months ended June 30, 2016. The increase in gross profit dollars was primarily the result of the $113.6 million increase in net sales of our Monster Energy® brand energy drinks as well as approximately $50.8 million increase in the raw material cost savings for the six-months ended June 30, 2017 from the AFF Transaction. The increase in gross profit as a percentage of net sales was primarily attributable to the raw material cost savings from the AFF Transaction and changes in domestic product sales mix, which were partially offset by geographical sales mix and certain increases in other costs.</w:t>
      </w:r>
    </w:p>
    <w:p>
      <w:pPr>
        <w:spacing w:after="0" w:line="18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$450.1 million for the six-months ended June 30, 2017,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$52.4 million, or 13.2% higher than total operating expenses of $397.7 million for the six-months ended June 30, 2016. The</w:t>
      </w:r>
    </w:p>
    <w:p>
      <w:pPr>
        <w:sectPr>
          <w:pgSz w:w="11900" w:h="16953" w:orient="portrait"/>
          <w:cols w:equalWidth="0" w:num="1">
            <w:col w:w="11420"/>
          </w:cols>
          <w:pgMar w:left="240" w:top="121" w:right="239" w:bottom="0" w:gutter="0" w:footer="0" w:header="0"/>
        </w:sectPr>
      </w:pPr>
    </w:p>
    <w:bookmarkStart w:id="23" w:name="page24"/>
    <w:bookmarkEnd w:id="23"/>
    <w:p>
      <w:pPr>
        <w:spacing w:after="0" w:line="10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increase in operating expenses was primarily due to increased payroll expenses of $23.1 million (of which $4.4 million was related to an increase in stock-based compensation), increased expenditures of $13.8 million for sponsorships and endorsements and increased expenditures of $9.4 million for commissions.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Contribution Margin. </w:t>
      </w:r>
      <w:r>
        <w:rPr>
          <w:rFonts w:ascii="Arial" w:cs="Arial" w:eastAsia="Arial" w:hAnsi="Arial"/>
          <w:sz w:val="20"/>
          <w:szCs w:val="20"/>
          <w:color w:val="auto"/>
        </w:rPr>
        <w:t>Contribution margin for the Monster Energy® Drinks segment was $635.7 million for the six-months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June 30, 2017, an increase of approximately $69.3 million, or 12.2% higher than contribution margin of $566.3 million for the six-months ended June 30, 2016. The increase in contribution margin for the Monster Energy® Drinks segment was primarily the result of the $113.6 million increase in net sales of our Monster Energy® brand energy drinks as well an approximate $50.8 million increase in the raw material cost savings for the six-months ended June 30, 2017 from the AFF Transaction.</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Contribution margin for the Strategic Brands segment was $95.3 million for the six-months ended June 30, 2017, an increase of approximately $8.2 million, or 9.4% higher than contribution margin of $87.1 million for the six-months ended June 30, 2016. The increase in contribution margin for the Strategic Brands segment was primarily due to an increase in net sales.</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Contribution margin for the Other segment was $3.1 million for the six-months ended June 30, 2017, an increase of approximately $2.8 million, or 817.1% higher than contribution margin of $0.3 million for the six-months ended June 30, 2016.</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Operating Income. </w:t>
      </w:r>
      <w:r>
        <w:rPr>
          <w:rFonts w:ascii="Arial" w:cs="Arial" w:eastAsia="Arial" w:hAnsi="Arial"/>
          <w:sz w:val="20"/>
          <w:szCs w:val="20"/>
          <w:color w:val="auto"/>
        </w:rPr>
        <w:t>Operating income was $614.3 million for the six-months ended June 30, 2017, an increase of approximately $71.1</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or 13.1% higher than operating income of $543.2 million for the six-months ended June 30, 2016. Operating income as a percentage of net sales increased to 37.2% for the six-months ended June 30, 2017 from 36.0% for the six-months ended June 30, 2016. The increase in operating income as a percentage of net sales was primarily due to the approximately $50.8 million increase in the raw material cost savings during the six-months ended June 30, 2017 from the AFF Transaction. Operating income was $77.4 million and $55.0 million for the six-months ended June 30, 2017 and 2016, respectively, in connection with our operations in Africa, Asia, Australia, Europe, the Middle East and South America.</w:t>
      </w:r>
    </w:p>
    <w:p>
      <w:pPr>
        <w:spacing w:after="0" w:line="2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Interest and Other (Expense) Income, net</w:t>
      </w:r>
      <w:r>
        <w:rPr>
          <w:rFonts w:ascii="Arial" w:cs="Arial" w:eastAsia="Arial" w:hAnsi="Arial"/>
          <w:sz w:val="20"/>
          <w:szCs w:val="20"/>
          <w:color w:val="auto"/>
        </w:rPr>
        <w:t>. Interest and other (expense) income, net, was ($1.9) million for the six-months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June 30, 2017, as compared to interest and other (expense) income, net of $0.4 million for the six-months ended June 30, 2016. Foreign currency transaction losses were $3.8 million and $2.8 million for the six-months ended June 30, 2017 and 2016, respectively. Interest income was $2.2 million and $3.4 million for the six-months ended June 30, 2017 and 2016, respectively.</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$211.8 million for the six-months ended June 30, 2017,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$16.3 million or 8.3% higher than the provision for income taxes of $195.5 million for the six-months ended June 30, 2016. The effective combined federal, state and foreign tax rate decreased to 34.6% from 36.0% for the six-months ended June 30, 2017 and 2016, respectively. The decrease in the effective tax rate was primarily due to the increase in equity compensation deductions.</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$400.6 million for the six-months ended June 30, 2017, an increase of $52.5 million or 15.1% higher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of $348.1 million for the six-months ended June 30, 2016. The increase in net income was primarily due to the $123.5 million increase in gross profit. The increase in net income was partially offset by the increase in operating expenses of $52.4 million.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$1,039.0 million for the three-months ended June 30, 2017, an increase of approximately $93.1</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9.8% higher than gross sales of $945.8 million for the three-months ended June 30, 2016. The increase in gross sales of our Monster Energy® brand energy drinks represented approximately $84.8 million of the overall increase in gross sales. Gross sales of our Monster Energy® brand energy drinks increased partially due to increased sales by volume as a result of increased domestic and international consumer demand. Gross sales of our Strategic Brands were $89.8 million for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three-months ended June 30, 2017, an increase of $5.4 million, or 6.4% higher than gross sales of $84.4 million for the three-months ended June 30, 2016. Gross sales of our AFF Third-Party Products were $6.2 million for the three-months ended June 30, 2017, a decrease of $0.5 million or 7.0% lower than gross sales of $6.6 million for the three-months ended June 30, 2016. No other individual product line contributed either a material increase or decrease to net sales for the three-months ended June 30, 2017. Promotional and other allowances, as described in the footnote below, were $131.9 million for the three-months ended June 30, 2017, an increase of $13.5 million, or 11.4% higher than promotional and other allowances of $118.4 million for the three-months ended June 30, 2016. Promotional and other allowances as a percentage of gross sales increased to 12.7% from 12.5% for the three-months ended June 30, 2017 and 2016, respectively.</w:t>
      </w:r>
    </w:p>
    <w:p>
      <w:pPr>
        <w:spacing w:after="0" w:line="183" w:lineRule="exact"/>
        <w:rPr>
          <w:sz w:val="20"/>
          <w:szCs w:val="20"/>
          <w:color w:val="auto"/>
        </w:rPr>
      </w:pPr>
    </w:p>
    <w:p>
      <w:pPr>
        <w:jc w:val="both"/>
        <w:ind w:firstLine="689"/>
        <w:spacing w:after="0" w:line="291" w:lineRule="auto"/>
        <w:rPr>
          <w:sz w:val="20"/>
          <w:szCs w:val="20"/>
          <w:color w:val="auto"/>
        </w:rPr>
      </w:pPr>
      <w:r>
        <w:rPr>
          <w:rFonts w:ascii="Arial" w:cs="Arial" w:eastAsia="Arial" w:hAnsi="Arial"/>
          <w:sz w:val="18"/>
          <w:szCs w:val="18"/>
          <w:color w:val="auto"/>
        </w:rPr>
        <w:t>Net changes in foreign currency exchange rates had an unfavorable impact on gross sales in the Monster Energy® Drinks segment of approximately $11.6 million for the three-months ended June 30, 2017. Net changes in foreign currency exchange rates had a favorable impact on gross sales in the Strategic Brands segment of approximately $0.1 million for the three-months ended June 30, 2017.</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$1,884.5 million for the six-months ended June 30, 2017, an increase of approximately $161.2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9.4% higher than gross sales of $1,723.4 million for the six-months ended June 30, 2016. The increase in gross sales of our Monster Energy® brand energy drinks represented approximately $135.5 million of the overall increase in gross sales. Gross sales of our Monster</w:t>
      </w:r>
    </w:p>
    <w:p>
      <w:pPr>
        <w:sectPr>
          <w:pgSz w:w="11900" w:h="16945" w:orient="portrait"/>
          <w:cols w:equalWidth="0" w:num="1">
            <w:col w:w="11420"/>
          </w:cols>
          <w:pgMar w:left="240" w:top="121" w:right="239" w:bottom="0" w:gutter="0" w:footer="0" w:header="0"/>
        </w:sectPr>
      </w:pPr>
    </w:p>
    <w:bookmarkStart w:id="24" w:name="page25"/>
    <w:bookmarkEnd w:id="24"/>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Energy® brand energy drinks increased partially due to increased sales by volume as a result of increased domestic and international consumer demand. Gross sales of our Strategic Brands were $163.3 million for the six-months ended June 30, 2017, an increase of $14.9 million, or 10.0% higher than gross sales of $148.4 million for the six-months ended June 30, 2016. Gross sales of our AFF Third-Party Products were $11.7 million for the six-months ended June 30, 2017, an increase of $5.1 million, or 77.0% higher than gross sales of $6.6 million for the six-months ended June 30, 2016. No other individual product line contributed either a material increase or decrease to net sales for the six-months ended June 30, 2017. Promotional and other allowances, as described in the footnote below, were $235.3 million for the six-months ended June 30, 2017, an increase of $19.6 million, or 9.1% higher than promotional and other allowances of $215.7 million for the six-months ended June 30, 2016. Promotional and other allowances as a percentage of gross sales was 12.5% for both the six-months ended June 30, 2017 and 2016.</w:t>
      </w:r>
    </w:p>
    <w:p>
      <w:pPr>
        <w:spacing w:after="0" w:line="200" w:lineRule="exact"/>
        <w:rPr>
          <w:sz w:val="20"/>
          <w:szCs w:val="20"/>
          <w:color w:val="auto"/>
        </w:rPr>
      </w:pPr>
    </w:p>
    <w:p>
      <w:pPr>
        <w:jc w:val="both"/>
        <w:ind w:firstLine="689"/>
        <w:spacing w:after="0" w:line="269" w:lineRule="auto"/>
        <w:rPr>
          <w:sz w:val="20"/>
          <w:szCs w:val="20"/>
          <w:color w:val="auto"/>
        </w:rPr>
      </w:pPr>
      <w:r>
        <w:rPr>
          <w:rFonts w:ascii="Arial" w:cs="Arial" w:eastAsia="Arial" w:hAnsi="Arial"/>
          <w:sz w:val="19"/>
          <w:szCs w:val="19"/>
          <w:color w:val="auto"/>
        </w:rPr>
        <w:t>Net changes in foreign currency exchange rates had an unfavorable impact on gross sales in the Monster Energy® Drinks segment of approximately $18.8 million for the six-months ended June 30, 2017. Net changes in foreign currency exchange rates had a favorable impact on gross sales in the Strategic Brands segment of approximately $1.1 million for the six-months ended June 30, 2017.</w:t>
      </w:r>
    </w:p>
    <w:p>
      <w:pPr>
        <w:spacing w:after="0" w:line="19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The use of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table reconciles the non-GAAP financial measure of gross sales with the most directly comparable GAAP financial measure of net sales: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gridSpan w:val="4"/>
          </w:tcPr>
          <w:p>
            <w:pPr>
              <w:jc w:val="right"/>
              <w:ind w:right="490"/>
              <w:spacing w:after="0"/>
              <w:rPr>
                <w:sz w:val="20"/>
                <w:szCs w:val="20"/>
                <w:color w:val="auto"/>
              </w:rPr>
            </w:pPr>
            <w:r>
              <w:rPr>
                <w:rFonts w:ascii="Arial" w:cs="Arial" w:eastAsia="Arial" w:hAnsi="Arial"/>
                <w:sz w:val="18"/>
                <w:szCs w:val="18"/>
                <w:color w:val="auto"/>
              </w:rPr>
              <w:t>Three-Months Ended</w:t>
            </w:r>
          </w:p>
        </w:tc>
        <w:tc>
          <w:tcPr>
            <w:tcW w:w="18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Percentage</w:t>
            </w:r>
          </w:p>
        </w:tc>
        <w:tc>
          <w:tcPr>
            <w:tcW w:w="320" w:type="dxa"/>
            <w:vAlign w:val="bottom"/>
          </w:tcPr>
          <w:p>
            <w:pPr>
              <w:spacing w:after="0"/>
              <w:rPr>
                <w:sz w:val="18"/>
                <w:szCs w:val="18"/>
                <w:color w:val="auto"/>
              </w:rPr>
            </w:pPr>
          </w:p>
        </w:tc>
        <w:tc>
          <w:tcPr>
            <w:tcW w:w="2340" w:type="dxa"/>
            <w:vAlign w:val="bottom"/>
            <w:gridSpan w:val="4"/>
          </w:tcPr>
          <w:p>
            <w:pPr>
              <w:jc w:val="right"/>
              <w:ind w:right="570"/>
              <w:spacing w:after="0"/>
              <w:rPr>
                <w:sz w:val="20"/>
                <w:szCs w:val="20"/>
                <w:color w:val="auto"/>
              </w:rPr>
            </w:pPr>
            <w:r>
              <w:rPr>
                <w:rFonts w:ascii="Arial" w:cs="Arial" w:eastAsia="Arial" w:hAnsi="Arial"/>
                <w:sz w:val="18"/>
                <w:szCs w:val="18"/>
                <w:color w:val="auto"/>
              </w:rPr>
              <w:t>Six-Months Ended</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0"/>
                <w:szCs w:val="20"/>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Change</w:t>
            </w:r>
          </w:p>
        </w:tc>
        <w:tc>
          <w:tcPr>
            <w:tcW w:w="320" w:type="dxa"/>
            <w:vAlign w:val="bottom"/>
          </w:tcPr>
          <w:p>
            <w:pPr>
              <w:spacing w:after="0"/>
              <w:rPr>
                <w:sz w:val="20"/>
                <w:szCs w:val="20"/>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0"/>
        </w:trPr>
        <w:tc>
          <w:tcPr>
            <w:tcW w:w="3040" w:type="dxa"/>
            <w:vAlign w:val="bottom"/>
            <w:vMerge w:val="restart"/>
          </w:tcPr>
          <w:p>
            <w:pPr>
              <w:spacing w:after="0"/>
              <w:rPr>
                <w:sz w:val="20"/>
                <w:szCs w:val="20"/>
                <w:color w:val="auto"/>
              </w:rPr>
            </w:pPr>
            <w:r>
              <w:rPr>
                <w:rFonts w:ascii="Arial" w:cs="Arial" w:eastAsia="Arial" w:hAnsi="Arial"/>
                <w:sz w:val="18"/>
                <w:szCs w:val="18"/>
                <w:color w:val="auto"/>
              </w:rPr>
              <w:t>Gross sales, net of discounts and</w:t>
            </w: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17 vs. 16</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17 vs. 16</w:t>
            </w:r>
          </w:p>
        </w:tc>
        <w:tc>
          <w:tcPr>
            <w:tcW w:w="0" w:type="dxa"/>
            <w:vAlign w:val="bottom"/>
          </w:tcPr>
          <w:p>
            <w:pPr>
              <w:spacing w:after="0"/>
              <w:rPr>
                <w:sz w:val="1"/>
                <w:szCs w:val="1"/>
                <w:color w:val="auto"/>
              </w:rPr>
            </w:pPr>
          </w:p>
        </w:tc>
      </w:tr>
      <w:tr>
        <w:trPr>
          <w:trHeight w:val="182"/>
        </w:trPr>
        <w:tc>
          <w:tcPr>
            <w:tcW w:w="3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returns</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1,038,970</w:t>
            </w:r>
          </w:p>
        </w:tc>
        <w:tc>
          <w:tcPr>
            <w:tcW w:w="180" w:type="dxa"/>
            <w:vAlign w:val="bottom"/>
          </w:tcPr>
          <w:p>
            <w:pPr>
              <w:spacing w:after="0"/>
              <w:rPr>
                <w:sz w:val="18"/>
                <w:szCs w:val="18"/>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945,846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1,884,518</w:t>
            </w:r>
          </w:p>
        </w:tc>
        <w:tc>
          <w:tcPr>
            <w:tcW w:w="160" w:type="dxa"/>
            <w:vAlign w:val="bottom"/>
          </w:tcPr>
          <w:p>
            <w:pPr>
              <w:spacing w:after="0"/>
              <w:rPr>
                <w:sz w:val="18"/>
                <w:szCs w:val="18"/>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1,723,354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Less: Promotional and other</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allowances***</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131,902</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118,358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235,304</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215,680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907,068</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827,488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1,649,214</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1,507,674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4"/>
          <w:szCs w:val="14"/>
          <w:i w:val="1"/>
          <w:iCs w:val="1"/>
          <w:color w:val="auto"/>
        </w:rPr>
        <w:t>***Although the expenditures described in this line item are determined in accordance with GAAP and meet GAAP requirements, the presentation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bottlers/distributors or retail customers including, but not limited to the following:</w:t>
      </w:r>
    </w:p>
    <w:p>
      <w:pPr>
        <w:spacing w:after="0" w:line="2" w:lineRule="exact"/>
        <w:rPr>
          <w:sz w:val="20"/>
          <w:szCs w:val="20"/>
          <w:color w:val="auto"/>
        </w:rPr>
      </w:pPr>
    </w:p>
    <w:p>
      <w:pPr>
        <w:jc w:val="both"/>
        <w:ind w:firstLine="8"/>
        <w:spacing w:after="0" w:line="286" w:lineRule="auto"/>
        <w:tabs>
          <w:tab w:leader="none" w:pos="211" w:val="left"/>
        </w:tabs>
        <w:numPr>
          <w:ilvl w:val="0"/>
          <w:numId w:val="22"/>
        </w:numPr>
        <w:rPr>
          <w:rFonts w:ascii="Arial" w:cs="Arial" w:eastAsia="Arial" w:hAnsi="Arial"/>
          <w:sz w:val="15"/>
          <w:szCs w:val="15"/>
          <w:i w:val="1"/>
          <w:iCs w:val="1"/>
          <w:color w:val="auto"/>
        </w:rPr>
      </w:pPr>
      <w:r>
        <w:rPr>
          <w:rFonts w:ascii="Arial" w:cs="Arial" w:eastAsia="Arial" w:hAnsi="Arial"/>
          <w:sz w:val="15"/>
          <w:szCs w:val="15"/>
          <w:i w:val="1"/>
          <w:iCs w:val="1"/>
          <w:color w:val="auto"/>
        </w:rPr>
        <w:t>discounts granted off list prices to support price promotions to end-consumers by retailers; (ii) reimbursements given to the Company’s bottlers/distributors for agreed portions of their promotional spend with retailers, including slotting, shelf space allowances and other fees for both new and existing products; (iii) the Company’s agreed share of fees given to bottlers/distributors and/or directly to retailers for advertising, in-store marketing and promotional activities; (iv) the Company’s agreed share of slotting, shelf space allowances and other fees given directly to retailers; (v) incentives given to the Company’s bottlers/distributors and/or retailers for achieving or exceeding certain predetermined sales goals; (vi) discounted or free products; (vii) contractual fees given to the Company’s bottlers/distributors related to sales made by the Company direct to certain customers that fall within the bottler’s/distributors’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 and six-months ended June 30, 2017 and 2016 were (i) to increase sales volume and trial, (ii) to address market conditions, and (iii) to secure shelf and display space at retail.</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 xml:space="preserve">Cash flows provided by operating activities. </w:t>
      </w:r>
      <w:r>
        <w:rPr>
          <w:rFonts w:ascii="Arial" w:cs="Arial" w:eastAsia="Arial" w:hAnsi="Arial"/>
          <w:sz w:val="19"/>
          <w:szCs w:val="19"/>
          <w:color w:val="auto"/>
        </w:rPr>
        <w:t>Cash provided by operating activities was $533.2 million for the six-months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June 30, 2017, as compared with cash provided by operating activities of $247.6 million for the six-months ended June 30, 2016.</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For the six-months ended June 30, 2017, cash provided by operating activities was primarily attributable to net income earned of $400.6 million and adjustments for certain non-cash expenses, consisting of $26.0 million of stock-based compensation and $22.8 million of depreciation and other amortization. For the six-months ended June 30, 2017, cash provided by operating activities also increased due to a $125.0 million decrease in the TCCC Transaction receivables, a $60.7 million decrease in prepaid income taxes, a $8.8 million increase in accounts payable and a $25.8 million increase in accrued promotional allowances. For the six-months ended June 30, 2017, cash used in operating activities was primarily attributable to a $75.2 million increase in accounts receivable, a $24.9 million increase in inventories, a $8.1 million increase in prepaid expenses and other current assets, a $7.9 million decrease in accrued distributor terminations, a $7.1 million decrease in deferred revenue, a $7.2 million decrease in accrued compensation and a $5.4 million decrease in income taxes payable.</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For the six-months ended June 30, 2016, cash provided by operating activities was primarily attributable to net income earned of $348.1 million and adjustments for certain non-cash expenses, consisting of $21.6 million of stock-based compensation and $19.3 million of depreciation and other amortization. For the six-months ended June 30, 2016, cash provided by operating activities also increased due to a $35.0 million increase in accounts payable, a $27.2 million increase in accrued promotional allowances, a $13.8 million increase in accrued distributor terminations, an $11.6 million decrease in inventories and a $6.8 million increase in accrued liabilities. For the six-months ended June 30, 2016, cash used in operating activities was the result of a $100.7 million decrease in income taxes payable, a $103.3 million increase in accounts receivable, an $18.7 million increase in prepaid income taxes, a $6.1 million decrease in accrued compensation, a $2.8 million</w:t>
      </w:r>
    </w:p>
    <w:p>
      <w:pPr>
        <w:sectPr>
          <w:pgSz w:w="11900" w:h="16941" w:orient="portrait"/>
          <w:cols w:equalWidth="0" w:num="1">
            <w:col w:w="11420"/>
          </w:cols>
          <w:pgMar w:left="240" w:top="121" w:right="239" w:bottom="0" w:gutter="0" w:footer="0" w:header="0"/>
        </w:sectPr>
      </w:pPr>
    </w:p>
    <w:bookmarkStart w:id="25" w:name="page26"/>
    <w:bookmarkEnd w:id="25"/>
    <w:p>
      <w:pPr>
        <w:jc w:val="both"/>
        <w:spacing w:after="0" w:line="262" w:lineRule="auto"/>
        <w:rPr>
          <w:sz w:val="20"/>
          <w:szCs w:val="20"/>
          <w:color w:val="auto"/>
        </w:rPr>
      </w:pPr>
      <w:r>
        <w:rPr>
          <w:rFonts w:ascii="Arial" w:cs="Arial" w:eastAsia="Arial" w:hAnsi="Arial"/>
          <w:sz w:val="20"/>
          <w:szCs w:val="20"/>
          <w:color w:val="auto"/>
        </w:rPr>
        <w:t>decrease in deferred revenue, a $2.5 million increase in prepaid expenses and other current assets and a $1.7 million increase in distributor receivables.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 xml:space="preserve">Cash flows (used in) provided by investing activities. </w:t>
      </w:r>
      <w:r>
        <w:rPr>
          <w:rFonts w:ascii="Arial" w:cs="Arial" w:eastAsia="Arial" w:hAnsi="Arial"/>
          <w:sz w:val="19"/>
          <w:szCs w:val="19"/>
          <w:color w:val="auto"/>
        </w:rPr>
        <w:t>Cash used in investing activities was $154.7 million for the six-months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June 30, 2017 as compared to cash provided by investing activities of $2.6 million for the six-months ended June 30, 2016.</w:t>
      </w:r>
    </w:p>
    <w:p>
      <w:pPr>
        <w:spacing w:after="0" w:line="16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For the six-months ended June 30, 2017, cash used in investing activities was primarily attributable to purchases of available-for-sale investments. For the six-months ended June 30, 2016, cash used in investing activities was primarily attributable to the purchase of AFF as well as purchases of held-to-maturity investments. For the six-months ended June 30, 2017, cash provided by investing activities was primarily attributable to sales of available-for-sale investments. For the six-months ended June 30, 2016, cash provided by investing activities was primarily attributable to maturities of held-to-maturity investments. For both the six-months ended June 30, 2017 and 2016,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and certain leasehold improvements.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the completion of the construction of our new warehouse and for other corporate purposes. From time to time, we may also use cash to purchase additional real property related to our beverage business and/or acquire compatible businesses.</w:t>
      </w:r>
    </w:p>
    <w:p>
      <w:pPr>
        <w:spacing w:after="0" w:line="3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Cash flows provided by (used in) financing activities. </w:t>
      </w:r>
      <w:r>
        <w:rPr>
          <w:rFonts w:ascii="Arial" w:cs="Arial" w:eastAsia="Arial" w:hAnsi="Arial"/>
          <w:sz w:val="20"/>
          <w:szCs w:val="20"/>
          <w:color w:val="auto"/>
        </w:rPr>
        <w:t>Cash provided by financing activities was $17.5 million for the six-months</w:t>
      </w:r>
      <w:r>
        <w:rPr>
          <w:rFonts w:ascii="Arial" w:cs="Arial" w:eastAsia="Arial" w:hAnsi="Arial"/>
          <w:sz w:val="20"/>
          <w:szCs w:val="20"/>
          <w:i w:val="1"/>
          <w:iCs w:val="1"/>
          <w:color w:val="auto"/>
        </w:rPr>
        <w:t xml:space="preserve"> </w:t>
      </w:r>
      <w:r>
        <w:rPr>
          <w:rFonts w:ascii="Arial" w:cs="Arial" w:eastAsia="Arial" w:hAnsi="Arial"/>
          <w:sz w:val="20"/>
          <w:szCs w:val="20"/>
          <w:color w:val="auto"/>
        </w:rPr>
        <w:t>ended June 30, 2017 as compared to cash used in financing activities of $1,995.2 million for the six-months ended June 30, 2016. The cash flows provided by financing activities for both the six-months ended June 30, 2017, and 2016 was primarily attributable to the issuance of our common stock. The cash flows used in financing activities for the six-months ended June 30, 2016 was primarily the result of the repurchases of our common stock.</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Purchases of inventories, increases in accounts receivable and other assets, acquisition of property and equipment (including real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20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Cash and cash equivalents, short-term and long-term investments. </w:t>
      </w:r>
      <w:r>
        <w:rPr>
          <w:rFonts w:ascii="Arial" w:cs="Arial" w:eastAsia="Arial" w:hAnsi="Arial"/>
          <w:sz w:val="20"/>
          <w:szCs w:val="20"/>
          <w:color w:val="auto"/>
        </w:rPr>
        <w:t>At June 30, 2017, we had $777.7 million in cash and cash</w:t>
      </w:r>
      <w:r>
        <w:rPr>
          <w:rFonts w:ascii="Arial" w:cs="Arial" w:eastAsia="Arial" w:hAnsi="Arial"/>
          <w:sz w:val="20"/>
          <w:szCs w:val="20"/>
          <w:i w:val="1"/>
          <w:iCs w:val="1"/>
          <w:color w:val="auto"/>
        </w:rPr>
        <w:t xml:space="preserve"> </w:t>
      </w:r>
      <w:r>
        <w:rPr>
          <w:rFonts w:ascii="Arial" w:cs="Arial" w:eastAsia="Arial" w:hAnsi="Arial"/>
          <w:sz w:val="20"/>
          <w:szCs w:val="20"/>
          <w:color w:val="auto"/>
        </w:rPr>
        <w:t>equivalents and $372.5 million in short and long-term investments. We have historically invested these amounts in U.S. Treasury bills, U.S. government agency securities and municipal securities, commercial paper, certificates of deposit, variable rate demand notes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2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Of our $777.7 million of cash and cash equivalents held at June 30, 2017, $229.0 million was held by our foreign subsidiaries. No short-term or long-term investments were held by our foreign subsidiaries at June 30, 2017. We do not intend, nor do we foresee a need, to repatriate undistributed earnings of our foreign subsidiaries other than to repay certain intercompany debt owed to our U.S. operations. Under current tax laws, if funds in excess of intercompany amounts owed were repatriated to our U.S. operations we would be required to accrue and pay additional income taxes on such excess funds at the tax rates then in effect.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and properties, purchases of shares of our common stock and the completion of the construction of our new warehouse, through at least the next 12 months. Based on our current plans, at this time we estimate that capital expenditures, including the purchases of real property, are likely to be less than $150.0 million through June 30, 2018. However, future business opportunities may cause a change in this estimate.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June 30,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360" w:type="dxa"/>
            <w:vAlign w:val="bottom"/>
            <w:tcBorders>
              <w:bottom w:val="single" w:sz="8" w:color="auto"/>
            </w:tcBorders>
            <w:gridSpan w:val="8"/>
          </w:tcPr>
          <w:p>
            <w:pPr>
              <w:ind w:left="260"/>
              <w:spacing w:after="0"/>
              <w:rPr>
                <w:sz w:val="20"/>
                <w:szCs w:val="20"/>
                <w:color w:val="auto"/>
              </w:rPr>
            </w:pPr>
            <w:r>
              <w:rPr>
                <w:rFonts w:ascii="Arial" w:cs="Arial" w:eastAsia="Arial" w:hAnsi="Arial"/>
                <w:sz w:val="22"/>
                <w:szCs w:val="22"/>
                <w:color w:val="auto"/>
              </w:rPr>
              <w:t>Payments due by period (in thousands)</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15"/>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420"/>
              <w:spacing w:after="0" w:line="216" w:lineRule="exact"/>
              <w:rPr>
                <w:sz w:val="20"/>
                <w:szCs w:val="20"/>
                <w:color w:val="auto"/>
              </w:rPr>
            </w:pPr>
            <w:r>
              <w:rPr>
                <w:rFonts w:ascii="Arial" w:cs="Arial" w:eastAsia="Arial" w:hAnsi="Arial"/>
                <w:sz w:val="22"/>
                <w:szCs w:val="22"/>
                <w:color w:val="auto"/>
                <w:w w:val="85"/>
              </w:rPr>
              <w:t>Less than</w:t>
            </w:r>
          </w:p>
        </w:tc>
        <w:tc>
          <w:tcPr>
            <w:tcW w:w="340" w:type="dxa"/>
            <w:vAlign w:val="bottom"/>
          </w:tcPr>
          <w:p>
            <w:pPr>
              <w:spacing w:after="0"/>
              <w:rPr>
                <w:sz w:val="18"/>
                <w:szCs w:val="18"/>
                <w:color w:val="auto"/>
              </w:rPr>
            </w:pPr>
          </w:p>
        </w:tc>
        <w:tc>
          <w:tcPr>
            <w:tcW w:w="1020" w:type="dxa"/>
            <w:vAlign w:val="bottom"/>
          </w:tcPr>
          <w:p>
            <w:pPr>
              <w:jc w:val="right"/>
              <w:ind w:right="432"/>
              <w:spacing w:after="0" w:line="216" w:lineRule="exact"/>
              <w:rPr>
                <w:sz w:val="20"/>
                <w:szCs w:val="20"/>
                <w:color w:val="auto"/>
              </w:rPr>
            </w:pPr>
            <w:r>
              <w:rPr>
                <w:rFonts w:ascii="Arial" w:cs="Arial" w:eastAsia="Arial" w:hAnsi="Arial"/>
                <w:sz w:val="22"/>
                <w:szCs w:val="22"/>
                <w:color w:val="auto"/>
              </w:rPr>
              <w:t>1-3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432"/>
              <w:spacing w:after="0" w:line="216" w:lineRule="exact"/>
              <w:rPr>
                <w:sz w:val="20"/>
                <w:szCs w:val="20"/>
                <w:color w:val="auto"/>
              </w:rPr>
            </w:pPr>
            <w:r>
              <w:rPr>
                <w:rFonts w:ascii="Arial" w:cs="Arial" w:eastAsia="Arial" w:hAnsi="Arial"/>
                <w:sz w:val="22"/>
                <w:szCs w:val="22"/>
                <w:color w:val="auto"/>
              </w:rPr>
              <w:t>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2"/>
              <w:spacing w:after="0" w:line="216" w:lineRule="exact"/>
              <w:rPr>
                <w:sz w:val="20"/>
                <w:szCs w:val="20"/>
                <w:color w:val="auto"/>
              </w:rPr>
            </w:pPr>
            <w:r>
              <w:rPr>
                <w:rFonts w:ascii="Arial" w:cs="Arial" w:eastAsia="Arial" w:hAnsi="Arial"/>
                <w:sz w:val="22"/>
                <w:szCs w:val="22"/>
                <w:color w:val="auto"/>
                <w:w w:val="90"/>
              </w:rPr>
              <w:t>More than</w:t>
            </w:r>
          </w:p>
        </w:tc>
      </w:tr>
      <w:tr>
        <w:trPr>
          <w:trHeight w:val="265"/>
        </w:trPr>
        <w:tc>
          <w:tcPr>
            <w:tcW w:w="3620" w:type="dxa"/>
            <w:vAlign w:val="bottom"/>
            <w:tcBorders>
              <w:bottom w:val="single" w:sz="8" w:color="auto"/>
            </w:tcBorders>
          </w:tcPr>
          <w:p>
            <w:pPr>
              <w:ind w:left="1300"/>
              <w:spacing w:after="0"/>
              <w:rPr>
                <w:sz w:val="20"/>
                <w:szCs w:val="20"/>
                <w:color w:val="auto"/>
              </w:rPr>
            </w:pPr>
            <w:r>
              <w:rPr>
                <w:rFonts w:ascii="Arial" w:cs="Arial" w:eastAsia="Arial" w:hAnsi="Arial"/>
                <w:sz w:val="22"/>
                <w:szCs w:val="22"/>
                <w:color w:val="auto"/>
              </w:rPr>
              <w:t>Obligations</w:t>
            </w:r>
          </w:p>
        </w:tc>
        <w:tc>
          <w:tcPr>
            <w:tcW w:w="1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Total</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22"/>
                <w:szCs w:val="22"/>
                <w:color w:val="auto"/>
                <w:w w:val="88"/>
              </w:rPr>
              <w:t>1 year</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212"/>
              <w:spacing w:after="0"/>
              <w:rPr>
                <w:sz w:val="20"/>
                <w:szCs w:val="20"/>
                <w:color w:val="auto"/>
              </w:rPr>
            </w:pPr>
            <w:r>
              <w:rPr>
                <w:rFonts w:ascii="Arial" w:cs="Arial" w:eastAsia="Arial" w:hAnsi="Arial"/>
                <w:sz w:val="22"/>
                <w:szCs w:val="22"/>
                <w:color w:val="auto"/>
                <w:w w:val="85"/>
              </w:rPr>
              <w:t>years</w:t>
            </w:r>
          </w:p>
        </w:tc>
        <w:tc>
          <w:tcPr>
            <w:tcW w:w="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212"/>
              <w:spacing w:after="0"/>
              <w:rPr>
                <w:sz w:val="20"/>
                <w:szCs w:val="20"/>
                <w:color w:val="auto"/>
              </w:rPr>
            </w:pPr>
            <w:r>
              <w:rPr>
                <w:rFonts w:ascii="Arial" w:cs="Arial" w:eastAsia="Arial" w:hAnsi="Arial"/>
                <w:sz w:val="22"/>
                <w:szCs w:val="22"/>
                <w:color w:val="auto"/>
                <w:w w:val="85"/>
              </w:rPr>
              <w:t>years</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22"/>
                <w:szCs w:val="22"/>
                <w:color w:val="auto"/>
                <w:w w:val="85"/>
              </w:rPr>
              <w:t>5 years</w:t>
            </w:r>
          </w:p>
        </w:tc>
      </w:tr>
      <w:tr>
        <w:trPr>
          <w:trHeight w:val="463"/>
        </w:trPr>
        <w:tc>
          <w:tcPr>
            <w:tcW w:w="3780" w:type="dxa"/>
            <w:vAlign w:val="bottom"/>
            <w:gridSpan w:val="2"/>
          </w:tcPr>
          <w:p>
            <w:pPr>
              <w:spacing w:after="0"/>
              <w:rPr>
                <w:sz w:val="20"/>
                <w:szCs w:val="20"/>
                <w:color w:val="auto"/>
              </w:rPr>
            </w:pPr>
            <w:r>
              <w:rPr>
                <w:rFonts w:ascii="Arial" w:cs="Arial" w:eastAsia="Arial" w:hAnsi="Arial"/>
                <w:sz w:val="22"/>
                <w:szCs w:val="22"/>
                <w:color w:val="auto"/>
              </w:rPr>
              <w:t>Contractual Obligations</w:t>
            </w:r>
            <w:r>
              <w:rPr>
                <w:rFonts w:ascii="Arial" w:cs="Arial" w:eastAsia="Arial" w:hAnsi="Arial"/>
                <w:sz w:val="11"/>
                <w:szCs w:val="11"/>
                <w:color w:val="auto"/>
              </w:rPr>
              <w:t>1</w:t>
            </w:r>
          </w:p>
        </w:tc>
        <w:tc>
          <w:tcPr>
            <w:tcW w:w="3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145,950</w:t>
            </w:r>
          </w:p>
        </w:tc>
        <w:tc>
          <w:tcPr>
            <w:tcW w:w="1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85,403</w:t>
            </w:r>
          </w:p>
        </w:tc>
        <w:tc>
          <w:tcPr>
            <w:tcW w:w="180" w:type="dxa"/>
            <w:vAlign w:val="bottom"/>
          </w:tcPr>
          <w:p>
            <w:pPr>
              <w:spacing w:after="0"/>
              <w:rPr>
                <w:sz w:val="24"/>
                <w:szCs w:val="24"/>
                <w:color w:val="auto"/>
              </w:rPr>
            </w:pPr>
          </w:p>
        </w:tc>
        <w:tc>
          <w:tcPr>
            <w:tcW w:w="3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50,422</w:t>
            </w:r>
          </w:p>
        </w:tc>
        <w:tc>
          <w:tcPr>
            <w:tcW w:w="160" w:type="dxa"/>
            <w:vAlign w:val="bottom"/>
          </w:tcPr>
          <w:p>
            <w:pPr>
              <w:spacing w:after="0"/>
              <w:rPr>
                <w:sz w:val="24"/>
                <w:szCs w:val="24"/>
                <w:color w:val="auto"/>
              </w:rPr>
            </w:pPr>
          </w:p>
        </w:tc>
        <w:tc>
          <w:tcPr>
            <w:tcW w:w="3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10,125</w:t>
            </w:r>
          </w:p>
        </w:tc>
        <w:tc>
          <w:tcPr>
            <w:tcW w:w="1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w:t>
            </w:r>
          </w:p>
        </w:tc>
      </w:tr>
    </w:tbl>
    <w:p>
      <w:pPr>
        <w:sectPr>
          <w:pgSz w:w="11900" w:h="16838" w:orient="portrait"/>
          <w:cols w:equalWidth="0" w:num="1">
            <w:col w:w="11420"/>
          </w:cols>
          <w:pgMar w:left="240" w:top="121"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00" w:type="dxa"/>
            <w:vAlign w:val="bottom"/>
            <w:gridSpan w:val="2"/>
          </w:tcPr>
          <w:p>
            <w:pPr>
              <w:spacing w:after="0"/>
              <w:rPr>
                <w:sz w:val="20"/>
                <w:szCs w:val="20"/>
                <w:color w:val="auto"/>
              </w:rPr>
            </w:pPr>
            <w:r>
              <w:rPr>
                <w:rFonts w:ascii="Arial" w:cs="Arial" w:eastAsia="Arial" w:hAnsi="Arial"/>
                <w:sz w:val="22"/>
                <w:szCs w:val="22"/>
                <w:color w:val="auto"/>
              </w:rPr>
              <w:t>Capital Leases</w:t>
            </w:r>
          </w:p>
        </w:tc>
        <w:tc>
          <w:tcPr>
            <w:tcW w:w="980" w:type="dxa"/>
            <w:vAlign w:val="bottom"/>
          </w:tcPr>
          <w:p>
            <w:pPr>
              <w:jc w:val="right"/>
              <w:spacing w:after="0"/>
              <w:rPr>
                <w:sz w:val="20"/>
                <w:szCs w:val="20"/>
                <w:color w:val="auto"/>
              </w:rPr>
            </w:pPr>
            <w:r>
              <w:rPr>
                <w:rFonts w:ascii="Arial" w:cs="Arial" w:eastAsia="Arial" w:hAnsi="Arial"/>
                <w:sz w:val="22"/>
                <w:szCs w:val="22"/>
                <w:color w:val="auto"/>
              </w:rPr>
              <w:t>1,270</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1,270</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43"/>
        </w:trPr>
        <w:tc>
          <w:tcPr>
            <w:tcW w:w="4200" w:type="dxa"/>
            <w:vAlign w:val="bottom"/>
            <w:gridSpan w:val="2"/>
          </w:tcPr>
          <w:p>
            <w:pPr>
              <w:spacing w:after="0" w:line="243" w:lineRule="exact"/>
              <w:rPr>
                <w:sz w:val="20"/>
                <w:szCs w:val="20"/>
                <w:color w:val="auto"/>
              </w:rPr>
            </w:pPr>
            <w:r>
              <w:rPr>
                <w:rFonts w:ascii="Arial" w:cs="Arial" w:eastAsia="Arial" w:hAnsi="Arial"/>
                <w:sz w:val="22"/>
                <w:szCs w:val="22"/>
                <w:color w:val="auto"/>
              </w:rPr>
              <w:t>Operating Leases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18,330</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4,051</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3,304</w:t>
            </w: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3,187</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7,788</w:t>
            </w:r>
          </w:p>
        </w:tc>
      </w:tr>
      <w:tr>
        <w:trPr>
          <w:trHeight w:val="243"/>
        </w:trPr>
        <w:tc>
          <w:tcPr>
            <w:tcW w:w="4200" w:type="dxa"/>
            <w:vAlign w:val="bottom"/>
            <w:gridSpan w:val="2"/>
          </w:tcPr>
          <w:p>
            <w:pPr>
              <w:spacing w:after="0" w:line="243" w:lineRule="exact"/>
              <w:rPr>
                <w:sz w:val="20"/>
                <w:szCs w:val="20"/>
                <w:color w:val="auto"/>
              </w:rPr>
            </w:pPr>
            <w:r>
              <w:rPr>
                <w:rFonts w:ascii="Arial" w:cs="Arial" w:eastAsia="Arial" w:hAnsi="Arial"/>
                <w:sz w:val="22"/>
                <w:szCs w:val="22"/>
                <w:color w:val="auto"/>
              </w:rPr>
              <w:t>Purchase Commitments</w:t>
            </w:r>
            <w:r>
              <w:rPr>
                <w:rFonts w:ascii="Arial" w:cs="Arial" w:eastAsia="Arial" w:hAnsi="Arial"/>
                <w:sz w:val="11"/>
                <w:szCs w:val="11"/>
                <w:color w:val="auto"/>
              </w:rPr>
              <w:t>2</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32,567</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32,567</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r>
      <w:tr>
        <w:trPr>
          <w:trHeight w:val="265"/>
        </w:trPr>
        <w:tc>
          <w:tcPr>
            <w:tcW w:w="4200" w:type="dxa"/>
            <w:vAlign w:val="bottom"/>
            <w:gridSpan w:val="2"/>
          </w:tcPr>
          <w:p>
            <w:pPr>
              <w:spacing w:after="0"/>
              <w:rPr>
                <w:sz w:val="20"/>
                <w:szCs w:val="20"/>
                <w:color w:val="auto"/>
              </w:rPr>
            </w:pPr>
            <w:r>
              <w:rPr>
                <w:rFonts w:ascii="Arial" w:cs="Arial" w:eastAsia="Arial" w:hAnsi="Arial"/>
                <w:sz w:val="22"/>
                <w:szCs w:val="22"/>
                <w:color w:val="auto"/>
              </w:rPr>
              <w:t>Construction Contract</w:t>
            </w:r>
            <w:r>
              <w:rPr>
                <w:rFonts w:ascii="Arial" w:cs="Arial" w:eastAsia="Arial" w:hAnsi="Arial"/>
                <w:sz w:val="11"/>
                <w:szCs w:val="11"/>
                <w:color w:val="auto"/>
              </w:rPr>
              <w:t>3</w:t>
            </w:r>
          </w:p>
        </w:tc>
        <w:tc>
          <w:tcPr>
            <w:tcW w:w="980" w:type="dxa"/>
            <w:vAlign w:val="bottom"/>
          </w:tcPr>
          <w:p>
            <w:pPr>
              <w:jc w:val="right"/>
              <w:spacing w:after="0"/>
              <w:rPr>
                <w:sz w:val="20"/>
                <w:szCs w:val="20"/>
                <w:color w:val="auto"/>
              </w:rPr>
            </w:pPr>
            <w:r>
              <w:rPr>
                <w:rFonts w:ascii="Arial" w:cs="Arial" w:eastAsia="Arial" w:hAnsi="Arial"/>
                <w:sz w:val="22"/>
                <w:szCs w:val="22"/>
                <w:color w:val="auto"/>
              </w:rPr>
              <w:t>17,107</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17,107</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37"/>
        </w:trPr>
        <w:tc>
          <w:tcPr>
            <w:tcW w:w="37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9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215,224</w:t>
            </w:r>
          </w:p>
        </w:tc>
        <w:tc>
          <w:tcPr>
            <w:tcW w:w="1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92"/>
              <w:spacing w:after="0" w:line="237" w:lineRule="exact"/>
              <w:rPr>
                <w:sz w:val="20"/>
                <w:szCs w:val="20"/>
                <w:color w:val="auto"/>
              </w:rPr>
            </w:pPr>
            <w:r>
              <w:rPr>
                <w:rFonts w:ascii="Arial" w:cs="Arial" w:eastAsia="Arial" w:hAnsi="Arial"/>
                <w:sz w:val="22"/>
                <w:szCs w:val="22"/>
                <w:color w:val="auto"/>
              </w:rPr>
              <w:t>$</w:t>
            </w:r>
          </w:p>
        </w:tc>
        <w:tc>
          <w:tcPr>
            <w:tcW w:w="9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140,398</w:t>
            </w:r>
          </w:p>
        </w:tc>
        <w:tc>
          <w:tcPr>
            <w:tcW w:w="1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132"/>
              <w:spacing w:after="0" w:line="237" w:lineRule="exact"/>
              <w:rPr>
                <w:sz w:val="20"/>
                <w:szCs w:val="20"/>
                <w:color w:val="auto"/>
              </w:rPr>
            </w:pPr>
            <w:r>
              <w:rPr>
                <w:rFonts w:ascii="Arial" w:cs="Arial" w:eastAsia="Arial" w:hAnsi="Arial"/>
                <w:sz w:val="22"/>
                <w:szCs w:val="22"/>
                <w:color w:val="auto"/>
              </w:rPr>
              <w:t>$</w:t>
            </w:r>
          </w:p>
        </w:tc>
        <w:tc>
          <w:tcPr>
            <w:tcW w:w="9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53,726</w:t>
            </w: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132"/>
              <w:spacing w:after="0" w:line="237" w:lineRule="exact"/>
              <w:rPr>
                <w:sz w:val="20"/>
                <w:szCs w:val="20"/>
                <w:color w:val="auto"/>
              </w:rPr>
            </w:pPr>
            <w:r>
              <w:rPr>
                <w:rFonts w:ascii="Arial" w:cs="Arial" w:eastAsia="Arial" w:hAnsi="Arial"/>
                <w:sz w:val="22"/>
                <w:szCs w:val="22"/>
                <w:color w:val="auto"/>
              </w:rPr>
              <w:t>$</w:t>
            </w:r>
          </w:p>
        </w:tc>
        <w:tc>
          <w:tcPr>
            <w:tcW w:w="9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13,312</w:t>
            </w:r>
          </w:p>
        </w:tc>
        <w:tc>
          <w:tcPr>
            <w:tcW w:w="1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172"/>
              <w:spacing w:after="0" w:line="237" w:lineRule="exact"/>
              <w:rPr>
                <w:sz w:val="20"/>
                <w:szCs w:val="20"/>
                <w:color w:val="auto"/>
              </w:rPr>
            </w:pPr>
            <w:r>
              <w:rPr>
                <w:rFonts w:ascii="Arial" w:cs="Arial" w:eastAsia="Arial" w:hAnsi="Arial"/>
                <w:sz w:val="22"/>
                <w:szCs w:val="22"/>
                <w:color w:val="auto"/>
              </w:rPr>
              <w:t>$</w:t>
            </w:r>
          </w:p>
        </w:tc>
        <w:tc>
          <w:tcPr>
            <w:tcW w:w="8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7,788</w:t>
            </w:r>
          </w:p>
        </w:tc>
      </w:tr>
      <w:tr>
        <w:trPr>
          <w:trHeight w:val="20"/>
        </w:trPr>
        <w:tc>
          <w:tcPr>
            <w:tcW w:w="3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Contractual obligations include our obligations related to sponsorships and other commitments.</w:t>
      </w:r>
    </w:p>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color w:val="auto"/>
          <w:vertAlign w:val="superscript"/>
        </w:rPr>
        <w:t>3</w:t>
      </w:r>
      <w:r>
        <w:rPr>
          <w:rFonts w:ascii="Arial" w:cs="Arial" w:eastAsia="Arial" w:hAnsi="Arial"/>
          <w:sz w:val="16"/>
          <w:szCs w:val="16"/>
          <w:i w:val="1"/>
          <w:iCs w:val="1"/>
          <w:color w:val="auto"/>
        </w:rPr>
        <w:t>In September 2016, the Company completed its acquisition of approximately 49 acres of land, located in Rialto, CA, for a purchase price of approximately $39.1 million. The Company is constructing an approximately 1,000,000 square-foot building to replace its current leased warehouse and distribution facilities located in Corona, CA. The Company has entered into an approximately $37.6 million guaranteed maximum price construction contract for the construction of the building, of which $17.1 million remained outstanding as of June 30, 2017.</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approximately $6.5 million of unrecognized tax benefits have been recorded as liabilities as of June 30, 2017. It is expected that the amount of unrecognized tax benefits will not significantly change within the next 12 months. As of June 30, 2017, we had $1.1 million of accrued interest and penalties related to unrecognized tax benefits.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table below discloses selected quarterly data regarding sales for the three- and six-months ended June 30, 2017 and 2016, respectively. Data from any one or more quarters or periods is not necessarily indicative of annual results or continuing trends.</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of traditional beverages. In addition, our continued growth internationally may further reduce the impact of seasonality.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2"/>
          </w:tcPr>
          <w:p>
            <w:pPr>
              <w:spacing w:after="0"/>
              <w:rPr>
                <w:sz w:val="20"/>
                <w:szCs w:val="20"/>
                <w:color w:val="auto"/>
              </w:rPr>
            </w:pPr>
            <w:r>
              <w:rPr>
                <w:rFonts w:ascii="Arial" w:cs="Arial" w:eastAsia="Arial" w:hAnsi="Arial"/>
                <w:sz w:val="20"/>
                <w:szCs w:val="20"/>
                <w:color w:val="auto"/>
              </w:rPr>
              <w:t>(In thousands, except average</w:t>
            </w:r>
          </w:p>
        </w:tc>
        <w:tc>
          <w:tcPr>
            <w:tcW w:w="340" w:type="dxa"/>
            <w:vAlign w:val="bottom"/>
          </w:tcPr>
          <w:p>
            <w:pPr>
              <w:spacing w:after="0"/>
              <w:rPr>
                <w:sz w:val="19"/>
                <w:szCs w:val="19"/>
                <w:color w:val="auto"/>
              </w:rPr>
            </w:pPr>
          </w:p>
        </w:tc>
        <w:tc>
          <w:tcPr>
            <w:tcW w:w="2960" w:type="dxa"/>
            <w:vAlign w:val="bottom"/>
            <w:gridSpan w:val="5"/>
          </w:tcPr>
          <w:p>
            <w:pPr>
              <w:ind w:left="320"/>
              <w:spacing w:after="0"/>
              <w:rPr>
                <w:sz w:val="20"/>
                <w:szCs w:val="20"/>
                <w:color w:val="auto"/>
              </w:rPr>
            </w:pPr>
            <w:r>
              <w:rPr>
                <w:rFonts w:ascii="Arial" w:cs="Arial" w:eastAsia="Arial" w:hAnsi="Arial"/>
                <w:sz w:val="20"/>
                <w:szCs w:val="20"/>
                <w:color w:val="auto"/>
              </w:rPr>
              <w:t>Three-Months Ended</w:t>
            </w:r>
          </w:p>
        </w:tc>
        <w:tc>
          <w:tcPr>
            <w:tcW w:w="320" w:type="dxa"/>
            <w:vAlign w:val="bottom"/>
          </w:tcPr>
          <w:p>
            <w:pPr>
              <w:spacing w:after="0"/>
              <w:rPr>
                <w:sz w:val="19"/>
                <w:szCs w:val="19"/>
                <w:color w:val="auto"/>
              </w:rPr>
            </w:pPr>
          </w:p>
        </w:tc>
        <w:tc>
          <w:tcPr>
            <w:tcW w:w="2700" w:type="dxa"/>
            <w:vAlign w:val="bottom"/>
            <w:gridSpan w:val="4"/>
          </w:tcPr>
          <w:p>
            <w:pPr>
              <w:jc w:val="right"/>
              <w:ind w:right="661"/>
              <w:spacing w:after="0"/>
              <w:rPr>
                <w:sz w:val="20"/>
                <w:szCs w:val="20"/>
                <w:color w:val="auto"/>
              </w:rPr>
            </w:pPr>
            <w:r>
              <w:rPr>
                <w:rFonts w:ascii="Arial" w:cs="Arial" w:eastAsia="Arial" w:hAnsi="Arial"/>
                <w:sz w:val="20"/>
                <w:szCs w:val="20"/>
                <w:color w:val="auto"/>
              </w:rPr>
              <w:t>Six-Months Ended</w:t>
            </w:r>
          </w:p>
        </w:tc>
        <w:tc>
          <w:tcPr>
            <w:tcW w:w="0" w:type="dxa"/>
            <w:vAlign w:val="bottom"/>
          </w:tcPr>
          <w:p>
            <w:pPr>
              <w:spacing w:after="0"/>
              <w:rPr>
                <w:sz w:val="1"/>
                <w:szCs w:val="1"/>
                <w:color w:val="auto"/>
              </w:rPr>
            </w:pPr>
          </w:p>
        </w:tc>
      </w:tr>
      <w:tr>
        <w:trPr>
          <w:trHeight w:val="246"/>
        </w:trPr>
        <w:tc>
          <w:tcPr>
            <w:tcW w:w="482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net sales per case)</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color w:val="auto"/>
              </w:rPr>
              <w:t>June 30,</w:t>
            </w:r>
          </w:p>
        </w:tc>
        <w:tc>
          <w:tcPr>
            <w:tcW w:w="10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color w:val="auto"/>
              </w:rPr>
              <w:t>June 30,</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00" w:type="dxa"/>
            <w:vAlign w:val="bottom"/>
            <w:gridSpan w:val="2"/>
            <w:vMerge w:val="restart"/>
          </w:tcPr>
          <w:p>
            <w:pPr>
              <w:spacing w:after="0"/>
              <w:rPr>
                <w:sz w:val="20"/>
                <w:szCs w:val="20"/>
                <w:color w:val="auto"/>
              </w:rPr>
            </w:pPr>
            <w:r>
              <w:rPr>
                <w:rFonts w:ascii="Arial" w:cs="Arial" w:eastAsia="Arial" w:hAnsi="Arial"/>
                <w:sz w:val="20"/>
                <w:szCs w:val="20"/>
                <w:color w:val="auto"/>
              </w:rPr>
              <w:t>Net sales</w:t>
            </w:r>
            <w:r>
              <w:rPr>
                <w:rFonts w:ascii="Arial" w:cs="Arial" w:eastAsia="Arial" w:hAnsi="Arial"/>
                <w:sz w:val="12"/>
                <w:szCs w:val="12"/>
                <w:color w:val="auto"/>
              </w:rPr>
              <w:t>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2016</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06"/>
        </w:trPr>
        <w:tc>
          <w:tcPr>
            <w:tcW w:w="5100" w:type="dxa"/>
            <w:vAlign w:val="bottom"/>
            <w:gridSpan w:val="2"/>
            <w:vMerge w:val="continue"/>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907,068</w:t>
            </w:r>
          </w:p>
        </w:tc>
        <w:tc>
          <w:tcPr>
            <w:tcW w:w="280" w:type="dxa"/>
            <w:vAlign w:val="bottom"/>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827,488</w:t>
            </w:r>
          </w:p>
        </w:tc>
        <w:tc>
          <w:tcPr>
            <w:tcW w:w="280" w:type="dxa"/>
            <w:vAlign w:val="bottom"/>
          </w:tcPr>
          <w:p>
            <w:pPr>
              <w:spacing w:after="0"/>
              <w:rPr>
                <w:sz w:val="17"/>
                <w:szCs w:val="17"/>
                <w:color w:val="auto"/>
              </w:rPr>
            </w:pPr>
          </w:p>
        </w:tc>
        <w:tc>
          <w:tcPr>
            <w:tcW w:w="3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0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1,649,214</w:t>
            </w:r>
          </w:p>
        </w:tc>
        <w:tc>
          <w:tcPr>
            <w:tcW w:w="280" w:type="dxa"/>
            <w:vAlign w:val="bottom"/>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1,507,674</w:t>
            </w:r>
          </w:p>
        </w:tc>
        <w:tc>
          <w:tcPr>
            <w:tcW w:w="0" w:type="dxa"/>
            <w:vAlign w:val="bottom"/>
          </w:tcPr>
          <w:p>
            <w:pPr>
              <w:spacing w:after="0"/>
              <w:rPr>
                <w:sz w:val="1"/>
                <w:szCs w:val="1"/>
                <w:color w:val="auto"/>
              </w:rPr>
            </w:pPr>
          </w:p>
        </w:tc>
      </w:tr>
      <w:tr>
        <w:trPr>
          <w:trHeight w:val="240"/>
        </w:trPr>
        <w:tc>
          <w:tcPr>
            <w:tcW w:w="5100" w:type="dxa"/>
            <w:vAlign w:val="bottom"/>
            <w:gridSpan w:val="2"/>
          </w:tcPr>
          <w:p>
            <w:pPr>
              <w:spacing w:after="0"/>
              <w:rPr>
                <w:sz w:val="20"/>
                <w:szCs w:val="20"/>
                <w:color w:val="auto"/>
              </w:rPr>
            </w:pPr>
            <w:r>
              <w:rPr>
                <w:rFonts w:ascii="Arial" w:cs="Arial" w:eastAsia="Arial" w:hAnsi="Arial"/>
                <w:sz w:val="20"/>
                <w:szCs w:val="20"/>
                <w:color w:val="auto"/>
              </w:rPr>
              <w:t>Less: AFF third-party sales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(6,174)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(6,635)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(11,713)</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(6,441)</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line="220" w:lineRule="exact"/>
              <w:rPr>
                <w:sz w:val="20"/>
                <w:szCs w:val="20"/>
                <w:color w:val="auto"/>
              </w:rPr>
            </w:pPr>
            <w:r>
              <w:rPr>
                <w:rFonts w:ascii="Arial" w:cs="Arial" w:eastAsia="Arial" w:hAnsi="Arial"/>
                <w:sz w:val="20"/>
                <w:szCs w:val="20"/>
                <w:color w:val="auto"/>
              </w:rPr>
              <w:t>Adjusted net sales</w:t>
            </w:r>
            <w:r>
              <w:rPr>
                <w:rFonts w:ascii="Arial" w:cs="Arial" w:eastAsia="Arial" w:hAnsi="Arial"/>
                <w:sz w:val="12"/>
                <w:szCs w:val="12"/>
                <w:color w:val="auto"/>
              </w:rPr>
              <w:t>2</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900,894</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820,853</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1,637,501</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1,501,233</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20"/>
                <w:szCs w:val="20"/>
                <w:color w:val="auto"/>
              </w:rPr>
              <w:t>Case sales by segment:</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10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180"/>
              <w:spacing w:after="0"/>
              <w:rPr>
                <w:sz w:val="20"/>
                <w:szCs w:val="20"/>
                <w:color w:val="auto"/>
              </w:rPr>
            </w:pPr>
            <w:r>
              <w:rPr>
                <w:rFonts w:ascii="Arial" w:cs="Arial" w:eastAsia="Arial" w:hAnsi="Arial"/>
                <w:sz w:val="20"/>
                <w:szCs w:val="20"/>
                <w:color w:val="auto"/>
              </w:rPr>
              <w:t>Monster Energy® Drinks</w:t>
            </w: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78,323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68,448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142,103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126,017</w:t>
            </w:r>
          </w:p>
        </w:tc>
        <w:tc>
          <w:tcPr>
            <w:tcW w:w="0" w:type="dxa"/>
            <w:vAlign w:val="bottom"/>
          </w:tcPr>
          <w:p>
            <w:pPr>
              <w:spacing w:after="0"/>
              <w:rPr>
                <w:sz w:val="1"/>
                <w:szCs w:val="1"/>
                <w:color w:val="auto"/>
              </w:rPr>
            </w:pPr>
          </w:p>
        </w:tc>
      </w:tr>
      <w:tr>
        <w:trPr>
          <w:trHeight w:val="230"/>
        </w:trPr>
        <w:tc>
          <w:tcPr>
            <w:tcW w:w="5100" w:type="dxa"/>
            <w:vAlign w:val="bottom"/>
            <w:gridSpan w:val="2"/>
          </w:tcPr>
          <w:p>
            <w:pPr>
              <w:ind w:left="180"/>
              <w:spacing w:after="0"/>
              <w:rPr>
                <w:sz w:val="20"/>
                <w:szCs w:val="20"/>
                <w:color w:val="auto"/>
              </w:rPr>
            </w:pPr>
            <w:r>
              <w:rPr>
                <w:rFonts w:ascii="Arial" w:cs="Arial" w:eastAsia="Arial" w:hAnsi="Arial"/>
                <w:sz w:val="20"/>
                <w:szCs w:val="20"/>
                <w:color w:val="auto"/>
              </w:rPr>
              <w:t>Strategic Brands</w:t>
            </w: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18,910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19,126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35,122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34,210</w:t>
            </w:r>
          </w:p>
        </w:tc>
        <w:tc>
          <w:tcPr>
            <w:tcW w:w="0" w:type="dxa"/>
            <w:vAlign w:val="bottom"/>
          </w:tcPr>
          <w:p>
            <w:pPr>
              <w:spacing w:after="0"/>
              <w:rPr>
                <w:sz w:val="1"/>
                <w:szCs w:val="1"/>
                <w:color w:val="auto"/>
              </w:rPr>
            </w:pPr>
          </w:p>
        </w:tc>
      </w:tr>
      <w:tr>
        <w:trPr>
          <w:trHeight w:val="240"/>
        </w:trPr>
        <w:tc>
          <w:tcPr>
            <w:tcW w:w="5100" w:type="dxa"/>
            <w:vAlign w:val="bottom"/>
            <w:gridSpan w:val="2"/>
          </w:tcPr>
          <w:p>
            <w:pPr>
              <w:ind w:left="180"/>
              <w:spacing w:after="0"/>
              <w:rPr>
                <w:sz w:val="20"/>
                <w:szCs w:val="20"/>
                <w:color w:val="auto"/>
              </w:rPr>
            </w:pPr>
            <w:r>
              <w:rPr>
                <w:rFonts w:ascii="Arial" w:cs="Arial" w:eastAsia="Arial" w:hAnsi="Arial"/>
                <w:sz w:val="20"/>
                <w:szCs w:val="20"/>
                <w:color w:val="auto"/>
              </w:rPr>
              <w:t>Other</w:t>
            </w:r>
            <w:r>
              <w:rPr>
                <w:rFonts w:ascii="Arial" w:cs="Arial" w:eastAsia="Arial" w:hAnsi="Arial"/>
                <w:sz w:val="12"/>
                <w:szCs w:val="12"/>
                <w:color w:val="auto"/>
              </w:rPr>
              <w:t>2</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line="213" w:lineRule="exact"/>
              <w:rPr>
                <w:sz w:val="20"/>
                <w:szCs w:val="20"/>
                <w:color w:val="auto"/>
              </w:rPr>
            </w:pPr>
            <w:r>
              <w:rPr>
                <w:rFonts w:ascii="Arial" w:cs="Arial" w:eastAsia="Arial" w:hAnsi="Arial"/>
                <w:sz w:val="20"/>
                <w:szCs w:val="20"/>
                <w:color w:val="auto"/>
              </w:rPr>
              <w:t>Total case sales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line="213" w:lineRule="exact"/>
              <w:rPr>
                <w:sz w:val="20"/>
                <w:szCs w:val="20"/>
                <w:color w:val="auto"/>
              </w:rPr>
            </w:pPr>
            <w:r>
              <w:rPr>
                <w:rFonts w:ascii="Arial" w:cs="Arial" w:eastAsia="Arial" w:hAnsi="Arial"/>
                <w:sz w:val="20"/>
                <w:szCs w:val="20"/>
                <w:color w:val="auto"/>
              </w:rPr>
              <w:t>97,233</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
              <w:spacing w:after="0" w:line="213" w:lineRule="exact"/>
              <w:rPr>
                <w:sz w:val="20"/>
                <w:szCs w:val="20"/>
                <w:color w:val="auto"/>
              </w:rPr>
            </w:pPr>
            <w:r>
              <w:rPr>
                <w:rFonts w:ascii="Arial" w:cs="Arial" w:eastAsia="Arial" w:hAnsi="Arial"/>
                <w:sz w:val="20"/>
                <w:szCs w:val="20"/>
                <w:color w:val="auto"/>
              </w:rPr>
              <w:t>87,574</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
              <w:spacing w:after="0" w:line="213" w:lineRule="exact"/>
              <w:rPr>
                <w:sz w:val="20"/>
                <w:szCs w:val="20"/>
                <w:color w:val="auto"/>
              </w:rPr>
            </w:pPr>
            <w:r>
              <w:rPr>
                <w:rFonts w:ascii="Arial" w:cs="Arial" w:eastAsia="Arial" w:hAnsi="Arial"/>
                <w:sz w:val="20"/>
                <w:szCs w:val="20"/>
                <w:color w:val="auto"/>
              </w:rPr>
              <w:t>177,225</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
              <w:spacing w:after="0" w:line="213" w:lineRule="exact"/>
              <w:rPr>
                <w:sz w:val="20"/>
                <w:szCs w:val="20"/>
                <w:color w:val="auto"/>
              </w:rPr>
            </w:pPr>
            <w:r>
              <w:rPr>
                <w:rFonts w:ascii="Arial" w:cs="Arial" w:eastAsia="Arial" w:hAnsi="Arial"/>
                <w:sz w:val="20"/>
                <w:szCs w:val="20"/>
                <w:color w:val="auto"/>
              </w:rPr>
              <w:t>160,227</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line="220" w:lineRule="exact"/>
              <w:rPr>
                <w:sz w:val="20"/>
                <w:szCs w:val="20"/>
                <w:color w:val="auto"/>
              </w:rPr>
            </w:pPr>
            <w:r>
              <w:rPr>
                <w:rFonts w:ascii="Arial" w:cs="Arial" w:eastAsia="Arial" w:hAnsi="Arial"/>
                <w:sz w:val="20"/>
                <w:szCs w:val="20"/>
                <w:color w:val="auto"/>
              </w:rPr>
              <w:t>Average net sales per case</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9.27</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9.37</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9.24</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9.37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230"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Includes $10.2 million and $12.1 million for the three-months ended June 30, 2017 and 2016, respectively, related to the recognition of deferred revenue. Includes $20.1 million and $20.2 million for the six-months ended June 30, 2017 and 2016, respectively, related to the recognition of deferred revenue.</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Excludes Other segment net sales of $6.2 million and $6.6 million for the three-months ended June 30, 2017 and 2016, respectively, comprised of net sales of AFF Third-Party Products to independent third-party customers as these sales do not have unit case equivalents. Excludes Other segment net sales of $11.7 million and $6.4 million for the six-months ended June 30, 2017 and 2016, respectively, comprised of sales of AFF Third-Party Products to independent third-party customers as these sales do not have unit case equivalents.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See Item 2, “Management’s Discussion and Analysis of Financial Condition and Results of Operations - Our Business” for additional information related to the increase in sales.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2016 (“Form 10-K”).</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ectPr>
          <w:pgSz w:w="11900" w:h="16838" w:orient="portrait"/>
          <w:cols w:equalWidth="0" w:num="1">
            <w:col w:w="11420"/>
          </w:cols>
          <w:pgMar w:left="240" w:top="108" w:right="239" w:bottom="0" w:gutter="0" w:footer="0" w:header="0"/>
        </w:sectPr>
      </w:pPr>
    </w:p>
    <w:bookmarkStart w:id="27" w:name="page28"/>
    <w:bookmarkEnd w:id="27"/>
    <w:p>
      <w:pPr>
        <w:jc w:val="both"/>
        <w:ind w:firstLine="648"/>
        <w:spacing w:after="0" w:line="259" w:lineRule="auto"/>
        <w:rPr>
          <w:sz w:val="20"/>
          <w:szCs w:val="20"/>
          <w:color w:val="auto"/>
        </w:rPr>
      </w:pPr>
      <w:r>
        <w:rPr>
          <w:rFonts w:ascii="Arial" w:cs="Arial" w:eastAsia="Arial" w:hAnsi="Arial"/>
          <w:sz w:val="19"/>
          <w:szCs w:val="19"/>
          <w:color w:val="252525"/>
        </w:rPr>
        <w:t>In May 2017, the FASB issued Accounting Standards Update (“ASU”) No. 2017-09, “Compensation—Stock Compensation (Topic 718): Scope of Modification Accounting,” clarifying when a change to the terms or conditions of a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The new guidance is effective for the Company on a prospective basis beginning on January 1, 2018, with early adoption permitted. The Company is currently evaluating the impact of ASU No. 2017-09 on its financial position, results of operations and liquidity.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252525"/>
        </w:rPr>
        <w:t>In January 2017, the FASB issued ASU No. 2017-01, “Business Combinations (Topic 805): Clarifying the Definition of a Business”, which clarifies the definition of a business with the objective of adding guidance to assist entities with evaluating whether transactions should be accounted for as acquisitions (or disposals) of assets or businesses. This amendment is effective for fiscal years beginning after December 15, 2017, and interim periods within those fiscal years. Early adoption is permitted. The Company is currently evaluating the impact of ASU No. 2017-01 on its financial position, results of operations and liquidity.</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252525"/>
        </w:rPr>
        <w:t>In January 2017, the FASB issued ASU No. 2017-04, “Intangibles and Other (Topic 350): Simplifying the Test for Goodwill Impairment”, which eliminates the requirement to calculate the implied fair value of goodwill, but rather requires an entity to record an impairment charge based on the excess of a reporting unit’s carrying value over its fair value. This amendment is effective for annual or interim goodwill impairment tests in fiscal years beginning after December 15, 2019. Early adoption is permitted. The Company is currently evaluating the impact of ASU No. 2017-04 on its financial position, results of operations and liquidity.</w:t>
      </w:r>
    </w:p>
    <w:p>
      <w:pPr>
        <w:spacing w:after="0" w:line="19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252525"/>
        </w:rPr>
        <w:t>In October 2016, the FASB issued ASU No. 2016-16, “Income Taxes (Topic 740): Intra-Entity Transfers of Assets Other Than Inventory”, in an effort to improve the accounting for the income tax consequences of intra-entity transfers of assets other than inventory. Current GAAP prohibits the recognition of current and deferred income taxes for an intra-entity asset transfer until the asset has been sold to an outside party. FASB ASU No. 2016-16 establishes the requirement that an entity recognize the income tax consequences of an intra-entity transfer of an asset other than inventory when the transfer occurs. ASU No. 2016-16 is effective for financial statements issued for annual periods beginning after December 15, 2017 and interim periods within those annual periods. Earlier application is permitted as of the beginning of an interim or annual reporting period, with any adjustments reflected as of the beginning of the fiscal year of adoption. The Company is currently evaluating the impact of ASU No. 2016-16 on its financial position, results of operations and liquidity.</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252525"/>
        </w:rPr>
        <w:t>In August 2016, the FASB issued ASU No. 2016-15, “Statement of Cash Flows (Topic 230)”. The new guidance is intended to reduce diversity in practice in how certain transactions are classified in the statement of cash flows. ASU No. 2016-15 is effective for fiscal years, and interim periods within those years, beginning after December 15, 2017. Early adoption is permitted, provided that all of the amendments are adopted in the same period. The guidance requires application using a retrospective transition method. The Company is currently evaluating the impact of ASU No. 2016-15 on its financial position, results of operations and liquidity.</w:t>
      </w:r>
    </w:p>
    <w:p>
      <w:pPr>
        <w:spacing w:after="0" w:line="19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252525"/>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252525"/>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is currently evaluating the impact of ASU No. 2016-02 on its financial position, results of operations and liquidity.</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252525"/>
        </w:rPr>
        <w:t>In May 2014, the FASB issued ASU No. 2014-09, “Revenue from Contracts with Customers (Topic 606)”, which supersedes previous revenue recognition guidance. ASU No. 2014-09 requires that a company recognize revenue at an amount that reflects the consideration to which the company expects to be entitled in exchange for transferring goods or services to a customer. In applying the new guidance, a company will (i) identify the contract(s) with a customer; (ii) identify the performance obligations in the contract;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252525"/>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8"/>
        <w:spacing w:after="0" w:line="256" w:lineRule="auto"/>
        <w:tabs>
          <w:tab w:leader="none" w:pos="371" w:val="left"/>
        </w:tabs>
        <w:numPr>
          <w:ilvl w:val="0"/>
          <w:numId w:val="23"/>
        </w:numPr>
        <w:rPr>
          <w:rFonts w:ascii="Arial" w:cs="Arial" w:eastAsia="Arial" w:hAnsi="Arial"/>
          <w:sz w:val="19"/>
          <w:szCs w:val="19"/>
          <w:color w:val="252525"/>
        </w:rPr>
      </w:pPr>
      <w:r>
        <w:rPr>
          <w:rFonts w:ascii="Arial" w:cs="Arial" w:eastAsia="Arial" w:hAnsi="Arial"/>
          <w:sz w:val="19"/>
          <w:szCs w:val="19"/>
          <w:color w:val="252525"/>
        </w:rPr>
        <w:t>determine the transaction price; (iv) allocate the transaction price to the contract’s performance obligations; and (v) recognize revenue when (or as) the entity satisfies a performance obligation. ASU No. 2014-09 was to be effective for reporting periods beginning after December 15, 2016. However, on July 9, 2015, the FASB voted to approve a one-year deferral of the effective date. This new guidance is effective for the Company beginning January 1, 2018 and can be adopted using either a full retrospective or modified approach. The Company is progressing in its evaluation of the amended revenue recognition guidance in Topic 606. However, such evaluation has yet to progress to a stage where there is sufficient information for a preliminary position of the impact on the Company’s consolidated financial statements. Therefore, the Company is unable at this time to provide (i) qualitative financial statement disclosures of the potential impact that this standard will have on its financial statements when adopted, (ii) a description of the effects of the accounting policies it expects to apply, (iii) a comparison to its current revenue recognition policies and (iv) a method for adoption.</w:t>
      </w:r>
    </w:p>
    <w:p>
      <w:pPr>
        <w:sectPr>
          <w:pgSz w:w="11900" w:h="16838" w:orient="portrait"/>
          <w:cols w:equalWidth="0" w:num="1">
            <w:col w:w="11420"/>
          </w:cols>
          <w:pgMar w:left="240" w:top="352" w:right="239" w:bottom="0"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Inflation</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inflation did not have a significant impact on our results of operations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200"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recognize any and/or all of the benefits from the TCCC transaction and the AFF Transaction;</w:t>
      </w:r>
    </w:p>
    <w:p>
      <w:pPr>
        <w:spacing w:after="0" w:line="15" w:lineRule="exact"/>
        <w:rPr>
          <w:rFonts w:ascii="Arial" w:cs="Arial" w:eastAsia="Arial" w:hAnsi="Arial"/>
          <w:sz w:val="20"/>
          <w:szCs w:val="20"/>
          <w:color w:val="auto"/>
        </w:rPr>
      </w:pP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effect of our extensive commercial arrangements with TCCC on our future performance;</w:t>
      </w:r>
    </w:p>
    <w:p>
      <w:pPr>
        <w:ind w:left="340" w:hanging="332"/>
        <w:spacing w:after="0" w:line="239" w:lineRule="auto"/>
        <w:tabs>
          <w:tab w:leader="none" w:pos="322"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effect of TCCC becoming one of our significant shareholders and the potential divergence of TCCC’s interests from those of our other shareholders;</w:t>
      </w:r>
    </w:p>
    <w:p>
      <w:pPr>
        <w:spacing w:after="0" w:line="1" w:lineRule="exact"/>
        <w:rPr>
          <w:rFonts w:ascii="Arial" w:cs="Arial" w:eastAsia="Arial" w:hAnsi="Arial"/>
          <w:sz w:val="20"/>
          <w:szCs w:val="20"/>
          <w:color w:val="auto"/>
        </w:rPr>
      </w:pPr>
    </w:p>
    <w:p>
      <w:pPr>
        <w:ind w:left="340" w:hanging="332"/>
        <w:spacing w:after="0" w:line="239" w:lineRule="auto"/>
        <w:tabs>
          <w:tab w:leader="none" w:pos="524"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successfully transfer the distribution of our Monster Energy® brand energy drinks in certain existing domestic and international territories to bottlers/distributors within the TCCC distribution system on terms beneficial to us;</w:t>
      </w:r>
    </w:p>
    <w:p>
      <w:pPr>
        <w:spacing w:after="0" w:line="1" w:lineRule="exact"/>
        <w:rPr>
          <w:rFonts w:ascii="Arial" w:cs="Arial" w:eastAsia="Arial" w:hAnsi="Arial"/>
          <w:sz w:val="20"/>
          <w:szCs w:val="20"/>
          <w:color w:val="auto"/>
        </w:rPr>
      </w:pPr>
    </w:p>
    <w:p>
      <w:pPr>
        <w:ind w:left="340" w:hanging="332"/>
        <w:spacing w:after="0" w:line="239" w:lineRule="auto"/>
        <w:tabs>
          <w:tab w:leader="none" w:pos="376"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successfully enter into new distribution agreements with bottlers/distributors within the TCCC distribution system for new international territories;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slowing of and/or decline in the sales growth rates of the energy drink category and/or the U.S. convenience store market generally;</w:t>
      </w:r>
    </w:p>
    <w:p>
      <w:pPr>
        <w:spacing w:after="0" w:line="22" w:lineRule="exact"/>
        <w:rPr>
          <w:rFonts w:ascii="Arial" w:cs="Arial" w:eastAsia="Arial" w:hAnsi="Arial"/>
          <w:sz w:val="18"/>
          <w:szCs w:val="18"/>
          <w:color w:val="auto"/>
        </w:rPr>
      </w:pPr>
    </w:p>
    <w:p>
      <w:pPr>
        <w:ind w:left="340" w:hanging="332"/>
        <w:spacing w:after="0" w:line="239" w:lineRule="auto"/>
        <w:tabs>
          <w:tab w:leader="none" w:pos="322" w:val="left"/>
        </w:tabs>
        <w:numPr>
          <w:ilvl w:val="0"/>
          <w:numId w:val="24"/>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Lack of anticipated demand for our products in domestic and/or international markets;</w:t>
      </w:r>
    </w:p>
    <w:p>
      <w:pPr>
        <w:ind w:left="280" w:hanging="272"/>
        <w:spacing w:after="0"/>
        <w:tabs>
          <w:tab w:leader="none" w:pos="2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Fluctuations in the inventory levels of our bottlers/distributors, planned or otherwise, and the resultant impact on our revenues;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340" w:right="680" w:hanging="332"/>
        <w:spacing w:after="0" w:line="247" w:lineRule="auto"/>
        <w:tabs>
          <w:tab w:leader="none" w:pos="295" w:val="left"/>
        </w:tabs>
        <w:numPr>
          <w:ilvl w:val="0"/>
          <w:numId w:val="25"/>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product registration requirements, tariffs, trade restrictions, container size limitations and/or ingredient restrictions;</w:t>
      </w:r>
    </w:p>
    <w:p>
      <w:pPr>
        <w:spacing w:after="0" w:line="1" w:lineRule="exact"/>
        <w:rPr>
          <w:rFonts w:ascii="Arial" w:cs="Arial" w:eastAsia="Arial" w:hAnsi="Arial"/>
          <w:sz w:val="20"/>
          <w:szCs w:val="20"/>
          <w:color w:val="auto"/>
        </w:rPr>
      </w:pPr>
    </w:p>
    <w:p>
      <w:pPr>
        <w:jc w:val="both"/>
        <w:ind w:left="340" w:hanging="332"/>
        <w:spacing w:after="0" w:line="239" w:lineRule="auto"/>
        <w:tabs>
          <w:tab w:leader="none" w:pos="403"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effect of inquiries from, and/or actions by, state attorneys general, the Federal Trade Commission (the “FTC”), the Food and Drug Administration (the “FDA”), municipalities, city attorneys, other government agencies, quasi-government agencies and/or government officials (including members of Congress), into the advertising, marketing, promotion, ingredients, sale and/or consumption of our energy drink products, including voluntary and/or required changes to our business practices;</w:t>
      </w:r>
    </w:p>
    <w:p>
      <w:pPr>
        <w:spacing w:after="0" w:line="2" w:lineRule="exact"/>
        <w:rPr>
          <w:rFonts w:ascii="Arial" w:cs="Arial" w:eastAsia="Arial" w:hAnsi="Arial"/>
          <w:sz w:val="20"/>
          <w:szCs w:val="20"/>
          <w:color w:val="auto"/>
        </w:rPr>
      </w:pPr>
    </w:p>
    <w:p>
      <w:pPr>
        <w:ind w:left="280" w:hanging="272"/>
        <w:spacing w:after="0"/>
        <w:tabs>
          <w:tab w:leader="none" w:pos="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achieve profitability from certain of our operations outside the United States;</w:t>
      </w:r>
    </w:p>
    <w:p>
      <w:pPr>
        <w:ind w:left="340" w:right="20" w:hanging="332"/>
        <w:spacing w:after="0" w:line="252" w:lineRule="auto"/>
        <w:tabs>
          <w:tab w:leader="none" w:pos="416" w:val="left"/>
        </w:tabs>
        <w:numPr>
          <w:ilvl w:val="0"/>
          <w:numId w:val="25"/>
        </w:numPr>
        <w:rPr>
          <w:rFonts w:ascii="Arial" w:cs="Arial" w:eastAsia="Arial" w:hAnsi="Arial"/>
          <w:sz w:val="19"/>
          <w:szCs w:val="19"/>
          <w:color w:val="auto"/>
        </w:rPr>
      </w:pPr>
      <w:r>
        <w:rPr>
          <w:rFonts w:ascii="Arial" w:cs="Arial" w:eastAsia="Arial" w:hAnsi="Arial"/>
          <w:sz w:val="19"/>
          <w:szCs w:val="19"/>
          <w:color w:val="auto"/>
        </w:rPr>
        <w:t>Our ability to manage legal and regulatory requirements in foreign jurisdictions, potential difficulties in staffing and managing foreign operations and potentially higher incidence of fraud or corruption and credit risk of foreign customers and/or distributors;</w:t>
      </w:r>
    </w:p>
    <w:p>
      <w:pPr>
        <w:ind w:left="28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spacing w:after="0" w:line="22" w:lineRule="exact"/>
        <w:rPr>
          <w:rFonts w:ascii="Arial" w:cs="Arial" w:eastAsia="Arial" w:hAnsi="Arial"/>
          <w:sz w:val="18"/>
          <w:szCs w:val="18"/>
          <w:color w:val="auto"/>
        </w:rPr>
      </w:pPr>
    </w:p>
    <w:p>
      <w:pPr>
        <w:ind w:left="280" w:hanging="272"/>
        <w:spacing w:after="0"/>
        <w:tabs>
          <w:tab w:leader="none" w:pos="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ind w:left="340" w:hanging="332"/>
        <w:spacing w:after="0" w:line="239" w:lineRule="auto"/>
        <w:tabs>
          <w:tab w:leader="none" w:pos="362"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340" w:hanging="332"/>
        <w:spacing w:after="0" w:line="239" w:lineRule="auto"/>
        <w:tabs>
          <w:tab w:leader="none" w:pos="362"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FTC or other governmental agencies or bodies;</w:t>
      </w:r>
    </w:p>
    <w:p>
      <w:pPr>
        <w:spacing w:after="0" w:line="1" w:lineRule="exact"/>
        <w:rPr>
          <w:rFonts w:ascii="Arial" w:cs="Arial" w:eastAsia="Arial" w:hAnsi="Arial"/>
          <w:sz w:val="20"/>
          <w:szCs w:val="20"/>
          <w:color w:val="auto"/>
        </w:rPr>
      </w:pPr>
    </w:p>
    <w:p>
      <w:pPr>
        <w:ind w:left="340" w:hanging="332"/>
        <w:spacing w:after="0" w:line="239" w:lineRule="auto"/>
        <w:tabs>
          <w:tab w:leader="none" w:pos="376"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outcome and/or possibility of future shareholder derivative actions or shareholder securities litigation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jc w:val="both"/>
        <w:ind w:left="340" w:hanging="332"/>
        <w:spacing w:after="0" w:line="239" w:lineRule="auto"/>
        <w:tabs>
          <w:tab w:leader="none" w:pos="308"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outcome of any other litigation;</w:t>
      </w:r>
    </w:p>
    <w:p>
      <w:pPr>
        <w:ind w:left="280" w:hanging="272"/>
        <w:spacing w:after="0"/>
        <w:tabs>
          <w:tab w:leader="none" w:pos="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current uncertainty and volatility in the national and global economy;</w:t>
      </w:r>
    </w:p>
    <w:p>
      <w:pPr>
        <w:ind w:left="280" w:hanging="272"/>
        <w:spacing w:after="0"/>
        <w:tabs>
          <w:tab w:leader="none" w:pos="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controls over financial reporting;</w:t>
      </w:r>
    </w:p>
    <w:p>
      <w:pPr>
        <w:ind w:left="280" w:hanging="272"/>
        <w:spacing w:after="0"/>
        <w:tabs>
          <w:tab w:leader="none" w:pos="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continue to generate sufficient cash flows to support capital expansion plans and general operating activities;</w:t>
      </w:r>
    </w:p>
    <w:p>
      <w:pPr>
        <w:ind w:left="340" w:right="20" w:hanging="332"/>
        <w:spacing w:after="0" w:line="239" w:lineRule="auto"/>
        <w:tabs>
          <w:tab w:leader="none" w:pos="497" w:val="left"/>
        </w:tabs>
        <w:numPr>
          <w:ilvl w:val="0"/>
          <w:numId w:val="25"/>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and/or from decreased consumer discretionary spending power;</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Changes in demand that are weather related and/or for other reasons, including changes in product category consumption;</w:t>
      </w:r>
    </w:p>
    <w:p>
      <w:pPr>
        <w:ind w:left="340" w:hanging="332"/>
        <w:spacing w:after="0" w:line="239" w:lineRule="auto"/>
        <w:tabs>
          <w:tab w:leader="none" w:pos="308"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280" w:hanging="272"/>
        <w:spacing w:after="0"/>
        <w:tabs>
          <w:tab w:leader="none" w:pos="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sectPr>
          <w:pgSz w:w="11900" w:h="16838" w:orient="portrait"/>
          <w:cols w:equalWidth="0" w:num="1">
            <w:col w:w="11420"/>
          </w:cols>
          <w:pgMar w:left="240" w:top="115" w:right="239" w:bottom="0" w:gutter="0" w:footer="0" w:header="0"/>
        </w:sectPr>
      </w:pPr>
    </w:p>
    <w:bookmarkStart w:id="29" w:name="page30"/>
    <w:bookmarkEnd w:id="29"/>
    <w:p>
      <w:pPr>
        <w:ind w:left="340" w:hanging="332"/>
        <w:spacing w:after="0" w:line="248" w:lineRule="auto"/>
        <w:tabs>
          <w:tab w:leader="none" w:pos="403"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increase the sales of our Monster Energy® brand energy drinks and/or our other products, including the Strategic Brands acquired from TCCC;</w:t>
      </w:r>
    </w:p>
    <w:p>
      <w:pPr>
        <w:spacing w:after="0" w:line="1" w:lineRule="exact"/>
        <w:rPr>
          <w:rFonts w:ascii="Arial" w:cs="Arial" w:eastAsia="Arial" w:hAnsi="Arial"/>
          <w:sz w:val="20"/>
          <w:szCs w:val="20"/>
          <w:color w:val="auto"/>
        </w:rPr>
      </w:pPr>
    </w:p>
    <w:p>
      <w:pPr>
        <w:jc w:val="both"/>
        <w:ind w:left="340" w:hanging="332"/>
        <w:spacing w:after="0"/>
        <w:tabs>
          <w:tab w:leader="none" w:pos="295"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impact of criticism of our energy drink products and/or the energy drink market generally and/or legislation enacted (whether as a result of such criticism or otherwise) that restricts the sale of energy drinks (including prohibiting the sale of energy drinks at certain establishments or pursuant to certain governmental programs), limit caffeine content in beverages, require certain product labeling disclosures and/or warnings, impose excise and/or sales taxes, limit product sizes and/or impose age restrictions for the sale of energy drinks;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left="340" w:hanging="332"/>
        <w:spacing w:after="0" w:line="268" w:lineRule="auto"/>
        <w:tabs>
          <w:tab w:leader="none" w:pos="322"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&amp; Cosmetic Act,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FDA, the Bureau of Alcohol, Tobacco and Firearms and Explosives and/or the FTC;</w:t>
      </w:r>
    </w:p>
    <w:p>
      <w:pPr>
        <w:jc w:val="both"/>
        <w:ind w:left="340" w:hanging="332"/>
        <w:spacing w:after="0" w:line="239" w:lineRule="auto"/>
        <w:tabs>
          <w:tab w:leader="none" w:pos="295"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Disruptions in the timely import or export of our products and/or ingredients due to port strikes and related labor issues;</w:t>
      </w:r>
    </w:p>
    <w:p>
      <w:pPr>
        <w:ind w:left="280" w:hanging="272"/>
        <w:spacing w:after="0"/>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effect of unfavorable or adverse public relations, press, articles, comments and/or media attention;</w:t>
      </w:r>
    </w:p>
    <w:p>
      <w:pPr>
        <w:jc w:val="both"/>
        <w:ind w:left="340" w:hanging="332"/>
        <w:spacing w:after="0" w:line="252" w:lineRule="auto"/>
        <w:tabs>
          <w:tab w:leader="none" w:pos="322" w:val="left"/>
        </w:tabs>
        <w:numPr>
          <w:ilvl w:val="0"/>
          <w:numId w:val="27"/>
        </w:numPr>
        <w:rPr>
          <w:rFonts w:ascii="Arial" w:cs="Arial" w:eastAsia="Arial" w:hAnsi="Arial"/>
          <w:sz w:val="19"/>
          <w:szCs w:val="19"/>
          <w:color w:val="auto"/>
        </w:rPr>
      </w:pPr>
      <w:r>
        <w:rPr>
          <w:rFonts w:ascii="Arial" w:cs="Arial" w:eastAsia="Arial" w:hAnsi="Arial"/>
          <w:sz w:val="19"/>
          <w:szCs w:val="19"/>
          <w:color w:val="auto"/>
        </w:rPr>
        <w:t>Changes in the cost, quality and availability of containers, packaging materials, aluminum,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ind w:left="340" w:right="20" w:hanging="332"/>
        <w:spacing w:after="0" w:line="239" w:lineRule="auto"/>
        <w:tabs>
          <w:tab w:leader="none" w:pos="335"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Any shortages that may be experienced in the procurement of containers and/or other raw materials including, without limitation, the PET containers used for our Monster Hydro</w:t>
      </w:r>
      <w:r>
        <w:rPr>
          <w:rFonts w:ascii="Arial" w:cs="Arial" w:eastAsia="Arial" w:hAnsi="Arial"/>
          <w:sz w:val="12"/>
          <w:szCs w:val="12"/>
          <w:color w:val="auto"/>
        </w:rPr>
        <w:t>TM</w:t>
      </w:r>
      <w:r>
        <w:rPr>
          <w:rFonts w:ascii="Arial" w:cs="Arial" w:eastAsia="Arial" w:hAnsi="Arial"/>
          <w:sz w:val="20"/>
          <w:szCs w:val="20"/>
          <w:color w:val="auto"/>
        </w:rPr>
        <w:t xml:space="preserve"> energy drinks;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corporate activity among the limited number of suppliers from whom we purchase certain raw materials on our cost of sales;</w:t>
      </w:r>
    </w:p>
    <w:p>
      <w:pPr>
        <w:spacing w:after="0" w:line="22" w:lineRule="exact"/>
        <w:rPr>
          <w:rFonts w:ascii="Arial" w:cs="Arial" w:eastAsia="Arial" w:hAnsi="Arial"/>
          <w:sz w:val="18"/>
          <w:szCs w:val="18"/>
          <w:color w:val="auto"/>
        </w:rPr>
      </w:pPr>
    </w:p>
    <w:p>
      <w:pPr>
        <w:ind w:left="340" w:hanging="332"/>
        <w:spacing w:after="0" w:line="239" w:lineRule="auto"/>
        <w:tabs>
          <w:tab w:leader="none" w:pos="308"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any increases in the costs of raw materials, ingredients, commodities and/or other cost inputs affecting our business;</w:t>
      </w:r>
    </w:p>
    <w:p>
      <w:pPr>
        <w:spacing w:after="0" w:line="1" w:lineRule="exact"/>
        <w:rPr>
          <w:rFonts w:ascii="Arial" w:cs="Arial" w:eastAsia="Arial" w:hAnsi="Arial"/>
          <w:sz w:val="20"/>
          <w:szCs w:val="20"/>
          <w:color w:val="auto"/>
        </w:rPr>
      </w:pPr>
    </w:p>
    <w:p>
      <w:pPr>
        <w:jc w:val="both"/>
        <w:ind w:left="340" w:hanging="332"/>
        <w:spacing w:after="0" w:line="239" w:lineRule="auto"/>
        <w:tabs>
          <w:tab w:leader="none" w:pos="403"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20"/>
          <w:szCs w:val="20"/>
          <w:color w:val="auto"/>
        </w:rPr>
      </w:pPr>
    </w:p>
    <w:p>
      <w:pPr>
        <w:ind w:left="340" w:hanging="332"/>
        <w:spacing w:after="0" w:line="239" w:lineRule="auto"/>
        <w:tabs>
          <w:tab w:leader="none" w:pos="349"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340" w:right="20" w:hanging="332"/>
        <w:spacing w:after="0" w:line="239" w:lineRule="auto"/>
        <w:tabs>
          <w:tab w:leader="none" w:pos="308"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by us and/or the distributors of our products, most of whom distribute products that may be regarded as competitive with our products;</w:t>
      </w:r>
    </w:p>
    <w:p>
      <w:pPr>
        <w:spacing w:after="0" w:line="1" w:lineRule="exact"/>
        <w:rPr>
          <w:rFonts w:ascii="Arial" w:cs="Arial" w:eastAsia="Arial" w:hAnsi="Arial"/>
          <w:sz w:val="20"/>
          <w:szCs w:val="20"/>
          <w:color w:val="auto"/>
        </w:rPr>
      </w:pPr>
    </w:p>
    <w:p>
      <w:pPr>
        <w:jc w:val="both"/>
        <w:ind w:left="340" w:hanging="332"/>
        <w:spacing w:after="0" w:line="239" w:lineRule="auto"/>
        <w:tabs>
          <w:tab w:leader="none" w:pos="349" w:val="left"/>
        </w:tabs>
        <w:numPr>
          <w:ilvl w:val="0"/>
          <w:numId w:val="27"/>
        </w:numPr>
        <w:rPr>
          <w:rFonts w:ascii="Arial" w:cs="Arial" w:eastAsia="Arial" w:hAnsi="Arial"/>
          <w:sz w:val="20"/>
          <w:szCs w:val="20"/>
          <w:color w:val="auto"/>
        </w:rPr>
      </w:pPr>
      <w:r>
        <w:rPr>
          <w:rFonts w:ascii="Arial" w:cs="Arial" w:eastAsia="Arial" w:hAnsi="Arial"/>
          <w:sz w:val="20"/>
          <w:szCs w:val="20"/>
          <w:color w:val="auto"/>
        </w:rPr>
        <w:t>Unilateral decisions by distributors, convenience chains, grocery chains, mass merchandisers, specialty chain stores, club stores and other customers to discontinue carrying all or any of our products that they are carrying at any time,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ind w:left="280" w:hanging="272"/>
        <w:spacing w:after="0"/>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success of our sports marketing endeavors both domestically and internationally;</w:t>
      </w:r>
    </w:p>
    <w:p>
      <w:pPr>
        <w:ind w:left="280" w:hanging="272"/>
        <w:spacing w:after="0"/>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Unforeseen economic and political changes;</w:t>
      </w:r>
    </w:p>
    <w:p>
      <w:pPr>
        <w:ind w:left="280" w:hanging="272"/>
        <w:spacing w:after="0"/>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ind w:left="340" w:hanging="332"/>
        <w:spacing w:after="0" w:line="266" w:lineRule="auto"/>
        <w:tabs>
          <w:tab w:leader="none" w:pos="4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make suitable arrangements for the co-packing of any of our products both domestically and internationally, the timely replacement of discontinued co-packing arrangements and/or limitations on co-packing availability, including for retort production;</w:t>
      </w:r>
    </w:p>
    <w:p>
      <w:pPr>
        <w:ind w:left="280" w:hanging="272"/>
        <w:spacing w:after="0"/>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timely procurement of non-defective raw materials;</w:t>
      </w:r>
    </w:p>
    <w:p>
      <w:pPr>
        <w:ind w:left="340" w:hanging="332"/>
        <w:spacing w:after="0" w:line="239" w:lineRule="auto"/>
        <w:tabs>
          <w:tab w:leader="none" w:pos="335"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trade names or designs and/or trade dress in certain countries;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340" w:hanging="332"/>
        <w:spacing w:after="0" w:line="247" w:lineRule="auto"/>
        <w:tabs>
          <w:tab w:leader="none" w:pos="308" w:val="left"/>
        </w:tabs>
        <w:numPr>
          <w:ilvl w:val="0"/>
          <w:numId w:val="28"/>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failure of our bottlers and/or contract packers to manufacture our products on a timely basis or at all;</w:t>
      </w:r>
    </w:p>
    <w:p>
      <w:pPr>
        <w:ind w:left="280" w:hanging="272"/>
        <w:spacing w:after="0"/>
        <w:tabs>
          <w:tab w:leader="none" w:pos="2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340" w:right="20" w:hanging="332"/>
        <w:spacing w:after="0" w:line="239" w:lineRule="auto"/>
        <w:tabs>
          <w:tab w:leader="none" w:pos="308"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including a breach of cyber security, that disrupts our business or negatively impacts customer relationships; and</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ectPr>
          <w:pgSz w:w="11900" w:h="16838" w:orient="portrait"/>
          <w:cols w:equalWidth="0" w:num="1">
            <w:col w:w="11420"/>
          </w:cols>
          <w:pgMar w:left="240" w:top="121" w:right="239" w:bottom="36" w:gutter="0" w:footer="0" w:header="0"/>
        </w:sectPr>
      </w:pPr>
    </w:p>
    <w:bookmarkStart w:id="30" w:name="page31"/>
    <w:bookmarkEnd w:id="30"/>
    <w:p>
      <w:pPr>
        <w:jc w:val="both"/>
        <w:ind w:firstLine="648"/>
        <w:spacing w:after="0" w:line="271" w:lineRule="auto"/>
        <w:rPr>
          <w:sz w:val="20"/>
          <w:szCs w:val="20"/>
          <w:color w:val="auto"/>
        </w:rPr>
      </w:pPr>
      <w:r>
        <w:rPr>
          <w:rFonts w:ascii="Arial" w:cs="Arial" w:eastAsia="Arial" w:hAnsi="Arial"/>
          <w:sz w:val="18"/>
          <w:szCs w:val="18"/>
          <w:color w:val="auto"/>
        </w:rPr>
        <w:t>The foregoing list of important factors and other risks detailed from time to time in our reports filed with the SEC is not exhaustive. See the section entitled “Risk Factors” in our Form 10-K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There have been no material changes in our market risk during the three-months ended June 30, 2017 compared with the disclosures in Part II, Item 7A of our Form 10-K.</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 Under the supervision and with the participation of the Company’s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w:t>
      </w:r>
    </w:p>
    <w:p>
      <w:pPr>
        <w:spacing w:after="0" w:line="2" w:lineRule="exact"/>
        <w:rPr>
          <w:sz w:val="20"/>
          <w:szCs w:val="20"/>
          <w:color w:val="auto"/>
        </w:rPr>
      </w:pPr>
    </w:p>
    <w:p>
      <w:pPr>
        <w:ind w:firstLine="8"/>
        <w:spacing w:after="0" w:line="244" w:lineRule="auto"/>
        <w:tabs>
          <w:tab w:leader="none" w:pos="304" w:val="left"/>
        </w:tabs>
        <w:numPr>
          <w:ilvl w:val="0"/>
          <w:numId w:val="29"/>
        </w:numPr>
        <w:rPr>
          <w:rFonts w:ascii="Arial" w:cs="Arial" w:eastAsia="Arial" w:hAnsi="Arial"/>
          <w:sz w:val="20"/>
          <w:szCs w:val="20"/>
          <w:color w:val="auto"/>
        </w:rPr>
      </w:pPr>
      <w:r>
        <w:rPr>
          <w:rFonts w:ascii="Arial" w:cs="Arial" w:eastAsia="Arial" w:hAnsi="Arial"/>
          <w:sz w:val="20"/>
          <w:szCs w:val="20"/>
          <w:color w:val="auto"/>
        </w:rPr>
        <w:t>accumulated and communicated to our management, including its principal executive and principal financial officers, as appropriate, to allow timely decisions regarding required disclosures.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 over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reporting during the quarter ended June 30, 2017,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information required by this Item is incorporated herein by reference to the Notes to Condensed Consolidated Financial Statements —Note 10. Commitments and Contingencies: Legal Proceedings in Part I, Item 1, of this Quarterly Report on Form 10-Q.</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risk factors are discussed in our Form 10-K. There have been no material changes with respect to the risk factors disclosed in our Form 10-K.</w:t>
      </w:r>
    </w:p>
    <w:p>
      <w:pPr>
        <w:spacing w:after="0" w:line="184"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3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During the three-months ended June 30, 2017, 4,846 shares were purchased from employees in lieu of cash payments for options exercised or withholding taxes due, for a total amount of $0.2 million. While such purchases are considered common stock repurchases, they are not counted as purchases against the Company’s authorized share repurchase programs.</w:t>
      </w:r>
    </w:p>
    <w:p>
      <w:pPr>
        <w:spacing w:after="0" w:line="194"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420"/>
          </w:cols>
          <w:pgMar w:left="240" w:top="121" w:right="239" w:bottom="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INFORMATION</w:t>
      </w:r>
    </w:p>
    <w:p>
      <w:pPr>
        <w:spacing w:after="0" w:line="200" w:lineRule="exact"/>
        <w:rPr>
          <w:sz w:val="20"/>
          <w:szCs w:val="20"/>
          <w:color w:val="auto"/>
        </w:rPr>
      </w:pPr>
    </w:p>
    <w:p>
      <w:pPr>
        <w:sectPr>
          <w:pgSz w:w="11900" w:h="16838" w:orient="portrait"/>
          <w:cols w:equalWidth="0" w:num="2">
            <w:col w:w="740" w:space="500"/>
            <w:col w:w="10180"/>
          </w:cols>
          <w:pgMar w:left="240" w:top="121" w:right="239" w:bottom="0" w:gutter="0" w:footer="0" w:header="0"/>
          <w:type w:val="continuous"/>
        </w:sectPr>
      </w:pP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420"/>
          </w:cols>
          <w:pgMar w:left="240" w:top="121" w:right="239" w:bottom="0" w:gutter="0" w:footer="0" w:header="0"/>
          <w:type w:val="continuous"/>
        </w:sect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spacing w:after="0" w:line="200" w:lineRule="exact"/>
        <w:rPr>
          <w:sz w:val="20"/>
          <w:szCs w:val="20"/>
          <w:color w:val="auto"/>
        </w:rPr>
      </w:pPr>
    </w:p>
    <w:p>
      <w:pPr>
        <w:sectPr>
          <w:pgSz w:w="11900" w:h="16838" w:orient="portrait"/>
          <w:cols w:equalWidth="0" w:num="2">
            <w:col w:w="740" w:space="500"/>
            <w:col w:w="10180"/>
          </w:cols>
          <w:pgMar w:left="240" w:top="121" w:right="2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31.1*</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p>
      <w:pPr>
        <w:spacing w:after="0" w:line="211" w:lineRule="exact"/>
        <w:rPr>
          <w:sz w:val="20"/>
          <w:szCs w:val="20"/>
          <w:color w:val="auto"/>
        </w:rPr>
      </w:pPr>
    </w:p>
    <w:p>
      <w:pPr>
        <w:sectPr>
          <w:pgSz w:w="11900" w:h="16838" w:orient="portrait"/>
          <w:cols w:equalWidth="0" w:num="2">
            <w:col w:w="500" w:space="720"/>
            <w:col w:w="10200"/>
          </w:cols>
          <w:pgMar w:left="240" w:top="121" w:right="239" w:bottom="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31.2*</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p>
      <w:pPr>
        <w:sectPr>
          <w:pgSz w:w="11900" w:h="16838" w:orient="portrait"/>
          <w:cols w:equalWidth="0" w:num="2">
            <w:col w:w="500" w:space="720"/>
            <w:col w:w="10200"/>
          </w:cols>
          <w:pgMar w:left="240" w:top="121" w:right="239" w:bottom="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31"/>
        </w:trPr>
        <w:tc>
          <w:tcPr>
            <w:tcW w:w="860" w:type="dxa"/>
            <w:vAlign w:val="bottom"/>
          </w:tcPr>
          <w:p>
            <w:pPr>
              <w:spacing w:after="0"/>
              <w:rPr>
                <w:sz w:val="20"/>
                <w:szCs w:val="20"/>
                <w:color w:val="auto"/>
              </w:rPr>
            </w:pPr>
            <w:r>
              <w:rPr>
                <w:rFonts w:ascii="Arial" w:cs="Arial" w:eastAsia="Arial" w:hAnsi="Arial"/>
                <w:sz w:val="20"/>
                <w:szCs w:val="20"/>
                <w:color w:val="auto"/>
              </w:rPr>
              <w:t>32.1*</w:t>
            </w:r>
          </w:p>
        </w:tc>
        <w:tc>
          <w:tcPr>
            <w:tcW w:w="5260" w:type="dxa"/>
            <w:vAlign w:val="bottom"/>
          </w:tcPr>
          <w:p>
            <w:pPr>
              <w:jc w:val="right"/>
              <w:spacing w:after="0"/>
              <w:rPr>
                <w:sz w:val="20"/>
                <w:szCs w:val="20"/>
                <w:color w:val="auto"/>
              </w:rPr>
            </w:pPr>
            <w:r>
              <w:rPr>
                <w:rFonts w:ascii="Arial" w:cs="Arial" w:eastAsia="Arial" w:hAnsi="Arial"/>
                <w:sz w:val="20"/>
                <w:szCs w:val="20"/>
                <w:color w:val="auto"/>
              </w:rPr>
              <w:t>Certification of Chief Executive Officer Pursuant to 18</w:t>
            </w:r>
          </w:p>
        </w:tc>
        <w:tc>
          <w:tcPr>
            <w:tcW w:w="4780" w:type="dxa"/>
            <w:vAlign w:val="bottom"/>
          </w:tcPr>
          <w:p>
            <w:pPr>
              <w:ind w:left="40"/>
              <w:spacing w:after="0"/>
              <w:rPr>
                <w:sz w:val="20"/>
                <w:szCs w:val="20"/>
                <w:color w:val="auto"/>
              </w:rPr>
            </w:pPr>
            <w:r>
              <w:rPr>
                <w:rFonts w:ascii="Arial" w:cs="Arial" w:eastAsia="Arial" w:hAnsi="Arial"/>
                <w:sz w:val="20"/>
                <w:szCs w:val="20"/>
                <w:color w:val="auto"/>
                <w:w w:val="92"/>
              </w:rPr>
              <w:t>U.S.C. Section 1350, as Adopted Pursuant to Section 906</w:t>
            </w:r>
          </w:p>
        </w:tc>
        <w:tc>
          <w:tcPr>
            <w:tcW w:w="520" w:type="dxa"/>
            <w:vAlign w:val="bottom"/>
          </w:tcPr>
          <w:p>
            <w:pPr>
              <w:jc w:val="right"/>
              <w:spacing w:after="0"/>
              <w:rPr>
                <w:sz w:val="20"/>
                <w:szCs w:val="20"/>
                <w:color w:val="auto"/>
              </w:rPr>
            </w:pPr>
            <w:r>
              <w:rPr>
                <w:rFonts w:ascii="Arial" w:cs="Arial" w:eastAsia="Arial" w:hAnsi="Arial"/>
                <w:sz w:val="20"/>
                <w:szCs w:val="20"/>
                <w:color w:val="auto"/>
                <w:w w:val="99"/>
              </w:rPr>
              <w:t>of the</w:t>
            </w:r>
          </w:p>
        </w:tc>
      </w:tr>
      <w:tr>
        <w:trPr>
          <w:trHeight w:val="250"/>
        </w:trPr>
        <w:tc>
          <w:tcPr>
            <w:tcW w:w="860" w:type="dxa"/>
            <w:vAlign w:val="bottom"/>
          </w:tcPr>
          <w:p>
            <w:pPr>
              <w:spacing w:after="0"/>
              <w:rPr>
                <w:sz w:val="21"/>
                <w:szCs w:val="21"/>
                <w:color w:val="auto"/>
              </w:rPr>
            </w:pPr>
          </w:p>
        </w:tc>
        <w:tc>
          <w:tcPr>
            <w:tcW w:w="5260" w:type="dxa"/>
            <w:vAlign w:val="bottom"/>
          </w:tcPr>
          <w:p>
            <w:pPr>
              <w:jc w:val="right"/>
              <w:ind w:right="2461"/>
              <w:spacing w:after="0"/>
              <w:rPr>
                <w:sz w:val="20"/>
                <w:szCs w:val="20"/>
                <w:color w:val="auto"/>
              </w:rPr>
            </w:pPr>
            <w:r>
              <w:rPr>
                <w:rFonts w:ascii="Arial" w:cs="Arial" w:eastAsia="Arial" w:hAnsi="Arial"/>
                <w:sz w:val="20"/>
                <w:szCs w:val="20"/>
                <w:color w:val="auto"/>
              </w:rPr>
              <w:t>Sarbanes-Oxley Act of 2002</w:t>
            </w:r>
          </w:p>
        </w:tc>
        <w:tc>
          <w:tcPr>
            <w:tcW w:w="47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438"/>
        </w:trPr>
        <w:tc>
          <w:tcPr>
            <w:tcW w:w="860" w:type="dxa"/>
            <w:vAlign w:val="bottom"/>
          </w:tcPr>
          <w:p>
            <w:pPr>
              <w:spacing w:after="0"/>
              <w:rPr>
                <w:sz w:val="20"/>
                <w:szCs w:val="20"/>
                <w:color w:val="auto"/>
              </w:rPr>
            </w:pPr>
            <w:r>
              <w:rPr>
                <w:rFonts w:ascii="Arial" w:cs="Arial" w:eastAsia="Arial" w:hAnsi="Arial"/>
                <w:sz w:val="20"/>
                <w:szCs w:val="20"/>
                <w:color w:val="auto"/>
              </w:rPr>
              <w:t>32.2*</w:t>
            </w:r>
          </w:p>
        </w:tc>
        <w:tc>
          <w:tcPr>
            <w:tcW w:w="5260" w:type="dxa"/>
            <w:vAlign w:val="bottom"/>
          </w:tcPr>
          <w:p>
            <w:pPr>
              <w:jc w:val="right"/>
              <w:spacing w:after="0"/>
              <w:rPr>
                <w:sz w:val="20"/>
                <w:szCs w:val="20"/>
                <w:color w:val="auto"/>
              </w:rPr>
            </w:pPr>
            <w:r>
              <w:rPr>
                <w:rFonts w:ascii="Arial" w:cs="Arial" w:eastAsia="Arial" w:hAnsi="Arial"/>
                <w:sz w:val="20"/>
                <w:szCs w:val="20"/>
                <w:color w:val="auto"/>
              </w:rPr>
              <w:t>Certification by Chief Financial Officer Pursuant to 18</w:t>
            </w:r>
          </w:p>
        </w:tc>
        <w:tc>
          <w:tcPr>
            <w:tcW w:w="4780" w:type="dxa"/>
            <w:vAlign w:val="bottom"/>
          </w:tcPr>
          <w:p>
            <w:pPr>
              <w:ind w:left="40"/>
              <w:spacing w:after="0"/>
              <w:rPr>
                <w:sz w:val="20"/>
                <w:szCs w:val="20"/>
                <w:color w:val="auto"/>
              </w:rPr>
            </w:pPr>
            <w:r>
              <w:rPr>
                <w:rFonts w:ascii="Arial" w:cs="Arial" w:eastAsia="Arial" w:hAnsi="Arial"/>
                <w:sz w:val="20"/>
                <w:szCs w:val="20"/>
                <w:color w:val="auto"/>
                <w:w w:val="92"/>
              </w:rPr>
              <w:t>U.S.C. Section 1350, as Adopted Pursuant to Section 906</w:t>
            </w:r>
          </w:p>
        </w:tc>
        <w:tc>
          <w:tcPr>
            <w:tcW w:w="520" w:type="dxa"/>
            <w:vAlign w:val="bottom"/>
          </w:tcPr>
          <w:p>
            <w:pPr>
              <w:jc w:val="right"/>
              <w:spacing w:after="0"/>
              <w:rPr>
                <w:sz w:val="20"/>
                <w:szCs w:val="20"/>
                <w:color w:val="auto"/>
              </w:rPr>
            </w:pPr>
            <w:r>
              <w:rPr>
                <w:rFonts w:ascii="Arial" w:cs="Arial" w:eastAsia="Arial" w:hAnsi="Arial"/>
                <w:sz w:val="20"/>
                <w:szCs w:val="20"/>
                <w:color w:val="auto"/>
                <w:w w:val="99"/>
              </w:rPr>
              <w:t>of the</w:t>
            </w:r>
          </w:p>
        </w:tc>
      </w:tr>
      <w:tr>
        <w:trPr>
          <w:trHeight w:val="250"/>
        </w:trPr>
        <w:tc>
          <w:tcPr>
            <w:tcW w:w="860" w:type="dxa"/>
            <w:vAlign w:val="bottom"/>
          </w:tcPr>
          <w:p>
            <w:pPr>
              <w:spacing w:after="0"/>
              <w:rPr>
                <w:sz w:val="21"/>
                <w:szCs w:val="21"/>
                <w:color w:val="auto"/>
              </w:rPr>
            </w:pPr>
          </w:p>
        </w:tc>
        <w:tc>
          <w:tcPr>
            <w:tcW w:w="5260" w:type="dxa"/>
            <w:vAlign w:val="bottom"/>
          </w:tcPr>
          <w:p>
            <w:pPr>
              <w:jc w:val="right"/>
              <w:ind w:right="2461"/>
              <w:spacing w:after="0"/>
              <w:rPr>
                <w:sz w:val="20"/>
                <w:szCs w:val="20"/>
                <w:color w:val="auto"/>
              </w:rPr>
            </w:pPr>
            <w:r>
              <w:rPr>
                <w:rFonts w:ascii="Arial" w:cs="Arial" w:eastAsia="Arial" w:hAnsi="Arial"/>
                <w:sz w:val="20"/>
                <w:szCs w:val="20"/>
                <w:color w:val="auto"/>
              </w:rPr>
              <w:t>Sarbanes-Oxley Act of 2002</w:t>
            </w:r>
          </w:p>
        </w:tc>
        <w:tc>
          <w:tcPr>
            <w:tcW w:w="47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438"/>
        </w:trPr>
        <w:tc>
          <w:tcPr>
            <w:tcW w:w="860" w:type="dxa"/>
            <w:vAlign w:val="bottom"/>
          </w:tcPr>
          <w:p>
            <w:pPr>
              <w:spacing w:after="0"/>
              <w:rPr>
                <w:sz w:val="20"/>
                <w:szCs w:val="20"/>
                <w:color w:val="auto"/>
              </w:rPr>
            </w:pPr>
            <w:r>
              <w:rPr>
                <w:rFonts w:ascii="Arial" w:cs="Arial" w:eastAsia="Arial" w:hAnsi="Arial"/>
                <w:sz w:val="20"/>
                <w:szCs w:val="20"/>
                <w:color w:val="auto"/>
              </w:rPr>
              <w:t>101*</w:t>
            </w:r>
          </w:p>
        </w:tc>
        <w:tc>
          <w:tcPr>
            <w:tcW w:w="10560" w:type="dxa"/>
            <w:vAlign w:val="bottom"/>
            <w:gridSpan w:val="3"/>
          </w:tcPr>
          <w:p>
            <w:pPr>
              <w:jc w:val="right"/>
              <w:spacing w:after="0"/>
              <w:rPr>
                <w:sz w:val="20"/>
                <w:szCs w:val="20"/>
                <w:color w:val="auto"/>
              </w:rPr>
            </w:pPr>
            <w:r>
              <w:rPr>
                <w:rFonts w:ascii="Arial" w:cs="Arial" w:eastAsia="Arial" w:hAnsi="Arial"/>
                <w:sz w:val="20"/>
                <w:szCs w:val="20"/>
                <w:color w:val="auto"/>
                <w:w w:val="94"/>
              </w:rPr>
              <w:t>The following financial information from Monster Beverage Corporation’s Quarterly Report on Form 10-Q for the quarter ended</w:t>
            </w:r>
          </w:p>
        </w:tc>
      </w:tr>
      <w:tr>
        <w:trPr>
          <w:trHeight w:val="230"/>
        </w:trPr>
        <w:tc>
          <w:tcPr>
            <w:tcW w:w="860" w:type="dxa"/>
            <w:vAlign w:val="bottom"/>
          </w:tcPr>
          <w:p>
            <w:pPr>
              <w:spacing w:after="0"/>
              <w:rPr>
                <w:sz w:val="19"/>
                <w:szCs w:val="19"/>
                <w:color w:val="auto"/>
              </w:rPr>
            </w:pPr>
          </w:p>
        </w:tc>
        <w:tc>
          <w:tcPr>
            <w:tcW w:w="10560" w:type="dxa"/>
            <w:vAlign w:val="bottom"/>
            <w:gridSpan w:val="3"/>
          </w:tcPr>
          <w:p>
            <w:pPr>
              <w:jc w:val="right"/>
              <w:spacing w:after="0"/>
              <w:rPr>
                <w:sz w:val="20"/>
                <w:szCs w:val="20"/>
                <w:color w:val="auto"/>
              </w:rPr>
            </w:pPr>
            <w:r>
              <w:rPr>
                <w:rFonts w:ascii="Arial" w:cs="Arial" w:eastAsia="Arial" w:hAnsi="Arial"/>
                <w:sz w:val="20"/>
                <w:szCs w:val="20"/>
                <w:color w:val="auto"/>
                <w:w w:val="92"/>
              </w:rPr>
              <w:t>June 30, 2017, formatted in XBRL (eXtensible Business Reporting Language): (i) Condensed Consolidated Balance Sheets as of</w:t>
            </w:r>
          </w:p>
        </w:tc>
      </w:tr>
      <w:tr>
        <w:trPr>
          <w:trHeight w:val="246"/>
        </w:trPr>
        <w:tc>
          <w:tcPr>
            <w:tcW w:w="860" w:type="dxa"/>
            <w:vAlign w:val="bottom"/>
          </w:tcPr>
          <w:p>
            <w:pPr>
              <w:spacing w:after="0"/>
              <w:rPr>
                <w:sz w:val="21"/>
                <w:szCs w:val="21"/>
                <w:color w:val="auto"/>
              </w:rPr>
            </w:pPr>
          </w:p>
        </w:tc>
        <w:tc>
          <w:tcPr>
            <w:tcW w:w="10560" w:type="dxa"/>
            <w:vAlign w:val="bottom"/>
            <w:gridSpan w:val="3"/>
          </w:tcPr>
          <w:p>
            <w:pPr>
              <w:jc w:val="right"/>
              <w:spacing w:after="0"/>
              <w:rPr>
                <w:sz w:val="20"/>
                <w:szCs w:val="20"/>
                <w:color w:val="auto"/>
              </w:rPr>
            </w:pPr>
            <w:r>
              <w:rPr>
                <w:rFonts w:ascii="Arial" w:cs="Arial" w:eastAsia="Arial" w:hAnsi="Arial"/>
                <w:sz w:val="20"/>
                <w:szCs w:val="20"/>
                <w:color w:val="auto"/>
                <w:w w:val="93"/>
              </w:rPr>
              <w:t>June 30, 2017 and December 31, 2016, (ii) Condensed Consolidated Statements of Income for the three- and six-months ended</w:t>
            </w:r>
          </w:p>
        </w:tc>
      </w:tr>
    </w:tbl>
    <w:p>
      <w:pPr>
        <w:jc w:val="both"/>
        <w:ind w:left="1300" w:right="40"/>
        <w:spacing w:after="0" w:line="241" w:lineRule="auto"/>
        <w:rPr>
          <w:sz w:val="20"/>
          <w:szCs w:val="20"/>
          <w:color w:val="auto"/>
        </w:rPr>
      </w:pPr>
      <w:r>
        <w:rPr>
          <w:rFonts w:ascii="Arial" w:cs="Arial" w:eastAsia="Arial" w:hAnsi="Arial"/>
          <w:sz w:val="20"/>
          <w:szCs w:val="20"/>
          <w:color w:val="auto"/>
        </w:rPr>
        <w:t>June 30, 2017 and 2016, (iii) Condensed Consolidated Statements of Comprehensive Income for the three- and six-months ended June 30, 2017 and 2016, (iv) Condensed Consolidated Statements of Cash Flows for the six-months ended June 30, 2017 and 2016, and (v) the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Filed herewith</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52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MONSTER BEVERAGE CORPORATION</w:t>
            </w:r>
          </w:p>
        </w:tc>
      </w:tr>
      <w:tr>
        <w:trPr>
          <w:trHeight w:val="250"/>
        </w:trPr>
        <w:tc>
          <w:tcPr>
            <w:tcW w:w="36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Registrant</w:t>
            </w:r>
          </w:p>
        </w:tc>
      </w:tr>
      <w:tr>
        <w:trPr>
          <w:trHeight w:val="644"/>
        </w:trPr>
        <w:tc>
          <w:tcPr>
            <w:tcW w:w="3660" w:type="dxa"/>
            <w:vAlign w:val="bottom"/>
          </w:tcPr>
          <w:p>
            <w:pPr>
              <w:spacing w:after="0"/>
              <w:rPr>
                <w:sz w:val="20"/>
                <w:szCs w:val="20"/>
                <w:color w:val="auto"/>
              </w:rPr>
            </w:pPr>
            <w:r>
              <w:rPr>
                <w:rFonts w:ascii="Arial" w:cs="Arial" w:eastAsia="Arial" w:hAnsi="Arial"/>
                <w:sz w:val="20"/>
                <w:szCs w:val="20"/>
                <w:color w:val="auto"/>
              </w:rPr>
              <w:t>Date: August 8, 2017</w:t>
            </w:r>
          </w:p>
        </w:tc>
        <w:tc>
          <w:tcPr>
            <w:tcW w:w="20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/s/ RODNEY C. SACKS</w:t>
            </w:r>
          </w:p>
        </w:tc>
      </w:tr>
      <w:tr>
        <w:trPr>
          <w:trHeight w:val="233"/>
        </w:trPr>
        <w:tc>
          <w:tcPr>
            <w:tcW w:w="36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Rodney C. Sacks</w:t>
            </w:r>
          </w:p>
        </w:tc>
        <w:tc>
          <w:tcPr>
            <w:tcW w:w="3760" w:type="dxa"/>
            <w:vAlign w:val="bottom"/>
          </w:tcPr>
          <w:p>
            <w:pPr>
              <w:spacing w:after="0"/>
              <w:rPr>
                <w:sz w:val="20"/>
                <w:szCs w:val="20"/>
                <w:color w:val="auto"/>
              </w:rPr>
            </w:pPr>
          </w:p>
        </w:tc>
      </w:tr>
      <w:tr>
        <w:trPr>
          <w:trHeight w:val="230"/>
        </w:trPr>
        <w:tc>
          <w:tcPr>
            <w:tcW w:w="3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36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and Chief Executive Officer</w:t>
            </w:r>
          </w:p>
        </w:tc>
      </w:tr>
      <w:tr>
        <w:trPr>
          <w:trHeight w:val="442"/>
        </w:trPr>
        <w:tc>
          <w:tcPr>
            <w:tcW w:w="3660" w:type="dxa"/>
            <w:vAlign w:val="bottom"/>
          </w:tcPr>
          <w:p>
            <w:pPr>
              <w:spacing w:after="0"/>
              <w:rPr>
                <w:sz w:val="24"/>
                <w:szCs w:val="24"/>
                <w:color w:val="auto"/>
              </w:rPr>
            </w:pPr>
          </w:p>
        </w:tc>
        <w:tc>
          <w:tcPr>
            <w:tcW w:w="4040" w:type="dxa"/>
            <w:vAlign w:val="bottom"/>
            <w:gridSpan w:val="2"/>
          </w:tcPr>
          <w:p>
            <w:pPr>
              <w:jc w:val="right"/>
              <w:ind w:right="1801"/>
              <w:spacing w:after="0"/>
              <w:rPr>
                <w:sz w:val="20"/>
                <w:szCs w:val="20"/>
                <w:color w:val="auto"/>
              </w:rPr>
            </w:pPr>
            <w:r>
              <w:rPr>
                <w:rFonts w:ascii="Arial" w:cs="Arial" w:eastAsia="Arial" w:hAnsi="Arial"/>
                <w:sz w:val="18"/>
                <w:szCs w:val="18"/>
                <w:color w:val="auto"/>
              </w:rPr>
              <w:t>47</w:t>
            </w:r>
          </w:p>
        </w:tc>
        <w:tc>
          <w:tcPr>
            <w:tcW w:w="376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37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2" w:name="page33"/>
    <w:bookmarkEnd w:id="32"/>
    <w:p>
      <w:pPr>
        <w:jc w:val="right"/>
        <w:ind w:right="40"/>
        <w:spacing w:after="0"/>
        <w:rPr>
          <w:sz w:val="20"/>
          <w:szCs w:val="20"/>
          <w:color w:val="auto"/>
        </w:rPr>
      </w:pPr>
      <w:r>
        <w:rPr>
          <w:rFonts w:ascii="Arial" w:cs="Arial" w:eastAsia="Arial" w:hAnsi="Arial"/>
          <w:sz w:val="22"/>
          <w:szCs w:val="22"/>
          <w:b w:val="1"/>
          <w:bCs w:val="1"/>
          <w:color w:val="auto"/>
        </w:rPr>
        <w:t>EXHIBIT 31.1</w:t>
      </w:r>
    </w:p>
    <w:p>
      <w:pPr>
        <w:spacing w:after="0" w:line="231"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3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3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3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3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20" w:type="dxa"/>
            <w:vAlign w:val="bottom"/>
          </w:tcPr>
          <w:p>
            <w:pPr>
              <w:spacing w:after="0"/>
              <w:rPr>
                <w:sz w:val="20"/>
                <w:szCs w:val="20"/>
                <w:color w:val="auto"/>
              </w:rPr>
            </w:pPr>
            <w:r>
              <w:rPr>
                <w:rFonts w:ascii="Arial" w:cs="Arial" w:eastAsia="Arial" w:hAnsi="Arial"/>
                <w:sz w:val="20"/>
                <w:szCs w:val="20"/>
                <w:color w:val="auto"/>
              </w:rPr>
              <w:t>Date:</w:t>
            </w:r>
          </w:p>
        </w:tc>
        <w:tc>
          <w:tcPr>
            <w:tcW w:w="5000" w:type="dxa"/>
            <w:vAlign w:val="bottom"/>
          </w:tcPr>
          <w:p>
            <w:pPr>
              <w:ind w:left="300"/>
              <w:spacing w:after="0"/>
              <w:rPr>
                <w:sz w:val="20"/>
                <w:szCs w:val="20"/>
                <w:color w:val="auto"/>
              </w:rPr>
            </w:pPr>
            <w:r>
              <w:rPr>
                <w:rFonts w:ascii="Arial" w:cs="Arial" w:eastAsia="Arial" w:hAnsi="Arial"/>
                <w:sz w:val="20"/>
                <w:szCs w:val="20"/>
                <w:color w:val="auto"/>
              </w:rPr>
              <w:t>August 8, 2017</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7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570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7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7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72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33" w:name="page34"/>
    <w:bookmarkEnd w:id="33"/>
    <w:p>
      <w:pPr>
        <w:jc w:val="right"/>
        <w:ind w:right="40"/>
        <w:spacing w:after="0"/>
        <w:rPr>
          <w:sz w:val="20"/>
          <w:szCs w:val="20"/>
          <w:color w:val="auto"/>
        </w:rPr>
      </w:pPr>
      <w:r>
        <w:rPr>
          <w:rFonts w:ascii="Arial" w:cs="Arial" w:eastAsia="Arial" w:hAnsi="Arial"/>
          <w:sz w:val="22"/>
          <w:szCs w:val="22"/>
          <w:b w:val="1"/>
          <w:bCs w:val="1"/>
          <w:color w:val="auto"/>
        </w:rPr>
        <w:t>EXHIBIT 31.2</w:t>
      </w:r>
    </w:p>
    <w:p>
      <w:pPr>
        <w:spacing w:after="0" w:line="231"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3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3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3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3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20" w:type="dxa"/>
            <w:vAlign w:val="bottom"/>
          </w:tcPr>
          <w:p>
            <w:pPr>
              <w:spacing w:after="0"/>
              <w:rPr>
                <w:sz w:val="20"/>
                <w:szCs w:val="20"/>
                <w:color w:val="auto"/>
              </w:rPr>
            </w:pPr>
            <w:r>
              <w:rPr>
                <w:rFonts w:ascii="Arial" w:cs="Arial" w:eastAsia="Arial" w:hAnsi="Arial"/>
                <w:sz w:val="20"/>
                <w:szCs w:val="20"/>
                <w:color w:val="auto"/>
              </w:rPr>
              <w:t>Date:</w:t>
            </w:r>
          </w:p>
        </w:tc>
        <w:tc>
          <w:tcPr>
            <w:tcW w:w="5000" w:type="dxa"/>
            <w:vAlign w:val="bottom"/>
          </w:tcPr>
          <w:p>
            <w:pPr>
              <w:ind w:left="300"/>
              <w:spacing w:after="0"/>
              <w:rPr>
                <w:sz w:val="20"/>
                <w:szCs w:val="20"/>
                <w:color w:val="auto"/>
              </w:rPr>
            </w:pPr>
            <w:r>
              <w:rPr>
                <w:rFonts w:ascii="Arial" w:cs="Arial" w:eastAsia="Arial" w:hAnsi="Arial"/>
                <w:sz w:val="20"/>
                <w:szCs w:val="20"/>
                <w:color w:val="auto"/>
              </w:rPr>
              <w:t>August 8, 2017</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7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5700" w:type="dxa"/>
            <w:vAlign w:val="bottom"/>
          </w:tcPr>
          <w:p>
            <w:pPr>
              <w:ind w:left="10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7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7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7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72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34" w:name="page35"/>
    <w:bookmarkEnd w:id="34"/>
    <w:p>
      <w:pPr>
        <w:jc w:val="right"/>
        <w:ind w:right="40"/>
        <w:spacing w:after="0"/>
        <w:rPr>
          <w:sz w:val="20"/>
          <w:szCs w:val="20"/>
          <w:color w:val="auto"/>
        </w:rPr>
      </w:pPr>
      <w:r>
        <w:rPr>
          <w:rFonts w:ascii="Arial" w:cs="Arial" w:eastAsia="Arial" w:hAnsi="Arial"/>
          <w:sz w:val="22"/>
          <w:szCs w:val="22"/>
          <w:b w:val="1"/>
          <w:bCs w:val="1"/>
          <w:color w:val="auto"/>
        </w:rPr>
        <w:t>EXHIBIT 32.1</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June 30, 2017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1007"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0" w:type="dxa"/>
            <w:vAlign w:val="bottom"/>
          </w:tcPr>
          <w:p>
            <w:pPr>
              <w:spacing w:after="0"/>
              <w:rPr>
                <w:sz w:val="20"/>
                <w:szCs w:val="20"/>
                <w:color w:val="auto"/>
              </w:rPr>
            </w:pPr>
            <w:r>
              <w:rPr>
                <w:rFonts w:ascii="Arial" w:cs="Arial" w:eastAsia="Arial" w:hAnsi="Arial"/>
                <w:sz w:val="20"/>
                <w:szCs w:val="20"/>
                <w:color w:val="auto"/>
              </w:rPr>
              <w:t>Date:</w:t>
            </w:r>
          </w:p>
        </w:tc>
        <w:tc>
          <w:tcPr>
            <w:tcW w:w="5040" w:type="dxa"/>
            <w:vAlign w:val="bottom"/>
          </w:tcPr>
          <w:p>
            <w:pPr>
              <w:ind w:left="240"/>
              <w:spacing w:after="0"/>
              <w:rPr>
                <w:sz w:val="20"/>
                <w:szCs w:val="20"/>
                <w:color w:val="auto"/>
              </w:rPr>
            </w:pPr>
            <w:r>
              <w:rPr>
                <w:rFonts w:ascii="Arial" w:cs="Arial" w:eastAsia="Arial" w:hAnsi="Arial"/>
                <w:sz w:val="20"/>
                <w:szCs w:val="20"/>
                <w:color w:val="auto"/>
              </w:rPr>
              <w:t>August 8, 2017</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68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570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6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6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680" w:type="dxa"/>
            <w:vAlign w:val="bottom"/>
            <w:tcBorders>
              <w:bottom w:val="single" w:sz="8" w:color="808080"/>
            </w:tcBorders>
          </w:tcPr>
          <w:p>
            <w:pPr>
              <w:spacing w:after="0"/>
              <w:rPr>
                <w:sz w:val="24"/>
                <w:szCs w:val="24"/>
                <w:color w:val="auto"/>
              </w:rPr>
            </w:pPr>
          </w:p>
        </w:tc>
        <w:tc>
          <w:tcPr>
            <w:tcW w:w="504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 w:right="199" w:bottom="1440" w:gutter="0" w:footer="0" w:header="0"/>
        </w:sectPr>
      </w:pPr>
    </w:p>
    <w:bookmarkStart w:id="35" w:name="page36"/>
    <w:bookmarkEnd w:id="35"/>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June 30, 2017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1007"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60" w:type="dxa"/>
            <w:vAlign w:val="bottom"/>
          </w:tcPr>
          <w:p>
            <w:pPr>
              <w:spacing w:after="0"/>
              <w:rPr>
                <w:sz w:val="20"/>
                <w:szCs w:val="20"/>
                <w:color w:val="auto"/>
              </w:rPr>
            </w:pPr>
            <w:r>
              <w:rPr>
                <w:rFonts w:ascii="Arial" w:cs="Arial" w:eastAsia="Arial" w:hAnsi="Arial"/>
                <w:sz w:val="20"/>
                <w:szCs w:val="20"/>
                <w:color w:val="auto"/>
              </w:rPr>
              <w:t>Date:</w:t>
            </w:r>
          </w:p>
        </w:tc>
        <w:tc>
          <w:tcPr>
            <w:tcW w:w="5060" w:type="dxa"/>
            <w:vAlign w:val="bottom"/>
          </w:tcPr>
          <w:p>
            <w:pPr>
              <w:ind w:left="220"/>
              <w:spacing w:after="0"/>
              <w:rPr>
                <w:sz w:val="20"/>
                <w:szCs w:val="20"/>
                <w:color w:val="auto"/>
              </w:rPr>
            </w:pPr>
            <w:r>
              <w:rPr>
                <w:rFonts w:ascii="Arial" w:cs="Arial" w:eastAsia="Arial" w:hAnsi="Arial"/>
                <w:sz w:val="20"/>
                <w:szCs w:val="20"/>
                <w:color w:val="auto"/>
              </w:rPr>
              <w:t>August 8, 2017</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6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5700" w:type="dxa"/>
            <w:vAlign w:val="bottom"/>
          </w:tcPr>
          <w:p>
            <w:pPr>
              <w:ind w:left="10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6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66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66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2"/>
    </w:lvl>
  </w:abstractNum>
  <w:abstractNum w:abstractNumId="2">
    <w:nsid w:val="431BD7B7"/>
    <w:multiLevelType w:val="hybridMultilevel"/>
    <w:lvl w:ilvl="0">
      <w:lvlJc w:val="left"/>
      <w:lvlText w:val="%1."/>
      <w:numFmt w:val="decimal"/>
      <w:start w:val="3"/>
    </w:lvl>
  </w:abstractNum>
  <w:abstractNum w:abstractNumId="3">
    <w:nsid w:val="3F2DBA31"/>
    <w:multiLevelType w:val="hybridMultilevel"/>
    <w:lvl w:ilvl="0">
      <w:lvlJc w:val="left"/>
      <w:lvlText w:val="%1."/>
      <w:numFmt w:val="decimal"/>
      <w:start w:val="4"/>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5"/>
    </w:lvl>
  </w:abstractNum>
  <w:abstractNum w:abstractNumId="6">
    <w:nsid w:val="62BBD95A"/>
    <w:multiLevelType w:val="hybridMultilevel"/>
    <w:lvl w:ilvl="0">
      <w:lvlJc w:val="left"/>
      <w:lvlText w:val="%1."/>
      <w:numFmt w:val="decimal"/>
      <w:start w:val="6"/>
    </w:lvl>
  </w:abstractNum>
  <w:abstractNum w:abstractNumId="7">
    <w:nsid w:val="436C6125"/>
    <w:multiLevelType w:val="hybridMultilevel"/>
    <w:lvl w:ilvl="0">
      <w:lvlJc w:val="left"/>
      <w:lvlText w:val="%1."/>
      <w:numFmt w:val="decimal"/>
      <w:start w:val="7"/>
    </w:lvl>
  </w:abstractNum>
  <w:abstractNum w:abstractNumId="8">
    <w:nsid w:val="628C895D"/>
    <w:multiLevelType w:val="hybridMultilevel"/>
    <w:lvl w:ilvl="0">
      <w:lvlJc w:val="left"/>
      <w:lvlText w:val="%1."/>
      <w:numFmt w:val="decimal"/>
      <w:start w:val="8"/>
    </w:lvl>
  </w:abstractNum>
  <w:abstractNum w:abstractNumId="9">
    <w:nsid w:val="333AB105"/>
    <w:multiLevelType w:val="hybridMultilevel"/>
    <w:lvl w:ilvl="0">
      <w:lvlJc w:val="left"/>
      <w:lvlText w:val="%1."/>
      <w:numFmt w:val="decimal"/>
      <w:start w:val="9"/>
    </w:lvl>
  </w:abstractNum>
  <w:abstractNum w:abstractNumId="10">
    <w:nsid w:val="721DA317"/>
    <w:multiLevelType w:val="hybridMultilevel"/>
    <w:lvl w:ilvl="0">
      <w:lvlJc w:val="left"/>
      <w:lvlText w:val="%1."/>
      <w:numFmt w:val="decimal"/>
      <w:start w:val="10"/>
    </w:lvl>
  </w:abstractNum>
  <w:abstractNum w:abstractNumId="11">
    <w:nsid w:val="2443A858"/>
    <w:multiLevelType w:val="hybridMultilevel"/>
    <w:lvl w:ilvl="0">
      <w:lvlJc w:val="left"/>
      <w:lvlText w:val="%1."/>
      <w:numFmt w:val="decimal"/>
      <w:start w:val="11"/>
    </w:lvl>
  </w:abstractNum>
  <w:abstractNum w:abstractNumId="12">
    <w:nsid w:val="2D1D5AE9"/>
    <w:multiLevelType w:val="hybridMultilevel"/>
    <w:lvl w:ilvl="0">
      <w:lvlJc w:val="left"/>
      <w:lvlText w:val="%1."/>
      <w:numFmt w:val="decimal"/>
      <w:start w:val="12"/>
    </w:lvl>
  </w:abstractNum>
  <w:abstractNum w:abstractNumId="13">
    <w:nsid w:val="6763845E"/>
    <w:multiLevelType w:val="hybridMultilevel"/>
    <w:lvl w:ilvl="0">
      <w:lvlJc w:val="left"/>
      <w:lvlText w:val="%1."/>
      <w:numFmt w:val="decimal"/>
      <w:start w:val="13"/>
    </w:lvl>
  </w:abstractNum>
  <w:abstractNum w:abstractNumId="14">
    <w:nsid w:val="75A2A8D4"/>
    <w:multiLevelType w:val="hybridMultilevel"/>
    <w:lvl w:ilvl="0">
      <w:lvlJc w:val="left"/>
      <w:lvlText w:val="%1."/>
      <w:numFmt w:val="decimal"/>
      <w:start w:val="14"/>
    </w:lvl>
  </w:abstractNum>
  <w:abstractNum w:abstractNumId="15">
    <w:nsid w:val="8EDBDAB"/>
    <w:multiLevelType w:val="hybridMultilevel"/>
    <w:lvl w:ilvl="0">
      <w:lvlJc w:val="left"/>
      <w:lvlText w:val="%1."/>
      <w:numFmt w:val="decimal"/>
      <w:start w:val="15"/>
    </w:lvl>
  </w:abstractNum>
  <w:abstractNum w:abstractNumId="16">
    <w:nsid w:val="79838CB2"/>
    <w:multiLevelType w:val="hybridMultilevel"/>
    <w:lvl w:ilvl="0">
      <w:lvlJc w:val="left"/>
      <w:lvlText w:val="%1."/>
      <w:numFmt w:val="decimal"/>
      <w:start w:val="16"/>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7"/>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lowerRoman"/>
      <w:start w:val="1"/>
    </w:lvl>
  </w:abstractNum>
  <w:abstractNum w:abstractNumId="22">
    <w:nsid w:val="2CA88611"/>
    <w:multiLevelType w:val="hybridMultilevel"/>
    <w:lvl w:ilvl="0">
      <w:lvlJc w:val="left"/>
      <w:lvlText w:val="(%1)"/>
      <w:numFmt w:val="lowerRoman"/>
      <w:start w:val="3"/>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2"/>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2019-12-29T05:19:38Z</dcterms:created>
  <dcterms:modified xsi:type="dcterms:W3CDTF">2019-12-29T05:19:38Z</dcterms:modified>
</cp:coreProperties>
</file>