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1"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
        <w:spacing w:after="0"/>
        <w:rPr>
          <w:sz w:val="20"/>
          <w:szCs w:val="20"/>
          <w:color w:val="auto"/>
        </w:rPr>
      </w:pPr>
      <w:r>
        <w:rPr>
          <w:rFonts w:ascii="Arial" w:cs="Arial" w:eastAsia="Arial" w:hAnsi="Arial"/>
          <w:sz w:val="25"/>
          <w:szCs w:val="25"/>
          <w:b w:val="1"/>
          <w:bCs w:val="1"/>
          <w:color w:val="auto"/>
        </w:rPr>
        <w:t>SECURITIES AND EXCHANGE COMMISSION</w:t>
      </w:r>
    </w:p>
    <w:p>
      <w:pPr>
        <w:spacing w:after="0" w:line="200" w:lineRule="exact"/>
        <w:rPr>
          <w:sz w:val="24"/>
          <w:szCs w:val="24"/>
          <w:color w:val="auto"/>
        </w:rPr>
      </w:pPr>
    </w:p>
    <w:p>
      <w:pPr>
        <w:spacing w:after="0" w:line="222"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jc w:val="center"/>
        <w:ind w:right="-1"/>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422" w:right="2680" w:hanging="728"/>
        <w:spacing w:after="0" w:line="266" w:lineRule="auto"/>
        <w:tabs>
          <w:tab w:leader="none" w:pos="289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63"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For the fiscal year ended December 31, 2019</w:t>
      </w:r>
    </w:p>
    <w:p>
      <w:pPr>
        <w:spacing w:after="0" w:line="109"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3422" w:right="2520" w:hanging="888"/>
        <w:spacing w:after="0" w:line="277" w:lineRule="auto"/>
        <w:tabs>
          <w:tab w:leader="none" w:pos="273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45" w:lineRule="exact"/>
        <w:rPr>
          <w:sz w:val="24"/>
          <w:szCs w:val="24"/>
          <w:color w:val="auto"/>
        </w:rPr>
      </w:pPr>
    </w:p>
    <w:p>
      <w:pPr>
        <w:ind w:left="3862"/>
        <w:spacing w:after="0"/>
        <w:rPr>
          <w:sz w:val="20"/>
          <w:szCs w:val="20"/>
          <w:color w:val="auto"/>
        </w:rPr>
      </w:pPr>
      <w:r>
        <w:rPr>
          <w:rFonts w:ascii="Arial" w:cs="Arial" w:eastAsia="Arial" w:hAnsi="Arial"/>
          <w:sz w:val="14"/>
          <w:szCs w:val="14"/>
          <w:color w:val="auto"/>
        </w:rPr>
        <w:t>For the transition period from _____ to _____</w:t>
      </w:r>
    </w:p>
    <w:p>
      <w:pPr>
        <w:spacing w:after="0" w:line="86" w:lineRule="exact"/>
        <w:rPr>
          <w:sz w:val="24"/>
          <w:szCs w:val="24"/>
          <w:color w:val="auto"/>
        </w:rPr>
      </w:pPr>
    </w:p>
    <w:p>
      <w:pPr>
        <w:jc w:val="center"/>
        <w:ind w:right="-1"/>
        <w:spacing w:after="0"/>
        <w:rPr>
          <w:sz w:val="20"/>
          <w:szCs w:val="20"/>
          <w:color w:val="auto"/>
        </w:rPr>
      </w:pPr>
      <w:r>
        <w:rPr>
          <w:rFonts w:ascii="Arial" w:cs="Arial" w:eastAsia="Arial" w:hAnsi="Arial"/>
          <w:sz w:val="18"/>
          <w:szCs w:val="18"/>
          <w:color w:val="auto"/>
        </w:rPr>
        <w:t>Commission file number 001-18761</w:t>
      </w:r>
    </w:p>
    <w:p>
      <w:pPr>
        <w:spacing w:after="0" w:line="86" w:lineRule="exact"/>
        <w:rPr>
          <w:sz w:val="24"/>
          <w:szCs w:val="24"/>
          <w:color w:val="auto"/>
        </w:rPr>
      </w:pPr>
    </w:p>
    <w:p>
      <w:pPr>
        <w:jc w:val="center"/>
        <w:ind w:right="-1"/>
        <w:spacing w:after="0"/>
        <w:rPr>
          <w:sz w:val="20"/>
          <w:szCs w:val="20"/>
          <w:color w:val="auto"/>
        </w:rPr>
      </w:pPr>
      <w:r>
        <w:rPr>
          <w:rFonts w:ascii="Arial" w:cs="Arial" w:eastAsia="Arial" w:hAnsi="Arial"/>
          <w:sz w:val="23"/>
          <w:szCs w:val="23"/>
          <w:b w:val="1"/>
          <w:bCs w:val="1"/>
          <w:color w:val="auto"/>
        </w:rPr>
        <w:t>MONSTER BEVERAGE CORPORATION</w:t>
      </w:r>
    </w:p>
    <w:p>
      <w:pPr>
        <w:spacing w:after="0" w:line="31" w:lineRule="exact"/>
        <w:rPr>
          <w:sz w:val="24"/>
          <w:szCs w:val="24"/>
          <w:color w:val="auto"/>
        </w:rPr>
      </w:pPr>
    </w:p>
    <w:p>
      <w:pPr>
        <w:jc w:val="center"/>
        <w:ind w:right="-1"/>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2" w:type="dxa"/>
        <w:tblCellMar>
          <w:top w:w="0" w:type="dxa"/>
          <w:left w:w="0" w:type="dxa"/>
          <w:bottom w:w="0" w:type="dxa"/>
          <w:right w:w="0" w:type="dxa"/>
        </w:tblCellMar>
      </w:tblPr>
      <w:tr>
        <w:trPr>
          <w:trHeight w:val="207"/>
        </w:trPr>
        <w:tc>
          <w:tcPr>
            <w:tcW w:w="6040" w:type="dxa"/>
            <w:vAlign w:val="bottom"/>
            <w:gridSpan w:val="4"/>
          </w:tcPr>
          <w:p>
            <w:pPr>
              <w:jc w:val="center"/>
              <w:ind w:left="24"/>
              <w:spacing w:after="0"/>
              <w:rPr>
                <w:sz w:val="20"/>
                <w:szCs w:val="20"/>
                <w:color w:val="auto"/>
              </w:rPr>
            </w:pPr>
            <w:r>
              <w:rPr>
                <w:rFonts w:ascii="Arial" w:cs="Arial" w:eastAsia="Arial" w:hAnsi="Arial"/>
                <w:sz w:val="18"/>
                <w:szCs w:val="18"/>
                <w:color w:val="auto"/>
                <w:w w:val="92"/>
              </w:rPr>
              <w:t>Delaware</w:t>
            </w:r>
          </w:p>
        </w:tc>
        <w:tc>
          <w:tcPr>
            <w:tcW w:w="4340" w:type="dxa"/>
            <w:vAlign w:val="bottom"/>
            <w:gridSpan w:val="3"/>
          </w:tcPr>
          <w:p>
            <w:pPr>
              <w:jc w:val="center"/>
              <w:ind w:right="1708"/>
              <w:spacing w:after="0"/>
              <w:rPr>
                <w:sz w:val="20"/>
                <w:szCs w:val="20"/>
                <w:color w:val="auto"/>
              </w:rPr>
            </w:pPr>
            <w:r>
              <w:rPr>
                <w:rFonts w:ascii="Arial" w:cs="Arial" w:eastAsia="Arial" w:hAnsi="Arial"/>
                <w:sz w:val="18"/>
                <w:szCs w:val="18"/>
                <w:color w:val="auto"/>
                <w:w w:val="91"/>
              </w:rPr>
              <w:t>47-1809393</w:t>
            </w:r>
          </w:p>
        </w:tc>
      </w:tr>
      <w:tr>
        <w:trPr>
          <w:trHeight w:val="135"/>
        </w:trPr>
        <w:tc>
          <w:tcPr>
            <w:tcW w:w="6040" w:type="dxa"/>
            <w:vAlign w:val="bottom"/>
            <w:gridSpan w:val="4"/>
          </w:tcPr>
          <w:p>
            <w:pPr>
              <w:jc w:val="center"/>
              <w:ind w:left="24"/>
              <w:spacing w:after="0" w:line="135" w:lineRule="exact"/>
              <w:rPr>
                <w:sz w:val="20"/>
                <w:szCs w:val="20"/>
                <w:color w:val="auto"/>
              </w:rPr>
            </w:pPr>
            <w:r>
              <w:rPr>
                <w:rFonts w:ascii="Arial" w:cs="Arial" w:eastAsia="Arial" w:hAnsi="Arial"/>
                <w:sz w:val="14"/>
                <w:szCs w:val="14"/>
                <w:color w:val="auto"/>
                <w:w w:val="94"/>
              </w:rPr>
              <w:t>(State or other jurisdiction of</w:t>
            </w:r>
          </w:p>
        </w:tc>
        <w:tc>
          <w:tcPr>
            <w:tcW w:w="740" w:type="dxa"/>
            <w:vAlign w:val="bottom"/>
          </w:tcPr>
          <w:p>
            <w:pPr>
              <w:spacing w:after="0"/>
              <w:rPr>
                <w:sz w:val="11"/>
                <w:szCs w:val="11"/>
                <w:color w:val="auto"/>
              </w:rPr>
            </w:pPr>
          </w:p>
        </w:tc>
        <w:tc>
          <w:tcPr>
            <w:tcW w:w="3600" w:type="dxa"/>
            <w:vAlign w:val="bottom"/>
            <w:gridSpan w:val="2"/>
          </w:tcPr>
          <w:p>
            <w:pPr>
              <w:jc w:val="center"/>
              <w:ind w:right="2448"/>
              <w:spacing w:after="0" w:line="135" w:lineRule="exact"/>
              <w:rPr>
                <w:sz w:val="20"/>
                <w:szCs w:val="20"/>
                <w:color w:val="auto"/>
              </w:rPr>
            </w:pPr>
            <w:r>
              <w:rPr>
                <w:rFonts w:ascii="Arial" w:cs="Arial" w:eastAsia="Arial" w:hAnsi="Arial"/>
                <w:sz w:val="14"/>
                <w:szCs w:val="14"/>
                <w:color w:val="auto"/>
                <w:w w:val="97"/>
              </w:rPr>
              <w:t>(I.R.S. Employer</w:t>
            </w:r>
          </w:p>
        </w:tc>
      </w:tr>
      <w:tr>
        <w:trPr>
          <w:trHeight w:val="182"/>
        </w:trPr>
        <w:tc>
          <w:tcPr>
            <w:tcW w:w="6040" w:type="dxa"/>
            <w:vAlign w:val="bottom"/>
            <w:gridSpan w:val="4"/>
          </w:tcPr>
          <w:p>
            <w:pPr>
              <w:jc w:val="center"/>
              <w:ind w:left="24"/>
              <w:spacing w:after="0"/>
              <w:rPr>
                <w:sz w:val="20"/>
                <w:szCs w:val="20"/>
                <w:color w:val="auto"/>
              </w:rPr>
            </w:pPr>
            <w:r>
              <w:rPr>
                <w:rFonts w:ascii="Arial" w:cs="Arial" w:eastAsia="Arial" w:hAnsi="Arial"/>
                <w:sz w:val="14"/>
                <w:szCs w:val="14"/>
                <w:color w:val="auto"/>
                <w:w w:val="95"/>
              </w:rPr>
              <w:t>incorporation or organization)</w:t>
            </w:r>
          </w:p>
        </w:tc>
        <w:tc>
          <w:tcPr>
            <w:tcW w:w="740" w:type="dxa"/>
            <w:vAlign w:val="bottom"/>
          </w:tcPr>
          <w:p>
            <w:pPr>
              <w:spacing w:after="0"/>
              <w:rPr>
                <w:sz w:val="15"/>
                <w:szCs w:val="15"/>
                <w:color w:val="auto"/>
              </w:rPr>
            </w:pPr>
          </w:p>
        </w:tc>
        <w:tc>
          <w:tcPr>
            <w:tcW w:w="3600" w:type="dxa"/>
            <w:vAlign w:val="bottom"/>
            <w:gridSpan w:val="2"/>
          </w:tcPr>
          <w:p>
            <w:pPr>
              <w:jc w:val="center"/>
              <w:ind w:right="2448"/>
              <w:spacing w:after="0"/>
              <w:rPr>
                <w:sz w:val="20"/>
                <w:szCs w:val="20"/>
                <w:color w:val="auto"/>
              </w:rPr>
            </w:pPr>
            <w:r>
              <w:rPr>
                <w:rFonts w:ascii="Arial" w:cs="Arial" w:eastAsia="Arial" w:hAnsi="Arial"/>
                <w:sz w:val="14"/>
                <w:szCs w:val="14"/>
                <w:color w:val="auto"/>
                <w:w w:val="99"/>
              </w:rPr>
              <w:t>Identification No.)</w:t>
            </w:r>
          </w:p>
        </w:tc>
      </w:tr>
      <w:tr>
        <w:trPr>
          <w:trHeight w:val="177"/>
        </w:trPr>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jc w:val="center"/>
              <w:ind w:left="728"/>
              <w:spacing w:after="0"/>
              <w:rPr>
                <w:sz w:val="20"/>
                <w:szCs w:val="20"/>
                <w:color w:val="auto"/>
              </w:rPr>
            </w:pPr>
            <w:r>
              <w:rPr>
                <w:rFonts w:ascii="Arial" w:cs="Arial" w:eastAsia="Arial" w:hAnsi="Arial"/>
                <w:sz w:val="14"/>
                <w:szCs w:val="14"/>
                <w:color w:val="auto"/>
                <w:w w:val="93"/>
              </w:rPr>
              <w:t>1 Monster Way</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49"/>
        </w:trPr>
        <w:tc>
          <w:tcPr>
            <w:tcW w:w="3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80" w:type="dxa"/>
            <w:vAlign w:val="bottom"/>
          </w:tcPr>
          <w:p>
            <w:pPr>
              <w:jc w:val="center"/>
              <w:ind w:left="728"/>
              <w:spacing w:after="0" w:line="149" w:lineRule="exact"/>
              <w:rPr>
                <w:sz w:val="20"/>
                <w:szCs w:val="20"/>
                <w:color w:val="auto"/>
              </w:rPr>
            </w:pPr>
            <w:r>
              <w:rPr>
                <w:rFonts w:ascii="Arial" w:cs="Arial" w:eastAsia="Arial" w:hAnsi="Arial"/>
                <w:sz w:val="14"/>
                <w:szCs w:val="14"/>
                <w:color w:val="auto"/>
                <w:w w:val="95"/>
              </w:rPr>
              <w:t>Corona, California 92879</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r>
      <w:tr>
        <w:trPr>
          <w:trHeight w:val="182"/>
        </w:trPr>
        <w:tc>
          <w:tcPr>
            <w:tcW w:w="3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ind w:left="40"/>
              <w:spacing w:after="0"/>
              <w:rPr>
                <w:sz w:val="20"/>
                <w:szCs w:val="20"/>
                <w:color w:val="auto"/>
              </w:rPr>
            </w:pPr>
            <w:r>
              <w:rPr>
                <w:rFonts w:ascii="Arial" w:cs="Arial" w:eastAsia="Arial" w:hAnsi="Arial"/>
                <w:sz w:val="14"/>
                <w:szCs w:val="14"/>
                <w:color w:val="auto"/>
              </w:rPr>
              <w:t>(Address of principal executive offices)</w:t>
            </w:r>
          </w:p>
        </w:tc>
        <w:tc>
          <w:tcPr>
            <w:tcW w:w="4340" w:type="dxa"/>
            <w:vAlign w:val="bottom"/>
            <w:gridSpan w:val="3"/>
          </w:tcPr>
          <w:p>
            <w:pPr>
              <w:ind w:left="100"/>
              <w:spacing w:after="0"/>
              <w:rPr>
                <w:sz w:val="20"/>
                <w:szCs w:val="20"/>
                <w:color w:val="auto"/>
              </w:rPr>
            </w:pPr>
            <w:r>
              <w:rPr>
                <w:rFonts w:ascii="Arial" w:cs="Arial" w:eastAsia="Arial" w:hAnsi="Arial"/>
                <w:sz w:val="14"/>
                <w:szCs w:val="14"/>
                <w:color w:val="auto"/>
              </w:rPr>
              <w:t>(Zip Code)</w:t>
            </w:r>
          </w:p>
        </w:tc>
      </w:tr>
      <w:tr>
        <w:trPr>
          <w:trHeight w:val="296"/>
        </w:trPr>
        <w:tc>
          <w:tcPr>
            <w:tcW w:w="3060" w:type="dxa"/>
            <w:vAlign w:val="bottom"/>
          </w:tcPr>
          <w:p>
            <w:pPr>
              <w:spacing w:after="0"/>
              <w:rPr>
                <w:sz w:val="24"/>
                <w:szCs w:val="24"/>
                <w:color w:val="auto"/>
              </w:rPr>
            </w:pPr>
          </w:p>
        </w:tc>
        <w:tc>
          <w:tcPr>
            <w:tcW w:w="7320" w:type="dxa"/>
            <w:vAlign w:val="bottom"/>
            <w:gridSpan w:val="6"/>
          </w:tcPr>
          <w:p>
            <w:pPr>
              <w:jc w:val="center"/>
              <w:ind w:right="2968"/>
              <w:spacing w:after="0"/>
              <w:rPr>
                <w:sz w:val="20"/>
                <w:szCs w:val="20"/>
                <w:color w:val="auto"/>
              </w:rPr>
            </w:pPr>
            <w:r>
              <w:rPr>
                <w:rFonts w:ascii="Arial" w:cs="Arial" w:eastAsia="Arial" w:hAnsi="Arial"/>
                <w:sz w:val="14"/>
                <w:szCs w:val="14"/>
                <w:color w:val="auto"/>
                <w:w w:val="93"/>
              </w:rPr>
              <w:t xml:space="preserve">Registrant’s telephone number, including area code: (951) 739 </w:t>
            </w:r>
            <w:r>
              <w:rPr>
                <w:rFonts w:ascii="Arial" w:cs="Arial" w:eastAsia="Arial" w:hAnsi="Arial"/>
                <w:sz w:val="18"/>
                <w:szCs w:val="18"/>
                <w:color w:val="auto"/>
                <w:w w:val="93"/>
              </w:rPr>
              <w:t>-</w:t>
            </w:r>
            <w:r>
              <w:rPr>
                <w:rFonts w:ascii="Arial" w:cs="Arial" w:eastAsia="Arial" w:hAnsi="Arial"/>
                <w:sz w:val="14"/>
                <w:szCs w:val="14"/>
                <w:color w:val="auto"/>
                <w:w w:val="93"/>
              </w:rPr>
              <w:t xml:space="preserve"> 6200</w:t>
            </w:r>
          </w:p>
        </w:tc>
      </w:tr>
      <w:tr>
        <w:trPr>
          <w:trHeight w:val="258"/>
        </w:trPr>
        <w:tc>
          <w:tcPr>
            <w:tcW w:w="3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980" w:type="dxa"/>
            <w:vAlign w:val="bottom"/>
            <w:gridSpan w:val="5"/>
          </w:tcPr>
          <w:p>
            <w:pPr>
              <w:jc w:val="center"/>
              <w:ind w:right="3308"/>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28"/>
        </w:trPr>
        <w:tc>
          <w:tcPr>
            <w:tcW w:w="306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color w:val="auto"/>
                <w:w w:val="92"/>
              </w:rPr>
              <w:t>Title of each class</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w w:val="96"/>
              </w:rPr>
              <w:t>Trading Symbol(s)</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6"/>
        </w:trPr>
        <w:tc>
          <w:tcPr>
            <w:tcW w:w="3060" w:type="dxa"/>
            <w:vAlign w:val="bottom"/>
          </w:tcPr>
          <w:p>
            <w:pPr>
              <w:jc w:val="center"/>
              <w:ind w:left="284"/>
              <w:spacing w:after="0"/>
              <w:rPr>
                <w:sz w:val="20"/>
                <w:szCs w:val="20"/>
                <w:color w:val="auto"/>
              </w:rPr>
            </w:pPr>
            <w:r>
              <w:rPr>
                <w:rFonts w:ascii="Arial" w:cs="Arial" w:eastAsia="Arial" w:hAnsi="Arial"/>
                <w:sz w:val="14"/>
                <w:szCs w:val="14"/>
                <w:color w:val="auto"/>
                <w:w w:val="92"/>
              </w:rPr>
              <w:t>Common Stock, $0.005 par value per share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jc w:val="center"/>
              <w:ind w:left="648"/>
              <w:spacing w:after="0"/>
              <w:rPr>
                <w:sz w:val="20"/>
                <w:szCs w:val="20"/>
                <w:color w:val="auto"/>
              </w:rPr>
            </w:pPr>
            <w:r>
              <w:rPr>
                <w:rFonts w:ascii="Arial" w:cs="Arial" w:eastAsia="Arial" w:hAnsi="Arial"/>
                <w:sz w:val="14"/>
                <w:szCs w:val="14"/>
                <w:color w:val="auto"/>
              </w:rPr>
              <w:t>MNST</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42" w:lineRule="exact"/>
        <w:rPr>
          <w:sz w:val="24"/>
          <w:szCs w:val="24"/>
          <w:color w:val="auto"/>
        </w:rPr>
      </w:pPr>
    </w:p>
    <w:p>
      <w:pPr>
        <w:ind w:left="3362"/>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68" w:lineRule="exact"/>
        <w:rPr>
          <w:sz w:val="24"/>
          <w:szCs w:val="24"/>
          <w:color w:val="auto"/>
        </w:rPr>
      </w:pPr>
    </w:p>
    <w:p>
      <w:pPr>
        <w:ind w:left="642"/>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642"/>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2"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162" w:hanging="162"/>
        <w:spacing w:after="0" w:line="161" w:lineRule="exact"/>
        <w:tabs>
          <w:tab w:leader="none" w:pos="162"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9" w:lineRule="exact"/>
        <w:rPr>
          <w:sz w:val="24"/>
          <w:szCs w:val="24"/>
          <w:color w:val="auto"/>
        </w:rPr>
      </w:pPr>
    </w:p>
    <w:p>
      <w:pPr>
        <w:jc w:val="both"/>
        <w:ind w:left="2"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jc w:val="both"/>
        <w:ind w:left="2" w:firstLine="648"/>
        <w:spacing w:after="0" w:line="3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62" w:type="dxa"/>
        <w:tblCellMar>
          <w:top w:w="0" w:type="dxa"/>
          <w:left w:w="0" w:type="dxa"/>
          <w:bottom w:w="0" w:type="dxa"/>
          <w:right w:w="0" w:type="dxa"/>
        </w:tblCellMar>
      </w:tblPr>
      <w:tr>
        <w:trPr>
          <w:trHeight w:val="168"/>
        </w:trPr>
        <w:tc>
          <w:tcPr>
            <w:tcW w:w="32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540" w:type="dxa"/>
            <w:vAlign w:val="bottom"/>
          </w:tcPr>
          <w:p>
            <w:pPr>
              <w:ind w:left="17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3"/>
        </w:trPr>
        <w:tc>
          <w:tcPr>
            <w:tcW w:w="326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540" w:type="dxa"/>
            <w:vAlign w:val="bottom"/>
          </w:tcPr>
          <w:p>
            <w:pPr>
              <w:ind w:left="1780"/>
              <w:spacing w:after="0" w:line="184"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6"/>
                <w:szCs w:val="16"/>
                <w:color w:val="auto"/>
                <w:w w:val="92"/>
              </w:rPr>
              <w:t>☐</w:t>
            </w:r>
          </w:p>
        </w:tc>
      </w:tr>
      <w:tr>
        <w:trPr>
          <w:trHeight w:val="254"/>
        </w:trPr>
        <w:tc>
          <w:tcPr>
            <w:tcW w:w="3260" w:type="dxa"/>
            <w:vAlign w:val="bottom"/>
          </w:tcPr>
          <w:p>
            <w:pPr>
              <w:spacing w:after="0"/>
              <w:rPr>
                <w:sz w:val="22"/>
                <w:szCs w:val="22"/>
                <w:color w:val="auto"/>
              </w:rPr>
            </w:pPr>
          </w:p>
        </w:tc>
        <w:tc>
          <w:tcPr>
            <w:tcW w:w="3540" w:type="dxa"/>
            <w:vAlign w:val="bottom"/>
          </w:tcPr>
          <w:p>
            <w:pPr>
              <w:ind w:left="1780"/>
              <w:spacing w:after="0" w:line="184"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6"/>
                <w:szCs w:val="16"/>
                <w:color w:val="auto"/>
                <w:w w:val="93"/>
              </w:rPr>
              <w:t>☐</w:t>
            </w:r>
          </w:p>
        </w:tc>
      </w:tr>
    </w:tbl>
    <w:p>
      <w:pPr>
        <w:spacing w:after="0" w:line="64" w:lineRule="exact"/>
        <w:rPr>
          <w:sz w:val="24"/>
          <w:szCs w:val="24"/>
          <w:color w:val="auto"/>
        </w:rPr>
      </w:pPr>
    </w:p>
    <w:p>
      <w:pPr>
        <w:jc w:val="both"/>
        <w:ind w:left="2"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642"/>
        <w:spacing w:after="0" w:line="161" w:lineRule="exact"/>
        <w:tabs>
          <w:tab w:leader="none" w:pos="7422" w:val="left"/>
        </w:tabs>
        <w:rPr>
          <w:sz w:val="20"/>
          <w:szCs w:val="20"/>
          <w:color w:val="auto"/>
        </w:rPr>
      </w:pPr>
      <w:r>
        <w:rPr>
          <w:rFonts w:ascii="Arial" w:cs="Arial" w:eastAsia="Arial" w:hAnsi="Arial"/>
          <w:sz w:val="14"/>
          <w:szCs w:val="14"/>
          <w:color w:val="auto"/>
        </w:rPr>
        <w:t>Indicate by check mark whether the registrant is a shell company (as defined by Rule 12b-2 of the Exchange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3" w:lineRule="exact"/>
        <w:rPr>
          <w:sz w:val="24"/>
          <w:szCs w:val="24"/>
          <w:color w:val="auto"/>
        </w:rPr>
      </w:pPr>
    </w:p>
    <w:p>
      <w:pPr>
        <w:jc w:val="both"/>
        <w:ind w:left="2" w:firstLine="648"/>
        <w:spacing w:after="0" w:line="291"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$31,534,998,627 computed by reference to the closing sale price for such stock on the Nasdaq Global Select Market on June 28, 2019, the last business day of the registrant’s most recently completed second fiscal quarter.</w:t>
      </w:r>
    </w:p>
    <w:p>
      <w:pPr>
        <w:spacing w:after="0" w:line="29" w:lineRule="exact"/>
        <w:rPr>
          <w:sz w:val="24"/>
          <w:szCs w:val="24"/>
          <w:color w:val="auto"/>
        </w:rPr>
      </w:pPr>
    </w:p>
    <w:p>
      <w:pPr>
        <w:jc w:val="both"/>
        <w:ind w:left="2" w:firstLine="648"/>
        <w:spacing w:after="0" w:line="253" w:lineRule="auto"/>
        <w:rPr>
          <w:sz w:val="20"/>
          <w:szCs w:val="20"/>
          <w:color w:val="auto"/>
        </w:rPr>
      </w:pPr>
      <w:r>
        <w:rPr>
          <w:rFonts w:ascii="Arial" w:cs="Arial" w:eastAsia="Arial" w:hAnsi="Arial"/>
          <w:sz w:val="14"/>
          <w:szCs w:val="14"/>
          <w:color w:val="auto"/>
        </w:rPr>
        <w:t>The number of shares of the registrant’s common stock, $0.005 par value per share (being the only class of common stock of the registrant), outstanding on February 20, 2020 was 536,896,142 shares.</w:t>
      </w:r>
    </w:p>
    <w:p>
      <w:pPr>
        <w:spacing w:after="0" w:line="52" w:lineRule="exact"/>
        <w:rPr>
          <w:sz w:val="24"/>
          <w:szCs w:val="24"/>
          <w:color w:val="auto"/>
        </w:rPr>
      </w:pPr>
    </w:p>
    <w:p>
      <w:pPr>
        <w:jc w:val="center"/>
        <w:ind w:right="-1"/>
        <w:spacing w:after="0"/>
        <w:rPr>
          <w:sz w:val="20"/>
          <w:szCs w:val="20"/>
          <w:color w:val="auto"/>
        </w:rPr>
      </w:pPr>
      <w:r>
        <w:rPr>
          <w:rFonts w:ascii="Arial" w:cs="Arial" w:eastAsia="Arial" w:hAnsi="Arial"/>
          <w:sz w:val="14"/>
          <w:szCs w:val="14"/>
          <w:color w:val="auto"/>
        </w:rPr>
        <w:t>DOCUMENTS INCORPORATED BY REFERENCE:</w:t>
      </w:r>
    </w:p>
    <w:p>
      <w:pPr>
        <w:spacing w:after="0" w:line="82" w:lineRule="exact"/>
        <w:rPr>
          <w:sz w:val="24"/>
          <w:szCs w:val="24"/>
          <w:color w:val="auto"/>
        </w:rPr>
      </w:pPr>
    </w:p>
    <w:p>
      <w:pPr>
        <w:jc w:val="both"/>
        <w:ind w:left="2" w:firstLine="441"/>
        <w:spacing w:after="0" w:line="238"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Commission pursuant to Regulation 14A in connection with the registrant’s 2020 Annual Meeting of Stockholders are incorporated by reference into Part III of this Report. Such Definitive Proxy Statement will be filed with the Securities and Exchange Commission no later than 120 days after the conclusion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359410</wp:posOffset>
            </wp:positionV>
            <wp:extent cx="65951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2"/>
          </w:cols>
          <w:pgMar w:left="758" w:top="665" w:right="7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40" w:type="dxa"/>
            <w:vAlign w:val="bottom"/>
            <w:gridSpan w:val="4"/>
          </w:tcPr>
          <w:p>
            <w:pPr>
              <w:jc w:val="center"/>
              <w:ind w:right="1740"/>
              <w:spacing w:after="0"/>
              <w:rPr>
                <w:sz w:val="20"/>
                <w:szCs w:val="20"/>
                <w:color w:val="auto"/>
              </w:rPr>
            </w:pPr>
            <w:r>
              <w:rPr>
                <w:rFonts w:ascii="Arial" w:cs="Arial" w:eastAsia="Arial" w:hAnsi="Arial"/>
                <w:sz w:val="20"/>
                <w:szCs w:val="20"/>
                <w:b w:val="1"/>
                <w:bCs w:val="1"/>
                <w:color w:val="auto"/>
                <w:w w:val="99"/>
              </w:rPr>
              <w:t>MONSTER BEVERAGE CORPORATION</w:t>
            </w:r>
          </w:p>
        </w:tc>
        <w:tc>
          <w:tcPr>
            <w:tcW w:w="1160" w:type="dxa"/>
            <w:vAlign w:val="bottom"/>
          </w:tcPr>
          <w:p>
            <w:pPr>
              <w:spacing w:after="0"/>
              <w:rPr>
                <w:sz w:val="22"/>
                <w:szCs w:val="22"/>
                <w:color w:val="auto"/>
              </w:rPr>
            </w:pPr>
          </w:p>
        </w:tc>
      </w:tr>
      <w:tr>
        <w:trPr>
          <w:trHeight w:val="446"/>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3"/>
          </w:tcPr>
          <w:p>
            <w:pPr>
              <w:jc w:val="center"/>
              <w:ind w:right="2020"/>
              <w:spacing w:after="0"/>
              <w:rPr>
                <w:sz w:val="20"/>
                <w:szCs w:val="20"/>
                <w:color w:val="auto"/>
              </w:rPr>
            </w:pPr>
            <w:r>
              <w:rPr>
                <w:rFonts w:ascii="Arial" w:cs="Arial" w:eastAsia="Arial" w:hAnsi="Arial"/>
                <w:sz w:val="20"/>
                <w:szCs w:val="20"/>
                <w:b w:val="1"/>
                <w:bCs w:val="1"/>
                <w:color w:val="auto"/>
              </w:rPr>
              <w:t>FORM 10-K</w:t>
            </w:r>
          </w:p>
        </w:tc>
        <w:tc>
          <w:tcPr>
            <w:tcW w:w="1160" w:type="dxa"/>
            <w:vAlign w:val="bottom"/>
          </w:tcPr>
          <w:p>
            <w:pPr>
              <w:spacing w:after="0"/>
              <w:rPr>
                <w:sz w:val="24"/>
                <w:szCs w:val="24"/>
                <w:color w:val="auto"/>
              </w:rPr>
            </w:pPr>
          </w:p>
        </w:tc>
      </w:tr>
      <w:tr>
        <w:trPr>
          <w:trHeight w:val="446"/>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40" w:type="dxa"/>
            <w:vAlign w:val="bottom"/>
            <w:gridSpan w:val="3"/>
          </w:tcPr>
          <w:p>
            <w:pPr>
              <w:jc w:val="center"/>
              <w:ind w:right="2020"/>
              <w:spacing w:after="0"/>
              <w:rPr>
                <w:sz w:val="20"/>
                <w:szCs w:val="20"/>
                <w:color w:val="auto"/>
              </w:rPr>
            </w:pPr>
            <w:r>
              <w:rPr>
                <w:rFonts w:ascii="Arial" w:cs="Arial" w:eastAsia="Arial" w:hAnsi="Arial"/>
                <w:sz w:val="20"/>
                <w:szCs w:val="20"/>
                <w:b w:val="1"/>
                <w:bCs w:val="1"/>
                <w:color w:val="auto"/>
                <w:w w:val="98"/>
              </w:rPr>
              <w:t>TABLE OF CONTENTS</w:t>
            </w:r>
          </w:p>
        </w:tc>
        <w:tc>
          <w:tcPr>
            <w:tcW w:w="1160" w:type="dxa"/>
            <w:vAlign w:val="bottom"/>
          </w:tcPr>
          <w:p>
            <w:pPr>
              <w:spacing w:after="0"/>
              <w:rPr>
                <w:sz w:val="24"/>
                <w:szCs w:val="24"/>
                <w:color w:val="auto"/>
              </w:rPr>
            </w:pPr>
          </w:p>
        </w:tc>
      </w:tr>
      <w:tr>
        <w:trPr>
          <w:trHeight w:val="415"/>
        </w:trPr>
        <w:tc>
          <w:tcPr>
            <w:tcW w:w="8820" w:type="dxa"/>
            <w:vAlign w:val="bottom"/>
            <w:gridSpan w:val="14"/>
          </w:tcPr>
          <w:p>
            <w:pPr>
              <w:spacing w:after="0"/>
              <w:rPr>
                <w:sz w:val="20"/>
                <w:szCs w:val="20"/>
                <w:color w:val="auto"/>
              </w:rPr>
            </w:pPr>
            <w:r>
              <w:rPr>
                <w:rFonts w:ascii="Arial" w:cs="Arial" w:eastAsia="Arial" w:hAnsi="Arial"/>
                <w:sz w:val="20"/>
                <w:szCs w:val="20"/>
                <w:b w:val="1"/>
                <w:bCs w:val="1"/>
                <w:color w:val="auto"/>
              </w:rPr>
              <w:t>Item Number</w:t>
            </w:r>
          </w:p>
        </w:tc>
        <w:tc>
          <w:tcPr>
            <w:tcW w:w="1160" w:type="dxa"/>
            <w:vAlign w:val="bottom"/>
          </w:tcPr>
          <w:p>
            <w:pPr>
              <w:spacing w:after="0"/>
              <w:rPr>
                <w:sz w:val="20"/>
                <w:szCs w:val="20"/>
                <w:color w:val="auto"/>
              </w:rPr>
            </w:pPr>
            <w:r>
              <w:rPr>
                <w:rFonts w:ascii="Arial" w:cs="Arial" w:eastAsia="Arial" w:hAnsi="Arial"/>
                <w:sz w:val="20"/>
                <w:szCs w:val="20"/>
                <w:b w:val="1"/>
                <w:bCs w:val="1"/>
                <w:color w:val="auto"/>
                <w:w w:val="88"/>
              </w:rPr>
              <w:t>Page Number</w:t>
            </w:r>
          </w:p>
        </w:tc>
      </w:tr>
      <w:tr>
        <w:trPr>
          <w:trHeight w:val="210"/>
        </w:trPr>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60" w:type="dxa"/>
            <w:vAlign w:val="bottom"/>
            <w:gridSpan w:val="2"/>
          </w:tcPr>
          <w:p>
            <w:pPr>
              <w:spacing w:after="0" w:line="209" w:lineRule="exact"/>
              <w:rPr>
                <w:sz w:val="20"/>
                <w:szCs w:val="20"/>
                <w:color w:val="auto"/>
              </w:rPr>
            </w:pPr>
            <w:r>
              <w:rPr>
                <w:rFonts w:ascii="Arial" w:cs="Arial" w:eastAsia="Arial" w:hAnsi="Arial"/>
                <w:sz w:val="20"/>
                <w:szCs w:val="20"/>
                <w:b w:val="1"/>
                <w:bCs w:val="1"/>
                <w:color w:val="0000EE"/>
              </w:rPr>
              <w:t>PART I</w:t>
            </w:r>
          </w:p>
        </w:tc>
        <w:tc>
          <w:tcPr>
            <w:tcW w:w="1160" w:type="dxa"/>
            <w:vAlign w:val="bottom"/>
            <w:tcBorders>
              <w:top w:val="single" w:sz="8" w:color="auto"/>
            </w:tcBorders>
          </w:tcPr>
          <w:p>
            <w:pPr>
              <w:spacing w:after="0"/>
              <w:rPr>
                <w:sz w:val="18"/>
                <w:szCs w:val="18"/>
                <w:color w:val="auto"/>
              </w:rPr>
            </w:pPr>
          </w:p>
        </w:tc>
      </w:tr>
      <w:tr>
        <w:trPr>
          <w:trHeight w:val="439"/>
        </w:trPr>
        <w:tc>
          <w:tcPr>
            <w:tcW w:w="820" w:type="dxa"/>
            <w:vAlign w:val="bottom"/>
            <w:gridSpan w:val="3"/>
          </w:tcPr>
          <w:p>
            <w:pPr>
              <w:jc w:val="right"/>
              <w:spacing w:after="0"/>
              <w:rPr>
                <w:rFonts w:ascii="Arial" w:cs="Arial" w:eastAsia="Arial" w:hAnsi="Arial"/>
                <w:sz w:val="20"/>
                <w:szCs w:val="20"/>
                <w:color w:val="0000EE"/>
              </w:rPr>
            </w:pPr>
            <w:hyperlink w:anchor="page3">
              <w:r>
                <w:rPr>
                  <w:rFonts w:ascii="Arial" w:cs="Arial" w:eastAsia="Arial" w:hAnsi="Arial"/>
                  <w:sz w:val="20"/>
                  <w:szCs w:val="20"/>
                  <w:color w:val="0000EE"/>
                </w:rPr>
                <w:t>1.</w:t>
              </w:r>
            </w:hyperlink>
          </w:p>
        </w:tc>
        <w:tc>
          <w:tcPr>
            <w:tcW w:w="3740" w:type="dxa"/>
            <w:vAlign w:val="bottom"/>
            <w:gridSpan w:val="9"/>
          </w:tcPr>
          <w:p>
            <w:pPr>
              <w:ind w:left="200"/>
              <w:spacing w:after="0"/>
              <w:rPr>
                <w:rFonts w:ascii="Arial" w:cs="Arial" w:eastAsia="Arial" w:hAnsi="Arial"/>
                <w:sz w:val="20"/>
                <w:szCs w:val="20"/>
                <w:color w:val="0000EE"/>
              </w:rPr>
            </w:pPr>
            <w:hyperlink w:anchor="page3">
              <w:r>
                <w:rPr>
                  <w:rFonts w:ascii="Arial" w:cs="Arial" w:eastAsia="Arial" w:hAnsi="Arial"/>
                  <w:sz w:val="20"/>
                  <w:szCs w:val="20"/>
                  <w:color w:val="0000EE"/>
                </w:rPr>
                <w:t>Business</w:t>
              </w:r>
            </w:hyperlink>
          </w:p>
        </w:tc>
        <w:tc>
          <w:tcPr>
            <w:tcW w:w="640" w:type="dxa"/>
            <w:vAlign w:val="bottom"/>
            <w:tcBorders>
              <w:top w:val="single" w:sz="8" w:color="0000EE"/>
            </w:tcBorders>
          </w:tcPr>
          <w:p>
            <w:pPr>
              <w:spacing w:after="0"/>
              <w:rPr>
                <w:sz w:val="24"/>
                <w:szCs w:val="24"/>
                <w:color w:val="auto"/>
              </w:rPr>
            </w:pPr>
          </w:p>
        </w:tc>
        <w:tc>
          <w:tcPr>
            <w:tcW w:w="36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3</w:t>
            </w: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1A.</w:t>
              </w:r>
            </w:hyperlink>
          </w:p>
        </w:tc>
        <w:tc>
          <w:tcPr>
            <w:tcW w:w="8000" w:type="dxa"/>
            <w:vAlign w:val="bottom"/>
            <w:gridSpan w:val="11"/>
          </w:tcPr>
          <w:p>
            <w:pPr>
              <w:ind w:left="200"/>
              <w:spacing w:after="0" w:line="209" w:lineRule="exact"/>
              <w:rPr>
                <w:rFonts w:ascii="Arial" w:cs="Arial" w:eastAsia="Arial" w:hAnsi="Arial"/>
                <w:sz w:val="20"/>
                <w:szCs w:val="20"/>
                <w:color w:val="0000EE"/>
              </w:rPr>
            </w:pPr>
            <w:hyperlink w:anchor="page18">
              <w:r>
                <w:rPr>
                  <w:rFonts w:ascii="Arial" w:cs="Arial" w:eastAsia="Arial" w:hAnsi="Arial"/>
                  <w:sz w:val="20"/>
                  <w:szCs w:val="20"/>
                  <w:color w:val="0000EE"/>
                </w:rPr>
                <w:t>Risk Factors</w:t>
              </w:r>
            </w:hyperlink>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18</w:t>
            </w:r>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60" w:type="dxa"/>
            <w:vAlign w:val="bottom"/>
            <w:gridSpan w:val="2"/>
          </w:tcPr>
          <w:p>
            <w:pPr>
              <w:jc w:val="right"/>
              <w:spacing w:after="0" w:line="209" w:lineRule="exact"/>
              <w:rPr>
                <w:rFonts w:ascii="Arial" w:cs="Arial" w:eastAsia="Arial" w:hAnsi="Arial"/>
                <w:sz w:val="20"/>
                <w:szCs w:val="20"/>
                <w:color w:val="0000EE"/>
                <w:w w:val="79"/>
              </w:rPr>
            </w:pPr>
            <w:hyperlink w:anchor="page33">
              <w:r>
                <w:rPr>
                  <w:rFonts w:ascii="Arial" w:cs="Arial" w:eastAsia="Arial" w:hAnsi="Arial"/>
                  <w:sz w:val="20"/>
                  <w:szCs w:val="20"/>
                  <w:color w:val="0000EE"/>
                  <w:w w:val="79"/>
                </w:rPr>
                <w:t>1B.</w:t>
              </w:r>
            </w:hyperlink>
          </w:p>
        </w:tc>
        <w:tc>
          <w:tcPr>
            <w:tcW w:w="200" w:type="dxa"/>
            <w:vAlign w:val="bottom"/>
          </w:tcPr>
          <w:p>
            <w:pPr>
              <w:spacing w:after="0"/>
              <w:rPr>
                <w:sz w:val="18"/>
                <w:szCs w:val="18"/>
                <w:color w:val="auto"/>
              </w:rPr>
            </w:pPr>
          </w:p>
        </w:tc>
        <w:tc>
          <w:tcPr>
            <w:tcW w:w="7800" w:type="dxa"/>
            <w:vAlign w:val="bottom"/>
            <w:gridSpan w:val="10"/>
          </w:tcPr>
          <w:p>
            <w:pPr>
              <w:spacing w:after="0" w:line="209" w:lineRule="exact"/>
              <w:rPr>
                <w:rFonts w:ascii="Arial" w:cs="Arial" w:eastAsia="Arial" w:hAnsi="Arial"/>
                <w:sz w:val="20"/>
                <w:szCs w:val="20"/>
                <w:color w:val="0000EE"/>
              </w:rPr>
            </w:pPr>
            <w:hyperlink w:anchor="page33">
              <w:r>
                <w:rPr>
                  <w:rFonts w:ascii="Arial" w:cs="Arial" w:eastAsia="Arial" w:hAnsi="Arial"/>
                  <w:sz w:val="20"/>
                  <w:szCs w:val="20"/>
                  <w:color w:val="0000EE"/>
                </w:rPr>
                <w:t>Unresolved Staff Comments</w:t>
              </w:r>
            </w:hyperlink>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33</w:t>
            </w:r>
          </w:p>
        </w:tc>
      </w:tr>
      <w:tr>
        <w:trPr>
          <w:trHeight w:val="210"/>
        </w:trPr>
        <w:tc>
          <w:tcPr>
            <w:tcW w:w="560" w:type="dxa"/>
            <w:vAlign w:val="bottom"/>
          </w:tcPr>
          <w:p>
            <w:pPr>
              <w:spacing w:after="0"/>
              <w:rPr>
                <w:sz w:val="18"/>
                <w:szCs w:val="18"/>
                <w:color w:val="auto"/>
              </w:rPr>
            </w:pPr>
          </w:p>
        </w:tc>
        <w:tc>
          <w:tcPr>
            <w:tcW w:w="260" w:type="dxa"/>
            <w:vAlign w:val="bottom"/>
            <w:tcBorders>
              <w:top w:val="single" w:sz="8" w:color="0000EE"/>
            </w:tcBorders>
            <w:gridSpan w:val="2"/>
          </w:tcPr>
          <w:p>
            <w:pPr>
              <w:jc w:val="right"/>
              <w:spacing w:after="0" w:line="209" w:lineRule="exact"/>
              <w:rPr>
                <w:rFonts w:ascii="Arial" w:cs="Arial" w:eastAsia="Arial" w:hAnsi="Arial"/>
                <w:sz w:val="20"/>
                <w:szCs w:val="20"/>
                <w:color w:val="0000EE"/>
              </w:rPr>
            </w:pPr>
            <w:hyperlink w:anchor="page33">
              <w:r>
                <w:rPr>
                  <w:rFonts w:ascii="Arial" w:cs="Arial" w:eastAsia="Arial" w:hAnsi="Arial"/>
                  <w:sz w:val="20"/>
                  <w:szCs w:val="20"/>
                  <w:color w:val="0000EE"/>
                </w:rPr>
                <w:t>2.</w:t>
              </w:r>
            </w:hyperlink>
          </w:p>
        </w:tc>
        <w:tc>
          <w:tcPr>
            <w:tcW w:w="200" w:type="dxa"/>
            <w:vAlign w:val="bottom"/>
          </w:tcPr>
          <w:p>
            <w:pPr>
              <w:spacing w:after="0"/>
              <w:rPr>
                <w:sz w:val="18"/>
                <w:szCs w:val="18"/>
                <w:color w:val="auto"/>
              </w:rPr>
            </w:pPr>
          </w:p>
        </w:tc>
        <w:tc>
          <w:tcPr>
            <w:tcW w:w="2260" w:type="dxa"/>
            <w:vAlign w:val="bottom"/>
            <w:tcBorders>
              <w:top w:val="single" w:sz="8" w:color="0000EE"/>
            </w:tcBorders>
            <w:gridSpan w:val="7"/>
          </w:tcPr>
          <w:p>
            <w:pPr>
              <w:spacing w:after="0" w:line="209" w:lineRule="exact"/>
              <w:rPr>
                <w:rFonts w:ascii="Arial" w:cs="Arial" w:eastAsia="Arial" w:hAnsi="Arial"/>
                <w:sz w:val="20"/>
                <w:szCs w:val="20"/>
                <w:color w:val="0000EE"/>
              </w:rPr>
            </w:pPr>
            <w:hyperlink w:anchor="page33">
              <w:r>
                <w:rPr>
                  <w:rFonts w:ascii="Arial" w:cs="Arial" w:eastAsia="Arial" w:hAnsi="Arial"/>
                  <w:sz w:val="20"/>
                  <w:szCs w:val="20"/>
                  <w:color w:val="0000EE"/>
                </w:rPr>
                <w:t>Properties</w:t>
              </w:r>
            </w:hyperlink>
          </w:p>
        </w:tc>
        <w:tc>
          <w:tcPr>
            <w:tcW w:w="5540" w:type="dxa"/>
            <w:vAlign w:val="bottom"/>
            <w:gridSpan w:val="3"/>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33</w:t>
            </w:r>
          </w:p>
        </w:tc>
      </w:tr>
      <w:tr>
        <w:trPr>
          <w:trHeight w:val="20"/>
        </w:trPr>
        <w:tc>
          <w:tcPr>
            <w:tcW w:w="6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33">
              <w:r>
                <w:rPr>
                  <w:rFonts w:ascii="Arial" w:cs="Arial" w:eastAsia="Arial" w:hAnsi="Arial"/>
                  <w:sz w:val="20"/>
                  <w:szCs w:val="20"/>
                  <w:color w:val="0000EE"/>
                </w:rPr>
                <w:t>3.</w:t>
              </w:r>
            </w:hyperlink>
          </w:p>
        </w:tc>
        <w:tc>
          <w:tcPr>
            <w:tcW w:w="8000" w:type="dxa"/>
            <w:vAlign w:val="bottom"/>
            <w:gridSpan w:val="11"/>
          </w:tcPr>
          <w:p>
            <w:pPr>
              <w:ind w:left="200"/>
              <w:spacing w:after="0" w:line="209" w:lineRule="exact"/>
              <w:rPr>
                <w:rFonts w:ascii="Arial" w:cs="Arial" w:eastAsia="Arial" w:hAnsi="Arial"/>
                <w:sz w:val="20"/>
                <w:szCs w:val="20"/>
                <w:color w:val="0000EE"/>
              </w:rPr>
            </w:pPr>
            <w:hyperlink w:anchor="page33">
              <w:r>
                <w:rPr>
                  <w:rFonts w:ascii="Arial" w:cs="Arial" w:eastAsia="Arial" w:hAnsi="Arial"/>
                  <w:sz w:val="20"/>
                  <w:szCs w:val="20"/>
                  <w:color w:val="0000EE"/>
                </w:rPr>
                <w:t>Legal Proceedings</w:t>
              </w:r>
            </w:hyperlink>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33</w:t>
            </w:r>
          </w:p>
        </w:tc>
      </w:tr>
      <w:tr>
        <w:trPr>
          <w:trHeight w:val="20"/>
        </w:trPr>
        <w:tc>
          <w:tcPr>
            <w:tcW w:w="6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4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0"/>
        </w:trPr>
        <w:tc>
          <w:tcPr>
            <w:tcW w:w="820" w:type="dxa"/>
            <w:vAlign w:val="bottom"/>
            <w:gridSpan w:val="3"/>
          </w:tcPr>
          <w:p>
            <w:pPr>
              <w:jc w:val="right"/>
              <w:spacing w:after="0" w:line="209" w:lineRule="exact"/>
              <w:rPr>
                <w:rFonts w:ascii="Arial" w:cs="Arial" w:eastAsia="Arial" w:hAnsi="Arial"/>
                <w:sz w:val="20"/>
                <w:szCs w:val="20"/>
                <w:color w:val="0000EE"/>
              </w:rPr>
            </w:pPr>
            <w:hyperlink w:anchor="page34">
              <w:r>
                <w:rPr>
                  <w:rFonts w:ascii="Arial" w:cs="Arial" w:eastAsia="Arial" w:hAnsi="Arial"/>
                  <w:sz w:val="20"/>
                  <w:szCs w:val="20"/>
                  <w:color w:val="0000EE"/>
                </w:rPr>
                <w:t>4.</w:t>
              </w:r>
            </w:hyperlink>
          </w:p>
        </w:tc>
        <w:tc>
          <w:tcPr>
            <w:tcW w:w="8000" w:type="dxa"/>
            <w:vAlign w:val="bottom"/>
            <w:gridSpan w:val="11"/>
          </w:tcPr>
          <w:p>
            <w:pPr>
              <w:ind w:left="200"/>
              <w:spacing w:after="0" w:line="209" w:lineRule="exact"/>
              <w:rPr>
                <w:rFonts w:ascii="Arial" w:cs="Arial" w:eastAsia="Arial" w:hAnsi="Arial"/>
                <w:sz w:val="20"/>
                <w:szCs w:val="20"/>
                <w:color w:val="0000EE"/>
              </w:rPr>
            </w:pPr>
            <w:hyperlink w:anchor="page34">
              <w:r>
                <w:rPr>
                  <w:rFonts w:ascii="Arial" w:cs="Arial" w:eastAsia="Arial" w:hAnsi="Arial"/>
                  <w:sz w:val="20"/>
                  <w:szCs w:val="20"/>
                  <w:color w:val="0000EE"/>
                </w:rPr>
                <w:t>Mine Safety Disclosures</w:t>
              </w:r>
            </w:hyperlink>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34</w:t>
            </w: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u w:val="single" w:color="auto"/>
          <w:color w:val="0000EE"/>
        </w:rPr>
        <w:t>PART II</w:t>
      </w:r>
    </w:p>
    <w:p>
      <w:pPr>
        <w:spacing w:after="0" w:line="235" w:lineRule="exact"/>
        <w:rPr>
          <w:sz w:val="20"/>
          <w:szCs w:val="20"/>
          <w:color w:val="auto"/>
        </w:rPr>
      </w:pPr>
    </w:p>
    <w:p>
      <w:pPr>
        <w:ind w:left="1020" w:hanging="347"/>
        <w:spacing w:after="0"/>
        <w:tabs>
          <w:tab w:leader="none" w:pos="1020" w:val="left"/>
        </w:tabs>
        <w:numPr>
          <w:ilvl w:val="0"/>
          <w:numId w:val="4"/>
        </w:numPr>
        <w:rPr>
          <w:rFonts w:ascii="Arial" w:cs="Arial" w:eastAsia="Arial" w:hAnsi="Arial"/>
          <w:sz w:val="20"/>
          <w:szCs w:val="20"/>
          <w:u w:val="single" w:color="auto"/>
          <w:color w:val="0000EE"/>
        </w:rPr>
      </w:pPr>
      <w:hyperlink w:anchor="page34">
        <w:r>
          <w:rPr>
            <w:rFonts w:ascii="Arial" w:cs="Arial" w:eastAsia="Arial" w:hAnsi="Arial"/>
            <w:sz w:val="20"/>
            <w:szCs w:val="20"/>
            <w:u w:val="single" w:color="auto"/>
            <w:color w:val="0000EE"/>
          </w:rPr>
          <w:t>Market for the Registrant’s Common Equity, Related Stockholder Matters and Issuer</w:t>
        </w:r>
      </w:hyperlink>
    </w:p>
    <w:tbl>
      <w:tblPr>
        <w:tblLayout w:type="fixed"/>
        <w:tblInd w:w="5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60" w:type="dxa"/>
            <w:vAlign w:val="bottom"/>
            <w:gridSpan w:val="12"/>
          </w:tcPr>
          <w:p>
            <w:pPr>
              <w:spacing w:after="0" w:line="206" w:lineRule="exact"/>
              <w:rPr>
                <w:rFonts w:ascii="Arial" w:cs="Arial" w:eastAsia="Arial" w:hAnsi="Arial"/>
                <w:sz w:val="20"/>
                <w:szCs w:val="20"/>
                <w:color w:val="0000EE"/>
              </w:rPr>
            </w:pPr>
            <w:hyperlink w:anchor="page34">
              <w:r>
                <w:rPr>
                  <w:rFonts w:ascii="Arial" w:cs="Arial" w:eastAsia="Arial" w:hAnsi="Arial"/>
                  <w:sz w:val="20"/>
                  <w:szCs w:val="20"/>
                  <w:color w:val="0000EE"/>
                </w:rPr>
                <w:t>Purchases of Equity Securities</w:t>
              </w:r>
            </w:hyperlink>
          </w:p>
        </w:tc>
        <w:tc>
          <w:tcPr>
            <w:tcW w:w="780" w:type="dxa"/>
            <w:vAlign w:val="bottom"/>
          </w:tcPr>
          <w:p>
            <w:pPr>
              <w:jc w:val="right"/>
              <w:spacing w:after="0" w:line="206" w:lineRule="exact"/>
              <w:rPr>
                <w:sz w:val="20"/>
                <w:szCs w:val="20"/>
                <w:color w:val="auto"/>
              </w:rPr>
            </w:pPr>
            <w:r>
              <w:rPr>
                <w:rFonts w:ascii="Arial" w:cs="Arial" w:eastAsia="Arial" w:hAnsi="Arial"/>
                <w:sz w:val="20"/>
                <w:szCs w:val="20"/>
                <w:color w:val="auto"/>
              </w:rPr>
              <w:t>34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80" w:type="dxa"/>
            <w:vAlign w:val="bottom"/>
            <w:gridSpan w:val="3"/>
          </w:tcPr>
          <w:p>
            <w:pPr>
              <w:jc w:val="right"/>
              <w:spacing w:after="0" w:line="209" w:lineRule="exact"/>
              <w:rPr>
                <w:rFonts w:ascii="Arial" w:cs="Arial" w:eastAsia="Arial" w:hAnsi="Arial"/>
                <w:sz w:val="20"/>
                <w:szCs w:val="20"/>
                <w:color w:val="0000EE"/>
              </w:rPr>
            </w:pPr>
            <w:hyperlink w:anchor="page37">
              <w:r>
                <w:rPr>
                  <w:rFonts w:ascii="Arial" w:cs="Arial" w:eastAsia="Arial" w:hAnsi="Arial"/>
                  <w:sz w:val="20"/>
                  <w:szCs w:val="20"/>
                  <w:color w:val="0000EE"/>
                </w:rPr>
                <w:t>6.</w:t>
              </w:r>
            </w:hyperlink>
          </w:p>
        </w:tc>
        <w:tc>
          <w:tcPr>
            <w:tcW w:w="7900" w:type="dxa"/>
            <w:vAlign w:val="bottom"/>
            <w:gridSpan w:val="14"/>
          </w:tcPr>
          <w:p>
            <w:pPr>
              <w:ind w:left="200"/>
              <w:spacing w:after="0" w:line="209" w:lineRule="exact"/>
              <w:rPr>
                <w:rFonts w:ascii="Arial" w:cs="Arial" w:eastAsia="Arial" w:hAnsi="Arial"/>
                <w:sz w:val="20"/>
                <w:szCs w:val="20"/>
                <w:color w:val="0000EE"/>
              </w:rPr>
            </w:pPr>
            <w:hyperlink w:anchor="page37">
              <w:r>
                <w:rPr>
                  <w:rFonts w:ascii="Arial" w:cs="Arial" w:eastAsia="Arial" w:hAnsi="Arial"/>
                  <w:sz w:val="20"/>
                  <w:szCs w:val="20"/>
                  <w:color w:val="0000EE"/>
                </w:rPr>
                <w:t>Selected Financial Data</w:t>
              </w:r>
            </w:hyperlink>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37</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80" w:type="dxa"/>
            <w:vAlign w:val="bottom"/>
            <w:gridSpan w:val="3"/>
          </w:tcPr>
          <w:p>
            <w:pPr>
              <w:jc w:val="right"/>
              <w:spacing w:after="0" w:line="209" w:lineRule="exact"/>
              <w:rPr>
                <w:sz w:val="20"/>
                <w:szCs w:val="20"/>
                <w:color w:val="auto"/>
              </w:rPr>
            </w:pPr>
            <w:r>
              <w:rPr>
                <w:rFonts w:ascii="Arial" w:cs="Arial" w:eastAsia="Arial" w:hAnsi="Arial"/>
                <w:sz w:val="20"/>
                <w:szCs w:val="20"/>
                <w:color w:val="0000EE"/>
              </w:rPr>
              <w:t>7.</w:t>
            </w:r>
          </w:p>
        </w:tc>
        <w:tc>
          <w:tcPr>
            <w:tcW w:w="7900" w:type="dxa"/>
            <w:vAlign w:val="bottom"/>
            <w:gridSpan w:val="14"/>
          </w:tcPr>
          <w:p>
            <w:pPr>
              <w:ind w:left="200"/>
              <w:spacing w:after="0" w:line="209" w:lineRule="exact"/>
              <w:rPr>
                <w:rFonts w:ascii="Arial" w:cs="Arial" w:eastAsia="Arial" w:hAnsi="Arial"/>
                <w:sz w:val="20"/>
                <w:szCs w:val="20"/>
                <w:color w:val="0000EE"/>
                <w:w w:val="97"/>
              </w:rPr>
            </w:pPr>
            <w:hyperlink w:anchor="page38">
              <w:r>
                <w:rPr>
                  <w:rFonts w:ascii="Arial" w:cs="Arial" w:eastAsia="Arial" w:hAnsi="Arial"/>
                  <w:sz w:val="20"/>
                  <w:szCs w:val="20"/>
                  <w:color w:val="0000EE"/>
                  <w:w w:val="97"/>
                </w:rPr>
                <w:t>Management’s Discussion and Analysis of Financial Condition and Results of Operations</w:t>
              </w:r>
            </w:hyperlink>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38</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80" w:type="dxa"/>
            <w:vAlign w:val="bottom"/>
            <w:gridSpan w:val="3"/>
          </w:tcPr>
          <w:p>
            <w:pPr>
              <w:jc w:val="right"/>
              <w:spacing w:after="0" w:line="209" w:lineRule="exact"/>
              <w:rPr>
                <w:rFonts w:ascii="Arial" w:cs="Arial" w:eastAsia="Arial" w:hAnsi="Arial"/>
                <w:sz w:val="20"/>
                <w:szCs w:val="20"/>
                <w:color w:val="0000EE"/>
                <w:w w:val="86"/>
              </w:rPr>
            </w:pPr>
            <w:hyperlink w:anchor="page62">
              <w:r>
                <w:rPr>
                  <w:rFonts w:ascii="Arial" w:cs="Arial" w:eastAsia="Arial" w:hAnsi="Arial"/>
                  <w:sz w:val="20"/>
                  <w:szCs w:val="20"/>
                  <w:color w:val="0000EE"/>
                  <w:w w:val="86"/>
                </w:rPr>
                <w:t>7A.</w:t>
              </w:r>
            </w:hyperlink>
          </w:p>
        </w:tc>
        <w:tc>
          <w:tcPr>
            <w:tcW w:w="200" w:type="dxa"/>
            <w:vAlign w:val="bottom"/>
          </w:tcPr>
          <w:p>
            <w:pPr>
              <w:spacing w:after="0"/>
              <w:rPr>
                <w:sz w:val="18"/>
                <w:szCs w:val="18"/>
                <w:color w:val="auto"/>
              </w:rPr>
            </w:pPr>
          </w:p>
        </w:tc>
        <w:tc>
          <w:tcPr>
            <w:tcW w:w="7700" w:type="dxa"/>
            <w:vAlign w:val="bottom"/>
            <w:gridSpan w:val="13"/>
          </w:tcPr>
          <w:p>
            <w:pPr>
              <w:spacing w:after="0" w:line="209" w:lineRule="exact"/>
              <w:rPr>
                <w:rFonts w:ascii="Arial" w:cs="Arial" w:eastAsia="Arial" w:hAnsi="Arial"/>
                <w:sz w:val="20"/>
                <w:szCs w:val="20"/>
                <w:color w:val="0000EE"/>
              </w:rPr>
            </w:pPr>
            <w:hyperlink w:anchor="page62">
              <w:r>
                <w:rPr>
                  <w:rFonts w:ascii="Arial" w:cs="Arial" w:eastAsia="Arial" w:hAnsi="Arial"/>
                  <w:sz w:val="20"/>
                  <w:szCs w:val="20"/>
                  <w:color w:val="0000EE"/>
                </w:rPr>
                <w:t>Quantitative and Qualitative Disclosures about Market Risk</w:t>
              </w:r>
            </w:hyperlink>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62</w:t>
            </w:r>
          </w:p>
        </w:tc>
      </w:tr>
      <w:tr>
        <w:trPr>
          <w:trHeight w:val="210"/>
        </w:trPr>
        <w:tc>
          <w:tcPr>
            <w:tcW w:w="280" w:type="dxa"/>
            <w:vAlign w:val="bottom"/>
            <w:tcBorders>
              <w:top w:val="single" w:sz="8" w:color="0000EE"/>
            </w:tcBorders>
            <w:gridSpan w:val="3"/>
          </w:tcPr>
          <w:p>
            <w:pPr>
              <w:jc w:val="right"/>
              <w:spacing w:after="0" w:line="209" w:lineRule="exact"/>
              <w:rPr>
                <w:rFonts w:ascii="Arial" w:cs="Arial" w:eastAsia="Arial" w:hAnsi="Arial"/>
                <w:sz w:val="20"/>
                <w:szCs w:val="20"/>
                <w:color w:val="0000EE"/>
              </w:rPr>
            </w:pPr>
            <w:hyperlink w:anchor="page63">
              <w:r>
                <w:rPr>
                  <w:rFonts w:ascii="Arial" w:cs="Arial" w:eastAsia="Arial" w:hAnsi="Arial"/>
                  <w:sz w:val="20"/>
                  <w:szCs w:val="20"/>
                  <w:color w:val="0000EE"/>
                </w:rPr>
                <w:t>8.</w:t>
              </w:r>
            </w:hyperlink>
          </w:p>
        </w:tc>
        <w:tc>
          <w:tcPr>
            <w:tcW w:w="200" w:type="dxa"/>
            <w:vAlign w:val="bottom"/>
          </w:tcPr>
          <w:p>
            <w:pPr>
              <w:spacing w:after="0"/>
              <w:rPr>
                <w:sz w:val="18"/>
                <w:szCs w:val="18"/>
                <w:color w:val="auto"/>
              </w:rPr>
            </w:pPr>
          </w:p>
        </w:tc>
        <w:tc>
          <w:tcPr>
            <w:tcW w:w="4740" w:type="dxa"/>
            <w:vAlign w:val="bottom"/>
            <w:tcBorders>
              <w:top w:val="single" w:sz="8" w:color="0000EE"/>
            </w:tcBorders>
            <w:gridSpan w:val="10"/>
          </w:tcPr>
          <w:p>
            <w:pPr>
              <w:spacing w:after="0" w:line="209" w:lineRule="exact"/>
              <w:rPr>
                <w:rFonts w:ascii="Arial" w:cs="Arial" w:eastAsia="Arial" w:hAnsi="Arial"/>
                <w:sz w:val="20"/>
                <w:szCs w:val="20"/>
                <w:color w:val="0000EE"/>
              </w:rPr>
            </w:pPr>
            <w:hyperlink w:anchor="page63">
              <w:r>
                <w:rPr>
                  <w:rFonts w:ascii="Arial" w:cs="Arial" w:eastAsia="Arial" w:hAnsi="Arial"/>
                  <w:sz w:val="20"/>
                  <w:szCs w:val="20"/>
                  <w:color w:val="0000EE"/>
                </w:rPr>
                <w:t>Financial Statements and Supplementary Data</w:t>
              </w:r>
            </w:hyperlink>
          </w:p>
        </w:tc>
        <w:tc>
          <w:tcPr>
            <w:tcW w:w="2960" w:type="dxa"/>
            <w:vAlign w:val="bottom"/>
            <w:gridSpan w:val="3"/>
          </w:tcPr>
          <w:p>
            <w:pPr>
              <w:spacing w:after="0"/>
              <w:rPr>
                <w:sz w:val="18"/>
                <w:szCs w:val="18"/>
                <w:color w:val="auto"/>
              </w:rPr>
            </w:pPr>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63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80" w:type="dxa"/>
            <w:vAlign w:val="bottom"/>
            <w:gridSpan w:val="3"/>
          </w:tcPr>
          <w:p>
            <w:pPr>
              <w:jc w:val="right"/>
              <w:spacing w:after="0" w:line="209" w:lineRule="exact"/>
              <w:rPr>
                <w:rFonts w:ascii="Arial" w:cs="Arial" w:eastAsia="Arial" w:hAnsi="Arial"/>
                <w:sz w:val="20"/>
                <w:szCs w:val="20"/>
                <w:color w:val="0000EE"/>
              </w:rPr>
            </w:pPr>
            <w:hyperlink w:anchor="page63">
              <w:r>
                <w:rPr>
                  <w:rFonts w:ascii="Arial" w:cs="Arial" w:eastAsia="Arial" w:hAnsi="Arial"/>
                  <w:sz w:val="20"/>
                  <w:szCs w:val="20"/>
                  <w:color w:val="0000EE"/>
                </w:rPr>
                <w:t>9.</w:t>
              </w:r>
            </w:hyperlink>
          </w:p>
        </w:tc>
        <w:tc>
          <w:tcPr>
            <w:tcW w:w="7900" w:type="dxa"/>
            <w:vAlign w:val="bottom"/>
            <w:gridSpan w:val="14"/>
          </w:tcPr>
          <w:p>
            <w:pPr>
              <w:ind w:left="200"/>
              <w:spacing w:after="0" w:line="209" w:lineRule="exact"/>
              <w:rPr>
                <w:rFonts w:ascii="Arial" w:cs="Arial" w:eastAsia="Arial" w:hAnsi="Arial"/>
                <w:sz w:val="20"/>
                <w:szCs w:val="20"/>
                <w:color w:val="0000EE"/>
                <w:w w:val="96"/>
              </w:rPr>
            </w:pPr>
            <w:hyperlink w:anchor="page63">
              <w:r>
                <w:rPr>
                  <w:rFonts w:ascii="Arial" w:cs="Arial" w:eastAsia="Arial" w:hAnsi="Arial"/>
                  <w:sz w:val="20"/>
                  <w:szCs w:val="20"/>
                  <w:color w:val="0000EE"/>
                  <w:w w:val="96"/>
                </w:rPr>
                <w:t>Changes in and Disagreements with Accountants on Accounting and Financial Disclosure</w:t>
              </w:r>
            </w:hyperlink>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63</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80" w:type="dxa"/>
            <w:vAlign w:val="bottom"/>
            <w:tcBorders>
              <w:bottom w:val="single" w:sz="8" w:color="0000EE"/>
            </w:tcBorders>
            <w:gridSpan w:val="3"/>
          </w:tcPr>
          <w:p>
            <w:pPr>
              <w:jc w:val="right"/>
              <w:spacing w:after="0" w:line="209" w:lineRule="exact"/>
              <w:rPr>
                <w:rFonts w:ascii="Arial" w:cs="Arial" w:eastAsia="Arial" w:hAnsi="Arial"/>
                <w:sz w:val="20"/>
                <w:szCs w:val="20"/>
                <w:color w:val="0000EE"/>
                <w:w w:val="86"/>
              </w:rPr>
            </w:pPr>
            <w:hyperlink w:anchor="page63">
              <w:r>
                <w:rPr>
                  <w:rFonts w:ascii="Arial" w:cs="Arial" w:eastAsia="Arial" w:hAnsi="Arial"/>
                  <w:sz w:val="20"/>
                  <w:szCs w:val="20"/>
                  <w:color w:val="0000EE"/>
                  <w:w w:val="86"/>
                </w:rPr>
                <w:t>9A.</w:t>
              </w:r>
            </w:hyperlink>
          </w:p>
        </w:tc>
        <w:tc>
          <w:tcPr>
            <w:tcW w:w="200" w:type="dxa"/>
            <w:vAlign w:val="bottom"/>
          </w:tcPr>
          <w:p>
            <w:pPr>
              <w:spacing w:after="0"/>
              <w:rPr>
                <w:sz w:val="18"/>
                <w:szCs w:val="18"/>
                <w:color w:val="auto"/>
              </w:rPr>
            </w:pPr>
          </w:p>
        </w:tc>
        <w:tc>
          <w:tcPr>
            <w:tcW w:w="1980" w:type="dxa"/>
            <w:vAlign w:val="bottom"/>
            <w:tcBorders>
              <w:bottom w:val="single" w:sz="8" w:color="0000EE"/>
            </w:tcBorders>
            <w:gridSpan w:val="4"/>
          </w:tcPr>
          <w:p>
            <w:pPr>
              <w:spacing w:after="0" w:line="209" w:lineRule="exact"/>
              <w:rPr>
                <w:rFonts w:ascii="Arial" w:cs="Arial" w:eastAsia="Arial" w:hAnsi="Arial"/>
                <w:sz w:val="20"/>
                <w:szCs w:val="20"/>
                <w:color w:val="0000EE"/>
                <w:w w:val="87"/>
              </w:rPr>
            </w:pPr>
            <w:hyperlink w:anchor="page63">
              <w:r>
                <w:rPr>
                  <w:rFonts w:ascii="Arial" w:cs="Arial" w:eastAsia="Arial" w:hAnsi="Arial"/>
                  <w:sz w:val="20"/>
                  <w:szCs w:val="20"/>
                  <w:color w:val="0000EE"/>
                  <w:w w:val="87"/>
                </w:rPr>
                <w:t>Controls and Procedures</w:t>
              </w:r>
            </w:hyperlink>
          </w:p>
        </w:tc>
        <w:tc>
          <w:tcPr>
            <w:tcW w:w="5720" w:type="dxa"/>
            <w:vAlign w:val="bottom"/>
            <w:gridSpan w:val="9"/>
          </w:tcPr>
          <w:p>
            <w:pPr>
              <w:spacing w:after="0"/>
              <w:rPr>
                <w:sz w:val="18"/>
                <w:szCs w:val="18"/>
                <w:color w:val="auto"/>
              </w:rPr>
            </w:pPr>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63</w:t>
            </w:r>
          </w:p>
        </w:tc>
      </w:tr>
      <w:tr>
        <w:trPr>
          <w:trHeight w:val="210"/>
        </w:trPr>
        <w:tc>
          <w:tcPr>
            <w:tcW w:w="280" w:type="dxa"/>
            <w:vAlign w:val="bottom"/>
            <w:gridSpan w:val="3"/>
          </w:tcPr>
          <w:p>
            <w:pPr>
              <w:jc w:val="right"/>
              <w:spacing w:after="0" w:line="209" w:lineRule="exact"/>
              <w:rPr>
                <w:rFonts w:ascii="Arial" w:cs="Arial" w:eastAsia="Arial" w:hAnsi="Arial"/>
                <w:sz w:val="20"/>
                <w:szCs w:val="20"/>
                <w:color w:val="0000EE"/>
                <w:w w:val="86"/>
              </w:rPr>
            </w:pPr>
            <w:hyperlink w:anchor="page66">
              <w:r>
                <w:rPr>
                  <w:rFonts w:ascii="Arial" w:cs="Arial" w:eastAsia="Arial" w:hAnsi="Arial"/>
                  <w:sz w:val="20"/>
                  <w:szCs w:val="20"/>
                  <w:color w:val="0000EE"/>
                  <w:w w:val="86"/>
                </w:rPr>
                <w:t>9B.</w:t>
              </w:r>
            </w:hyperlink>
          </w:p>
        </w:tc>
        <w:tc>
          <w:tcPr>
            <w:tcW w:w="7900" w:type="dxa"/>
            <w:vAlign w:val="bottom"/>
            <w:gridSpan w:val="14"/>
          </w:tcPr>
          <w:p>
            <w:pPr>
              <w:ind w:left="200"/>
              <w:spacing w:after="0" w:line="209" w:lineRule="exact"/>
              <w:rPr>
                <w:rFonts w:ascii="Arial" w:cs="Arial" w:eastAsia="Arial" w:hAnsi="Arial"/>
                <w:sz w:val="20"/>
                <w:szCs w:val="20"/>
                <w:color w:val="0000EE"/>
              </w:rPr>
            </w:pPr>
            <w:hyperlink w:anchor="page66">
              <w:r>
                <w:rPr>
                  <w:rFonts w:ascii="Arial" w:cs="Arial" w:eastAsia="Arial" w:hAnsi="Arial"/>
                  <w:sz w:val="20"/>
                  <w:szCs w:val="20"/>
                  <w:color w:val="0000EE"/>
                </w:rPr>
                <w:t>Other Information</w:t>
              </w:r>
            </w:hyperlink>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66</w:t>
            </w:r>
          </w:p>
        </w:tc>
      </w:tr>
      <w:tr>
        <w:trPr>
          <w:trHeight w:val="439"/>
        </w:trPr>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Borders>
              <w:bottom w:val="single" w:sz="8" w:color="0000EE"/>
            </w:tcBorders>
            <w:gridSpan w:val="2"/>
          </w:tcPr>
          <w:p>
            <w:pPr>
              <w:spacing w:after="0"/>
              <w:rPr>
                <w:rFonts w:ascii="Arial" w:cs="Arial" w:eastAsia="Arial" w:hAnsi="Arial"/>
                <w:sz w:val="20"/>
                <w:szCs w:val="20"/>
                <w:b w:val="1"/>
                <w:bCs w:val="1"/>
                <w:color w:val="0000EE"/>
              </w:rPr>
            </w:pPr>
            <w:hyperlink w:anchor="page66">
              <w:r>
                <w:rPr>
                  <w:rFonts w:ascii="Arial" w:cs="Arial" w:eastAsia="Arial" w:hAnsi="Arial"/>
                  <w:sz w:val="20"/>
                  <w:szCs w:val="20"/>
                  <w:b w:val="1"/>
                  <w:bCs w:val="1"/>
                  <w:color w:val="0000EE"/>
                </w:rPr>
                <w:t>PART III</w:t>
              </w:r>
            </w:hyperlink>
          </w:p>
        </w:tc>
        <w:tc>
          <w:tcPr>
            <w:tcW w:w="34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439"/>
        </w:trPr>
        <w:tc>
          <w:tcPr>
            <w:tcW w:w="280" w:type="dxa"/>
            <w:vAlign w:val="bottom"/>
            <w:gridSpan w:val="3"/>
          </w:tcPr>
          <w:p>
            <w:pPr>
              <w:jc w:val="right"/>
              <w:spacing w:after="0"/>
              <w:rPr>
                <w:rFonts w:ascii="Arial" w:cs="Arial" w:eastAsia="Arial" w:hAnsi="Arial"/>
                <w:sz w:val="20"/>
                <w:szCs w:val="20"/>
                <w:color w:val="0000EE"/>
                <w:w w:val="93"/>
              </w:rPr>
            </w:pPr>
            <w:hyperlink w:anchor="page66">
              <w:r>
                <w:rPr>
                  <w:rFonts w:ascii="Arial" w:cs="Arial" w:eastAsia="Arial" w:hAnsi="Arial"/>
                  <w:sz w:val="20"/>
                  <w:szCs w:val="20"/>
                  <w:color w:val="0000EE"/>
                  <w:w w:val="93"/>
                </w:rPr>
                <w:t>10.</w:t>
              </w:r>
            </w:hyperlink>
          </w:p>
        </w:tc>
        <w:tc>
          <w:tcPr>
            <w:tcW w:w="7900" w:type="dxa"/>
            <w:vAlign w:val="bottom"/>
            <w:gridSpan w:val="14"/>
          </w:tcPr>
          <w:p>
            <w:pPr>
              <w:ind w:left="200"/>
              <w:spacing w:after="0"/>
              <w:rPr>
                <w:rFonts w:ascii="Arial" w:cs="Arial" w:eastAsia="Arial" w:hAnsi="Arial"/>
                <w:sz w:val="20"/>
                <w:szCs w:val="20"/>
                <w:color w:val="0000EE"/>
              </w:rPr>
            </w:pPr>
            <w:hyperlink w:anchor="page66">
              <w:r>
                <w:rPr>
                  <w:rFonts w:ascii="Arial" w:cs="Arial" w:eastAsia="Arial" w:hAnsi="Arial"/>
                  <w:sz w:val="20"/>
                  <w:szCs w:val="20"/>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10"/>
        </w:trPr>
        <w:tc>
          <w:tcPr>
            <w:tcW w:w="40" w:type="dxa"/>
            <w:vAlign w:val="bottom"/>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rFonts w:ascii="Arial" w:cs="Arial" w:eastAsia="Arial" w:hAnsi="Arial"/>
                <w:sz w:val="20"/>
                <w:szCs w:val="20"/>
                <w:color w:val="0000EE"/>
                <w:w w:val="78"/>
              </w:rPr>
            </w:pPr>
            <w:hyperlink w:anchor="page66">
              <w:r>
                <w:rPr>
                  <w:rFonts w:ascii="Arial" w:cs="Arial" w:eastAsia="Arial" w:hAnsi="Arial"/>
                  <w:sz w:val="20"/>
                  <w:szCs w:val="20"/>
                  <w:color w:val="0000EE"/>
                  <w:w w:val="78"/>
                </w:rPr>
                <w:t>11.</w:t>
              </w:r>
            </w:hyperlink>
          </w:p>
        </w:tc>
        <w:tc>
          <w:tcPr>
            <w:tcW w:w="200" w:type="dxa"/>
            <w:vAlign w:val="bottom"/>
          </w:tcPr>
          <w:p>
            <w:pPr>
              <w:spacing w:after="0"/>
              <w:rPr>
                <w:sz w:val="18"/>
                <w:szCs w:val="18"/>
                <w:color w:val="auto"/>
              </w:rPr>
            </w:pPr>
          </w:p>
        </w:tc>
        <w:tc>
          <w:tcPr>
            <w:tcW w:w="4500" w:type="dxa"/>
            <w:vAlign w:val="bottom"/>
            <w:tcBorders>
              <w:top w:val="single" w:sz="8" w:color="0000EE"/>
            </w:tcBorders>
            <w:gridSpan w:val="9"/>
          </w:tcPr>
          <w:p>
            <w:pPr>
              <w:spacing w:after="0" w:line="209" w:lineRule="exact"/>
              <w:rPr>
                <w:rFonts w:ascii="Arial" w:cs="Arial" w:eastAsia="Arial" w:hAnsi="Arial"/>
                <w:sz w:val="20"/>
                <w:szCs w:val="20"/>
                <w:color w:val="0000EE"/>
              </w:rPr>
            </w:pPr>
            <w:hyperlink w:anchor="page66">
              <w:r>
                <w:rPr>
                  <w:rFonts w:ascii="Arial" w:cs="Arial" w:eastAsia="Arial" w:hAnsi="Arial"/>
                  <w:sz w:val="20"/>
                  <w:szCs w:val="20"/>
                  <w:color w:val="0000EE"/>
                </w:rPr>
                <w:t>Executive Compensation</w:t>
              </w:r>
            </w:hyperlink>
          </w:p>
        </w:tc>
        <w:tc>
          <w:tcPr>
            <w:tcW w:w="3200" w:type="dxa"/>
            <w:vAlign w:val="bottom"/>
            <w:gridSpan w:val="4"/>
          </w:tcPr>
          <w:p>
            <w:pPr>
              <w:spacing w:after="0"/>
              <w:rPr>
                <w:sz w:val="18"/>
                <w:szCs w:val="18"/>
                <w:color w:val="auto"/>
              </w:rPr>
            </w:pPr>
          </w:p>
        </w:tc>
        <w:tc>
          <w:tcPr>
            <w:tcW w:w="780" w:type="dxa"/>
            <w:vAlign w:val="bottom"/>
          </w:tcPr>
          <w:p>
            <w:pPr>
              <w:jc w:val="right"/>
              <w:spacing w:after="0" w:line="209" w:lineRule="exact"/>
              <w:rPr>
                <w:sz w:val="20"/>
                <w:szCs w:val="20"/>
                <w:color w:val="auto"/>
              </w:rPr>
            </w:pPr>
            <w:r>
              <w:rPr>
                <w:rFonts w:ascii="Arial" w:cs="Arial" w:eastAsia="Arial" w:hAnsi="Arial"/>
                <w:sz w:val="20"/>
                <w:szCs w:val="20"/>
                <w:color w:val="auto"/>
              </w:rPr>
              <w:t>66</w:t>
            </w: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0" w:lineRule="exact"/>
        <w:rPr>
          <w:sz w:val="20"/>
          <w:szCs w:val="20"/>
          <w:color w:val="auto"/>
        </w:rPr>
      </w:pPr>
    </w:p>
    <w:p>
      <w:pPr>
        <w:ind w:left="1020" w:hanging="445"/>
        <w:spacing w:after="0"/>
        <w:tabs>
          <w:tab w:leader="none" w:pos="1020" w:val="left"/>
        </w:tabs>
        <w:numPr>
          <w:ilvl w:val="0"/>
          <w:numId w:val="5"/>
        </w:numPr>
        <w:rPr>
          <w:rFonts w:ascii="Arial" w:cs="Arial" w:eastAsia="Arial" w:hAnsi="Arial"/>
          <w:sz w:val="20"/>
          <w:szCs w:val="20"/>
          <w:u w:val="single" w:color="auto"/>
          <w:color w:val="0000EE"/>
        </w:rPr>
      </w:pPr>
      <w:hyperlink w:anchor="page66">
        <w:r>
          <w:rPr>
            <w:rFonts w:ascii="Arial" w:cs="Arial" w:eastAsia="Arial" w:hAnsi="Arial"/>
            <w:sz w:val="20"/>
            <w:szCs w:val="20"/>
            <w:u w:val="single" w:color="auto"/>
            <w:color w:val="0000EE"/>
          </w:rPr>
          <w:t>Security Ownership of Certain Beneficial Owners and Management and Related Stockholder</w:t>
        </w:r>
      </w:hyperlink>
    </w:p>
    <w:tbl>
      <w:tblPr>
        <w:tblLayout w:type="fixed"/>
        <w:tblInd w:w="58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0000EE"/>
            </w:tcBorders>
          </w:tcPr>
          <w:p>
            <w:pPr>
              <w:spacing w:after="0" w:line="206" w:lineRule="exact"/>
              <w:rPr>
                <w:rFonts w:ascii="Arial" w:cs="Arial" w:eastAsia="Arial" w:hAnsi="Arial"/>
                <w:sz w:val="20"/>
                <w:szCs w:val="20"/>
                <w:color w:val="0000EE"/>
                <w:w w:val="86"/>
              </w:rPr>
            </w:pPr>
            <w:hyperlink w:anchor="page66">
              <w:r>
                <w:rPr>
                  <w:rFonts w:ascii="Arial" w:cs="Arial" w:eastAsia="Arial" w:hAnsi="Arial"/>
                  <w:sz w:val="20"/>
                  <w:szCs w:val="20"/>
                  <w:color w:val="0000EE"/>
                  <w:w w:val="86"/>
                </w:rPr>
                <w:t>Matters</w:t>
              </w:r>
            </w:hyperlink>
          </w:p>
        </w:tc>
        <w:tc>
          <w:tcPr>
            <w:tcW w:w="6400" w:type="dxa"/>
            <w:vAlign w:val="bottom"/>
            <w:gridSpan w:val="8"/>
          </w:tcPr>
          <w:p>
            <w:pPr>
              <w:spacing w:after="0"/>
              <w:rPr>
                <w:sz w:val="17"/>
                <w:szCs w:val="17"/>
                <w:color w:val="auto"/>
              </w:rPr>
            </w:pPr>
          </w:p>
        </w:tc>
        <w:tc>
          <w:tcPr>
            <w:tcW w:w="1340" w:type="dxa"/>
            <w:vAlign w:val="bottom"/>
          </w:tcPr>
          <w:p>
            <w:pPr>
              <w:jc w:val="right"/>
              <w:spacing w:after="0" w:line="206" w:lineRule="exact"/>
              <w:rPr>
                <w:sz w:val="20"/>
                <w:szCs w:val="20"/>
                <w:color w:val="auto"/>
              </w:rPr>
            </w:pPr>
            <w:r>
              <w:rPr>
                <w:rFonts w:ascii="Arial" w:cs="Arial" w:eastAsia="Arial" w:hAnsi="Arial"/>
                <w:sz w:val="20"/>
                <w:szCs w:val="20"/>
                <w:color w:val="auto"/>
              </w:rPr>
              <w:t>66</w:t>
            </w:r>
          </w:p>
        </w:tc>
      </w:tr>
      <w:tr>
        <w:trPr>
          <w:trHeight w:val="210"/>
        </w:trPr>
        <w:tc>
          <w:tcPr>
            <w:tcW w:w="240" w:type="dxa"/>
            <w:vAlign w:val="bottom"/>
            <w:tcBorders>
              <w:bottom w:val="single" w:sz="8" w:color="0000EE"/>
            </w:tcBorders>
          </w:tcPr>
          <w:p>
            <w:pPr>
              <w:jc w:val="right"/>
              <w:spacing w:after="0" w:line="209" w:lineRule="exact"/>
              <w:rPr>
                <w:rFonts w:ascii="Arial" w:cs="Arial" w:eastAsia="Arial" w:hAnsi="Arial"/>
                <w:sz w:val="20"/>
                <w:szCs w:val="20"/>
                <w:color w:val="0000EE"/>
                <w:w w:val="78"/>
              </w:rPr>
            </w:pPr>
            <w:hyperlink w:anchor="page67">
              <w:r>
                <w:rPr>
                  <w:rFonts w:ascii="Arial" w:cs="Arial" w:eastAsia="Arial" w:hAnsi="Arial"/>
                  <w:sz w:val="20"/>
                  <w:szCs w:val="20"/>
                  <w:color w:val="0000EE"/>
                  <w:w w:val="78"/>
                </w:rPr>
                <w:t>13.</w:t>
              </w:r>
            </w:hyperlink>
          </w:p>
        </w:tc>
        <w:tc>
          <w:tcPr>
            <w:tcW w:w="200" w:type="dxa"/>
            <w:vAlign w:val="bottom"/>
          </w:tcPr>
          <w:p>
            <w:pPr>
              <w:spacing w:after="0"/>
              <w:rPr>
                <w:sz w:val="18"/>
                <w:szCs w:val="18"/>
                <w:color w:val="auto"/>
              </w:rPr>
            </w:pPr>
          </w:p>
        </w:tc>
        <w:tc>
          <w:tcPr>
            <w:tcW w:w="6000" w:type="dxa"/>
            <w:vAlign w:val="bottom"/>
            <w:tcBorders>
              <w:bottom w:val="single" w:sz="8" w:color="0000EE"/>
            </w:tcBorders>
            <w:gridSpan w:val="9"/>
          </w:tcPr>
          <w:p>
            <w:pPr>
              <w:spacing w:after="0" w:line="209" w:lineRule="exact"/>
              <w:rPr>
                <w:rFonts w:ascii="Arial" w:cs="Arial" w:eastAsia="Arial" w:hAnsi="Arial"/>
                <w:sz w:val="20"/>
                <w:szCs w:val="20"/>
                <w:color w:val="0000EE"/>
                <w:w w:val="88"/>
              </w:rPr>
            </w:pPr>
            <w:hyperlink w:anchor="page67">
              <w:r>
                <w:rPr>
                  <w:rFonts w:ascii="Arial" w:cs="Arial" w:eastAsia="Arial" w:hAnsi="Arial"/>
                  <w:sz w:val="20"/>
                  <w:szCs w:val="20"/>
                  <w:color w:val="0000EE"/>
                  <w:w w:val="88"/>
                </w:rPr>
                <w:t>Certain Relationships and Related Transactions, and Director Independence</w:t>
              </w:r>
            </w:hyperlink>
          </w:p>
        </w:tc>
        <w:tc>
          <w:tcPr>
            <w:tcW w:w="1140" w:type="dxa"/>
            <w:vAlign w:val="bottom"/>
          </w:tcPr>
          <w:p>
            <w:pPr>
              <w:spacing w:after="0"/>
              <w:rPr>
                <w:sz w:val="18"/>
                <w:szCs w:val="18"/>
                <w:color w:val="auto"/>
              </w:rPr>
            </w:pPr>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67</w:t>
            </w:r>
          </w:p>
        </w:tc>
      </w:tr>
      <w:tr>
        <w:trPr>
          <w:trHeight w:val="210"/>
        </w:trPr>
        <w:tc>
          <w:tcPr>
            <w:tcW w:w="240" w:type="dxa"/>
            <w:vAlign w:val="bottom"/>
          </w:tcPr>
          <w:p>
            <w:pPr>
              <w:jc w:val="right"/>
              <w:spacing w:after="0" w:line="209" w:lineRule="exact"/>
              <w:rPr>
                <w:rFonts w:ascii="Arial" w:cs="Arial" w:eastAsia="Arial" w:hAnsi="Arial"/>
                <w:sz w:val="20"/>
                <w:szCs w:val="20"/>
                <w:color w:val="0000EE"/>
                <w:w w:val="78"/>
              </w:rPr>
            </w:pPr>
            <w:hyperlink w:anchor="page67">
              <w:r>
                <w:rPr>
                  <w:rFonts w:ascii="Arial" w:cs="Arial" w:eastAsia="Arial" w:hAnsi="Arial"/>
                  <w:sz w:val="20"/>
                  <w:szCs w:val="20"/>
                  <w:color w:val="0000EE"/>
                  <w:w w:val="78"/>
                </w:rPr>
                <w:t>14.</w:t>
              </w:r>
            </w:hyperlink>
          </w:p>
        </w:tc>
        <w:tc>
          <w:tcPr>
            <w:tcW w:w="200" w:type="dxa"/>
            <w:vAlign w:val="bottom"/>
          </w:tcPr>
          <w:p>
            <w:pPr>
              <w:spacing w:after="0"/>
              <w:rPr>
                <w:sz w:val="18"/>
                <w:szCs w:val="18"/>
                <w:color w:val="auto"/>
              </w:rPr>
            </w:pPr>
          </w:p>
        </w:tc>
        <w:tc>
          <w:tcPr>
            <w:tcW w:w="7140" w:type="dxa"/>
            <w:vAlign w:val="bottom"/>
            <w:gridSpan w:val="10"/>
          </w:tcPr>
          <w:p>
            <w:pPr>
              <w:spacing w:after="0" w:line="209" w:lineRule="exact"/>
              <w:rPr>
                <w:rFonts w:ascii="Arial" w:cs="Arial" w:eastAsia="Arial" w:hAnsi="Arial"/>
                <w:sz w:val="20"/>
                <w:szCs w:val="20"/>
                <w:color w:val="0000EE"/>
              </w:rPr>
            </w:pPr>
            <w:hyperlink w:anchor="page67">
              <w:r>
                <w:rPr>
                  <w:rFonts w:ascii="Arial" w:cs="Arial" w:eastAsia="Arial" w:hAnsi="Arial"/>
                  <w:sz w:val="20"/>
                  <w:szCs w:val="20"/>
                  <w:color w:val="0000EE"/>
                </w:rPr>
                <w:t>Principal Accounting Fees and Services</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67</w:t>
            </w:r>
          </w:p>
        </w:tc>
      </w:tr>
      <w:tr>
        <w:trPr>
          <w:trHeight w:val="439"/>
        </w:trPr>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0000EE"/>
            </w:tcBorders>
            <w:gridSpan w:val="2"/>
          </w:tcPr>
          <w:p>
            <w:pPr>
              <w:spacing w:after="0"/>
              <w:rPr>
                <w:rFonts w:ascii="Arial" w:cs="Arial" w:eastAsia="Arial" w:hAnsi="Arial"/>
                <w:sz w:val="20"/>
                <w:szCs w:val="20"/>
                <w:b w:val="1"/>
                <w:bCs w:val="1"/>
                <w:color w:val="0000EE"/>
                <w:w w:val="98"/>
              </w:rPr>
            </w:pPr>
            <w:hyperlink w:anchor="page67">
              <w:r>
                <w:rPr>
                  <w:rFonts w:ascii="Arial" w:cs="Arial" w:eastAsia="Arial" w:hAnsi="Arial"/>
                  <w:sz w:val="20"/>
                  <w:szCs w:val="20"/>
                  <w:b w:val="1"/>
                  <w:bCs w:val="1"/>
                  <w:color w:val="0000EE"/>
                  <w:w w:val="98"/>
                </w:rPr>
                <w:t>PART IV</w:t>
              </w:r>
            </w:hyperlink>
          </w:p>
        </w:tc>
        <w:tc>
          <w:tcPr>
            <w:tcW w:w="2880" w:type="dxa"/>
            <w:vAlign w:val="bottom"/>
            <w:gridSpan w:val="2"/>
          </w:tcPr>
          <w:p>
            <w:pPr>
              <w:spacing w:after="0"/>
              <w:rPr>
                <w:sz w:val="24"/>
                <w:szCs w:val="24"/>
                <w:color w:val="auto"/>
              </w:rPr>
            </w:pPr>
          </w:p>
        </w:tc>
        <w:tc>
          <w:tcPr>
            <w:tcW w:w="1340" w:type="dxa"/>
            <w:vAlign w:val="bottom"/>
          </w:tcPr>
          <w:p>
            <w:pPr>
              <w:spacing w:after="0"/>
              <w:rPr>
                <w:sz w:val="24"/>
                <w:szCs w:val="24"/>
                <w:color w:val="auto"/>
              </w:rPr>
            </w:pPr>
          </w:p>
        </w:tc>
      </w:tr>
      <w:tr>
        <w:trPr>
          <w:trHeight w:val="439"/>
        </w:trPr>
        <w:tc>
          <w:tcPr>
            <w:tcW w:w="240" w:type="dxa"/>
            <w:vAlign w:val="bottom"/>
            <w:tcBorders>
              <w:bottom w:val="single" w:sz="8" w:color="0000EE"/>
            </w:tcBorders>
          </w:tcPr>
          <w:p>
            <w:pPr>
              <w:jc w:val="right"/>
              <w:spacing w:after="0"/>
              <w:rPr>
                <w:rFonts w:ascii="Arial" w:cs="Arial" w:eastAsia="Arial" w:hAnsi="Arial"/>
                <w:sz w:val="20"/>
                <w:szCs w:val="20"/>
                <w:color w:val="0000EE"/>
                <w:w w:val="78"/>
              </w:rPr>
            </w:pPr>
            <w:hyperlink w:anchor="page67">
              <w:r>
                <w:rPr>
                  <w:rFonts w:ascii="Arial" w:cs="Arial" w:eastAsia="Arial" w:hAnsi="Arial"/>
                  <w:sz w:val="20"/>
                  <w:szCs w:val="20"/>
                  <w:color w:val="0000EE"/>
                  <w:w w:val="78"/>
                </w:rPr>
                <w:t>15.</w:t>
              </w:r>
            </w:hyperlink>
          </w:p>
        </w:tc>
        <w:tc>
          <w:tcPr>
            <w:tcW w:w="200" w:type="dxa"/>
            <w:vAlign w:val="bottom"/>
          </w:tcPr>
          <w:p>
            <w:pPr>
              <w:spacing w:after="0"/>
              <w:rPr>
                <w:sz w:val="24"/>
                <w:szCs w:val="24"/>
                <w:color w:val="auto"/>
              </w:rPr>
            </w:pPr>
          </w:p>
        </w:tc>
        <w:tc>
          <w:tcPr>
            <w:tcW w:w="3480" w:type="dxa"/>
            <w:vAlign w:val="bottom"/>
            <w:tcBorders>
              <w:bottom w:val="single" w:sz="8" w:color="0000EE"/>
            </w:tcBorders>
            <w:gridSpan w:val="7"/>
          </w:tcPr>
          <w:p>
            <w:pPr>
              <w:spacing w:after="0"/>
              <w:rPr>
                <w:rFonts w:ascii="Arial" w:cs="Arial" w:eastAsia="Arial" w:hAnsi="Arial"/>
                <w:sz w:val="20"/>
                <w:szCs w:val="20"/>
                <w:color w:val="0000EE"/>
                <w:w w:val="88"/>
              </w:rPr>
            </w:pPr>
            <w:hyperlink w:anchor="page67">
              <w:r>
                <w:rPr>
                  <w:rFonts w:ascii="Arial" w:cs="Arial" w:eastAsia="Arial" w:hAnsi="Arial"/>
                  <w:sz w:val="20"/>
                  <w:szCs w:val="20"/>
                  <w:color w:val="0000EE"/>
                  <w:w w:val="88"/>
                </w:rPr>
                <w:t>Exhibits and Financial Statement Schedules</w:t>
              </w:r>
            </w:hyperlink>
          </w:p>
        </w:tc>
        <w:tc>
          <w:tcPr>
            <w:tcW w:w="3660" w:type="dxa"/>
            <w:vAlign w:val="bottom"/>
            <w:gridSpan w:val="3"/>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10"/>
        </w:trPr>
        <w:tc>
          <w:tcPr>
            <w:tcW w:w="240" w:type="dxa"/>
            <w:vAlign w:val="bottom"/>
          </w:tcPr>
          <w:p>
            <w:pPr>
              <w:jc w:val="right"/>
              <w:spacing w:after="0" w:line="209" w:lineRule="exact"/>
              <w:rPr>
                <w:rFonts w:ascii="Arial" w:cs="Arial" w:eastAsia="Arial" w:hAnsi="Arial"/>
                <w:sz w:val="20"/>
                <w:szCs w:val="20"/>
                <w:color w:val="0000EE"/>
                <w:w w:val="78"/>
              </w:rPr>
            </w:pPr>
            <w:hyperlink w:anchor="page67">
              <w:r>
                <w:rPr>
                  <w:rFonts w:ascii="Arial" w:cs="Arial" w:eastAsia="Arial" w:hAnsi="Arial"/>
                  <w:sz w:val="20"/>
                  <w:szCs w:val="20"/>
                  <w:color w:val="0000EE"/>
                  <w:w w:val="78"/>
                </w:rPr>
                <w:t>16.</w:t>
              </w:r>
            </w:hyperlink>
          </w:p>
        </w:tc>
        <w:tc>
          <w:tcPr>
            <w:tcW w:w="200" w:type="dxa"/>
            <w:vAlign w:val="bottom"/>
          </w:tcPr>
          <w:p>
            <w:pPr>
              <w:spacing w:after="0"/>
              <w:rPr>
                <w:sz w:val="18"/>
                <w:szCs w:val="18"/>
                <w:color w:val="auto"/>
              </w:rPr>
            </w:pPr>
          </w:p>
        </w:tc>
        <w:tc>
          <w:tcPr>
            <w:tcW w:w="7140" w:type="dxa"/>
            <w:vAlign w:val="bottom"/>
            <w:gridSpan w:val="10"/>
          </w:tcPr>
          <w:p>
            <w:pPr>
              <w:spacing w:after="0" w:line="209" w:lineRule="exact"/>
              <w:rPr>
                <w:rFonts w:ascii="Arial" w:cs="Arial" w:eastAsia="Arial" w:hAnsi="Arial"/>
                <w:sz w:val="20"/>
                <w:szCs w:val="20"/>
                <w:color w:val="0000EE"/>
              </w:rPr>
            </w:pPr>
            <w:hyperlink w:anchor="page67">
              <w:r>
                <w:rPr>
                  <w:rFonts w:ascii="Arial" w:cs="Arial" w:eastAsia="Arial" w:hAnsi="Arial"/>
                  <w:sz w:val="20"/>
                  <w:szCs w:val="20"/>
                  <w:color w:val="0000EE"/>
                </w:rPr>
                <w:t>Form 10-K Summary</w:t>
              </w:r>
            </w:hyperlink>
          </w:p>
        </w:tc>
        <w:tc>
          <w:tcPr>
            <w:tcW w:w="1340" w:type="dxa"/>
            <w:vAlign w:val="bottom"/>
          </w:tcPr>
          <w:p>
            <w:pPr>
              <w:jc w:val="right"/>
              <w:spacing w:after="0" w:line="209" w:lineRule="exact"/>
              <w:rPr>
                <w:sz w:val="20"/>
                <w:szCs w:val="20"/>
                <w:color w:val="auto"/>
              </w:rPr>
            </w:pPr>
            <w:r>
              <w:rPr>
                <w:rFonts w:ascii="Arial" w:cs="Arial" w:eastAsia="Arial" w:hAnsi="Arial"/>
                <w:sz w:val="20"/>
                <w:szCs w:val="20"/>
                <w:color w:val="auto"/>
              </w:rPr>
              <w:t>67</w:t>
            </w:r>
          </w:p>
        </w:tc>
      </w:tr>
      <w:tr>
        <w:trPr>
          <w:trHeight w:val="439"/>
        </w:trPr>
        <w:tc>
          <w:tcPr>
            <w:tcW w:w="2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0000EE"/>
              <w:bottom w:val="single" w:sz="8" w:color="0000EE"/>
            </w:tcBorders>
            <w:gridSpan w:val="3"/>
          </w:tcPr>
          <w:p>
            <w:pPr>
              <w:spacing w:after="0"/>
              <w:rPr>
                <w:rFonts w:ascii="Arial" w:cs="Arial" w:eastAsia="Arial" w:hAnsi="Arial"/>
                <w:sz w:val="20"/>
                <w:szCs w:val="20"/>
                <w:color w:val="0000EE"/>
                <w:w w:val="85"/>
              </w:rPr>
            </w:pPr>
            <w:hyperlink w:anchor="page70">
              <w:r>
                <w:rPr>
                  <w:rFonts w:ascii="Arial" w:cs="Arial" w:eastAsia="Arial" w:hAnsi="Arial"/>
                  <w:sz w:val="20"/>
                  <w:szCs w:val="20"/>
                  <w:color w:val="0000EE"/>
                  <w:w w:val="85"/>
                </w:rPr>
                <w:t>Signatures</w:t>
              </w:r>
            </w:hyperlink>
          </w:p>
        </w:tc>
        <w:tc>
          <w:tcPr>
            <w:tcW w:w="860" w:type="dxa"/>
            <w:vAlign w:val="bottom"/>
            <w:tcBorders>
              <w:top w:val="single" w:sz="8" w:color="0000EE"/>
            </w:tcBorders>
          </w:tcPr>
          <w:p>
            <w:pPr>
              <w:spacing w:after="0"/>
              <w:rPr>
                <w:sz w:val="24"/>
                <w:szCs w:val="24"/>
                <w:color w:val="auto"/>
              </w:rPr>
            </w:pPr>
          </w:p>
        </w:tc>
        <w:tc>
          <w:tcPr>
            <w:tcW w:w="5440" w:type="dxa"/>
            <w:vAlign w:val="bottom"/>
            <w:gridSpan w:val="6"/>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80"/>
          </w:cols>
          <w:pgMar w:left="920" w:top="517" w:right="999" w:bottom="1440" w:gutter="0" w:footer="0" w:header="0"/>
        </w:sectPr>
      </w:pPr>
    </w:p>
    <w:bookmarkStart w:id="2" w:name="page3"/>
    <w:bookmarkEnd w:id="2"/>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16" w:lineRule="exact"/>
        <w:rPr>
          <w:sz w:val="20"/>
          <w:szCs w:val="20"/>
          <w:color w:val="auto"/>
        </w:rPr>
      </w:pPr>
    </w:p>
    <w:p>
      <w:pPr>
        <w:ind w:left="1"/>
        <w:spacing w:after="0"/>
        <w:tabs>
          <w:tab w:leader="none" w:pos="1241"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22"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 concentrates for energy drink beverages, primarily under the following brand names:</w:t>
      </w:r>
    </w:p>
    <w:p>
      <w:pPr>
        <w:spacing w:after="0" w:line="177" w:lineRule="exact"/>
        <w:rPr>
          <w:sz w:val="20"/>
          <w:szCs w:val="20"/>
          <w:color w:val="auto"/>
        </w:rPr>
      </w:pPr>
    </w:p>
    <w:tbl>
      <w:tblPr>
        <w:tblLayout w:type="fixed"/>
        <w:tblInd w:w="61"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Monster Energy Ultra®</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Monster MAXX®</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Ultra Energy®</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Espresso Monster®</w:t>
            </w:r>
          </w:p>
        </w:tc>
        <w:tc>
          <w:tcPr>
            <w:tcW w:w="4220" w:type="dxa"/>
            <w:vAlign w:val="bottom"/>
            <w:gridSpan w:val="2"/>
          </w:tcPr>
          <w:p>
            <w:pPr>
              <w:ind w:left="1120"/>
              <w:spacing w:after="0"/>
              <w:rPr>
                <w:sz w:val="20"/>
                <w:szCs w:val="20"/>
                <w:color w:val="auto"/>
              </w:rPr>
            </w:pPr>
            <w:r>
              <w:rPr>
                <w:rFonts w:ascii="Arial" w:cs="Arial" w:eastAsia="Arial" w:hAnsi="Arial"/>
                <w:sz w:val="20"/>
                <w:szCs w:val="20"/>
                <w:color w:val="auto"/>
                <w:w w:val="93"/>
              </w:rPr>
              <w:t>●   Play® and Power Play® (stylized)</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Monster Hydro®</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w:t>
            </w:r>
          </w:p>
        </w:tc>
      </w:tr>
      <w:tr>
        <w:trPr>
          <w:trHeight w:val="230"/>
        </w:trPr>
        <w:tc>
          <w:tcPr>
            <w:tcW w:w="4180" w:type="dxa"/>
            <w:vAlign w:val="bottom"/>
            <w:gridSpan w:val="2"/>
          </w:tcPr>
          <w:p>
            <w:pPr>
              <w:spacing w:after="0"/>
              <w:rPr>
                <w:sz w:val="20"/>
                <w:szCs w:val="20"/>
                <w:color w:val="auto"/>
              </w:rPr>
            </w:pPr>
            <w:r>
              <w:rPr>
                <w:rFonts w:ascii="Arial" w:cs="Arial" w:eastAsia="Arial" w:hAnsi="Arial"/>
                <w:sz w:val="20"/>
                <w:szCs w:val="20"/>
                <w:color w:val="auto"/>
              </w:rPr>
              <w:t>●   Monster HydroSport Super Fuel®</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3920" w:type="dxa"/>
            <w:vAlign w:val="bottom"/>
          </w:tcPr>
          <w:p>
            <w:pPr>
              <w:ind w:left="120"/>
              <w:spacing w:after="0"/>
              <w:rPr>
                <w:sz w:val="20"/>
                <w:szCs w:val="20"/>
                <w:color w:val="auto"/>
              </w:rPr>
            </w:pPr>
            <w:r>
              <w:rPr>
                <w:rFonts w:ascii="Arial" w:cs="Arial" w:eastAsia="Arial" w:hAnsi="Arial"/>
                <w:sz w:val="20"/>
                <w:szCs w:val="20"/>
                <w:color w:val="auto"/>
              </w:rPr>
              <w:t>Monster Dragon Tea®</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24"/>
        </w:trPr>
        <w:tc>
          <w:tcPr>
            <w:tcW w:w="260" w:type="dxa"/>
            <w:vAlign w:val="bottom"/>
          </w:tcPr>
          <w:p>
            <w:pPr>
              <w:spacing w:after="0" w:line="224" w:lineRule="exact"/>
              <w:rPr>
                <w:sz w:val="20"/>
                <w:szCs w:val="20"/>
                <w:color w:val="auto"/>
              </w:rPr>
            </w:pPr>
            <w:r>
              <w:rPr>
                <w:rFonts w:ascii="Arial" w:cs="Arial" w:eastAsia="Arial" w:hAnsi="Arial"/>
                <w:sz w:val="20"/>
                <w:szCs w:val="20"/>
                <w:color w:val="auto"/>
              </w:rPr>
              <w:t>●</w:t>
            </w:r>
          </w:p>
        </w:tc>
        <w:tc>
          <w:tcPr>
            <w:tcW w:w="3920" w:type="dxa"/>
            <w:vAlign w:val="bottom"/>
          </w:tcPr>
          <w:p>
            <w:pPr>
              <w:ind w:left="120"/>
              <w:spacing w:after="0" w:line="224" w:lineRule="exact"/>
              <w:rPr>
                <w:sz w:val="20"/>
                <w:szCs w:val="20"/>
                <w:color w:val="auto"/>
              </w:rPr>
            </w:pPr>
            <w:r>
              <w:rPr>
                <w:rFonts w:ascii="Arial" w:cs="Arial" w:eastAsia="Arial" w:hAnsi="Arial"/>
                <w:sz w:val="20"/>
                <w:szCs w:val="20"/>
                <w:color w:val="auto"/>
              </w:rPr>
              <w:t>Caffé Monster®</w:t>
            </w:r>
          </w:p>
        </w:tc>
        <w:tc>
          <w:tcPr>
            <w:tcW w:w="1360" w:type="dxa"/>
            <w:vAlign w:val="bottom"/>
          </w:tcPr>
          <w:p>
            <w:pPr>
              <w:ind w:left="1120"/>
              <w:spacing w:after="0" w:line="224" w:lineRule="exact"/>
              <w:rPr>
                <w:sz w:val="20"/>
                <w:szCs w:val="20"/>
                <w:color w:val="auto"/>
              </w:rPr>
            </w:pPr>
            <w:r>
              <w:rPr>
                <w:rFonts w:ascii="Arial" w:cs="Arial" w:eastAsia="Arial" w:hAnsi="Arial"/>
                <w:sz w:val="20"/>
                <w:szCs w:val="20"/>
                <w:color w:val="auto"/>
              </w:rPr>
              <w:t>●</w:t>
            </w:r>
          </w:p>
        </w:tc>
        <w:tc>
          <w:tcPr>
            <w:tcW w:w="2860" w:type="dxa"/>
            <w:vAlign w:val="bottom"/>
          </w:tcPr>
          <w:p>
            <w:pPr>
              <w:ind w:left="120"/>
              <w:spacing w:after="0" w:line="224" w:lineRule="exact"/>
              <w:rPr>
                <w:sz w:val="20"/>
                <w:szCs w:val="20"/>
                <w:color w:val="auto"/>
              </w:rPr>
            </w:pPr>
            <w:r>
              <w:rPr>
                <w:rFonts w:ascii="Arial" w:cs="Arial" w:eastAsia="Arial" w:hAnsi="Arial"/>
                <w:sz w:val="20"/>
                <w:szCs w:val="20"/>
                <w:color w:val="auto"/>
              </w:rPr>
              <w:t>Live+®</w:t>
            </w:r>
          </w:p>
        </w:tc>
      </w:tr>
      <w:tr>
        <w:trPr>
          <w:trHeight w:val="242"/>
        </w:trPr>
        <w:tc>
          <w:tcPr>
            <w:tcW w:w="4180" w:type="dxa"/>
            <w:vAlign w:val="bottom"/>
            <w:gridSpan w:val="2"/>
          </w:tcPr>
          <w:p>
            <w:pPr>
              <w:spacing w:after="0" w:line="242" w:lineRule="exact"/>
              <w:rPr>
                <w:sz w:val="20"/>
                <w:szCs w:val="20"/>
                <w:color w:val="auto"/>
              </w:rPr>
            </w:pPr>
            <w:r>
              <w:rPr>
                <w:rFonts w:ascii="Arial" w:cs="Arial" w:eastAsia="Arial" w:hAnsi="Arial"/>
                <w:sz w:val="19"/>
                <w:szCs w:val="19"/>
                <w:color w:val="auto"/>
              </w:rPr>
              <w:t>●   Reign Total Body Fuel</w:t>
            </w:r>
            <w:r>
              <w:rPr>
                <w:rFonts w:ascii="Arial" w:cs="Arial" w:eastAsia="Arial" w:hAnsi="Arial"/>
                <w:sz w:val="28"/>
                <w:szCs w:val="28"/>
                <w:color w:val="auto"/>
                <w:vertAlign w:val="superscript"/>
              </w:rPr>
              <w:t>TM</w:t>
            </w:r>
          </w:p>
        </w:tc>
        <w:tc>
          <w:tcPr>
            <w:tcW w:w="1360" w:type="dxa"/>
            <w:vAlign w:val="bottom"/>
          </w:tcPr>
          <w:p>
            <w:pPr>
              <w:ind w:left="11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Predator®</w:t>
            </w:r>
          </w:p>
        </w:tc>
      </w:tr>
    </w:tbl>
    <w:p>
      <w:pPr>
        <w:ind w:left="441" w:hanging="372"/>
        <w:spacing w:after="0"/>
        <w:tabs>
          <w:tab w:leader="none" w:pos="441" w:val="left"/>
        </w:tabs>
        <w:numPr>
          <w:ilvl w:val="0"/>
          <w:numId w:val="6"/>
        </w:numPr>
        <w:rPr>
          <w:rFonts w:ascii="Arial" w:cs="Arial" w:eastAsia="Arial" w:hAnsi="Arial"/>
          <w:sz w:val="20"/>
          <w:szCs w:val="20"/>
          <w:color w:val="auto"/>
        </w:rPr>
      </w:pPr>
      <w:r>
        <w:rPr>
          <w:rFonts w:ascii="Arial" w:cs="Arial" w:eastAsia="Arial" w:hAnsi="Arial"/>
          <w:sz w:val="20"/>
          <w:szCs w:val="20"/>
          <w:color w:val="auto"/>
        </w:rPr>
        <w:t>Reign Inferno</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Thermogenic Fuel</w:t>
      </w:r>
    </w:p>
    <w:p>
      <w:pPr>
        <w:spacing w:after="0" w:line="10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Industry Overview</w:t>
      </w:r>
    </w:p>
    <w:p>
      <w:pPr>
        <w:spacing w:after="0" w:line="222"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8"/>
          <w:szCs w:val="18"/>
          <w:color w:val="auto"/>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2019 for the “alternative” beverage category of the market are estimated at approximately $58.6 billion, representing an increase of approximately 5.7% over estimated domestic U.S. wholesale sales in 2018 of approximately $55.5 billion.</w:t>
      </w:r>
    </w:p>
    <w:p>
      <w:pPr>
        <w:spacing w:after="0" w:line="15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Reportable Segments</w:t>
      </w:r>
    </w:p>
    <w:p>
      <w:pPr>
        <w:spacing w:after="0" w:line="222" w:lineRule="exact"/>
        <w:rPr>
          <w:sz w:val="20"/>
          <w:szCs w:val="20"/>
          <w:color w:val="auto"/>
        </w:rPr>
      </w:pPr>
    </w:p>
    <w:p>
      <w:pPr>
        <w:jc w:val="both"/>
        <w:ind w:left="1" w:firstLine="648"/>
        <w:spacing w:after="0" w:line="225" w:lineRule="auto"/>
        <w:rPr>
          <w:sz w:val="20"/>
          <w:szCs w:val="20"/>
          <w:color w:val="auto"/>
        </w:rPr>
      </w:pPr>
      <w:r>
        <w:rPr>
          <w:rFonts w:ascii="Arial" w:cs="Arial" w:eastAsia="Arial" w:hAnsi="Arial"/>
          <w:sz w:val="18"/>
          <w:szCs w:val="18"/>
          <w:color w:val="auto"/>
        </w:rPr>
        <w:t>We have three operating and reportable segments; (i) Monster Energy® Drinks segment (“Monster Energy® Drinks”), which is primarily comprised of our Monster Energy® drinks and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high performance energy drinks,</w:t>
      </w:r>
    </w:p>
    <w:p>
      <w:pPr>
        <w:spacing w:after="0" w:line="1" w:lineRule="exact"/>
        <w:rPr>
          <w:sz w:val="20"/>
          <w:szCs w:val="20"/>
          <w:color w:val="auto"/>
        </w:rPr>
      </w:pPr>
    </w:p>
    <w:p>
      <w:pPr>
        <w:jc w:val="both"/>
        <w:ind w:left="1" w:hanging="1"/>
        <w:spacing w:after="0" w:line="256" w:lineRule="auto"/>
        <w:tabs>
          <w:tab w:leader="none" w:pos="303" w:val="left"/>
        </w:tabs>
        <w:numPr>
          <w:ilvl w:val="0"/>
          <w:numId w:val="7"/>
        </w:numPr>
        <w:rPr>
          <w:rFonts w:ascii="Arial" w:cs="Arial" w:eastAsia="Arial" w:hAnsi="Arial"/>
          <w:sz w:val="19"/>
          <w:szCs w:val="19"/>
          <w:color w:val="auto"/>
        </w:rPr>
      </w:pPr>
      <w:r>
        <w:rPr>
          <w:rFonts w:ascii="Arial" w:cs="Arial" w:eastAsia="Arial" w:hAnsi="Arial"/>
          <w:sz w:val="19"/>
          <w:szCs w:val="19"/>
          <w:color w:val="auto"/>
        </w:rPr>
        <w:t>Strategic Brands segment (“Strategic Brands”), which is comprised primarily of the various energy drink brands acquired from The Coca-Cola Company (“TCCC”) in 2015, as well as our affordable energy brands, and (iii) Other segment (“Other”), which is comprised of certain products sold by American Fruits and Flavors, LLC (“AFF”), a wholly-owned subsidiary, to independent third-party customers (the “AFF Third-Party Products”). Corporate and unallocated amounts that do not specifically relate to a reportable segment have been allocated to “Corporate and unallocated.”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primarily generates net operating revenues by selling ready-to-drink packaged energy drinks primarily to bottlers and full service beverage distributors. In some cases, we sell directly to retail grocery and specialty chains, wholesalers, club stores, mass merchandisers, convenience chains, drug stores, foodservice customers, value stores, e-commerce retailers and the military.</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value stores, e-commerce retailers and the military. To a lesser extent, our Strategic Brands segment generates net operating revenues by selling certain ready-to-drink packaged energy drinks to bottlers and full service beverage distributors.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 percentages than the Strategic Brands segment.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For certain risks with respect to our energy drinks see “Part I, Item 1A – Risk Factors” below.</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Product Introductions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2019, we continued to expand our existing portfolio of drinks and further develop our distribution markets.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During 2019, we introduced the following products:</w:t>
      </w:r>
    </w:p>
    <w:p>
      <w:pPr>
        <w:spacing w:after="0" w:line="200" w:lineRule="exact"/>
        <w:rPr>
          <w:sz w:val="20"/>
          <w:szCs w:val="20"/>
          <w:color w:val="auto"/>
        </w:rPr>
      </w:pP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BPM® Sour Twist</w:t>
      </w:r>
    </w:p>
    <w:p>
      <w:pPr>
        <w:spacing w:after="0" w:line="15" w:lineRule="exact"/>
        <w:rPr>
          <w:rFonts w:ascii="Arial" w:cs="Arial" w:eastAsia="Arial" w:hAnsi="Arial"/>
          <w:sz w:val="20"/>
          <w:szCs w:val="20"/>
          <w:color w:val="auto"/>
        </w:rPr>
      </w:pP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BU® Island Punch</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Burn® Sour Twist</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Espresso Monster® Salted Caramel</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Java Monster® Farmer’s Oats</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Java Monster® Swiss Chocolate (U.S. national launch)</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Dragon Tea® Green Tea</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Dragon Tea® Yerba Mate</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Energy Ultra Paradise®</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HydroSport Super Fuel® Charge</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HydroSport Super Fuel® Hang Time</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HydroSport Super Fuel® Striker</w:t>
      </w:r>
    </w:p>
    <w:p>
      <w:pPr>
        <w:ind w:left="680" w:hanging="330"/>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Monster MAXX® Mango Matic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Monster MAXX® Rad Red</w:t>
      </w:r>
    </w:p>
    <w:p>
      <w:pPr>
        <w:spacing w:after="0" w:line="15" w:lineRule="exact"/>
        <w:rPr>
          <w:rFonts w:ascii="Arial" w:cs="Arial" w:eastAsia="Arial" w:hAnsi="Arial"/>
          <w:sz w:val="20"/>
          <w:szCs w:val="20"/>
          <w:color w:val="auto"/>
        </w:rPr>
      </w:pP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Monster Mule® (U.S. national launch)</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Mother® Epic Swell</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Mother® Tropical Blast</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Nalu® Frost</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Nalu® Refresh</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NOS® Power Punch</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NOS® Sonic Sour</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Predator® Mean Green</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Predator® Red Dawn</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Carnival Candy</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Lemon Hdz</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Mang-O-Matic</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Melon Mania</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Orange Dreamsicle</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Peach Fizz</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Razzle Berry</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Sour Apple</w:t>
      </w:r>
    </w:p>
    <w:p>
      <w:pPr>
        <w:ind w:left="680" w:hanging="330"/>
        <w:spacing w:after="0" w:line="18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Strawberry Sublime</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Relentless® Sour Twist</w:t>
      </w:r>
    </w:p>
    <w:p>
      <w:pPr>
        <w:ind w:left="680" w:hanging="330"/>
        <w:spacing w:after="0"/>
        <w:tabs>
          <w:tab w:leader="none" w:pos="680" w:val="left"/>
        </w:tabs>
        <w:numPr>
          <w:ilvl w:val="0"/>
          <w:numId w:val="9"/>
        </w:numPr>
        <w:rPr>
          <w:rFonts w:ascii="Arial" w:cs="Arial" w:eastAsia="Arial" w:hAnsi="Arial"/>
          <w:sz w:val="20"/>
          <w:szCs w:val="20"/>
          <w:color w:val="auto"/>
        </w:rPr>
      </w:pPr>
      <w:r>
        <w:rPr>
          <w:rFonts w:ascii="Arial" w:cs="Arial" w:eastAsia="Arial" w:hAnsi="Arial"/>
          <w:sz w:val="20"/>
          <w:szCs w:val="20"/>
          <w:color w:val="auto"/>
        </w:rPr>
        <w:t>Ultra Energy® Apple Kiwi</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2019, either individually or in aggregate, did not have a material adverse impact on our financial position,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Monster Energy® Drinks Segment</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Monster Energy® Drinks </w:t>
      </w:r>
      <w:r>
        <w:rPr>
          <w:rFonts w:ascii="Arial" w:cs="Arial" w:eastAsia="Arial" w:hAnsi="Arial"/>
          <w:sz w:val="18"/>
          <w:szCs w:val="18"/>
          <w:color w:val="auto"/>
        </w:rPr>
        <w:t>- a line of carbonated energy drinks. Our Monster Energy® drinks contain vitamins,</w:t>
      </w:r>
      <w:r>
        <w:rPr>
          <w:rFonts w:ascii="Arial" w:cs="Arial" w:eastAsia="Arial" w:hAnsi="Arial"/>
          <w:sz w:val="18"/>
          <w:szCs w:val="18"/>
          <w:i w:val="1"/>
          <w:iCs w:val="1"/>
          <w:color w:val="auto"/>
        </w:rPr>
        <w:t xml:space="preserve"> </w:t>
      </w:r>
      <w:r>
        <w:rPr>
          <w:rFonts w:ascii="Arial" w:cs="Arial" w:eastAsia="Arial" w:hAnsi="Arial"/>
          <w:sz w:val="18"/>
          <w:szCs w:val="18"/>
          <w:color w:val="auto"/>
        </w:rPr>
        <w:t>minerals, nutrients, herbs and other ingredients (collectively, “supplement ingredients”) and are marketed through our full service distributor network. We offer the following energy drinks under the Monster Energy® drink product line: Monster Energy®, Lo-Carb Monster Energy®, Monster Assault®, Monster Energy® Fury®, Juice Monster® Khaos®, Juice Monster® Ripper®, Juice Monster® Pipeline Punch®, Juice Monster® Mango Loco®, Juice Monster® Pacific Punch®, Monster Energy® Absolutely Zero, Monster Energy® Import, Monster Energy® Export, Punch Monster® Baller’s Blend®, Punch Monster® Mad Dog, M3(stylized)®, Monster Energy® Super Concentrate, Monster Mule®, Monster Cuba Libre®, Monster Energy Zero Ultra®, Monster Energy Ultra Blue®, Monster Energy Ultra Red®, Monster Energy Ultra Black®, Monster Energy Ultra Paradise®, Monster Energy Ultra Sunrise®, Monster Energy Ultra Citron®, Monster Energy Ultra Violet®, Monster Energy® Gronk, Monster Energy® Valentino Rossi and Monster Energy® Lewis Hamilton 44.</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Caffé Monster® Energy Coffee Drinks – </w:t>
      </w:r>
      <w:r>
        <w:rPr>
          <w:rFonts w:ascii="Arial" w:cs="Arial" w:eastAsia="Arial" w:hAnsi="Arial"/>
          <w:sz w:val="20"/>
          <w:szCs w:val="20"/>
          <w:color w:val="auto"/>
        </w:rPr>
        <w:t>a line of non-carbonated, 100% Arabica coffee, reduced fat, dairy based</w:t>
      </w:r>
      <w:r>
        <w:rPr>
          <w:rFonts w:ascii="Arial" w:cs="Arial" w:eastAsia="Arial" w:hAnsi="Arial"/>
          <w:sz w:val="20"/>
          <w:szCs w:val="20"/>
          <w:i w:val="1"/>
          <w:iCs w:val="1"/>
          <w:color w:val="auto"/>
        </w:rPr>
        <w:t xml:space="preserve"> </w:t>
      </w:r>
      <w:r>
        <w:rPr>
          <w:rFonts w:ascii="Arial" w:cs="Arial" w:eastAsia="Arial" w:hAnsi="Arial"/>
          <w:sz w:val="20"/>
          <w:szCs w:val="20"/>
          <w:color w:val="auto"/>
        </w:rPr>
        <w:t>energy coffee drinks. We offer the following energy coffee drinks under the Caffé Monster® product line: Vanilla, Salted Caramel and Mocha.</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Espresso Monster® Espresso + Energy Drinks </w:t>
      </w:r>
      <w:r>
        <w:rPr>
          <w:rFonts w:ascii="Arial" w:cs="Arial" w:eastAsia="Arial" w:hAnsi="Arial"/>
          <w:sz w:val="20"/>
          <w:szCs w:val="20"/>
          <w:color w:val="auto"/>
        </w:rPr>
        <w:t>– a line of non-carbonated dairy based espresso + energy drinks.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 the following espresso + energy drinks under the Espresso Monster® product line: Espresso and Cream, Salted Caramel and Vanilla Espresso.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Java Monster</w:t>
      </w:r>
      <w:r>
        <w:rPr>
          <w:rFonts w:ascii="Arial" w:cs="Arial" w:eastAsia="Arial" w:hAnsi="Arial"/>
          <w:sz w:val="20"/>
          <w:szCs w:val="20"/>
          <w:color w:val="auto"/>
        </w:rPr>
        <w:t>®</w:t>
      </w:r>
      <w:r>
        <w:rPr>
          <w:rFonts w:ascii="Arial" w:cs="Arial" w:eastAsia="Arial" w:hAnsi="Arial"/>
          <w:sz w:val="20"/>
          <w:szCs w:val="20"/>
          <w:i w:val="1"/>
          <w:iCs w:val="1"/>
          <w:color w:val="auto"/>
        </w:rPr>
        <w:t xml:space="preserve"> Coffee + Energy Drinks </w:t>
      </w:r>
      <w:r>
        <w:rPr>
          <w:rFonts w:ascii="Arial" w:cs="Arial" w:eastAsia="Arial" w:hAnsi="Arial"/>
          <w:sz w:val="20"/>
          <w:szCs w:val="20"/>
          <w:color w:val="auto"/>
        </w:rPr>
        <w:t>– a line of non-carbonated dairy based coffee + energy drinks. We offer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coffee + energy drinks under the Java Monster® product line: Java Monster® Farmer's Oats, Java Monster® Irish Blend®, Java Monster® Kona Blend, Java Monster® Loca Moca®, Java Monster® Mean Bean®, Java Monster® Salted Caramel, Java Monster® Swiss Chocolate and Java Monster® Vanilla Light.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Monster Dragon Tea® Energy Teas – </w:t>
      </w:r>
      <w:r>
        <w:rPr>
          <w:rFonts w:ascii="Arial" w:cs="Arial" w:eastAsia="Arial" w:hAnsi="Arial"/>
          <w:sz w:val="20"/>
          <w:szCs w:val="20"/>
          <w:color w:val="auto"/>
        </w:rPr>
        <w:t>a line of non-carbonated energy teas. We offer the following energy teas under</w:t>
      </w:r>
      <w:r>
        <w:rPr>
          <w:rFonts w:ascii="Arial" w:cs="Arial" w:eastAsia="Arial" w:hAnsi="Arial"/>
          <w:sz w:val="20"/>
          <w:szCs w:val="20"/>
          <w:i w:val="1"/>
          <w:iCs w:val="1"/>
          <w:color w:val="auto"/>
        </w:rPr>
        <w:t xml:space="preserve"> </w:t>
      </w:r>
      <w:r>
        <w:rPr>
          <w:rFonts w:ascii="Arial" w:cs="Arial" w:eastAsia="Arial" w:hAnsi="Arial"/>
          <w:sz w:val="20"/>
          <w:szCs w:val="20"/>
          <w:color w:val="auto"/>
        </w:rPr>
        <w:t>the Monster Dragon Tea® product line: Green Tea, White Tea and Yerba Mate.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Monster Hydro® – </w:t>
      </w:r>
      <w:r>
        <w:rPr>
          <w:rFonts w:ascii="Arial" w:cs="Arial" w:eastAsia="Arial" w:hAnsi="Arial"/>
          <w:sz w:val="20"/>
          <w:szCs w:val="20"/>
          <w:color w:val="auto"/>
        </w:rPr>
        <w:t>a line of non-carbonated, lightly sweetened refreshment + energy drinks. We offer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refreshment + energy drinks under the Monster Hydro® product line: Blue Ice®, Manic Melon®, Mean Green®, Purple Passion®, Tropical Thunder® and Zero Sugar.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Monster HydroSport Super Fuel® – </w:t>
      </w:r>
      <w:r>
        <w:rPr>
          <w:rFonts w:ascii="Arial" w:cs="Arial" w:eastAsia="Arial" w:hAnsi="Arial"/>
          <w:sz w:val="20"/>
          <w:szCs w:val="20"/>
          <w:color w:val="auto"/>
        </w:rPr>
        <w:t>a zero sugar line of non-carbonated, advanced hydration + energy drinks with</w:t>
      </w:r>
      <w:r>
        <w:rPr>
          <w:rFonts w:ascii="Arial" w:cs="Arial" w:eastAsia="Arial" w:hAnsi="Arial"/>
          <w:sz w:val="20"/>
          <w:szCs w:val="20"/>
          <w:i w:val="1"/>
          <w:iCs w:val="1"/>
          <w:color w:val="auto"/>
        </w:rPr>
        <w:t xml:space="preserve"> </w:t>
      </w:r>
      <w:r>
        <w:rPr>
          <w:rFonts w:ascii="Arial" w:cs="Arial" w:eastAsia="Arial" w:hAnsi="Arial"/>
          <w:sz w:val="20"/>
          <w:szCs w:val="20"/>
          <w:color w:val="auto"/>
        </w:rPr>
        <w:t>BCAA’s. We offer the following advanced hydration + energy drinks under the Monster HydroSport Super Fuel® product line: Charge, Hang Time and Striker.</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Monster MAXX® Energy Drinks – </w:t>
      </w:r>
      <w:r>
        <w:rPr>
          <w:rFonts w:ascii="Arial" w:cs="Arial" w:eastAsia="Arial" w:hAnsi="Arial"/>
          <w:sz w:val="18"/>
          <w:szCs w:val="18"/>
          <w:color w:val="auto"/>
        </w:rPr>
        <w:t>a line of carbonated energy drinks containing nitrous oxide. We offer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energy drinks under the Monster MAXX® product line: Eclipse, Mango Matic, Rad Red, Solaris and Super Dry.</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Monster Rehab® Tea + Energy Drinks </w:t>
      </w:r>
      <w:r>
        <w:rPr>
          <w:rFonts w:ascii="Arial" w:cs="Arial" w:eastAsia="Arial" w:hAnsi="Arial"/>
          <w:sz w:val="20"/>
          <w:szCs w:val="20"/>
          <w:color w:val="auto"/>
        </w:rPr>
        <w:t>– a line of non-carbonated energy drinks with electrolytes. We offer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tea + energy drinks under the Monster Rehab® drink line: Monster Rehab® Tea + Lemonade + Energy, Monster Rehab® Tea + Orangeade + Energy, Monster Rehab® Peach Tea + Energy, Monster Rehab® Raspberry Tea + Energy and Monster Rehab® White Dragon Tea + Energy.</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Muscle Monster® Energy Shakes – </w:t>
      </w:r>
      <w:r>
        <w:rPr>
          <w:rFonts w:ascii="Arial" w:cs="Arial" w:eastAsia="Arial" w:hAnsi="Arial"/>
          <w:sz w:val="19"/>
          <w:szCs w:val="19"/>
          <w:color w:val="auto"/>
        </w:rPr>
        <w:t>a line of non-carbonated energy shakes containing 27-grams of protein. We offer</w:t>
      </w:r>
      <w:r>
        <w:rPr>
          <w:rFonts w:ascii="Arial" w:cs="Arial" w:eastAsia="Arial" w:hAnsi="Arial"/>
          <w:sz w:val="19"/>
          <w:szCs w:val="19"/>
          <w:i w:val="1"/>
          <w:iCs w:val="1"/>
          <w:color w:val="auto"/>
        </w:rPr>
        <w:t xml:space="preserve"> </w:t>
      </w:r>
      <w:r>
        <w:rPr>
          <w:rFonts w:ascii="Arial" w:cs="Arial" w:eastAsia="Arial" w:hAnsi="Arial"/>
          <w:sz w:val="19"/>
          <w:szCs w:val="19"/>
          <w:color w:val="auto"/>
        </w:rPr>
        <w:t>the following energy shakes under the Muscle Monster® Energy Shakes product line: Chocolate and Vanilla.</w:t>
      </w:r>
    </w:p>
    <w:p>
      <w:pPr>
        <w:spacing w:after="0" w:line="147"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0"/>
          <w:szCs w:val="20"/>
          <w:i w:val="1"/>
          <w:iCs w:val="1"/>
          <w:color w:val="auto"/>
        </w:rPr>
        <w:t>Reign Total Body Fuel</w:t>
      </w:r>
      <w:r>
        <w:rPr>
          <w:rFonts w:ascii="Arial" w:cs="Arial" w:eastAsia="Arial" w:hAnsi="Arial"/>
          <w:sz w:val="29"/>
          <w:szCs w:val="29"/>
          <w:i w:val="1"/>
          <w:iCs w:val="1"/>
          <w:color w:val="auto"/>
          <w:vertAlign w:val="superscript"/>
        </w:rPr>
        <w:t>TM</w:t>
      </w:r>
      <w:r>
        <w:rPr>
          <w:rFonts w:ascii="Arial" w:cs="Arial" w:eastAsia="Arial" w:hAnsi="Arial"/>
          <w:sz w:val="20"/>
          <w:szCs w:val="20"/>
          <w:i w:val="1"/>
          <w:iCs w:val="1"/>
          <w:color w:val="auto"/>
        </w:rPr>
        <w:t xml:space="preserve"> High Performance Energy Drinks – </w:t>
      </w:r>
      <w:r>
        <w:rPr>
          <w:rFonts w:ascii="Arial" w:cs="Arial" w:eastAsia="Arial" w:hAnsi="Arial"/>
          <w:sz w:val="20"/>
          <w:szCs w:val="20"/>
          <w:color w:val="auto"/>
        </w:rPr>
        <w:t>a line of high performance energy drinks with BCAA’s,</w:t>
      </w:r>
      <w:r>
        <w:rPr>
          <w:rFonts w:ascii="Arial" w:cs="Arial" w:eastAsia="Arial" w:hAnsi="Arial"/>
          <w:sz w:val="20"/>
          <w:szCs w:val="20"/>
          <w:i w:val="1"/>
          <w:iCs w:val="1"/>
          <w:color w:val="auto"/>
        </w:rPr>
        <w:t xml:space="preserve"> </w:t>
      </w:r>
      <w:r>
        <w:rPr>
          <w:rFonts w:ascii="Arial" w:cs="Arial" w:eastAsia="Arial" w:hAnsi="Arial"/>
          <w:sz w:val="20"/>
          <w:szCs w:val="20"/>
          <w:color w:val="auto"/>
        </w:rPr>
        <w:t>B vitamins, electrolytes and CoQ10 with zero sugar. We offer the following high performance energy drinks under the Reign Total Body Fuel</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product line: Carnival Candy, Lemon Hdz, Mang-O-Matic, Melon Mania, Orange Dreamsicle, Peach Fizz, Razzle Berry, Sour Apple and Strawberry Sublime.</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Reign Inferno</w:t>
      </w:r>
      <w:r>
        <w:rPr>
          <w:rFonts w:ascii="Arial" w:cs="Arial" w:eastAsia="Arial" w:hAnsi="Arial"/>
          <w:sz w:val="26"/>
          <w:szCs w:val="26"/>
          <w:i w:val="1"/>
          <w:iCs w:val="1"/>
          <w:color w:val="auto"/>
          <w:vertAlign w:val="superscript"/>
        </w:rPr>
        <w:t>TM</w:t>
      </w:r>
      <w:r>
        <w:rPr>
          <w:rFonts w:ascii="Arial" w:cs="Arial" w:eastAsia="Arial" w:hAnsi="Arial"/>
          <w:sz w:val="18"/>
          <w:szCs w:val="18"/>
          <w:i w:val="1"/>
          <w:iCs w:val="1"/>
          <w:color w:val="auto"/>
        </w:rPr>
        <w:t xml:space="preserve"> Thermogenic Fuel </w:t>
      </w:r>
      <w:r>
        <w:rPr>
          <w:rFonts w:ascii="Arial" w:cs="Arial" w:eastAsia="Arial" w:hAnsi="Arial"/>
          <w:sz w:val="18"/>
          <w:szCs w:val="18"/>
          <w:color w:val="auto"/>
        </w:rPr>
        <w:t>– a line of high performance energy drinks with a thermogenic performance blend</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BCAA’s, B vitamins, electrolytes, and CoQ10 with zero sugar. We offer the following high performance energy drinks under the Reign Inferno</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Thermogenic Fuel product line: Jalapeno Strawberry, Red Dragon and True BLU.</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Strategic Brands Segment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BPM®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 line of carbonated energy drinks. We offer the following energy drinks under the BPM® product line: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Focus Berry Red, Hydrate Citrus Green, Sour Twist and Zero Orange.</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i w:val="1"/>
          <w:iCs w:val="1"/>
          <w:color w:val="auto"/>
        </w:rPr>
        <w:t xml:space="preserve">BU®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 line of carbonated energy drinks. We offer the following energy drinks under the BU</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Island</w:t>
      </w:r>
      <w:r>
        <w:rPr>
          <w:rFonts w:ascii="Arial" w:cs="Arial" w:eastAsia="Arial" w:hAnsi="Arial"/>
          <w:sz w:val="20"/>
          <w:szCs w:val="20"/>
          <w:i w:val="1"/>
          <w:iCs w:val="1"/>
          <w:color w:val="auto"/>
        </w:rPr>
        <w:t xml:space="preserve"> </w:t>
      </w:r>
      <w:r>
        <w:rPr>
          <w:rFonts w:ascii="Arial" w:cs="Arial" w:eastAsia="Arial" w:hAnsi="Arial"/>
          <w:sz w:val="20"/>
          <w:szCs w:val="20"/>
          <w:color w:val="auto"/>
        </w:rPr>
        <w:t>Punch and Original.</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Burn® </w:t>
      </w:r>
      <w:r>
        <w:rPr>
          <w:rFonts w:ascii="Arial" w:cs="Arial" w:eastAsia="Arial" w:hAnsi="Arial"/>
          <w:sz w:val="19"/>
          <w:szCs w:val="19"/>
          <w:color w:val="auto"/>
        </w:rPr>
        <w:t>– a line of carbonated energy drinks. We offer the following energy drinks under the Burn® product line: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Apple Kiwi, Blue, Cherry, Lemon Ice, Mango, Original, Passion Punch, Sour Twist and Zero.</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i w:val="1"/>
          <w:iCs w:val="1"/>
          <w:color w:val="auto"/>
        </w:rPr>
        <w:t xml:space="preserve">Full Throttle®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 line of carbonated energy drinks. We offer the following energy drinks under the Full Throttle®</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Blue Agave and Citrus.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Gladiator®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line of carbonated energy drinks. We offer the following energy drink under the Gladiator® product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line: Original.</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Live+® – </w:t>
      </w:r>
      <w:r>
        <w:rPr>
          <w:rFonts w:ascii="Arial" w:cs="Arial" w:eastAsia="Arial" w:hAnsi="Arial"/>
          <w:sz w:val="18"/>
          <w:szCs w:val="18"/>
          <w:color w:val="auto"/>
        </w:rPr>
        <w:t>a line of carbonated energy drinks.  We offer the following energy drinks under the Live+® product line: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20"/>
          <w:szCs w:val="20"/>
          <w:color w:val="auto"/>
        </w:rPr>
        <w:t>Ascend, Ignite and Persist.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Mother®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line of carbonated energy drinks. We offer the following energy drinks under the Mother® product line: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Epic Swell, Frosty Berry, Kicked Apple®, Original, Passion, Sugar Free and Tropical Blast</w:t>
      </w:r>
      <w:r>
        <w:rPr>
          <w:rFonts w:ascii="Arial" w:cs="Arial" w:eastAsia="Arial" w:hAnsi="Arial"/>
          <w:sz w:val="29"/>
          <w:szCs w:val="29"/>
          <w:color w:val="auto"/>
          <w:vertAlign w:val="superscript"/>
        </w:rPr>
        <w:t>TM</w:t>
      </w:r>
      <w:r>
        <w:rPr>
          <w:rFonts w:ascii="Arial" w:cs="Arial" w:eastAsia="Arial" w:hAnsi="Arial"/>
          <w:sz w:val="20"/>
          <w:szCs w:val="20"/>
          <w:color w:val="auto"/>
        </w:rPr>
        <w: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Nalu® </w:t>
      </w:r>
      <w:r>
        <w:rPr>
          <w:rFonts w:ascii="Arial" w:cs="Arial" w:eastAsia="Arial" w:hAnsi="Arial"/>
          <w:sz w:val="19"/>
          <w:szCs w:val="19"/>
          <w:color w:val="auto"/>
        </w:rPr>
        <w:t>– a line of carbonated energy drinks. We offer the following energy drinks under the Nalu® product line: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Exotic, Frost, Original, Passion and Refresh.</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NOS® </w:t>
      </w:r>
      <w:r>
        <w:rPr>
          <w:rFonts w:ascii="Arial" w:cs="Arial" w:eastAsia="Arial" w:hAnsi="Arial"/>
          <w:sz w:val="19"/>
          <w:szCs w:val="19"/>
          <w:color w:val="auto"/>
        </w:rPr>
        <w:t>– a line of carbonated energy drinks. We offer the following energy drinks under the NOS® product line: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Charged Citrus, Cherried Out, GT Grape, Nitro Mango, Original, Power Punch, Sonic Sour, Sugar Free and Turbo.</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Play® and Power Play® (stylized) – </w:t>
      </w:r>
      <w:r>
        <w:rPr>
          <w:rFonts w:ascii="Arial" w:cs="Arial" w:eastAsia="Arial" w:hAnsi="Arial"/>
          <w:sz w:val="19"/>
          <w:szCs w:val="19"/>
          <w:color w:val="auto"/>
        </w:rPr>
        <w:t>a line of carbonated energy drinks. We offer the following energy drinks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Play® and Power Play® (stylized) product line: Apple Kiwi, Mango, Passion Fruit, Original and Sugar Free.</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Predator® </w:t>
      </w:r>
      <w:r>
        <w:rPr>
          <w:rFonts w:ascii="Arial" w:cs="Arial" w:eastAsia="Arial" w:hAnsi="Arial"/>
          <w:sz w:val="20"/>
          <w:szCs w:val="20"/>
          <w:color w:val="auto"/>
        </w:rPr>
        <w:t>– a line of affordable carbonated energy drinks. We offer the following energy drinks under the Predator®</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Gold Strike, Mean Green, Purple Rain and Red Dawn.</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Relentless® </w:t>
      </w:r>
      <w:r>
        <w:rPr>
          <w:rFonts w:ascii="Arial" w:cs="Arial" w:eastAsia="Arial" w:hAnsi="Arial"/>
          <w:sz w:val="18"/>
          <w:szCs w:val="18"/>
          <w:color w:val="auto"/>
        </w:rPr>
        <w:t>– a line of carbonated energy drinks. We offer the following energy drinks under the Relentless® product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line: Apple Kiwi, Cherry, Lemon Ice, Mango, Origin, Passion Punch, Sour Twist and Zero.</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Samurai® </w:t>
      </w:r>
      <w:r>
        <w:rPr>
          <w:rFonts w:ascii="Arial" w:cs="Arial" w:eastAsia="Arial" w:hAnsi="Arial"/>
          <w:sz w:val="18"/>
          <w:szCs w:val="18"/>
          <w:color w:val="auto"/>
        </w:rPr>
        <w:t>– a line of carbonated energy drinks.  We offer the following energy drinks under the Samurai® product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line: Fruity and Strawberry.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Ultra Energy® </w:t>
      </w:r>
      <w:r>
        <w:rPr>
          <w:rFonts w:ascii="Arial" w:cs="Arial" w:eastAsia="Arial" w:hAnsi="Arial"/>
          <w:sz w:val="20"/>
          <w:szCs w:val="20"/>
          <w:color w:val="auto"/>
        </w:rPr>
        <w:t>– a line of carbonated energy drinks. We offer the following energy drinks under the Ultra Energy®</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Apple Kiwi, Fury, Mango, Original and Passion Punch.</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Other Segment</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AFF sells a limited number of products to independent third-party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Products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Packaging</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products are packaged in a variety of different package types and sizes including, but not limited to, aluminum cans, aluminum cap cans, sleek aluminum cans, aluminum cans with re-sealable ends as well as polyethylene terephthalate (PET) plastic bottles and to a limited extent glass bottles.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directly manufacture finished goods, but instead outsource the manufacturing process to third-party bottlers and contract packers.</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AFF develops and manufactures the primary flavors for our Monster Energy® Drinks segment. We also purchase flavors, concentrates, sweeteners, juices, supplement ingredients, cans, bottles, caps, labels, trays, boxes and other ingredients for our beverage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our Strategic Brands segment, we primarily purchase concentrates and/or beverage bases from ingredient suppliers, which are then sold to certain of our various third-party bottlers/distributors. The third-party bottlers/distributors are responsible for the manufacture and packaging of the finished products, including the procurement of all other required ingredients and packaging materials. For certain limited products in the Strategic Brands segment, we may purchase flavors, concentrates, sweeteners, juices, supplement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All of our finished goods are manufactured by various third-party bottlers and co-packers situated throughout the United States and abroad, under separate arrangements with each party. The majority of our co-packaging arrangements are generally on a month-to-month basis or are terminable upon request and do not generally obligate us to produce any minimum quantities of products within specified periods.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at the then book value or via a per-case credit over a pre-determined number of cases that are produced at the facilities concerned.</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our Monster Energy® Drinks segment, we are generally responsible for arranging for the purchase and delivery to our third-party bottlers and co-packers of the containers in which our beverage products are packaged.</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products are packaged in a number of locations, both domestically and internationally, which enables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aluminum cap</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cans, sleek aluminum cans, aluminum cans with re-sealable ends, PET plastic bottles, caps, labels, flavors, juice concentrates, coffee, tea, supplement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production arrangements are generally of short duration or are terminable upon request. For many of our products, including certain of our Monster Energy® brand energy drinks, our Java Monster® product line, our Espresso Monster® product line, our Caffé Monster® product line, our Monster Hydro® product line, our Monster HydroSport Super Fuel® product line, our Muscle Monster® product line, our Monster MAXX® product line, our Juice Monster® product line, our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product line, our Reign Inferno</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Thermogenic Fuel product line and certain of our other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We continue to actively seek alternative and/or additional co-packing facilities around the world (including in Africa, Asia, Australia, Central and South America, China, Europe, India, Mexico, the Middle East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2019, we continued to expand distribution of our products in both our domestic and international markets.</w:t>
      </w:r>
    </w:p>
    <w:p>
      <w:pPr>
        <w:spacing w:after="0" w:line="23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Distribution levels vary by product and geographic location. Net sales outside the United States were $1.33 billion, $1.09 billion and $909.3 million for the years ended December 31, 2019, 2018 and 2017,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Monster Energy</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 xml:space="preserve"> Distribution Agreements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have entered into agreements with various bottlers/distributors providing for the distribution of our products during initial terms of up to twenty years, which may be renewed thereafter for additional terms ranging from one to five years,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Certain of our material distribution arrangements for our Monster Energy® brand energy drinks, as amended from time to time, are described below:</w:t>
      </w:r>
    </w:p>
    <w:p>
      <w:pPr>
        <w:spacing w:after="0" w:line="177" w:lineRule="exact"/>
        <w:rPr>
          <w:sz w:val="20"/>
          <w:szCs w:val="20"/>
          <w:color w:val="auto"/>
        </w:rPr>
      </w:pPr>
    </w:p>
    <w:p>
      <w:pPr>
        <w:jc w:val="both"/>
        <w:ind w:left="640" w:hanging="452"/>
        <w:spacing w:after="0" w:line="28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640" w:hanging="452"/>
        <w:spacing w:after="0" w:line="260" w:lineRule="auto"/>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Amended and Restated Distribution Agreement with Coca-Cola Refreshments (“CCR”), pursuant to which CCR distributes, directly and through certain sub-distributors, our Monster Energy® brand energy drinks in a large portion of the United States. As of March 1, 2018, all of the territory previously falling under the Amended and Restated Distribution Agreement with CCR has been assigned by CCR to various TCCC network bottlers in the United States, including Coca-Cola Consolidated, Inc. and Reyes Coca-Cola Bottling, LLC.</w:t>
      </w:r>
    </w:p>
    <w:p>
      <w:pPr>
        <w:spacing w:after="0" w:line="180" w:lineRule="exact"/>
        <w:rPr>
          <w:rFonts w:ascii="Arial" w:cs="Arial" w:eastAsia="Arial" w:hAnsi="Arial"/>
          <w:sz w:val="19"/>
          <w:szCs w:val="19"/>
          <w:color w:val="auto"/>
        </w:rPr>
      </w:pPr>
    </w:p>
    <w:p>
      <w:pPr>
        <w:jc w:val="both"/>
        <w:ind w:left="640" w:hanging="452"/>
        <w:spacing w:after="0" w:line="244"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 In February 2020, the Amended and Restated International Distribution Coordination Agreement with TCCC was renewed for an additional five year term.</w:t>
      </w:r>
    </w:p>
    <w:p>
      <w:pPr>
        <w:spacing w:after="0" w:line="194" w:lineRule="exact"/>
        <w:rPr>
          <w:rFonts w:ascii="Arial" w:cs="Arial" w:eastAsia="Arial" w:hAnsi="Arial"/>
          <w:sz w:val="20"/>
          <w:szCs w:val="20"/>
          <w:color w:val="auto"/>
        </w:rPr>
      </w:pPr>
    </w:p>
    <w:p>
      <w:pPr>
        <w:ind w:left="640" w:right="20" w:hanging="452"/>
        <w:spacing w:after="0" w:line="260" w:lineRule="auto"/>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Additionally, we have entered into distribution agreements for certain of our Monster Energy® products with various TCCC network bottlers, both in the United States and internationally.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As of December 31, 2019, all distribution territories in the U.S. have been transitioned to TCCC network bottlers.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Strategic Brands Distribution Agreements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entered into distribution coordination agreements with TCCC pursuant to which we have designated, and in the future may designate, subject to TCCC’s approval, territories in which TCCC network bottlers will distribute our Strategic Brands energy drinks.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have entered into agreements with various TCCC network bottlers, both in the United States and internationally, providing for the distribution and sale of our Strategic Brands energy drinks.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principal raw materials used in the manufacturing of our products are aluminum cans, aluminum cap cans, sleek aluminum cans, aluminum cans with re-sealable ends, PET plastic bottles, caps, as well as flavors, juice concentrates, glucose, sugar, sucralose, milk, cream, protein, coffee, tea, supplement ingredients and other packaging materials, the costs of which are subject to fluctuations.</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AFF is the primary flavor supplier for our Monster Energy® brand energy drinks. We also purchase flavors from other suppliers as well as juices, supplement ingredients, glucose, sugar, sucralose, other sweeteners and other ingredients from independent suppliers located in the United States and abroad.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With regard to our Java Monster®, Espresso Monster®, Caffé Monster® and Muscle Monster® product lines, the dairy, protein and retort co-packing industries are subject to shortages and increased demand from time to time, which may result in production disruption and/or higher prices.</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flavors or concentrates from alternative suppliers on short notice. Our third-party flavor suppliers generally do not make such flavors and/or blended concentrates available to other third-party customers.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identified alternative suppliers for many of the ingredients contained in many of our beverages. However, industry-wide shortages of certain flavors, fruits and fruit juices, coffee, tea, dairy-based products, supplement ingredients and sweeteners have been, and could from time to time in the future be, encountered, which could interfere with and/or delay production of certain of our products.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Important factors affecting our ability to compete successfully include brand and product image, taste and flavor of products, trade and consumer promotions, rapid and effective development of new and unique cutting edge products, ingredients, attractive and different packaging, brand exposure and marketing as well as pricing. We also rely on our bottlers and full service beverage distributors to allocate more attention to our products than those of our competitors, provide stable and reliable distribution and secure adequate shelf space in retail outlets. Competitive pressures in the “alternative”, energy, coffee and “functional” beverage categories could cause our products to maintain or to lose market share or we could experience price erosion, which could have a material adverse effect on our business and results of operations.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experienced and continue to experience competition from new entrants in the energy drink and energy shot categories. A number of companies who market and distribute iced teas, coffees, juice cocktails, enhanced waters and sports drinks in various larger volume packages in glass and plastic bottles (including Bai, Sobe Life Water, BODYARMOR, Vitamin Water, CORE, Snapple, Arizona, Fuse, Ocean Spray, Honest Tea, Gold Peak Tea, Powerade, Gatorade Bolt 24 and Starbucks) and 12- and 16-ounce cans (such as Mountain Dew Kickstart and Mountain Dew Amp Game Fuel),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also subject to increasing levels of regulatory issues including in relation to the registration and/or taxation of our products in certain new international markets, which may put us at a competitive disadvantage. (See “Government Regulation” below for additional information).</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We compete not only for consumer preference, but also for maximum marketing and sales efforts by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Keurig Dr. Pepper, Inc. (“KDP”) and Red Bull GmbH. We also compete with companies that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are smaller or primarily local in operation. Our products also compete with private-label brands such as those carried by grocery store chains, convenience store chains and club stores.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Domestically, our energy drinks compete directly with Red Bull, Rockstar, Amp, Venom, VPX Redline, Rip It, Xenergy, 5-Hour Energy Shots, MiO Energy, Stacker 2, VPX Bang, V8 + Energy, Uptime, hi*ball, CELSIUS, C4, Coca-Cola Energy and many other brands. PepsiCo also markets and/or distributes additional products in that market segment such as Pepsi Max, Mountain Dew, Mountain Dew Kickstart and Mountain Dew Amp Game Fuel. Internationally, our energy drinks compete with Red Bull (including non-carbonated Red Bull in China and Asia), Rockstar, V-Energy, Lucozade, Coca-Cola Energy and numerous local and private-label brands that usually differ from country to country, such as HELL, Amper, Shock, Tiger, Boost, TNT, Shark, Dragon, Score, Sting, Hot 6, Battery, Bullit, Flash Up, Black, Non-Stop, Bomba, Semtex, Vive 100, Dark Dog, Speed, Guarana, M-150, Lipovitan, Bacchus, Volt, Bolt, Mr. Big, Boom, Raptor, Amp, Fusion, Hi-Tiger, Eastroc Super Drink, Carabao, Power Horse, XL, Crazy Tiger, Effect, Missile, Nocco, Adrenaline Rush, Real Gold, War Horse, BLU, and a host of other international brands.</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Our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Reign Inferno</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Thermogenic Fuel high performance energy drinks compete with VPX Bang, Adrenaline Shoc, C4, CELSIUS, Rockstar XDURANCE and Quake in the performance energy category.</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Java Monster®, Espresso Monster® and Caffé Monster® product lines compete directly with Starbucks Frappuccino, Starbucks Doubleshot, Starbucks Doubleshot Energy Plus Coffee, Starbucks Tripleshot and other Starbucks coffee drinks, Costa Coffee, Rockstar Roasted, Dunkin Donuts, Gold Peak, Stok, High Brew, McCafé, hi*ball, Douwe Egberts Coffee, Emmi CAFFÈ, Bang Keto Coffee, Nescafe and International Delight.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Muscle Monster® product line competes directly with Muscle Milk, Core Power, Premier Protein, Kellogg’s Special K Protein, Bolthouse Farms Protein, EAS AdvantEDGE, EAS Myoplex and Gatorade G Series 03 Recover.</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Monster Hydro® and Monster HydroSport Super Fuel® product lines compete directly with Vitamin Water, Sparkling Ice, Bai, Propel, Vita Coco, Lucozade, Powerade, Gatorade Bolt 24 and BODYARMOR.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social media, concerts, print, radio and television advertising (directly and through our sponsorships and endorsements) and coupons may also be used to promote our brands.</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we continue to reevaluate from time to time.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 appropriate, we partner with our bottlers/distributors and/or retailers to assist our marketing efforts.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increased expenditures for our sales and marketing programs by approximately 10.9% in 2019 compared to 2018. This increase was primarily due to increased expenditures for social media, sponsorships and endorsements as well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advertising. As of December 31, 2019, we employed 2,422 employees in sales and marketing activities, of which 1,273 were employed on a full-time basis.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Our customers are primarily full service beverage bottlers/distributors, retail grocery, drug and specialty chains, wholesalers, club stores, mass merchandisers, convenience chains, foodservice customers, value stores, e-commerce retailers and the military. Percentages of our gross sales to our various customer types for the years ended December 31, 2019, 2018 and 2017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vMerge w:val="restart"/>
          </w:tcPr>
          <w:p>
            <w:pPr>
              <w:spacing w:after="0"/>
              <w:rPr>
                <w:sz w:val="20"/>
                <w:szCs w:val="20"/>
                <w:color w:val="auto"/>
              </w:rPr>
            </w:pPr>
            <w:r>
              <w:rPr>
                <w:rFonts w:ascii="Arial" w:cs="Arial" w:eastAsia="Arial" w:hAnsi="Arial"/>
                <w:sz w:val="18"/>
                <w:szCs w:val="18"/>
                <w:color w:val="auto"/>
              </w:rPr>
              <w:t>U.S. full service bottlers/distributors</w:t>
            </w: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96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4"/>
              </w:rPr>
              <w:t>58%</w:t>
            </w: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94"/>
              </w:rPr>
              <w:t>61%</w:t>
            </w:r>
          </w:p>
        </w:tc>
        <w:tc>
          <w:tcPr>
            <w:tcW w:w="9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8"/>
              </w:rPr>
              <w:t>63%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33%</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31%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Club stores, mass merchandisers and e-commerce retailers</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7%</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Retail grocery, specialty chains and wholesalers</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Kalil Bottling Group (until March 5, 2019), Big Geyser, Inc. (until April 5, 2019), Wal-Mart, Inc. (including Sam’s Club) and Costco Wholesale Corporation. A decision by any large customer to decrease amounts purchased from us or to cease carrying our products could have a material negative effect on our financial condition and consolidated results of operations.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TCCC, through certain consolidated subsidiaries (the “TCCC Subsidiaries”), accounted for approximately 2%, 3% and 18% of our net sales for the years ended December 31, 2019, 2018 and 2017, respectively. As part of TCCC’s North America Refranchising initiative (the “North America Refranchising”), the territories of certain TCCC Subsidiaries have been transitioned to certain independent TCCC bottlers/distributors and bottlers/distributors which TCCC accounts for under the equity method (the “TCCC Related Parties”). Accordingly, our percentage of net sales to the TCCC Subsidiaries significantly decreased for the years ended December 31, 2019, 2018 and 2017.</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13% of our net sales for the years ended December 31, 2019, 2018 and 2017.</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12% and 6% of the Company’s net sales for the years ended December 31, 2019, 2018 and 2017,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10% and 9% of the Company’s net sales for the years ended December 31, 2019, 2018 and 2017,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Sales of ready-to-drink beverages are somewhat seasonal, with the second and third calendar quarters accounting for the highest sales volumes. We believe that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presently have more than 12,900 registered trademarks and pending applications in various countries worldwide, and we apply for new trademarks on an ongoing basis. We regard our trademarks, service marks, copyrights, domain names,</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trade dress and other intellectual property as very important to our business. We consider Monster®, Monster Energy®, </w:t>
      </w:r>
      <w:r>
        <w:rPr>
          <w:sz w:val="1"/>
          <w:szCs w:val="1"/>
          <w:color w:val="auto"/>
        </w:rPr>
        <w:drawing>
          <wp:inline distT="0" distB="0" distL="0" distR="0">
            <wp:extent cx="10287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8"/>
          <w:szCs w:val="18"/>
          <w:color w:val="auto"/>
        </w:rPr>
        <w:t>®, Monster Energy Ultra®, Monster Dragon Tea®, Unleash the Beast!®, Mutant®, Monster Rehab®, Java Monster®, Muscle</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Monster®, Punch Monster®, Juice Monster®, </w:t>
      </w:r>
      <w:r>
        <w:rPr>
          <w:sz w:val="1"/>
          <w:szCs w:val="1"/>
          <w:color w:val="auto"/>
        </w:rPr>
        <w:drawing>
          <wp:inline distT="0" distB="0" distL="0" distR="0">
            <wp:extent cx="10287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14300"/>
                    </a:xfrm>
                    <a:prstGeom prst="rect">
                      <a:avLst/>
                    </a:prstGeom>
                    <a:noFill/>
                    <a:ln>
                      <a:noFill/>
                    </a:ln>
                  </pic:spPr>
                </pic:pic>
              </a:graphicData>
            </a:graphic>
          </wp:inline>
        </w:drawing>
      </w:r>
      <w:r>
        <w:rPr>
          <w:rFonts w:ascii="Arial" w:cs="Arial" w:eastAsia="Arial" w:hAnsi="Arial"/>
          <w:sz w:val="20"/>
          <w:szCs w:val="20"/>
          <w:color w:val="auto"/>
        </w:rPr>
        <w:t xml:space="preserve"> Hydro® (stylized), Monster HydroSport Super Fuel®, Espresso Monster®, Caffé Monster®, Monster MAXX®, Reign Total Body Fuel™, Reign Inferno</w:t>
      </w:r>
      <w:r>
        <w:rPr>
          <w:rFonts w:ascii="Arial" w:cs="Arial" w:eastAsia="Arial" w:hAnsi="Arial"/>
          <w:sz w:val="29"/>
          <w:szCs w:val="29"/>
          <w:color w:val="auto"/>
          <w:vertAlign w:val="superscript"/>
        </w:rPr>
        <w:t>TM</w:t>
      </w:r>
      <w:r>
        <w:rPr>
          <w:rFonts w:ascii="Arial" w:cs="Arial" w:eastAsia="Arial" w:hAnsi="Arial"/>
          <w:sz w:val="20"/>
          <w:szCs w:val="20"/>
          <w:color w:val="auto"/>
        </w:rPr>
        <w:t>, BU®, Nalu®, NOS®, Full Throttle®, Burn®, Mother®, Ultra Energy®, Play® and Power Play® (stylized), Relentless®, Predator®, Live+® and BPM® to be our core trademarks. We also own the intellectual property of our most important flavors for certain of our Monster Energy® Brand energy drinks in perpetuity.</w:t>
      </w:r>
    </w:p>
    <w:p>
      <w:pPr>
        <w:spacing w:after="0" w:line="21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 xml:space="preserve">We have registered Monster®, Monster Energy®, </w:t>
      </w:r>
      <w:r>
        <w:rPr>
          <w:sz w:val="1"/>
          <w:szCs w:val="1"/>
          <w:color w:val="auto"/>
        </w:rPr>
        <w:drawing>
          <wp:inline distT="0" distB="0" distL="0" distR="0">
            <wp:extent cx="10287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14300"/>
                    </a:xfrm>
                    <a:prstGeom prst="rect">
                      <a:avLst/>
                    </a:prstGeom>
                    <a:noFill/>
                    <a:ln>
                      <a:noFill/>
                    </a:ln>
                  </pic:spPr>
                </pic:pic>
              </a:graphicData>
            </a:graphic>
          </wp:inline>
        </w:drawing>
      </w:r>
      <w:r>
        <w:rPr>
          <w:rFonts w:ascii="Arial" w:cs="Arial" w:eastAsia="Arial" w:hAnsi="Arial"/>
          <w:sz w:val="20"/>
          <w:szCs w:val="20"/>
          <w:color w:val="auto"/>
        </w:rPr>
        <w:t>®, Monster Energy Ultra®, Unleash the Beast!®, Mutant®, Monster Rehab®, Java Monster®, Muscle Monster®, Punch Monster®, Juice Monster®, M Hydro®, Espresso Monster®, Caffé Monster®, Monster MAXX®, BU®, Nalu®, Burn®, Mother®, Play®, Power Play® (stylized), Relentless®, Ultra Energy®, BPM®, Live+®, Reign®, Reign Total Body Fuel® and Reign Inferno</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outside of the United States in certain jurisdictions.</w:t>
      </w:r>
    </w:p>
    <w:p>
      <w:pPr>
        <w:spacing w:after="0" w:line="19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also enforce and protect our trademark rights against third parties infringing or disparaging our trademarks by opposing registration of conflicting trademarks and initiating litigation as necessary.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U.S. federal and state regulations, including but not limited to: the Federal Food, Drug and Cosmetic Act (“FD&amp;C Act”); the Occupational Safety and Health Act; various environmental statutes; the Safe Drinking Water and Toxic Enforcement Act of 1986 (“California Proposition 65”) and a number of other federal, state and local statutes and regulations applicable to the production, transportation, sale, safety, advertising, marketing, labeling and ingredients of such products. Outside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United States, the production, distribution and sale of many of our products are also subject to numerous statutes and regulations.</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19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Furthermore, legislation may be introduced in the United States and other countries at the federal, state and municipal level in respect of each of the subject areas discussed below.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as discussed below, and we are seeing some attention to other ingredients in energy drinks.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Product Formulation, Labeling and Advertising. </w:t>
      </w:r>
      <w:r>
        <w:rPr>
          <w:rFonts w:ascii="Arial" w:cs="Arial" w:eastAsia="Arial" w:hAnsi="Arial"/>
          <w:sz w:val="18"/>
          <w:szCs w:val="18"/>
          <w:color w:val="auto"/>
        </w:rPr>
        <w:t>Globally, we are subject to a number of regulations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formulation, labeling and advertising of our products. In California, we are subject to California Proposition 65, a law which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is the result of necessary cooking,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addition, in May 2016, the U.S. Food and Drug Administration (the “FDA”) revised regulations with respect to serving size information and nutrition labeling on food and beverage products, including a new requirement to disclose the amount of added sugars in such products. These changes went into effect on January 1, 2020, though FDA announced that it will not enforce these provisions for the first six months after that date. Further, in December 2018, the U.S. Department of Agriculture promulgated regulations requiring that, by January 1, 2022, the labels of certain bioengineered foods must include a disclosure that the food is bioengineered. We may incur significant costs to alter our existing packaging materials to comply with these and other new regulations. Additionally, these new regulations may impact, reduce and/or otherwise affect the purchase and consumption of our products by consumers.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Further, the City of San Francisco enacted an ordinance that would require health warnings on advertisements for certain sugar-sweetened beverages, though enforcement has been delayed due to a lawsuit challenging the ordinance. In January 2019, the U.S. Court of Appeals for the Ninth Circuit, sitting en banc, granted a preliminary injunction blocking enforcement of the ordinance, concluding that a First Amendment challenge to the ordinance was likely to succeed on the merits. In September 2019, two members of the San Francisco Board of Supervisors introduced legislation to amend the ordinance. The district court expressed its intent to assess the possible mootness of the current ordinance in light of the legislative proposal, but has granted the parties’ requests to delay further action pending expected legislative consideration of the proposed amendment.</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July 2012, we received a subpoena from the Attorney General for the State of New York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Other countries, such as the member states of the Gulf Cooperation Council, Yemen, Colombia, Brazil, the Dominican Republic, Mexico, and the People’s Republic of China are also considering new labeling requirements, which may require us to amend our labels and warning statements. The United Kingdom Government has also suggested that it may review food labeling laws following the United Kingdom’s departure from the European Union (“Brexit”).</w:t>
      </w:r>
    </w:p>
    <w:p>
      <w:pPr>
        <w:spacing w:after="0" w:line="1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i w:val="1"/>
          <w:iCs w:val="1"/>
          <w:color w:val="auto"/>
        </w:rPr>
        <w:t xml:space="preserve">Age and Other Restrictions on Energy Drink Products. </w:t>
      </w:r>
      <w:r>
        <w:rPr>
          <w:rFonts w:ascii="Arial" w:cs="Arial" w:eastAsia="Arial" w:hAnsi="Arial"/>
          <w:sz w:val="16"/>
          <w:szCs w:val="16"/>
          <w:color w:val="auto"/>
        </w:rPr>
        <w:t>Proposals to limit or restrict the sale and/or advertising of</w:t>
      </w:r>
      <w:r>
        <w:rPr>
          <w:rFonts w:ascii="Arial" w:cs="Arial" w:eastAsia="Arial" w:hAnsi="Arial"/>
          <w:sz w:val="16"/>
          <w:szCs w:val="16"/>
          <w:i w:val="1"/>
          <w:iCs w:val="1"/>
          <w:color w:val="auto"/>
        </w:rPr>
        <w:t xml:space="preserve"> </w:t>
      </w:r>
      <w:r>
        <w:rPr>
          <w:rFonts w:ascii="Arial" w:cs="Arial" w:eastAsia="Arial" w:hAnsi="Arial"/>
          <w:sz w:val="16"/>
          <w:szCs w:val="16"/>
          <w:color w:val="auto"/>
        </w:rPr>
        <w:t>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in the United States, bills seeking to impose an age restriction on the sale of energy drinks have been introduced in the South Carolina and Connecticut legislatures. Outside of the United States, for example, Latvia, Lithuania and Turkey prohibit the sale of energy drinks to persons under the age of 18; Canada prohibits the promotion of energy drinks to children 12 years and under; Latvia and Scotland prohibit the sale of energy drinks in educational establishments; and Turkey prohibits the sale or advertising of energy drinks in “collective consumption areas.” Latin American countries such as Chile, Colombia and Brazil are considering age and other sales restrictions on energy drinks, as are other European countries such as the United Kingdom, Romania and Bulgaria, and in the Middle East, there have been discussions of an age restriction for energy drinks.</w:t>
      </w:r>
    </w:p>
    <w:p>
      <w:pPr>
        <w:spacing w:after="0" w:line="3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Excise Taxes on Energy Drinks. </w:t>
      </w:r>
      <w:r>
        <w:rPr>
          <w:rFonts w:ascii="Arial" w:cs="Arial" w:eastAsia="Arial" w:hAnsi="Arial"/>
          <w:sz w:val="18"/>
          <w:szCs w:val="18"/>
          <w:color w:val="auto"/>
        </w:rPr>
        <w:t>Legislation that would impose an excise tax on sweetened beverages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and Seattle, Washington)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and Mexico. Other countries, including Brazil, are considering similar measures. In addition, legislation has been proposed in certain jurisdictions that would specifically impose excise taxes on energy drinks. For example, Estonia, Poland and Ukraine are considering proposals that would impose an excise tax on energy drinks. Such targeted legislation has been passed in other countries.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Hungary has instituted an excise tax to which our products are subject. Bahrain, Saudi Arabia and the United Arab Emirates began applying a selective tax of 100% on energy drinks in 2017, Qatar and Oman began applying the tax in 2019, and there are indications that a similar measure may be enacted in Kuwait.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Limits on Caffeine Content</w:t>
      </w:r>
      <w:r>
        <w:rPr>
          <w:rFonts w:ascii="Arial" w:cs="Arial" w:eastAsia="Arial" w:hAnsi="Arial"/>
          <w:sz w:val="18"/>
          <w:szCs w:val="18"/>
          <w:color w:val="auto"/>
        </w:rPr>
        <w:t>. Legislation has been proposed to limit the amount of caffeine that may be contained in</w:t>
      </w:r>
      <w:r>
        <w:rPr>
          <w:rFonts w:ascii="Arial" w:cs="Arial" w:eastAsia="Arial" w:hAnsi="Arial"/>
          <w:sz w:val="18"/>
          <w:szCs w:val="18"/>
          <w:i w:val="1"/>
          <w:iCs w:val="1"/>
          <w:color w:val="auto"/>
        </w:rPr>
        <w:t xml:space="preserve"> </w:t>
      </w:r>
      <w:r>
        <w:rPr>
          <w:rFonts w:ascii="Arial" w:cs="Arial" w:eastAsia="Arial" w:hAnsi="Arial"/>
          <w:sz w:val="18"/>
          <w:szCs w:val="18"/>
          <w:color w:val="auto"/>
        </w:rPr>
        <w:t>beverages, including energy drinks. Some jurisdictions where we do business have prescribed limited caffeine content for beverages. For example, on January 1, 2013, new requirements took effect in Canada that limited the amount of caffeine contained in any beverage in a single-serving can or bottle to less than 180 milligrams, and imposed limits on the concentration levels for caffeine. We adjusted the caffeine levels in certain of our Monster Energy® products that are sold in Canada to address these regulations, although the majority of our products were unaffected. In Europe, examples of caffeine restrictions include the Netherlands where there is a limit of 35mg/100ml, and Norway introduced, as of January 1, 2020 (subject to transition periods), a limit of 32mg/100ml. Caffeine limit restrictions or restrictions on combining caffeine with other ingredients or in particular product sectors (such as performance beverages/sport drinks) have also been implemented or proposed in other jurisdictions, including Turkey, India and Pakistan’s Punjab region. Such restrictions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could require reformulations of certain of our products. However, we may not be able to satisfactorily reformulate our products in all jurisdictions that adopt similar legislation.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Limitations on Container Size. </w:t>
      </w:r>
      <w:r>
        <w:rPr>
          <w:rFonts w:ascii="Arial" w:cs="Arial" w:eastAsia="Arial" w:hAnsi="Arial"/>
          <w:sz w:val="19"/>
          <w:szCs w:val="19"/>
          <w:color w:val="auto"/>
        </w:rPr>
        <w:t>We package our products in a variety of different package types and sizes including, for</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of our Monster Energy® brand energy drinks, aluminum cans larger than 16 fluid ounces. Certain jurisdictions, such as the member states of the Gulf Cooperation Council, Yemen, Costa Rica and the Dominican Republic, are considering container size limitations on energy drinks and other beverages which may require us to change the size of our products sold in these countries. Other countries, like England, have considered and rejected proposed can size limitations although it is open to such markets to revisit these and other similar proposals.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facilities in the United States are subject to federal, state and local environmental laws and regulations. Our operations in other countries are subject to similar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Container Deposits. </w:t>
      </w:r>
      <w:r>
        <w:rPr>
          <w:rFonts w:ascii="Arial" w:cs="Arial" w:eastAsia="Arial" w:hAnsi="Arial"/>
          <w:sz w:val="20"/>
          <w:szCs w:val="20"/>
          <w:color w:val="auto"/>
        </w:rPr>
        <w:t>Various municipalities, states and foreign countries require that a deposit be charged for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non-refillable beverage containers. The precise requirements imposed by these measures vary by jurisdiction. Other deposit, recycling or product stewardship proposals have been, and may in the future be, introduced in certain U.S. states, counties, municipalities and in certain foreign countries.</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December 31, 2019, we employed a total of 3,529 employees, of which 2,655 were employed on a full-time basis. Of our 3,529 employees, we employed 1,107 in administrative and operational capacities and 2,422 persons in sales and marketing capacities.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w:t>
      </w:r>
      <w:r>
        <w:rPr>
          <w:rFonts w:ascii="Arial" w:cs="Arial" w:eastAsia="Arial" w:hAnsi="Arial"/>
          <w:sz w:val="20"/>
          <w:szCs w:val="20"/>
          <w:u w:val="single" w:color="auto"/>
          <w:color w:val="auto"/>
        </w:rPr>
        <w:t>http://www.sec.gov</w:t>
      </w:r>
      <w:r>
        <w:rPr>
          <w:rFonts w:ascii="Arial" w:cs="Arial" w:eastAsia="Arial" w:hAnsi="Arial"/>
          <w:sz w:val="20"/>
          <w:szCs w:val="20"/>
          <w:color w:val="auto"/>
        </w:rPr>
        <w:t>.</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u w:val="single" w:color="auto"/>
          <w:color w:val="auto"/>
        </w:rPr>
        <w:t>www.monsterbevcorp.com</w:t>
      </w:r>
      <w:r>
        <w:rPr>
          <w:rFonts w:ascii="Arial" w:cs="Arial" w:eastAsia="Arial" w:hAnsi="Arial"/>
          <w:sz w:val="18"/>
          <w:szCs w:val="18"/>
          <w:color w:val="auto"/>
        </w:rPr>
        <w:t xml:space="preserve">. Information contained on our website is not part of this Annual Report on Form 10-K. Our SEC filings (including any amendments) will be made available free of charge at </w:t>
      </w:r>
      <w:r>
        <w:rPr>
          <w:rFonts w:ascii="Arial" w:cs="Arial" w:eastAsia="Arial" w:hAnsi="Arial"/>
          <w:sz w:val="18"/>
          <w:szCs w:val="18"/>
          <w:u w:val="single" w:color="auto"/>
          <w:color w:val="auto"/>
        </w:rPr>
        <w:t>www.monsterbevcorp.com</w:t>
      </w:r>
      <w:r>
        <w:rPr>
          <w:rFonts w:ascii="Arial" w:cs="Arial" w:eastAsia="Arial" w:hAnsi="Arial"/>
          <w:sz w:val="18"/>
          <w:szCs w:val="18"/>
          <w:color w:val="auto"/>
        </w:rPr>
        <w:t>, as soon as reasonably practicable after we electronically file such material with, or furnish it 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SEC. In addition, you may request a copy of these filings (excluding exhibits) at no cost by writing to, or telephoning us, at the following address or telephone number: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4900" w:hanging="484"/>
        <w:spacing w:after="0"/>
        <w:tabs>
          <w:tab w:leader="none" w:pos="49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739-6200</w:t>
      </w:r>
    </w:p>
    <w:p>
      <w:pPr>
        <w:ind w:left="4900" w:hanging="484"/>
        <w:spacing w:after="0"/>
        <w:tabs>
          <w:tab w:leader="none" w:pos="4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426-7367</w:t>
      </w:r>
    </w:p>
    <w:p>
      <w:pPr>
        <w:spacing w:after="0" w:line="194"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addition to the other information in this Annual Report on Form 10-K, including Management’s Discussion and Analysis of Financial Condition and Results of Operations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 Company and TCCC have extensive commercial arrangements and, as a result, the Company’s future performance is substantially dependent on the success of its relationship with TCCC.</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transitioned all third parties’ rights to distribute the Company’s products in the U.S. to members of TCCC’s distribution network, which largely consists of independent bottlers/distributors. In addition, TCCC has become our preferred distribution partner globally with members of TCCC’s network distributing our products internationally, including in Africa, Asia, Canada, Central and South America, Europe, Mexico and the Middle East. As we continue our international expansion, we expect TCCC’s distribution network to continue as our preferred distribution partner globally. As a result, we have reduced our distributor diversification and are now substantially dependent on TCCC’s domestic and international distribution platforms.</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While we believe that these agreements incentivize TCCC to take steps to ensure that our products receive the appropriate attention in the TCCC distribution system, there can be no assurance of this as disagreements as to the interpretation of the provisions in such agreements may arise and TCCC is a much larger company with many strategic priorities. In October 2018, the Company and TCCC mutually agreed to submit to arbitration before the American Arbitration Association the issue of whether TCCC is permitted to manufacture, market, sell or distribute three energy drink products it developed. On June 28, 2019, the arbitration tribunal issued a final award in favor of TCCC. TCCC launched Coca-Cola Energy in Europe in 2019 and in the United States in 2020. As TCCC proceeds to launch Coca-Cola Energy in additional territories, we may encounter difficulties in maintaining distributor attention, market share or position in the energy drink category in such territories, which could adversely affect our business and operating results.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TCCC does not control all members of its distribution system, many of which are independent companies that make their own business decisions that may not always align with TCCC’s interests. Moreover, it is possible that we may fail to recognize the expected benefits of the new distribution arrangements regardless of TCCC’s priorities or the priorities of the members of TCCC’s distribution system.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derive virtually all of our revenues from energy drinks, and competitive pressure in the energy drink category could adversely affect our business and operating results.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focus is in the energy drink category, and our business is vulnerable to adverse changes impacting the energy drink category and business, which could adversely impact our business and the trading price of our common stock.</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Virtually all of our sales are derived from our energy drinks, including our Monster Energy® brand energy drinks, our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energy drinks and our Strategic Brands energy drinks (including our affordable brand energy drinks, principally Predator®).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Domestically, our energy drinks compete directly with Red Bull, Rockstar, Amp, Venom, VPX Redline, Xenergy, Xyience, MiO Energy, Rip It, Starbucks Doubleshot, Starbucks Doubleshot Energy Plus Coffee, Starbucks Tripleshot, Costa Coffee, Nescafe, Rockstar Roasted, VPX Bang, V8+ Energy, UPTIME, hi*ball, CELSIUS, C4, Quake, Adrenaline Shoc, Coca-Cola Energy, 5-Hour Energy Shots, Stacker 2, and many other brands. In addition, certain large companies, such as PepsiCo, market and/or distribute products in that market segment, such as Pepsi Max, Gatorade Bolt 24, Mountain Dew, Mountain Dew Amp Game Fuel and Mountain Dew Kickstart.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Internationally, our energy drinks compete with Red Bull (including non-carbonated Red Bull in China and Asia), Rockstar, V-Energy, Lucozade, Coca-Cola Energy and numerous local and private-label brands that usually differ from country to country, such as HELL, Amper, Shock, Tiger, Boost, Speed, TNT, Shark, Hot 6, Shark Energy, Dragon, Score, Sting, Battery, Bullit, Flash Up, Black, Non-Stop, Bomba, Semtex, Vive 100, Dark Dog, Guarana, M-150, Lipovitan, Bacchus, Volt, Bolt, Mr. Big, Boom, Raptor, Amp, Fusion, Hi-Tiger, Eastroc Super Drink, Carabao, Power Horse, XL, Crazy Tiger, Effect, Missile, NOCCO, Adrenaline Rush, Real Gold, War Horse, BLU and a host of other international brands.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Java Monster®, Espresso Monster® and Caffé Monster® product lines compete directly with Starbucks Frappuccino, Starbucks Doubleshot, Starbucks Doubleshot Energy Plus Coffee, Starbucks Tripleshot and other Starbucks coffee drinks, Costa Coffee, Nescafe, Douwe Egberts Coffee, Emmi CAFFÈ, Bang Keto Coffee, Rockstar Roasted, Dunkin Donuts, Gold Peak Tea, Stok, High Brew, McCafé, hi*ball and International Delight.</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Muscle Monster® product line competes directly with Muscle Milk, Core Power, Premier Protein, Kellogg’s Special K Protein, Bolthouse Farms Protein, EAS AdvantEDGE, EAS Myoplex, Gatorade G Series 03 Recover and PowerBar.</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Monster Hydro® and Monster HydroSport Super Fuel® product lines compete directly with Vitamin Water, Sparkling Ice, Bai, Propel, Vita Coco, Lucozade, Powerade, Gatorade Bolt 24 and BODYARMOR.</w:t>
      </w:r>
    </w:p>
    <w:p>
      <w:pPr>
        <w:spacing w:after="0" w:line="17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8"/>
          <w:szCs w:val="18"/>
          <w:color w:val="auto"/>
        </w:rPr>
        <w:t>Our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and Reign Inferno</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Thermogenic Fuel high performance energy drinks compete with VPX Bang, Adrenaline Shoc, C4, Quake, Rockstar XDURANCE and CELSIUS in the performance energy category.</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increasing number of competitive products and limited amount of shelf space in retail stores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market share, any of which could have a material adverse effect on our business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 Company, in several markets, owns multiple potentially competing brands in the energy drink category, which could adversely impact our business and results of operations in those markets.</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various Monster Energy® brand energy drinks compete with one another, and, in several markets, our Monster Energy® brand energy drinks and Strategic Brands compete with each other. We may encounter difficulties managing different and potentially competing brands in such shared markets, which could adversely impact our business and results of operations.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TCCC is a significant shareholder of the Company and may have interests that are different from the Company’s other shareholders (including current shareholders of the Company).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February 20, 2020, TCCC owned common shares of the Company representing approximately 19% of the total number of the Company’s outstanding common shares. TCCC has also nominated one director to the Company’s board of directors.</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TCCC’s ownership could also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interests of TCCC may be different from or conflict with the interests of the Company’s other shareholders and, as a result, TCCC’s influence may result in the delay or prevention of potential actions or transactions, including a potential change of management or control of the Company, even if such action or transaction may be beneficial to the Company’s other shareholders.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Changes in government regulation, or failure to comply with existing regulations, could adversely affect our business, financial condition and results of operations.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the content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and municipal level in respect of each of the foregoing subject areas.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Public health officials and health advocates are increasingly focused on the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public health consequences associated with obesity, especially as it affects children, and are seeking legislative change to reduce the consumption of sweetened beverages. There also has been increased focus on caffeine content in beverages, and we are seeing some attention to other ingredients in energy drinks.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production, distribution and sale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and ingredients of such products. Outside the United States, the production, distribution and sale of many of our products are also subject to numerous statutes and regulations. If a regulatory authority finds that a current or future product, its label, or a production run is not in compliance with any of these regulations, we may be fined, or the products in question may have to be recalled, removed from the market, reformulated and/or have the packaging changed, which could adversely affect our business, financial condition and results of operations.</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We cannot predict the effect of possible inquiries from and/or actions by attorneys general, other government agencies and/or quasi-government agencies into the production, advertising, marketing, promotion, labeling, ingredients, usage and/or sale of our energy drink products.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subject to the risks of investigations and/or enforcement actions by state attorneys general and/or other government and/or quasi-governmental agencies relating to the advertising, marketing, promotion, ingredients, usage and/or sale of our energy drinks,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w:t>
      </w:r>
    </w:p>
    <w:p>
      <w:pPr>
        <w:spacing w:after="0" w:line="1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addition, from time to time, government and/or quasi-governmental agencies may investigate the safety of caffeine and energy drinks. For example, in January 2013, the Company received and responded to inquiries from U.S. legislators in response to FDA’s investigation into the safety of caffeine in food products, particularly its effects on children and adolescents. These legislators ultimately released a report in January 2015, recommending, inter alia, that the energy drink industry not market to consumers under the age of 18 and not market their products for hydration, and that the FDA develop and release definitions and guidance for this market sector. In addition, other organizations, such as the European Food Safety Authority, have also published reports, studies, articles and opinions on caffeine and energy drinks.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regarding our products, and related unfavorable media attention, could expose us to significant liabilities and reduce demand for our products, thus negatively affecting our financial results.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been and are a party, from time to time, to various litigation claims and legal proceedings, including, but not limited to, intellectual property, fraud, unfair business practices, false advertising, product liability, breach of contract claims, securities actions and shareholder derivative actions. In particular, we have been and are currently named as a defendant in personal injury lawsuits which allege that consumption of our products has been responsible for wrongful deaths and/or injuries. We do not believe that our products are responsible for such wrongful deaths and/or injuries, and we intend to vigorously defend such lawsuits.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these lawsuits.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Criticism of our energy drink products and/or criticism or a negative perception of energy drinks generally, could adversely affect us.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An unfavorable report on the health effects of caffeine,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In early 2018, certain retailers in the United Kingdom announced the introduction of voluntary retailer measures to prevent the sale of energy drinks to individuals under the age of 16. If reports, studies or articles critical of caffeine and/or energy drinks continue to be published or are published in the future, or additional voluntary measures are taken, they could adversely affect the demand for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in the beverage industry and changing retail landscape could hurt our business.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spacing w:after="0" w:line="19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Important factors affecting our ability to compete successfully include the taste and flavor of our products, trade and consumer promotions, rapid and effective development of new and unique cutting edge products, attractive and different packaging, branded product advertising and pricing. Our products compete with all liquid refreshments and in some cases with products of much larger and substantially better financed competitors, including the products of numerous nationally and internationally known producers such as TCCC, PepsiCo, Red Bull GmbH and KDP. We also compete with companies that are smaller or primarily national or local in operations. Our products also compete with private-label brands such as those carried by grocery store chains, convenience store chains and club stores.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rapid growth in sales through e-commerce retailers, e-commerce websites, mobile commerce applications and subscription services, and closures of physical retail operations,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Further, the ability of consumers to compare prices on a real-time basis using digital technology puts additional pressure on us to maintain competitive prices.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Sales in gas chains may also be affected by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Due to competition in the beverage industry, there can be no assurance that we will not encounter difficulties in maintaining our current revenues, market share or position in the beverage industry. If our revenues decline, our business, financial condition and results of operations could be adversely affected.</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inability to innovate successfully and to provide new cutting edge products could adversely affect our business and financial results.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5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Global economic uncertainties, including foreign currency exchange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European and other international markets. Unfavorable economic conditions and financial uncertainties in our major international markets and unstable political conditions, including civil unrest and governmental changes, in certain of our other international markets could undermine global consumer confidence and reduce consumers’ purchasing power, thereby reducing demand for our products. Included in the foregoing are uncertainties surrounding the United Kingdom’s withdrawal from the European Union on January 31, 2020 (commonly referred to as “Brexit”) and any resulting increases in tariffs, importation restrictions, out of stocks, volatility in currency exchange rates, including the valuation of the euro and the British pound in particular, changes in the laws and regulations applied in the United Kingdom or impacts on economic and market conditions in the United Kingdom, the European Union and its member states and elsewhere.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product and shopping preferences may reduce demand for some of our products.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beverage industry is subject to changing consumer preferences and shifts in consumer preferences may adversely affect us. There is increasing awareness of and concern for health, wellness and nutrition considerations, including concerns regarding caloric intake associated with sugar-sweetened beverages and the perceived undesirability of artificial ingredients. Some consumer advocacy groups and others have expressed concerns regarding certain ingredients in diet sodas, which are contained in certain of our energy drinks. This may reduce demand for our beverages, which could reduce our revenues and adversely affect our results of operations.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taste, quality and price,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and e-commerce websites or platforms, we may be unable to address or anticipate changes in consumer shopping preferences. If our revenues decline, our business, financial condition and results of operations could be adversely affected.</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continued expansion outside of the United States exposes us to uncertain conditions and other risks in international markets.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We have continued expanding our operations internationally into a variety of new markets, including launches in China and various African and Middle Eastern countries. Our gross sales to customers outside of the United States were approximately 33%, 31% and 28% of consolidated gross sales for the years ended December 31, 2019, 2018 and 2017, respectively. As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economic and/or political instability in our international markets; unfavorable foreign currency exchange rates;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Because of our increasingly global presence, our business could be affected by unstable political conditions, civil unrest, large-scale terrorist acts, especially those directed against the United States or other major industrialized countries where our products are distributed, the outbreak or escalation of armed hostilities, major natural disasters and extreme weather conditions, such as hurricanes, wildfires, tornados, earthquakes or floods, or widespread outbreaks of infectious diseases.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of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business and operations, and the operations of our suppliers, may be adversely affected by the recent coronavirus (or COVID-19) outbreak.</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and our suppliers currently globally source certain ingredients for our products from third-party manufacturers in Wuhan (Hubei Province) and other parts of China, manufacture finished goods through third-party bottlers and co-packers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China and have employees in China. The recent outbreak of respiratory illness caused by the coronavirus (or COVID-19), and other adverse public health developments, could adversely affect our business and cause disruptions due to the closure or suspension of activities at such third-party manufacturers as well as at our co-packing facilities and our China office. Certain aspects of our operations currently in China may need to be moved, even temporarily, to other locations. In addition, the outbreak, together with any accompanying special government measures, including general movement restrictions, travel restrictions and business closures imposed to slow its spread, could adversely impact the growth of our business in China and affect demand for our products, negatively impacting our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We are exposed to foreign currency exchange rate risk with respect to our sales, expenses, profits, assets and liabilities denominated in currencies other than the U.S. dollar. We may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Foreign currency transaction losses were $4.1 million, $4.0 million and $3.3 million for the years ended December 31, 2019, 2018 and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Default by or failure of one or more of our counterparty financial institutions could cause us to incur significant losses.</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Our acquisition of AFF in 2016 brought our primary flavor supplier in-house for the majority of our Monster Energy® brand energy drinks. However, we also procure flavors from other independent flavor suppliers. We do not manufacture finished goods, but instead outsource manufacturing of our finished goods to bottlers and other contract packers. As a result,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including certain of our Monster Energy® brand energy drinks, our Muscle Monster® product line, our Java Monster® product line, our Espresso Monster® product line, our Caffé Monster® product line, our Monster Hydro® product line and certain of our other products. For example, in recent years, sales of our Java Monster® and Muscle Monster® product lines were adversely impacted by production capacity constraints resulting from production and maintenance issues with certain of our co-packers. While this disruption in production did not significantly affect our revenues, a lengthy disruption or delay in the production of any of our products could significantly adversely affect our revenues from such products, because alternative co-packing facilities in the United States and abroad with adequate long-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term capacity may not be available for such products either at commercially reasonable rates and/or costs and/or within a reasonably short time period, if at all. In addition, recently there has been a consolidation of co-packers. If we are unable to maintain good relationships with our largest co-packers, or if our costs of co-packing increase, our business, financial condition and results of operations could be adversely affected.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Many of our bottlers/distributors are affiliated with and manufacture and/or distribute other soda, carbonated and non-carbonated brands and other beverage products (both alcoholic and non-alcoholic). In many cases, such products compete directly with our products.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Unilateral decisions could be taken by our bottlers/distributors, convenience and gas chains, grocery chains, specialty chain stores, club stores and other customers to discontinue carrying certain or all of our products that they are carrying at any time, which could cause our business to suffer.</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TCCC North American Bottlers, Coca-Cola European Partners, Coca-Cola Hellenic, Coca-Cola FEMSA, Coca-Cola Amatil, Swire Coca-Cola (China), COFCO Coca-Cola, Coca-Cola Beverages Africa and Coca-Cola İçecek are our primary domestic and international distributors of our products. As a result, if we are unable to maintain good relationships with the TCCC North American Bottlers, Coca-Cola European Partners, Coca-Cola Hellenic, Coca-Cola FEMSA, Coca-Cola Amatil, Swire Coca-Cola (China), COFCO Coca-Cola, Coca-Cola Beverages Africa and/or Coca-Cola İçecek; or if the TCCC North American Bottlers, Coca-Cola European Partners, Coca-Cola Hellenic, Coca-Cola FEMSA, Coca-Cola Amatil, Swire Coca-Cola (China), COFCO Coca-Cola, Coca-Cola Beverages Africa and/or Coca-Cola İçecek; do not effectively focus on marketing, promoting, selling and distributing our products, sales of our products could be adversely affected. As TCCC proceeds to launch Coca-Cola Energy in additional territories, we may encounter difficulties in maintaining distributor attention, market share or position in the energy drink category in such territories, which could adversely affect our business and operating results.</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A decision by certain TCCC North American Bottlers (including Coca-Cola Consolidated, Inc. and Reyes Coca-Cola Bottling, LLC), Coca-Cola European Partners, Coca-Cola Hellenic, Coca-Cola FEMSA, Coca-Cola Amatil, Swire Coca-Cola (China), COFCO Coca-Cola, Coca-Cola Beverages Africa, Coca-Cola İçecek, Wal-Mart, Inc. (including Sam’s Club), or any other large customer to decrease the amount purchased from us or to cease carrying our products could have a material adverse effect on our financial condition and consolidated results of operations.</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marketing efforts of our distributors are important for our success. If our brands prove to be less attractive to our existing bottlers and distributors, if we fail to attract additional bottlers and distributors, and/or our bottlers/distributors do not market, promote and distribute our products effectively, our business, financial condition and results of operations could be adversely affected.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Increases in costs and/or shortages of raw materials and/or ingredients and/or fuel and/or costs of co-packing could harm our business.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principal raw materials used by us are aluminum cans, sleek aluminum cans, aluminum cap cans, aluminum cans with re-sealable ends, PET plastic bottles, caps, flavors, juice concentrates, glucose, sugar, sucralose, milk, cream, protein, coffee, tea, cocoa, supplement ingredients and other packaging materials, the costs and availability of which are subject to fluctuations. 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generally do not make such flavors and/or blended concentrates available to other third-party customers. We have identified alternative suppliers for certain of the ingredients contained in many of our beverages. However, industry-wide shortages of certain flavors, fruits and fruit juices, coffee, tea, cocoa, dairy-based products, supplement ingredients and sweeteners have been, and could from time to time in the future be, encountered, which could interfere with and/or delay production of certain of our products. Ingredient sourcing delays following the coronavirus (or COVID-19) outbreak could also interfere with and/or delay production of certain of our products. In addition, certain of our co-packing arrangements allow such co-packers to increase their fees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Although we generally do not use hedging agreements or alternative instruments to manage the risks associated with securing sufficient ingredients or raw materials, from time to time, we, through our aluminum can suppliers, enter into purchase agreements for the purchase of aluminum, as well as enter into purchase agreements for portions of our annual anticipated requirements for certain of our other raw materials such as glucose, sugar and sucralose. In 2018, the United States imposed tariffs on steel and aluminum as well as on goods imported from China and certain other countries. Additional tariffs imposed by the United States on a broader range of imports, or further retaliatory trade measures taken by China or other countries in response, could result in an increase in supply chain costs.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Our failure to accurately estimate demand for our products could adversely affect our business and financial results.</w:t>
      </w:r>
    </w:p>
    <w:p>
      <w:pPr>
        <w:spacing w:after="0" w:line="2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We may not correctly estimate demand for our existing products and/or new products. Our ability to estimate demand for our products is imprecise, particularly with regard to new products, and may be less precise during periods of rapid growth, particularly in new markets. If we materially underestimate demand for our products or are unable to secure sufficient ingredients or raw materials including, but not limited to, aluminum cans, aluminum cap cans, sleek aluminum cans, aluminum cans with re-sealable ends, PET plastic bottles, caps, labels, sucralose, flavors, supplement ingredients, juice concentrates, certain sweeteners, coffee, tea, cocoa, protein and packaging materials or experience difficulties with our co-packing arrangements, including production shortages or quality issues, we might not be able to satisfy demand on a short-term basis. Moreover, industry-wide shortages of certain juice concentrates, supplement ingredients and sweeteners have been and could, from time to time in the future, be experienced, resulting in production fluctuations and/or product shortages.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3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If we do not maintain sufficient inventory levels, if we are unable to deliver our products to our customers in sufficient quantities, and/or if our customers’ or retailers’ inventory levels are too high, our operating results could be adversely affected.</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Many of our packaging supply contracts allow our suppliers to alter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intellectual property rights are critical to our success, and the loss of such rights could materially adversely affect our business.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In 2019, Vital Pharmaceuticals, Inc. (“VPX”) announced its intention to launch its own line of “Reign”-branded energy drinks in 16-ounce cans to be sold in convenience stores. We filed an expedited motion for a preliminary injunction to stop this product launch and to prevent this infringement of our trademarks, and in January 2020 the magistrate judge issued a report and recommendation that the injunction be granted in our favor. A number of proceedings are currently ongoing to adjudicate claims, including claims for false advertising and trademark infringement, brought by the Company against VPX and by VPX against the Company. Certain proceedings could result in an injunction barring us from selling “Reign Total Body Fuel” branded energy drinks and/or require changes to be made to our current trade dress. If we lose some or all of our intellectual property rights, or an injunction prevents us from selling any of our products, our business may be materially adversely affected.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Negative publicity (whether or not warranted) concerning product safety or quality, human and workplace rights, obesity or other issues could damage our brand image and corporate reputation, and may cause our business to suffer.</w:t>
      </w:r>
    </w:p>
    <w:p>
      <w:pPr>
        <w:spacing w:after="0" w:line="15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and human rights will have the desired impact on our products’ brand image and on consumer preferences and demand. Product safety, quality and/or ingredient content issues, efficacy or lack thereof (real or imagined), our environmental impact, or allegations of product contamination, even if false or unfounded, could tarnish the image of the affected brands and may cause consumers to choose other products. Consumer demand for our products could diminish significantly if we, our employees, bottlers/distributors, suppliers or business partners fail to preserve the quality of our products, act or are perceived to act in an unethical, illegal, discriminatory, unequal or socially irresponsible manner, including with respect to the sourcing, content or sale of our products, service and treatment of our customers, or the use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our industry.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our reputation and financial results. The impact of such incidents may be exacerbated if they receive considerable publicity, including rapidly through social or digital media (including for malicious reasons) or result in litigation.</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In addition, from time to time, there are public policy endeavors that are either directly related to our products and packaging or to our business. These public policy debates can occasionally be the subject of backlash from advocacy groups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we sponsor or support. Likewise, campaigns by activists connecting us, or our supply chain, with human and workplace rights or animal rights issues could adversely impact our corporate image and reputation. We have made a number of commitments to respect human rights, including the policies and initiatives described in our California Transparency in Supply Chains Act &amp; United Kingdom Modern Slavery Act statement, available on our website at </w:t>
      </w:r>
      <w:r>
        <w:rPr>
          <w:rFonts w:ascii="Arial" w:cs="Arial" w:eastAsia="Arial" w:hAnsi="Arial"/>
          <w:sz w:val="18"/>
          <w:szCs w:val="18"/>
          <w:u w:val="single" w:color="auto"/>
          <w:color w:val="auto"/>
        </w:rPr>
        <w:t>www.monsterbevcorp.com/sr-transparency.php</w:t>
      </w:r>
      <w:r>
        <w:rPr>
          <w:rFonts w:ascii="Arial" w:cs="Arial" w:eastAsia="Arial" w:hAnsi="Arial"/>
          <w:sz w:val="18"/>
          <w:szCs w:val="18"/>
          <w:color w:val="auto"/>
        </w:rPr>
        <w:t>. Allegations, even if untrue, that we are not respecting one or more of the 30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and adverse publicity surrounding obesity and health concerns related to our products, water usage, environmental impact, labor relations or the like could negatively affect our Company’s overall reputation and brand image, which in turn could have a negative impact on our products’ acceptance by consumers.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If we encounter product recalls, our business may suffer and we may incur material losses.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be required from time to time to recall products entirely or from specific co-packers, markets, retailers or batches if such products become contaminated, damaged, mislabeled or otherwise materially non-compliant with applicable regulatory requirements. A material product recall could adversely affect our profitability and our brand image. We do not maintain recall insurance.</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business is dependent, to a large extent, upon the services of our senior management. We do not maintain key person life insurance on any members of our senior management. The loss of services of either Rodney Sacks, Chairman and Chief Executive Officer, Hilton Schlosberg, Vice Chairman, President and Chief Financial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may negatively affect our business.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While warmer weather has historically been associated with increased sales of our products, changing weather patterns could result in decreased agricultural productivity in certain regions, and/or outbreaks of diseases or other health issues, which may limit availability and/or increase the cost of certain key ingredients, juice concentrates, supplements and other ingredients used in our products and could impact the food security of communities around the world. Increased frequency or duration of extreme weather conditions could also impair production capabilities, disrupt our supply chain (including, without limitation, the availability of, and/or result in higher prices for, juice concentrates, natural flavors and other ingredients) and/or impact demand for our products. Natural disasters and extreme weather conditions, such as hurricanes, wildfires, earthquakes or floods, may affect our operations and the operation of our supply chain, impact the operations of our bottlers/distributors and unfavorably impact our consumers’ ability to purchase our products. The predicted effects of climate change may also result in challenges regarding availability and quality of water, or less favorable pricing for water, which could adversely impact our business and results of operations. In addition, public expectations for reductions in greenhouse gas emissions could result in increased energy, transportation and raw material costs, and may require us to make additional investments in facilities and equipment. As a result, the effects of climate change could have a long-term adverse impact on our business and results of operations. Sales of our products may also be influenced to some extent by weather conditions in the markets in which we operate. We, our bottlers and our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contract packers use a number of key ingredients in the manufacture of our beverage products that are derived from agricultural commodities such as sugar, coffee, tea and cocoa.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Potential changes in accounting standards or practices and/or taxation may adversely affect our financial results.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our effective tax rate could adversely affect our financial condition and results of operations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subject to income and other taxes in both the U.S. and certain foreign jurisdictions. Therefore, we are subject to audits for multiple tax years in various jurisdictions at once.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in various stages of examination with certain states and certain foreign jurisdictions including the United Kingdom and Ireland. Our 2016 through 2018 U.S. federal income tax returns are subject to examination by the IRS. Our state income tax returns are subject to examination for the 2014 through 2018 tax years.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any given time, events may occur which change our expectation about how any such tax audits will be resolved and thus, there could be significant variability in our quarterly and/or annual tax rates, because these events may change our plans for uncertain tax positions.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Additional changes in the U.S. tax regime or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In connection with the OECD’s 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and operating expenses. There can be no assurance that we will achieve any such projected levels or mix of product sales, revenues, gross margins,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2019, the high of our stock price was $66.38 and the low was $47.84.</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Our organizational documents may limit changes in control. Furthermore, as of February 20, 2020, Mr. Sacks and Mr. Schlosberg together may be deemed to beneficially own and/or exercise voting control over approximately 10.1% of our outstanding common stock. As of February 20, 2020, TCCC owned approximately 19% of our common stock. Consequently, Mr. Sacks, Mr. Schlosberg and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investments in marketable securities are subject to risks which may cause losses and affect the liquidity of these investments.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At December 31, 2019, we had $798.0 million in cash and cash equivalents and $546.0 million in short-term and long-term investments. We have historically invested these amounts in U.S. treasuries, certificates of deposit, commercial paper, U.S. government agency securities and municipal securities (which may have an auction reset feature), variable rate demand notes and money market funds meeting certain criteria.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We may be required to record a significant charge to earnings if our goodwill or intangible assets become impaired.</w:t>
      </w:r>
    </w:p>
    <w:p>
      <w:pPr>
        <w:spacing w:after="0" w:line="22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Under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spacing w:after="0" w:line="1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may be required to record a significant charge to earnings during the period in which we determine that our intangible assets have been impaired. Any such charge would adversely impact our results of operations. As of December 31, 2019, our goodwill totaled approximately $1.33 billion and other intangible assets totaled approximately $1.05 billion.</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must continually maintain, protect and/or upgrade our information technology systems, including protecting us from internal and external cybersecurity threats.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technology enables us to operate efficiently, interface with customers, maintain financial accuracy and efficiency and accurately produce our financial statements. If we do not appropriately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internal and external cybersecurity threats. Cybersecurity attacks are evolving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and other forms of electronic security breaches that could lead to disruptions in business systems, an inability to process customer orders and/or lost customer orders, unauthorized release of confidential or otherwise protected information and corruption of data.</w:t>
      </w:r>
    </w:p>
    <w:p>
      <w:pPr>
        <w:spacing w:after="0" w:line="17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which increases our financial, legal, reputational and operational risk. These third parties may experience cybersecurity incidents that may involve data we share with them or rely on them to provide to us.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we have adopted appropriate measures including ongoing cybersecurity risk assessments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If we fail to comply with data privacy and personal data protection laws, we could be subject to adverse publicity, government enforcement actions and/or private litigation, which may negatively impact our business and operating results.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receive, process, transmit and store information relating to certain identified or identifiable individuals (“personal data”), including current and former employees, in the ordinary course of business. As a result, we are subject to various U.S. federal and state and foreign laws and regulations relating to personal data. These laws are subject to change, and new personal data legislation may be enacted in other jurisdictions at any time. In the European Union, the General Data Protection Regulation (“GDPR”) became effective in May 2018 for all member states. The GDPR includes operational requirements for companies receiving or processing personal data of residents of the European Union different from those that were previously in place and also includes significant penalties for noncompliance. Additionally, the California Privacy Act of 2018 (“CCPA”), which was enacted in June 2018 and came into effect on January 1, 2020, provides a new private right of action and statutory damages for certain data breaches and imposes operational requirements on companies that process personal data of California residents, including making new disclosures to consumers about data collection, processing and sharing practices and allowing consumers to opt out of certain data sharing with third parties.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Changes introduced by the GDPR and the CCPA, as well as other changes to existing personal data protection laws and the introduction of such laws in other jurisdictions, subject the Company to, among other things, additional costs and expenses and may require costly changes to our business practices and security systems, policies, procedures and practices. There can be no assurances that our security controls over personal data, training of personnel on data privacy and data security, vendor management processes, and the policies, procedures and practices we implement will prevent the improper processing or breaches of personal data. Data breaches or improper processing, or breaches of personal data in violation of the GDPR, the CCPA and/or of other personal data protection or privacy laws and regulations, could harm our reputation, cause loss of consumer confidence, subject us to government enforcement actions (including fines), or result in private litigation against us, which may result in potential loss of revenue, increased costs, liability for monetary damages or fines and/or criminal prosecution, thereby negatively impacting our business and operating results.</w:t>
      </w:r>
    </w:p>
    <w:p>
      <w:pPr>
        <w:spacing w:after="0" w:line="182"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22" w:lineRule="exact"/>
        <w:rPr>
          <w:sz w:val="20"/>
          <w:szCs w:val="20"/>
          <w:color w:val="auto"/>
        </w:rPr>
      </w:pPr>
    </w:p>
    <w:p>
      <w:pPr>
        <w:jc w:val="center"/>
        <w:ind w:right="756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principal properties include our corporate headquarters as well as our Southern California warehouse and distribution center.</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owned corporate facilities located at 1 Monster Way, Corona, California 92879, consist of (i) an approximately 141,000 square-foot, free-standing, six-story building (ENERGY STAR certified), (ii) an approximately 147,625 square-foot three-story parking structure and storage facility, which houses our approximately 14,000 square-foot quality control laboratory, (iii) an approximately 75,426 square foot, free-standing, three-story building (pursuing ENERGY STAR certification), (iv) an approximately 20,661 square-foot, free-standing, single-story building and (v) an approximately 49,617 square-foot, free-standing, two-story building.</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owned Southern California warehouse and distribution center is located in Rialto, California, consisting of an approximately 1,000,000 square-foot building which is LEED certified.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2019, we acquired a manufacturing plant and adjoining land in Athy, County Kildare, Ireland. We intend to utilize the facility to produce and supply ingredients for certain of our international markets.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2019, we purchased approximately 7.66 acres of land in San Fernando, California. We intend to construct a new production facility on such land in order to consolidate AFF’s operations into a single location.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addition, we lease many smaller office and/or warehouse spaces, both domestically and in certain international locations.</w:t>
      </w:r>
    </w:p>
    <w:p>
      <w:pPr>
        <w:spacing w:after="0" w:line="17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is currently a defendant in a number of personal injury lawsuits, claiming that the death or 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Furthermore, from time to time in the normal course of business, the Company is named in other litigation, including consumer class actions, intellectual property litigation and claims from prior distributors. Although it is not possible 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2019, the Company’s consolidated balance sheet included accrued loss contingencies of approximately $15.5 million.</w:t>
      </w:r>
    </w:p>
    <w:p>
      <w:pPr>
        <w:spacing w:after="0" w:line="19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Company’s common stock trades on the Nasdaq Global Select Market under the same symbol, “MNST”. As of February 20, 2020, there were 536,896,142 shares of the Company’s common stock outstanding held by approximately 193 holders of record. The holders of record do not include those stockholders whose shares are held of record by banks, brokers and other financial institutions.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have not paid cash dividends to our stockholders since our inception and do not anticipate paying cash dividends in the foreseeable future.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August 7, 2018, the Company’s Board of Directors authorized a share repurchase program for the purchase of up to $500.0 million of the Company’s outstanding common stock (the “August 2018 Repurchase Plan”). During the year ended December 31, 2019, the Company purchased 2.9 million shares of common stock at an average purchase price of $54.68 per share, for a total amount of $159.6 million (excluding broker commissions), which exhausted the availability under the August 2018 Repurchase Plan. Such shares are included in common stock in treasury in the accompanying consolidated balance sheet at December 31, 2019.</w:t>
      </w:r>
    </w:p>
    <w:p>
      <w:pPr>
        <w:spacing w:after="0" w:line="19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On February 26, 2019, the Company’s Board of Directors authorized a share repurchase program for the purchase of up to $500.0 million of the Company’s outstanding common stock (the “February 2019 Repurchase Plan”). During the year ended December 31, 2019, the Company purchased 8.1 million shares of common stock at an average purchase price of $57.16 per share, for a total amount of $463.3 million (excluding broker commissions), under the February 2019 Repurchase Plan. Such shares are included in common stock in treasury in the accompanying consolidated balance sheet at December 31, 2019. As of February 28, 2020, $36.6 million remained available for repurchase under the February 2019 Repurchase Plan.</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On November 6, 2019, the Company’s Board of Directors authorized a new share repurchase program for the purchase of up to $500.0 million of the Company’s outstanding common stock (the “November 2019 Repurchase Plan”). No shares were purchased during the year ended December 31, 2019 under the November 2019 Repurchase Plan. As of February 28, 2020, $500.0 million remained available for repurchase under the November 2019 Repurchase 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year ended December 31, 2019, 1.4 million shares of common stock were purchased from employees in lieu of cash payments for options exercised or withholding taxes due for a total amount of $84.5 million. While such purchases are considered common stock repurchases, they are not counted as purchases against our authorized share repurchase programs. Such shares are included in common stock in treasury in the accompanying consolidated balance sheet at December 31, 2019.</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tabular summary reflects the Company’s repurchase activity during the quarter ended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Maximum Number (or</w:t>
            </w:r>
          </w:p>
        </w:tc>
      </w:tr>
      <w:tr>
        <w:trPr>
          <w:trHeight w:val="216"/>
        </w:trPr>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95"/>
              </w:rPr>
              <w:t>Approximate Dollar</w:t>
            </w:r>
          </w:p>
        </w:tc>
      </w:tr>
      <w:tr>
        <w:trPr>
          <w:trHeight w:val="216"/>
        </w:trPr>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20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18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May Yet Be Purchased</w:t>
            </w:r>
          </w:p>
        </w:tc>
      </w:tr>
      <w:tr>
        <w:trPr>
          <w:trHeight w:val="216"/>
        </w:trPr>
        <w:tc>
          <w:tcPr>
            <w:tcW w:w="3360" w:type="dxa"/>
            <w:vAlign w:val="bottom"/>
          </w:tcPr>
          <w:p>
            <w:pPr>
              <w:spacing w:after="0"/>
              <w:rPr>
                <w:sz w:val="18"/>
                <w:szCs w:val="18"/>
                <w:color w:val="auto"/>
              </w:rPr>
            </w:pPr>
          </w:p>
        </w:tc>
        <w:tc>
          <w:tcPr>
            <w:tcW w:w="2080" w:type="dxa"/>
            <w:vAlign w:val="bottom"/>
          </w:tcPr>
          <w:p>
            <w:pPr>
              <w:jc w:val="center"/>
              <w:ind w:left="790"/>
              <w:spacing w:after="0"/>
              <w:rPr>
                <w:sz w:val="20"/>
                <w:szCs w:val="20"/>
                <w:color w:val="auto"/>
              </w:rPr>
            </w:pPr>
            <w:r>
              <w:rPr>
                <w:rFonts w:ascii="Arial" w:cs="Arial" w:eastAsia="Arial" w:hAnsi="Arial"/>
                <w:sz w:val="18"/>
                <w:szCs w:val="18"/>
                <w:color w:val="auto"/>
                <w:w w:val="91"/>
              </w:rPr>
              <w:t>Total Number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as Part of Publicly</w:t>
            </w:r>
          </w:p>
        </w:tc>
        <w:tc>
          <w:tcPr>
            <w:tcW w:w="20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89"/>
              </w:rPr>
              <w:t>Under the Plans or</w:t>
            </w:r>
          </w:p>
        </w:tc>
      </w:tr>
      <w:tr>
        <w:trPr>
          <w:trHeight w:val="216"/>
        </w:trPr>
        <w:tc>
          <w:tcPr>
            <w:tcW w:w="3360" w:type="dxa"/>
            <w:vAlign w:val="bottom"/>
          </w:tcPr>
          <w:p>
            <w:pPr>
              <w:spacing w:after="0"/>
              <w:rPr>
                <w:sz w:val="18"/>
                <w:szCs w:val="18"/>
                <w:color w:val="auto"/>
              </w:rPr>
            </w:pPr>
          </w:p>
        </w:tc>
        <w:tc>
          <w:tcPr>
            <w:tcW w:w="2080" w:type="dxa"/>
            <w:vAlign w:val="bottom"/>
          </w:tcPr>
          <w:p>
            <w:pPr>
              <w:jc w:val="center"/>
              <w:ind w:left="770"/>
              <w:spacing w:after="0"/>
              <w:rPr>
                <w:sz w:val="20"/>
                <w:szCs w:val="20"/>
                <w:color w:val="auto"/>
              </w:rPr>
            </w:pPr>
            <w:r>
              <w:rPr>
                <w:rFonts w:ascii="Arial" w:cs="Arial" w:eastAsia="Arial" w:hAnsi="Arial"/>
                <w:sz w:val="18"/>
                <w:szCs w:val="18"/>
                <w:color w:val="auto"/>
                <w:w w:val="85"/>
              </w:rPr>
              <w:t>of Shares</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w w:val="97"/>
              </w:rPr>
              <w:t>Average Price</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Announced Plans</w:t>
            </w:r>
          </w:p>
        </w:tc>
        <w:tc>
          <w:tcPr>
            <w:tcW w:w="200" w:type="dxa"/>
            <w:vAlign w:val="bottom"/>
          </w:tcPr>
          <w:p>
            <w:pPr>
              <w:spacing w:after="0"/>
              <w:rPr>
                <w:sz w:val="18"/>
                <w:szCs w:val="18"/>
                <w:color w:val="auto"/>
              </w:rPr>
            </w:pPr>
          </w:p>
        </w:tc>
        <w:tc>
          <w:tcPr>
            <w:tcW w:w="1640" w:type="dxa"/>
            <w:vAlign w:val="bottom"/>
          </w:tcPr>
          <w:p>
            <w:pPr>
              <w:jc w:val="center"/>
              <w:ind w:right="10"/>
              <w:spacing w:after="0"/>
              <w:rPr>
                <w:sz w:val="20"/>
                <w:szCs w:val="20"/>
                <w:color w:val="auto"/>
              </w:rPr>
            </w:pPr>
            <w:r>
              <w:rPr>
                <w:rFonts w:ascii="Arial" w:cs="Arial" w:eastAsia="Arial" w:hAnsi="Arial"/>
                <w:sz w:val="18"/>
                <w:szCs w:val="18"/>
                <w:color w:val="auto"/>
                <w:w w:val="90"/>
              </w:rPr>
              <w:t>Programs (In</w:t>
            </w:r>
          </w:p>
        </w:tc>
      </w:tr>
      <w:tr>
        <w:trPr>
          <w:trHeight w:val="230"/>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208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85"/>
              </w:rPr>
              <w:t>Purchased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6"/>
              </w:rPr>
              <w:t>per Share¹</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 Programs</w:t>
            </w: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thousands)²</w:t>
            </w:r>
          </w:p>
        </w:tc>
      </w:tr>
      <w:tr>
        <w:trPr>
          <w:trHeight w:val="195"/>
        </w:trPr>
        <w:tc>
          <w:tcPr>
            <w:tcW w:w="3360" w:type="dxa"/>
            <w:vAlign w:val="bottom"/>
          </w:tcPr>
          <w:p>
            <w:pPr>
              <w:spacing w:after="0" w:line="195" w:lineRule="exact"/>
              <w:rPr>
                <w:sz w:val="20"/>
                <w:szCs w:val="20"/>
                <w:color w:val="auto"/>
              </w:rPr>
            </w:pPr>
            <w:r>
              <w:rPr>
                <w:rFonts w:ascii="Arial" w:cs="Arial" w:eastAsia="Arial" w:hAnsi="Arial"/>
                <w:sz w:val="18"/>
                <w:szCs w:val="18"/>
                <w:color w:val="auto"/>
              </w:rPr>
              <w:t>Oct 1 – Oct 31, 2019</w:t>
            </w:r>
          </w:p>
        </w:tc>
        <w:tc>
          <w:tcPr>
            <w:tcW w:w="20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3,138,415</w:t>
            </w:r>
          </w:p>
        </w:tc>
        <w:tc>
          <w:tcPr>
            <w:tcW w:w="220" w:type="dxa"/>
            <w:vAlign w:val="bottom"/>
          </w:tcPr>
          <w:p>
            <w:pPr>
              <w:ind w:left="100"/>
              <w:spacing w:after="0" w:line="195"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55.67</w:t>
            </w:r>
          </w:p>
        </w:tc>
        <w:tc>
          <w:tcPr>
            <w:tcW w:w="15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3,138,415</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95" w:lineRule="exact"/>
              <w:rPr>
                <w:sz w:val="20"/>
                <w:szCs w:val="20"/>
                <w:color w:val="auto"/>
              </w:rPr>
            </w:pPr>
            <w:r>
              <w:rPr>
                <w:rFonts w:ascii="Arial" w:cs="Arial" w:eastAsia="Arial" w:hAnsi="Arial"/>
                <w:sz w:val="18"/>
                <w:szCs w:val="18"/>
                <w:color w:val="auto"/>
              </w:rPr>
              <w:t>91,479</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November 6, 2019 Authorization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Nov 1 – Nov 30, 2019</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979,601</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56.00</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979,601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536,606</w:t>
            </w:r>
          </w:p>
        </w:tc>
      </w:tr>
    </w:tbl>
    <w:p>
      <w:pPr>
        <w:spacing w:after="0" w:line="2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¹Excluding broker commissions paid.</w:t>
      </w:r>
    </w:p>
    <w:p>
      <w:pPr>
        <w:ind w:left="640"/>
        <w:spacing w:after="0"/>
        <w:rPr>
          <w:sz w:val="20"/>
          <w:szCs w:val="20"/>
          <w:color w:val="auto"/>
        </w:rPr>
      </w:pPr>
      <w:r>
        <w:rPr>
          <w:rFonts w:ascii="Arial" w:cs="Arial" w:eastAsia="Arial" w:hAnsi="Arial"/>
          <w:sz w:val="14"/>
          <w:szCs w:val="14"/>
          <w:color w:val="auto"/>
        </w:rPr>
        <w:t>²Net of broker commissions paid.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94615</wp:posOffset>
            </wp:positionV>
            <wp:extent cx="5265420" cy="3524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5420"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3"/>
          <w:szCs w:val="13"/>
          <w:color w:val="auto"/>
        </w:rPr>
        <w:t>Annual return assumes reinvestment of dividends. Cumulative total return assumes an initial investment of $100 on December 31, 2014. The Company’s self-selected peer</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group is comprised of TCCC, Dr. Pepper Snapple Group, Inc. (through July 9, 2018), Keurig Dr. Pepper Inc. (after July 10, 2018), National Beverage Corporation, Jones Soda Company and PepsiCo, Inc.</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20"/>
          <w:szCs w:val="20"/>
          <w:b w:val="1"/>
          <w:bCs w:val="1"/>
          <w:color w:val="auto"/>
        </w:rPr>
        <w:t>SELECTED FINANCIAL DATA</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consolidated statements of operations data set forth below with respect to each of the fiscal years ended December 31, 2017 through 2019 and the balance sheet data as of December 31, 2019 and 2018,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2015 and 2014 and the balance sheet data as of December 31, 2017, 2016 and 2015 are derived from the Company’s audited consolidated financial statements not included herein.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(in thousands, except</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per share</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information)</w:t>
            </w:r>
          </w:p>
        </w:tc>
        <w:tc>
          <w:tcPr>
            <w:tcW w:w="8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185"/>
        </w:trPr>
        <w:tc>
          <w:tcPr>
            <w:tcW w:w="3600" w:type="dxa"/>
            <w:vAlign w:val="bottom"/>
          </w:tcPr>
          <w:p>
            <w:pPr>
              <w:spacing w:after="0" w:line="186" w:lineRule="exact"/>
              <w:rPr>
                <w:sz w:val="20"/>
                <w:szCs w:val="20"/>
                <w:color w:val="auto"/>
              </w:rPr>
            </w:pPr>
            <w:r>
              <w:rPr>
                <w:rFonts w:ascii="Arial" w:cs="Arial" w:eastAsia="Arial" w:hAnsi="Arial"/>
                <w:sz w:val="15"/>
                <w:szCs w:val="15"/>
                <w:color w:val="auto"/>
              </w:rPr>
              <w:t>Net sales</w:t>
            </w:r>
            <w:r>
              <w:rPr>
                <w:rFonts w:ascii="Arial" w:cs="Arial" w:eastAsia="Arial" w:hAnsi="Arial"/>
                <w:sz w:val="21"/>
                <w:szCs w:val="21"/>
                <w:color w:val="auto"/>
                <w:vertAlign w:val="superscript"/>
              </w:rPr>
              <w:t>1</w:t>
            </w:r>
          </w:p>
        </w:tc>
        <w:tc>
          <w:tcPr>
            <w:tcW w:w="88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line="185" w:lineRule="exact"/>
              <w:rPr>
                <w:sz w:val="20"/>
                <w:szCs w:val="20"/>
                <w:color w:val="auto"/>
              </w:rPr>
            </w:pPr>
            <w:r>
              <w:rPr>
                <w:rFonts w:ascii="Arial" w:cs="Arial" w:eastAsia="Arial" w:hAnsi="Arial"/>
                <w:sz w:val="18"/>
                <w:szCs w:val="18"/>
                <w:color w:val="auto"/>
                <w:w w:val="89"/>
              </w:rPr>
              <w:t>4,200,819</w:t>
            </w:r>
          </w:p>
        </w:tc>
        <w:tc>
          <w:tcPr>
            <w:tcW w:w="28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185" w:lineRule="exact"/>
              <w:rPr>
                <w:sz w:val="20"/>
                <w:szCs w:val="20"/>
                <w:color w:val="auto"/>
              </w:rPr>
            </w:pPr>
            <w:r>
              <w:rPr>
                <w:rFonts w:ascii="Arial" w:cs="Arial" w:eastAsia="Arial" w:hAnsi="Arial"/>
                <w:sz w:val="18"/>
                <w:szCs w:val="18"/>
                <w:color w:val="auto"/>
                <w:w w:val="92"/>
              </w:rPr>
              <w:t>3,807,183</w:t>
            </w:r>
          </w:p>
        </w:tc>
        <w:tc>
          <w:tcPr>
            <w:tcW w:w="28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line="185" w:lineRule="exact"/>
              <w:rPr>
                <w:sz w:val="20"/>
                <w:szCs w:val="20"/>
                <w:color w:val="auto"/>
              </w:rPr>
            </w:pPr>
            <w:r>
              <w:rPr>
                <w:rFonts w:ascii="Arial" w:cs="Arial" w:eastAsia="Arial" w:hAnsi="Arial"/>
                <w:sz w:val="18"/>
                <w:szCs w:val="18"/>
                <w:color w:val="auto"/>
                <w:w w:val="92"/>
              </w:rPr>
              <w:t>3,369,045</w:t>
            </w:r>
          </w:p>
        </w:tc>
        <w:tc>
          <w:tcPr>
            <w:tcW w:w="28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185" w:lineRule="exact"/>
              <w:rPr>
                <w:sz w:val="20"/>
                <w:szCs w:val="20"/>
                <w:color w:val="auto"/>
              </w:rPr>
            </w:pPr>
            <w:r>
              <w:rPr>
                <w:rFonts w:ascii="Arial" w:cs="Arial" w:eastAsia="Arial" w:hAnsi="Arial"/>
                <w:sz w:val="18"/>
                <w:szCs w:val="18"/>
                <w:color w:val="auto"/>
                <w:w w:val="92"/>
              </w:rPr>
              <w:t>3,049,393</w:t>
            </w:r>
          </w:p>
        </w:tc>
        <w:tc>
          <w:tcPr>
            <w:tcW w:w="300" w:type="dxa"/>
            <w:vAlign w:val="bottom"/>
          </w:tcPr>
          <w:p>
            <w:pPr>
              <w:jc w:val="right"/>
              <w:spacing w:after="0" w:line="18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5" w:lineRule="exact"/>
              <w:rPr>
                <w:sz w:val="20"/>
                <w:szCs w:val="20"/>
                <w:color w:val="auto"/>
              </w:rPr>
            </w:pPr>
            <w:r>
              <w:rPr>
                <w:rFonts w:ascii="Arial" w:cs="Arial" w:eastAsia="Arial" w:hAnsi="Arial"/>
                <w:sz w:val="18"/>
                <w:szCs w:val="18"/>
                <w:color w:val="auto"/>
                <w:w w:val="94"/>
              </w:rPr>
              <w:t>2,722,564</w:t>
            </w:r>
          </w:p>
        </w:tc>
      </w:tr>
      <w:tr>
        <w:trPr>
          <w:trHeight w:val="226"/>
        </w:trPr>
        <w:tc>
          <w:tcPr>
            <w:tcW w:w="3600" w:type="dxa"/>
            <w:vAlign w:val="bottom"/>
          </w:tcPr>
          <w:p>
            <w:pPr>
              <w:spacing w:after="0" w:line="226" w:lineRule="exact"/>
              <w:rPr>
                <w:sz w:val="20"/>
                <w:szCs w:val="20"/>
                <w:color w:val="auto"/>
              </w:rPr>
            </w:pPr>
            <w:r>
              <w:rPr>
                <w:rFonts w:ascii="Arial" w:cs="Arial" w:eastAsia="Arial" w:hAnsi="Arial"/>
                <w:sz w:val="17"/>
                <w:szCs w:val="17"/>
                <w:color w:val="auto"/>
              </w:rPr>
              <w:t>Gross profit</w:t>
            </w:r>
            <w:r>
              <w:rPr>
                <w:rFonts w:ascii="Arial" w:cs="Arial" w:eastAsia="Arial" w:hAnsi="Arial"/>
                <w:sz w:val="26"/>
                <w:szCs w:val="26"/>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2,518,585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2,295,375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2"/>
              </w:rPr>
              <w:t>2,137,690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1,942,000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1,632,301</w:t>
            </w:r>
          </w:p>
        </w:tc>
      </w:tr>
      <w:tr>
        <w:trPr>
          <w:trHeight w:val="206"/>
        </w:trPr>
        <w:tc>
          <w:tcPr>
            <w:tcW w:w="3600" w:type="dxa"/>
            <w:vAlign w:val="bottom"/>
          </w:tcPr>
          <w:p>
            <w:pPr>
              <w:spacing w:after="0"/>
              <w:rPr>
                <w:sz w:val="20"/>
                <w:szCs w:val="20"/>
                <w:color w:val="auto"/>
              </w:rPr>
            </w:pPr>
            <w:r>
              <w:rPr>
                <w:rFonts w:ascii="Arial" w:cs="Arial" w:eastAsia="Arial" w:hAnsi="Arial"/>
                <w:sz w:val="18"/>
                <w:szCs w:val="18"/>
                <w:color w:val="auto"/>
              </w:rPr>
              <w:t>Gross profit as a percentage to net sales</w:t>
            </w:r>
          </w:p>
        </w:tc>
        <w:tc>
          <w:tcPr>
            <w:tcW w:w="88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7"/>
                <w:szCs w:val="17"/>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7"/>
                <w:szCs w:val="17"/>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63.7%</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3600" w:type="dxa"/>
            <w:vAlign w:val="bottom"/>
          </w:tcPr>
          <w:p>
            <w:pPr>
              <w:spacing w:after="0" w:line="216" w:lineRule="exact"/>
              <w:rPr>
                <w:sz w:val="20"/>
                <w:szCs w:val="20"/>
                <w:color w:val="auto"/>
              </w:rPr>
            </w:pPr>
            <w:r>
              <w:rPr>
                <w:rFonts w:ascii="Arial" w:cs="Arial" w:eastAsia="Arial" w:hAnsi="Arial"/>
                <w:sz w:val="17"/>
                <w:szCs w:val="17"/>
                <w:color w:val="auto"/>
              </w:rPr>
              <w:t>Operating income</w:t>
            </w:r>
            <w:r>
              <w:rPr>
                <w:rFonts w:ascii="Arial" w:cs="Arial" w:eastAsia="Arial" w:hAnsi="Arial"/>
                <w:sz w:val="25"/>
                <w:szCs w:val="25"/>
                <w:color w:val="auto"/>
                <w:vertAlign w:val="superscript"/>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1,402,939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1,283,619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2"/>
              </w:rPr>
              <w:t>1,198,787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1,085,338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893,653</w:t>
            </w:r>
          </w:p>
        </w:tc>
      </w:tr>
      <w:tr>
        <w:trPr>
          <w:trHeight w:val="226"/>
        </w:trPr>
        <w:tc>
          <w:tcPr>
            <w:tcW w:w="3600" w:type="dxa"/>
            <w:vAlign w:val="bottom"/>
          </w:tcPr>
          <w:p>
            <w:pPr>
              <w:spacing w:after="0" w:line="226" w:lineRule="exact"/>
              <w:rPr>
                <w:sz w:val="20"/>
                <w:szCs w:val="20"/>
                <w:color w:val="auto"/>
              </w:rPr>
            </w:pPr>
            <w:r>
              <w:rPr>
                <w:rFonts w:ascii="Arial" w:cs="Arial" w:eastAsia="Arial" w:hAnsi="Arial"/>
                <w:sz w:val="17"/>
                <w:szCs w:val="17"/>
                <w:color w:val="auto"/>
              </w:rPr>
              <w:t>Net income</w:t>
            </w:r>
            <w:r>
              <w:rPr>
                <w:rFonts w:ascii="Arial" w:cs="Arial" w:eastAsia="Arial" w:hAnsi="Arial"/>
                <w:sz w:val="26"/>
                <w:szCs w:val="26"/>
                <w:color w:val="auto"/>
                <w:vertAlign w:val="superscript"/>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1,107,835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993,004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820,678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712,685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546,733</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Basic</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0.97</w:t>
            </w: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1,343,925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958,163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2"/>
              </w:rPr>
              <w:t>1,203,921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600,530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2,935,375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5,150,352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4,526,891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2"/>
              </w:rPr>
              <w:t>4,791,012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4,153,471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5,571,277</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Stockholders’ equity</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4,171,281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3,610,901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2"/>
              </w:rPr>
              <w:t>3,895,212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3,329,709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4,809,410</w:t>
            </w:r>
          </w:p>
        </w:tc>
      </w:tr>
    </w:tbl>
    <w:p>
      <w:pPr>
        <w:spacing w:after="0" w:line="197" w:lineRule="exact"/>
        <w:rPr>
          <w:sz w:val="20"/>
          <w:szCs w:val="20"/>
          <w:color w:val="auto"/>
        </w:rPr>
      </w:pPr>
    </w:p>
    <w:p>
      <w:pPr>
        <w:ind w:left="320" w:firstLine="3"/>
        <w:spacing w:after="0" w:line="253" w:lineRule="auto"/>
        <w:tabs>
          <w:tab w:leader="none" w:pos="401"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$46.3 million, $44.3 million, $43.4 million, $40.3 million and $62.8 million for the years ended December 31, 2019, 2018, 2017, 2016 and 2015, respectively, related to the recognition of deferred revenue.</w:t>
      </w:r>
    </w:p>
    <w:p>
      <w:pPr>
        <w:spacing w:after="0" w:line="174" w:lineRule="exact"/>
        <w:rPr>
          <w:sz w:val="20"/>
          <w:szCs w:val="20"/>
          <w:color w:val="auto"/>
        </w:rPr>
      </w:pPr>
    </w:p>
    <w:p>
      <w:pPr>
        <w:ind w:left="320" w:firstLine="3"/>
        <w:spacing w:after="0" w:line="199" w:lineRule="auto"/>
        <w:tabs>
          <w:tab w:leader="none" w:pos="440" w:val="left"/>
        </w:tabs>
        <w:numPr>
          <w:ilvl w:val="0"/>
          <w:numId w:val="1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$11.3 million, $26.6 million, $35.4 million, $79.8 million and $224.0 million for the years ended December 31, 2019, 2018, 2017, 2016 and 2015, respectively, related to expenditures attributable to the costs associated with terminating existing distributors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overview provides our perspective on the individual sections of MD&amp;A. MD&amp;A includes the following sections:</w:t>
      </w:r>
    </w:p>
    <w:p>
      <w:pPr>
        <w:spacing w:after="0" w:line="239" w:lineRule="exact"/>
        <w:rPr>
          <w:sz w:val="20"/>
          <w:szCs w:val="20"/>
          <w:color w:val="auto"/>
        </w:rPr>
      </w:pPr>
    </w:p>
    <w:p>
      <w:pPr>
        <w:ind w:left="1000" w:hanging="326"/>
        <w:spacing w:after="0" w:line="247"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 risks</w:t>
      </w:r>
      <w:r>
        <w:rPr>
          <w:rFonts w:ascii="Arial" w:cs="Arial" w:eastAsia="Arial" w:hAnsi="Arial"/>
          <w:sz w:val="20"/>
          <w:szCs w:val="20"/>
          <w:i w:val="1"/>
          <w:iCs w:val="1"/>
          <w:color w:val="auto"/>
        </w:rPr>
        <w:t xml:space="preserve"> </w:t>
      </w:r>
      <w:r>
        <w:rPr>
          <w:rFonts w:ascii="Arial" w:cs="Arial" w:eastAsia="Arial" w:hAnsi="Arial"/>
          <w:sz w:val="20"/>
          <w:szCs w:val="20"/>
          <w:color w:val="auto"/>
        </w:rPr>
        <w:t>facing our Company, stock repurchases, acquisitions and divestitures;</w:t>
      </w:r>
    </w:p>
    <w:p>
      <w:pPr>
        <w:spacing w:after="0" w:line="1" w:lineRule="exact"/>
        <w:rPr>
          <w:rFonts w:ascii="Arial" w:cs="Arial" w:eastAsia="Arial" w:hAnsi="Arial"/>
          <w:sz w:val="20"/>
          <w:szCs w:val="20"/>
          <w:color w:val="auto"/>
        </w:rPr>
      </w:pPr>
    </w:p>
    <w:p>
      <w:pPr>
        <w:ind w:left="1000" w:hanging="326"/>
        <w:spacing w:after="0" w:line="239"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statements;</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1000" w:hanging="326"/>
        <w:spacing w:after="0"/>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ind w:left="1000" w:right="20" w:hanging="326"/>
        <w:spacing w:after="0" w:line="239"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w:t>
      </w:r>
    </w:p>
    <w:p>
      <w:pPr>
        <w:spacing w:after="0" w:line="1" w:lineRule="exact"/>
        <w:rPr>
          <w:rFonts w:ascii="Arial" w:cs="Arial" w:eastAsia="Arial" w:hAnsi="Arial"/>
          <w:sz w:val="20"/>
          <w:szCs w:val="20"/>
          <w:color w:val="auto"/>
        </w:rPr>
      </w:pPr>
    </w:p>
    <w:p>
      <w:pPr>
        <w:ind w:left="1000" w:hanging="326"/>
        <w:spacing w:after="0" w:line="239"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 and</w:t>
      </w:r>
      <w:r>
        <w:rPr>
          <w:rFonts w:ascii="Arial" w:cs="Arial" w:eastAsia="Arial" w:hAnsi="Arial"/>
          <w:sz w:val="20"/>
          <w:szCs w:val="20"/>
          <w:i w:val="1"/>
          <w:iCs w:val="1"/>
          <w:color w:val="auto"/>
        </w:rPr>
        <w:t xml:space="preserve"> </w:t>
      </w:r>
      <w:r>
        <w:rPr>
          <w:rFonts w:ascii="Arial" w:cs="Arial" w:eastAsia="Arial" w:hAnsi="Arial"/>
          <w:sz w:val="20"/>
          <w:szCs w:val="20"/>
          <w:color w:val="auto"/>
        </w:rPr>
        <w:t>estimates including newly issued accounting pronouncements;</w:t>
      </w:r>
    </w:p>
    <w:p>
      <w:pPr>
        <w:spacing w:after="0" w:line="1" w:lineRule="exact"/>
        <w:rPr>
          <w:rFonts w:ascii="Arial" w:cs="Arial" w:eastAsia="Arial" w:hAnsi="Arial"/>
          <w:sz w:val="20"/>
          <w:szCs w:val="20"/>
          <w:color w:val="auto"/>
        </w:rPr>
      </w:pPr>
    </w:p>
    <w:p>
      <w:pPr>
        <w:jc w:val="both"/>
        <w:ind w:left="1000" w:hanging="326"/>
        <w:spacing w:after="0" w:line="239"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risks and 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1000" w:hanging="326"/>
        <w:spacing w:after="0" w:line="244"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“Forward-Looking Statements” and</w:t>
      </w:r>
      <w:r>
        <w:rPr>
          <w:rFonts w:ascii="Arial" w:cs="Arial" w:eastAsia="Arial" w:hAnsi="Arial"/>
          <w:sz w:val="20"/>
          <w:szCs w:val="20"/>
          <w:i w:val="1"/>
          <w:iCs w:val="1"/>
          <w:color w:val="auto"/>
        </w:rPr>
        <w:t xml:space="preserve"> </w:t>
      </w:r>
      <w:r>
        <w:rPr>
          <w:rFonts w:ascii="Arial" w:cs="Arial" w:eastAsia="Arial" w:hAnsi="Arial"/>
          <w:sz w:val="20"/>
          <w:szCs w:val="20"/>
          <w:color w:val="auto"/>
        </w:rPr>
        <w:t>“Part II, Item 7A – Quantitative and Qualitative Disclosures About Market Risks”).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color w:val="auto"/>
        </w:rPr>
        <w:t>Overview</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 concentrates for energy drink beverages, primarily under the following brand names:</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Monster Energy Ultra®</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Monster MAXX®</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Ultra Energy®</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Espresso Monster®</w:t>
            </w:r>
          </w:p>
        </w:tc>
        <w:tc>
          <w:tcPr>
            <w:tcW w:w="4160" w:type="dxa"/>
            <w:vAlign w:val="bottom"/>
            <w:gridSpan w:val="2"/>
          </w:tcPr>
          <w:p>
            <w:pPr>
              <w:ind w:left="1060"/>
              <w:spacing w:after="0"/>
              <w:rPr>
                <w:sz w:val="20"/>
                <w:szCs w:val="20"/>
                <w:color w:val="auto"/>
              </w:rPr>
            </w:pPr>
            <w:r>
              <w:rPr>
                <w:rFonts w:ascii="Arial" w:cs="Arial" w:eastAsia="Arial" w:hAnsi="Arial"/>
                <w:sz w:val="20"/>
                <w:szCs w:val="20"/>
                <w:color w:val="auto"/>
                <w:w w:val="93"/>
              </w:rPr>
              <w:t>●   Play® and Power Play® (stylized)</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Monster Hydro®</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w:t>
            </w:r>
          </w:p>
        </w:tc>
      </w:tr>
      <w:tr>
        <w:trPr>
          <w:trHeight w:val="230"/>
        </w:trPr>
        <w:tc>
          <w:tcPr>
            <w:tcW w:w="4120" w:type="dxa"/>
            <w:vAlign w:val="bottom"/>
            <w:gridSpan w:val="2"/>
          </w:tcPr>
          <w:p>
            <w:pPr>
              <w:spacing w:after="0"/>
              <w:rPr>
                <w:sz w:val="20"/>
                <w:szCs w:val="20"/>
                <w:color w:val="auto"/>
              </w:rPr>
            </w:pPr>
            <w:r>
              <w:rPr>
                <w:rFonts w:ascii="Arial" w:cs="Arial" w:eastAsia="Arial" w:hAnsi="Arial"/>
                <w:sz w:val="20"/>
                <w:szCs w:val="20"/>
                <w:color w:val="auto"/>
              </w:rPr>
              <w:t>●   Monster HydroSport Super Fuel®</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80" w:type="dxa"/>
            <w:vAlign w:val="bottom"/>
          </w:tcPr>
          <w:p>
            <w:pPr>
              <w:ind w:left="120"/>
              <w:spacing w:after="0"/>
              <w:rPr>
                <w:sz w:val="20"/>
                <w:szCs w:val="20"/>
                <w:color w:val="auto"/>
              </w:rPr>
            </w:pPr>
            <w:r>
              <w:rPr>
                <w:rFonts w:ascii="Arial" w:cs="Arial" w:eastAsia="Arial" w:hAnsi="Arial"/>
                <w:sz w:val="20"/>
                <w:szCs w:val="20"/>
                <w:color w:val="auto"/>
              </w:rPr>
              <w:t>Monster Dragon Tea®</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24"/>
        </w:trPr>
        <w:tc>
          <w:tcPr>
            <w:tcW w:w="240" w:type="dxa"/>
            <w:vAlign w:val="bottom"/>
          </w:tcPr>
          <w:p>
            <w:pPr>
              <w:spacing w:after="0" w:line="224" w:lineRule="exact"/>
              <w:rPr>
                <w:sz w:val="20"/>
                <w:szCs w:val="20"/>
                <w:color w:val="auto"/>
              </w:rPr>
            </w:pPr>
            <w:r>
              <w:rPr>
                <w:rFonts w:ascii="Arial" w:cs="Arial" w:eastAsia="Arial" w:hAnsi="Arial"/>
                <w:sz w:val="20"/>
                <w:szCs w:val="20"/>
                <w:color w:val="auto"/>
              </w:rPr>
              <w:t>●</w:t>
            </w:r>
          </w:p>
        </w:tc>
        <w:tc>
          <w:tcPr>
            <w:tcW w:w="3880" w:type="dxa"/>
            <w:vAlign w:val="bottom"/>
          </w:tcPr>
          <w:p>
            <w:pPr>
              <w:ind w:left="120"/>
              <w:spacing w:after="0" w:line="224" w:lineRule="exact"/>
              <w:rPr>
                <w:sz w:val="20"/>
                <w:szCs w:val="20"/>
                <w:color w:val="auto"/>
              </w:rPr>
            </w:pPr>
            <w:r>
              <w:rPr>
                <w:rFonts w:ascii="Arial" w:cs="Arial" w:eastAsia="Arial" w:hAnsi="Arial"/>
                <w:sz w:val="20"/>
                <w:szCs w:val="20"/>
                <w:color w:val="auto"/>
              </w:rPr>
              <w:t>Caffé Monster®</w:t>
            </w:r>
          </w:p>
        </w:tc>
        <w:tc>
          <w:tcPr>
            <w:tcW w:w="1300" w:type="dxa"/>
            <w:vAlign w:val="bottom"/>
          </w:tcPr>
          <w:p>
            <w:pPr>
              <w:ind w:left="1060"/>
              <w:spacing w:after="0" w:line="224" w:lineRule="exact"/>
              <w:rPr>
                <w:sz w:val="20"/>
                <w:szCs w:val="20"/>
                <w:color w:val="auto"/>
              </w:rPr>
            </w:pPr>
            <w:r>
              <w:rPr>
                <w:rFonts w:ascii="Arial" w:cs="Arial" w:eastAsia="Arial" w:hAnsi="Arial"/>
                <w:sz w:val="20"/>
                <w:szCs w:val="20"/>
                <w:color w:val="auto"/>
              </w:rPr>
              <w:t>●</w:t>
            </w:r>
          </w:p>
        </w:tc>
        <w:tc>
          <w:tcPr>
            <w:tcW w:w="2860" w:type="dxa"/>
            <w:vAlign w:val="bottom"/>
          </w:tcPr>
          <w:p>
            <w:pPr>
              <w:ind w:left="120"/>
              <w:spacing w:after="0" w:line="224" w:lineRule="exact"/>
              <w:rPr>
                <w:sz w:val="20"/>
                <w:szCs w:val="20"/>
                <w:color w:val="auto"/>
              </w:rPr>
            </w:pPr>
            <w:r>
              <w:rPr>
                <w:rFonts w:ascii="Arial" w:cs="Arial" w:eastAsia="Arial" w:hAnsi="Arial"/>
                <w:sz w:val="20"/>
                <w:szCs w:val="20"/>
                <w:color w:val="auto"/>
              </w:rPr>
              <w:t>Live+®</w:t>
            </w:r>
          </w:p>
        </w:tc>
      </w:tr>
      <w:tr>
        <w:trPr>
          <w:trHeight w:val="242"/>
        </w:trPr>
        <w:tc>
          <w:tcPr>
            <w:tcW w:w="4120" w:type="dxa"/>
            <w:vAlign w:val="bottom"/>
            <w:gridSpan w:val="2"/>
          </w:tcPr>
          <w:p>
            <w:pPr>
              <w:spacing w:after="0" w:line="242" w:lineRule="exact"/>
              <w:rPr>
                <w:sz w:val="20"/>
                <w:szCs w:val="20"/>
                <w:color w:val="auto"/>
              </w:rPr>
            </w:pPr>
            <w:r>
              <w:rPr>
                <w:rFonts w:ascii="Arial" w:cs="Arial" w:eastAsia="Arial" w:hAnsi="Arial"/>
                <w:sz w:val="19"/>
                <w:szCs w:val="19"/>
                <w:color w:val="auto"/>
              </w:rPr>
              <w:t>●   Reign Total Body Fuel</w:t>
            </w:r>
            <w:r>
              <w:rPr>
                <w:rFonts w:ascii="Arial" w:cs="Arial" w:eastAsia="Arial" w:hAnsi="Arial"/>
                <w:sz w:val="28"/>
                <w:szCs w:val="28"/>
                <w:color w:val="auto"/>
                <w:vertAlign w:val="superscript"/>
              </w:rPr>
              <w:t>TM</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Predator®</w:t>
            </w:r>
          </w:p>
        </w:tc>
      </w:tr>
    </w:tbl>
    <w:p>
      <w:pPr>
        <w:ind w:left="540" w:hanging="369"/>
        <w:spacing w:after="0"/>
        <w:tabs>
          <w:tab w:leader="none" w:pos="5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Reign Inferno</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Thermogenic Fuel</w:t>
      </w:r>
    </w:p>
    <w:p>
      <w:pPr>
        <w:spacing w:after="0" w:line="1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net sales of $4.20 billion for the year ended December 31, 2019 represented record annual net sales. Net sales for the year ended December 31, 2019 were positively impacted by approximately $101.9 million as a result of a price increase effective from November 1, 2018 in the United States (“the U.S. Price Increase”) and effective from February 1, 2019 in Canada (the “Canada Price Increase”), on certain of our Monster Energy® brand energy drinks. Net changes in foreign currency exchange rates had an unfavorable impact on net sales of approximately $69.2 million for the year ended December 31, 2019.</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vast majority of our net sales are derived from our Monster Energy® Drinks segment. Net sales of our Monster Energy® Drinks segment were $3.90 billion for the year ended December 31, 2019. Net sales of our Strategic Brands segment were $274.9 million for the year ended December 31, 2019. Our Monster Energy® Drinks segment represented 92.9% and 91.9% of our net sales for the years ended December 31, 2019 and 2018, respectively. Our Strategic Brands segment represented 6.5% and 7.5% of our net sales for the year ended December 31, 2019 and 2018, respectively. Our Other segment represented 0.5% and 0.6% of our net sales for the years ended December 31, 2019 and 2018, respectively.</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changes in foreign currency exchange rates had an unfavorable impact on net sales in the Monster Energy® Drinks segment of approximately $59.6 million for the year ended December 31, 2019. Net changes in foreign currency exchange rates had an unfavorable impact on net sales in the Strategic Brands segment of approximately $9.6 million for the year ended December 31, 2019.</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growth strategy includes expanding our international business. Gross sales to customers outside the United States amounted to $1.62 billion, $1.36 billion and $1.09 billion for the years ended December 31, 2019, 2018 and 2017, respectively. Such sales were approximately 33%, 31% and 28% of gross sales for the years ended December 31, 2019, 2018 and 2017, respectively.</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customers are primarily full service beverage bottlers/distributors, retail grocery and specialty chains, wholesalers, club stores, mass merchandisers, convenience chains, foodservice customers, value stores, e-commerce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retailers and the military. Percentages of our gross sales to our various customer types for the years ended December 31, 2019, 2018 and 2017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vMerge w:val="restart"/>
          </w:tcPr>
          <w:p>
            <w:pPr>
              <w:spacing w:after="0"/>
              <w:rPr>
                <w:sz w:val="20"/>
                <w:szCs w:val="20"/>
                <w:color w:val="auto"/>
              </w:rPr>
            </w:pPr>
            <w:r>
              <w:rPr>
                <w:rFonts w:ascii="Arial" w:cs="Arial" w:eastAsia="Arial" w:hAnsi="Arial"/>
                <w:sz w:val="18"/>
                <w:szCs w:val="18"/>
                <w:color w:val="auto"/>
              </w:rPr>
              <w:t>U.S. full service bottlers/distributors</w:t>
            </w: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9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96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4"/>
              </w:rPr>
              <w:t>58%</w:t>
            </w: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94"/>
              </w:rPr>
              <w:t>61%</w:t>
            </w:r>
          </w:p>
        </w:tc>
        <w:tc>
          <w:tcPr>
            <w:tcW w:w="96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8"/>
              </w:rPr>
              <w:t>63%</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4"/>
              </w:rPr>
              <w:t>33%</w:t>
            </w:r>
          </w:p>
        </w:tc>
        <w:tc>
          <w:tcPr>
            <w:tcW w:w="1060" w:type="dxa"/>
            <w:vAlign w:val="bottom"/>
          </w:tcPr>
          <w:p>
            <w:pPr>
              <w:jc w:val="center"/>
              <w:spacing w:after="0"/>
              <w:rPr>
                <w:sz w:val="20"/>
                <w:szCs w:val="20"/>
                <w:color w:val="auto"/>
              </w:rPr>
            </w:pPr>
            <w:r>
              <w:rPr>
                <w:rFonts w:ascii="Arial" w:cs="Arial" w:eastAsia="Arial" w:hAnsi="Arial"/>
                <w:sz w:val="18"/>
                <w:szCs w:val="18"/>
                <w:color w:val="auto"/>
                <w:w w:val="94"/>
              </w:rPr>
              <w:t>31%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Club stores, mass merchandisers and e-commerce retailers</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7%</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Retail grocery, specialty chains and wholesalers</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92"/>
              </w:rPr>
              <w:t>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Kalil Bottling Group (until March 5, 2019), Big Geyser, Inc. (until April 5, 2019), Wal-Mart, Inc. (including Sam’s Club) and Costco Wholesale Corporation. A decision by any large customer to decrease amounts purchased from us or to cease carrying our products could have a material negative effect on our financial condition and consolidated results of operations.</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TCCC, through the TCCC Subsidiaries, accounted for approximately 2%, 3% and 18% of our net sales for the years ended December 31, 2019, 2018 and 2017, respectively. As part of TCCC’s North America Refranchising, the territories of certain TCCC Subsidiaries have been transitioned to certain independent TCCC bottlers/distributors and/or TCCC Related Parties. Accordingly, our percentage of net sales to the TCCC Subsidiaries significantly decreased for the years ended December 31, 2019, 2018 and 2017.</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13% of our net sales for the years ended December 31, 2019, 2018 and 2017.</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12% and 6% of the Company’s net sales for the years ended December 31, 2019, 2018 and 2017,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10% and 9% of the Company’s net sales for the years ended December 31, 2019, 2018 and 2017, respectively.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continue to incur expenditures in connection with the development and introduction of new products and flavors.</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16" w:lineRule="exact"/>
        <w:rPr>
          <w:sz w:val="20"/>
          <w:szCs w:val="20"/>
          <w:color w:val="auto"/>
        </w:rPr>
      </w:pPr>
    </w:p>
    <w:p>
      <w:pPr>
        <w:jc w:val="both"/>
        <w:ind w:left="1000" w:hanging="326"/>
        <w:spacing w:after="0" w:line="250" w:lineRule="auto"/>
        <w:tabs>
          <w:tab w:leader="none" w:pos="100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 xml:space="preserve">International Growth </w:t>
      </w:r>
      <w:r>
        <w:rPr>
          <w:rFonts w:ascii="Arial" w:cs="Arial" w:eastAsia="Arial" w:hAnsi="Arial"/>
          <w:sz w:val="20"/>
          <w:szCs w:val="20"/>
          <w:color w:val="auto"/>
        </w:rPr>
        <w:t>– The introduction, development and sustained profitability of our Monster Energy® brand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internationally remains a key value driver for our corporate growth. One or more of our products are distributed in approximately 153 countries and territories worldwide.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000" w:hanging="326"/>
        <w:spacing w:after="0" w:line="228" w:lineRule="auto"/>
        <w:tabs>
          <w:tab w:leader="none" w:pos="1000"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Profitable Growth </w:t>
      </w:r>
      <w:r>
        <w:rPr>
          <w:rFonts w:ascii="Arial" w:cs="Arial" w:eastAsia="Arial" w:hAnsi="Arial"/>
          <w:sz w:val="20"/>
          <w:szCs w:val="20"/>
          <w:color w:val="auto"/>
        </w:rPr>
        <w:t>– We believe “functional” value-added brands supported by marketing and innovation and</w:t>
      </w:r>
      <w:r>
        <w:rPr>
          <w:rFonts w:ascii="Arial" w:cs="Arial" w:eastAsia="Arial" w:hAnsi="Arial"/>
          <w:sz w:val="20"/>
          <w:szCs w:val="20"/>
          <w:i w:val="1"/>
          <w:iCs w:val="1"/>
          <w:color w:val="auto"/>
        </w:rPr>
        <w:t xml:space="preserve"> </w:t>
      </w:r>
      <w:r>
        <w:rPr>
          <w:rFonts w:ascii="Arial" w:cs="Arial" w:eastAsia="Arial" w:hAnsi="Arial"/>
          <w:sz w:val="20"/>
          <w:szCs w:val="20"/>
          <w:color w:val="auto"/>
        </w:rPr>
        <w:t>targeted to a diverse consumer base, drive profitable growth. We continue to broaden our family of products to provide more alternatives to consumers and launched Reign Total Body Fuel</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high performance energy drinks in the first quarter of 2019. We are focused on increasing the profit margins for both our Monster Energy® Drinks segment and our Strategic Brands segment, and believe that tailored branding, packaging, pricing and distribution channel strategies help achieve profitable growth. We are implementing these strategies with a view to continuing profitable growth.</w:t>
      </w:r>
    </w:p>
    <w:p>
      <w:pPr>
        <w:spacing w:after="0" w:line="195" w:lineRule="exact"/>
        <w:rPr>
          <w:rFonts w:ascii="Arial" w:cs="Arial" w:eastAsia="Arial" w:hAnsi="Arial"/>
          <w:sz w:val="20"/>
          <w:szCs w:val="20"/>
          <w:color w:val="auto"/>
        </w:rPr>
      </w:pPr>
    </w:p>
    <w:p>
      <w:pPr>
        <w:jc w:val="both"/>
        <w:ind w:left="1000" w:hanging="326"/>
        <w:spacing w:after="0" w:line="260" w:lineRule="auto"/>
        <w:tabs>
          <w:tab w:leader="none" w:pos="1000"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Cost Management </w:t>
      </w:r>
      <w:r>
        <w:rPr>
          <w:rFonts w:ascii="Arial" w:cs="Arial" w:eastAsia="Arial" w:hAnsi="Arial"/>
          <w:sz w:val="19"/>
          <w:szCs w:val="19"/>
          <w:color w:val="auto"/>
        </w:rPr>
        <w:t>– The principal focus of cost management will continue to be on reducing input procurement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p>
      <w:pPr>
        <w:spacing w:after="0" w:line="180" w:lineRule="exact"/>
        <w:rPr>
          <w:rFonts w:ascii="Arial" w:cs="Arial" w:eastAsia="Arial" w:hAnsi="Arial"/>
          <w:sz w:val="19"/>
          <w:szCs w:val="19"/>
          <w:color w:val="auto"/>
        </w:rPr>
      </w:pPr>
    </w:p>
    <w:p>
      <w:pPr>
        <w:jc w:val="both"/>
        <w:ind w:left="1000" w:hanging="326"/>
        <w:spacing w:after="0" w:line="282"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Efficient Capital Structure </w:t>
      </w:r>
      <w:r>
        <w:rPr>
          <w:rFonts w:ascii="Arial" w:cs="Arial" w:eastAsia="Arial" w:hAnsi="Arial"/>
          <w:sz w:val="18"/>
          <w:szCs w:val="18"/>
          <w:color w:val="auto"/>
        </w:rPr>
        <w:t>– Our capital structure is designed to optimize our working capital in order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that, subject to increases in the costs of certain raw materials being contained, these value drivers, when implemented and/or achieved in the United States and internationally, will result in: (1) improving or maintaining our product gross profit margins; (2) providing additional leverage over time through reduced expenses as a percentage of net operating revenues; and (3) enhancing our cost of capital. The ultimate measure of success is and will be reflected in our current and future results of operations.</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Gross and net sales, gross profit, operating income, net income and net income per share represent key measurements of the above value drivers. These measurements will continue to be a key management focus in 2020 and beyond (See “Part II, Item 7 – Results of Operations – Results of Operations for the Year Ended December 31, 2019, Compared to the Year Ended December 31, 2018”).</w:t>
      </w:r>
    </w:p>
    <w:p>
      <w:pPr>
        <w:spacing w:after="0" w:line="19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As of December 31, 2019, the Company had working capital of $1.66 billion compared to $1.20 billion as of December 31, 2018. The increase in working capital was primarily the result of the $1.12 billion of net income earned during the year ended December 31, 2019. For the year ended December 31, 2019, our net cash provided by operating activities was approximately $1.11 billion as compared to $1.16 billion for the year ended December 31, 2018. Principal uses of cash flows in 2019, were purchases of investments, repurchase of our common stock, development of our Monster Energy® brand internationally and acquisitions of property and equipment. These principal uses of cash flows are expected to be and remain our principal recurring use of cash and working capital funds in the future (See “Part II, Item 7 – Liquidity and Capital Resources”).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Looking forward, our management has identified certain challenges and risks for the beverage industry and the Company, including our significant commercial relationship with TCCC and TCCC’s status as a significant shareholder of the Company, in each case as described above under “Part I, Item 1A – Risk Factors.”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addition, legislation has been proposed and/or adopted at the U.S., state, county and/or municipal level and proposed and/or adopted in certain foreign jurisdictions to restrict the sale of energy drinks (including prohibiting the sale of energy drinks at certain establishments or pursuant to certain governmental programs), limit caffeine content, require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within our energy drink product lines. We continuously strive to meet changing consumer needs through beverage innovation, choice and variety. (See “Part I, Item 1A – Risk Factors”).</w:t>
      </w:r>
    </w:p>
    <w:p>
      <w:pPr>
        <w:spacing w:after="0" w:line="17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addition, other key challenges and risks that could impact our Company’s future financial results include, but are not limited to:</w:t>
      </w:r>
    </w:p>
    <w:p>
      <w:pPr>
        <w:spacing w:after="0" w:line="177" w:lineRule="exact"/>
        <w:rPr>
          <w:sz w:val="20"/>
          <w:szCs w:val="20"/>
          <w:color w:val="auto"/>
        </w:rPr>
      </w:pP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risks associated with the realization of benefits from our relationship with TCCC;</w:t>
      </w:r>
    </w:p>
    <w:p>
      <w:pPr>
        <w:spacing w:after="0" w:line="15" w:lineRule="exact"/>
        <w:rPr>
          <w:rFonts w:ascii="Arial" w:cs="Arial" w:eastAsia="Arial" w:hAnsi="Arial"/>
          <w:sz w:val="20"/>
          <w:szCs w:val="20"/>
          <w:color w:val="auto"/>
        </w:rPr>
      </w:pP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impact of TCCC’s bottlers/distributors distributing Coca-Cola brand energy drinks;</w:t>
      </w: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economic uncertainty in the United States, Europe and other countries in which we operate;</w:t>
      </w: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maintenance of our brand image, product quality and corporate reputation;</w:t>
      </w:r>
    </w:p>
    <w:p>
      <w:pPr>
        <w:jc w:val="both"/>
        <w:ind w:left="1000" w:hanging="326"/>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increasing concern over various environmental, human rights and health matters, including obesity, caffeine consumption and energy drinks generally, and changes in regulation and consumer preferences in response to those concerns;</w:t>
      </w:r>
    </w:p>
    <w:p>
      <w:pPr>
        <w:spacing w:after="0" w:line="1" w:lineRule="exact"/>
        <w:rPr>
          <w:rFonts w:ascii="Arial" w:cs="Arial" w:eastAsia="Arial" w:hAnsi="Arial"/>
          <w:sz w:val="20"/>
          <w:szCs w:val="20"/>
          <w:color w:val="auto"/>
        </w:rPr>
      </w:pPr>
    </w:p>
    <w:p>
      <w:pPr>
        <w:ind w:left="1000" w:hanging="326"/>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“Part I, Item 1 – Business – Sales and Marketing”);</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1000" w:hanging="326"/>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increase in costs of raw materials used by us;</w:t>
      </w:r>
    </w:p>
    <w:p>
      <w:pPr>
        <w:jc w:val="both"/>
        <w:ind w:left="1000" w:hanging="326"/>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restrictions on imports and sources of supply, duties or tariffs, changes in related government regulations and disruptions in the timely import or export of our products and/or ingredients due to port strikes, related labor issues or other importation impediments;</w:t>
      </w:r>
    </w:p>
    <w:p>
      <w:pPr>
        <w:spacing w:after="0" w:line="1" w:lineRule="exact"/>
        <w:rPr>
          <w:rFonts w:ascii="Arial" w:cs="Arial" w:eastAsia="Arial" w:hAnsi="Arial"/>
          <w:sz w:val="20"/>
          <w:szCs w:val="20"/>
          <w:color w:val="auto"/>
        </w:rPr>
      </w:pPr>
    </w:p>
    <w:p>
      <w:pPr>
        <w:ind w:left="1000" w:hanging="326"/>
        <w:spacing w:after="0" w:line="26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protection of our existing intellectual property portfolio of trademarks and copyrights and the continuous pursuit to develop and protect new and innovative trademarks and copyrights for our expanding product lines;</w:t>
      </w:r>
    </w:p>
    <w:p>
      <w:pPr>
        <w:ind w:left="1000" w:hanging="326"/>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limitations on available quantities of aluminum cans in general as well as certain package containers and lids such as the aluminum 24-ounce cap can and resealable lids;</w:t>
      </w:r>
    </w:p>
    <w:p>
      <w:pPr>
        <w:spacing w:after="0" w:line="1" w:lineRule="exact"/>
        <w:rPr>
          <w:rFonts w:ascii="Arial" w:cs="Arial" w:eastAsia="Arial" w:hAnsi="Arial"/>
          <w:sz w:val="20"/>
          <w:szCs w:val="20"/>
          <w:color w:val="auto"/>
        </w:rPr>
      </w:pPr>
    </w:p>
    <w:p>
      <w:pPr>
        <w:ind w:left="1000" w:right="20" w:hanging="326"/>
        <w:spacing w:after="0" w:line="244"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limitations on co-packing availability, particularly for retort production as well for 550ml products utilizing BRE resealable lids;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000" w:hanging="326"/>
        <w:spacing w:after="0"/>
        <w:tabs>
          <w:tab w:leader="none" w:pos="10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impact of Brexit on our business in Europe and the United Kingdom; and</w:t>
      </w:r>
    </w:p>
    <w:p>
      <w:pPr>
        <w:spacing w:after="0" w:line="15" w:lineRule="exact"/>
        <w:rPr>
          <w:rFonts w:ascii="Arial" w:cs="Arial" w:eastAsia="Arial" w:hAnsi="Arial"/>
          <w:sz w:val="20"/>
          <w:szCs w:val="20"/>
          <w:color w:val="auto"/>
        </w:rPr>
      </w:pPr>
    </w:p>
    <w:p>
      <w:pPr>
        <w:jc w:val="both"/>
        <w:ind w:left="1000" w:right="20" w:hanging="326"/>
        <w:spacing w:after="0" w:line="241" w:lineRule="auto"/>
        <w:tabs>
          <w:tab w:leader="none" w:pos="10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“Part I, Item 1A – Risk Factors” for additional information about risks and uncertainties facing our Company.</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16" w:lineRule="exact"/>
        <w:rPr>
          <w:sz w:val="20"/>
          <w:szCs w:val="20"/>
          <w:color w:val="auto"/>
        </w:rPr>
      </w:pP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domestic and international growth potential of our products;</w:t>
      </w:r>
    </w:p>
    <w:p>
      <w:pPr>
        <w:spacing w:after="0" w:line="15" w:lineRule="exact"/>
        <w:rPr>
          <w:rFonts w:ascii="Arial" w:cs="Arial" w:eastAsia="Arial" w:hAnsi="Arial"/>
          <w:sz w:val="20"/>
          <w:szCs w:val="20"/>
          <w:color w:val="auto"/>
        </w:rPr>
      </w:pP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growth potential of the energy drink category, both domestically and internationally;</w:t>
      </w:r>
    </w:p>
    <w:p>
      <w:pPr>
        <w:ind w:left="1000" w:hanging="326"/>
        <w:spacing w:after="0" w:line="239" w:lineRule="auto"/>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planned and future new product and product line introductions with the objective of increasing sales and/or contributing to higher profitability;</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introduction of new package formats designed to generate strong revenue growth;</w:t>
      </w: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package, pricing and channel opportunities to increase profitable growth;</w:t>
      </w: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effective strategic positioning to capitalize on industry growth;</w:t>
      </w: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ind w:left="1000" w:hanging="326"/>
        <w:spacing w:after="0" w:line="239" w:lineRule="auto"/>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launching and/or relaunching our products and new products into new domestic and international markets and channels; and</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continued focus on reducing our cost base.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3" w:name="page44"/>
    <w:bookmarkEnd w:id="43"/>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following table sets forth key statistics for the years ended December 31, 2019, 2018 and 2017, respectively.</w:t>
      </w:r>
    </w:p>
    <w:p>
      <w:pPr>
        <w:spacing w:after="0" w:line="251"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4780" w:type="dxa"/>
            <w:vAlign w:val="bottom"/>
            <w:vMerge w:val="restart"/>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27"/>
                <w:szCs w:val="27"/>
                <w:color w:val="auto"/>
                <w:vertAlign w:val="superscript"/>
              </w:rPr>
              <w:t>1</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19 vs. 18</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18 vs. 17</w:t>
            </w:r>
          </w:p>
        </w:tc>
        <w:tc>
          <w:tcPr>
            <w:tcW w:w="0" w:type="dxa"/>
            <w:vAlign w:val="bottom"/>
          </w:tcPr>
          <w:p>
            <w:pPr>
              <w:spacing w:after="0"/>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4,200,819</w:t>
            </w:r>
          </w:p>
        </w:tc>
        <w:tc>
          <w:tcPr>
            <w:tcW w:w="14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2"/>
              </w:rPr>
              <w:t>3,807,183</w:t>
            </w:r>
          </w:p>
        </w:tc>
        <w:tc>
          <w:tcPr>
            <w:tcW w:w="16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2"/>
              </w:rPr>
              <w:t>3,369,045</w:t>
            </w:r>
          </w:p>
        </w:tc>
        <w:tc>
          <w:tcPr>
            <w:tcW w:w="160" w:type="dxa"/>
            <w:vAlign w:val="bottom"/>
          </w:tcPr>
          <w:p>
            <w:pPr>
              <w:spacing w:after="0"/>
              <w:rPr>
                <w:sz w:val="16"/>
                <w:szCs w:val="16"/>
                <w:color w:val="auto"/>
              </w:rPr>
            </w:pPr>
          </w:p>
        </w:tc>
        <w:tc>
          <w:tcPr>
            <w:tcW w:w="9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10.3%</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1,682,234</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1,511,808</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1,231,355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11.3%</w:t>
            </w: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5"/>
        </w:trPr>
        <w:tc>
          <w:tcPr>
            <w:tcW w:w="4780" w:type="dxa"/>
            <w:vAlign w:val="bottom"/>
          </w:tcPr>
          <w:p>
            <w:pPr>
              <w:spacing w:after="0" w:line="195" w:lineRule="exact"/>
              <w:rPr>
                <w:sz w:val="20"/>
                <w:szCs w:val="20"/>
                <w:color w:val="auto"/>
              </w:rPr>
            </w:pPr>
            <w:r>
              <w:rPr>
                <w:rFonts w:ascii="Arial" w:cs="Arial" w:eastAsia="Arial" w:hAnsi="Arial"/>
                <w:sz w:val="15"/>
                <w:szCs w:val="15"/>
                <w:color w:val="auto"/>
              </w:rPr>
              <w:t>Gross profit*</w:t>
            </w:r>
            <w:r>
              <w:rPr>
                <w:rFonts w:ascii="Arial" w:cs="Arial" w:eastAsia="Arial" w:hAnsi="Arial"/>
                <w:sz w:val="22"/>
                <w:szCs w:val="22"/>
                <w:color w:val="auto"/>
                <w:vertAlign w:val="superscript"/>
              </w:rPr>
              <w:t>1</w:t>
            </w:r>
          </w:p>
        </w:tc>
        <w:tc>
          <w:tcPr>
            <w:tcW w:w="16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2,518,585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2"/>
              </w:rPr>
              <w:t>2,295,375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2"/>
              </w:rPr>
              <w:t>2,137,690</w:t>
            </w:r>
          </w:p>
        </w:tc>
        <w:tc>
          <w:tcPr>
            <w:tcW w:w="112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9.7%</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8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7"/>
                <w:szCs w:val="27"/>
                <w:color w:val="auto"/>
                <w:vertAlign w:val="superscript"/>
              </w:rPr>
              <w:t>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1,115,646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1,011,756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938,903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10.3%</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78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7"/>
                <w:szCs w:val="27"/>
                <w:color w:val="auto"/>
                <w:vertAlign w:val="superscript"/>
              </w:rPr>
              <w:t>1,2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1,402,939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1,283,619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1,198,787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34.9%</w:t>
            </w:r>
          </w:p>
        </w:tc>
        <w:tc>
          <w:tcPr>
            <w:tcW w:w="940" w:type="dxa"/>
            <w:vAlign w:val="bottom"/>
          </w:tcPr>
          <w:p>
            <w:pPr>
              <w:jc w:val="right"/>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538"/>
        </w:trPr>
        <w:tc>
          <w:tcPr>
            <w:tcW w:w="4780" w:type="dxa"/>
            <w:vAlign w:val="bottom"/>
          </w:tcPr>
          <w:p>
            <w:pPr>
              <w:spacing w:after="0"/>
              <w:rPr>
                <w:sz w:val="20"/>
                <w:szCs w:val="20"/>
                <w:color w:val="auto"/>
              </w:rPr>
            </w:pPr>
            <w:r>
              <w:rPr>
                <w:rFonts w:ascii="Arial" w:cs="Arial" w:eastAsia="Arial" w:hAnsi="Arial"/>
                <w:sz w:val="18"/>
                <w:szCs w:val="18"/>
                <w:color w:val="auto"/>
              </w:rPr>
              <w:t>Income before provision for income taxes</w:t>
            </w:r>
            <w:r>
              <w:rPr>
                <w:rFonts w:ascii="Arial" w:cs="Arial" w:eastAsia="Arial" w:hAnsi="Arial"/>
                <w:sz w:val="27"/>
                <w:szCs w:val="27"/>
                <w:color w:val="auto"/>
                <w:vertAlign w:val="superscript"/>
              </w:rPr>
              <w:t>1,2</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1,415,962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1,293,272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1,201,623</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9.5%</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0"/>
        </w:trPr>
        <w:tc>
          <w:tcPr>
            <w:tcW w:w="4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308,127</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300,268</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380,945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9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426"/>
        </w:trPr>
        <w:tc>
          <w:tcPr>
            <w:tcW w:w="478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27"/>
                <w:szCs w:val="27"/>
                <w:color w:val="auto"/>
                <w:vertAlign w:val="superscript"/>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1,107,835</w:t>
            </w:r>
          </w:p>
        </w:tc>
        <w:tc>
          <w:tcPr>
            <w:tcW w:w="14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993,004</w:t>
            </w:r>
          </w:p>
        </w:tc>
        <w:tc>
          <w:tcPr>
            <w:tcW w:w="1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820,678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11.6%</w:t>
            </w:r>
          </w:p>
        </w:tc>
        <w:tc>
          <w:tcPr>
            <w:tcW w:w="9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7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14.6%</w:t>
            </w:r>
          </w:p>
        </w:tc>
        <w:tc>
          <w:tcPr>
            <w:tcW w:w="9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15.2%</w:t>
            </w: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432"/>
        </w:trPr>
        <w:tc>
          <w:tcPr>
            <w:tcW w:w="4780" w:type="dxa"/>
            <w:vAlign w:val="bottom"/>
          </w:tcPr>
          <w:p>
            <w:pPr>
              <w:spacing w:after="0" w:line="207" w:lineRule="exact"/>
              <w:rPr>
                <w:sz w:val="20"/>
                <w:szCs w:val="20"/>
                <w:color w:val="auto"/>
              </w:rPr>
            </w:pPr>
            <w:r>
              <w:rPr>
                <w:rFonts w:ascii="Arial" w:cs="Arial" w:eastAsia="Arial" w:hAnsi="Arial"/>
                <w:sz w:val="18"/>
                <w:szCs w:val="18"/>
                <w:color w:val="auto"/>
              </w:rPr>
              <w:t>Case sales (in thousands) (in 192</w:t>
            </w:r>
            <w:r>
              <w:rPr>
                <w:rFonts w:ascii="MS PGothic" w:cs="MS PGothic" w:eastAsia="MS PGothic" w:hAnsi="MS PGothic"/>
                <w:sz w:val="18"/>
                <w:szCs w:val="18"/>
                <w:color w:val="auto"/>
              </w:rPr>
              <w:t>‑</w:t>
            </w:r>
            <w:r>
              <w:rPr>
                <w:rFonts w:ascii="Arial" w:cs="Arial" w:eastAsia="Arial" w:hAnsi="Arial"/>
                <w:sz w:val="18"/>
                <w:szCs w:val="18"/>
                <w:color w:val="auto"/>
              </w:rPr>
              <w:t>ounce case equivalents)</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448,770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410,886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359,957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9.2%</w:t>
            </w: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¹ Includes $46.3 million, $44.3 million and $43.4 million for the years ended December 31, 2019, 2018 and 2017, respectively, related to the recognition of deferred revenue.</w:t>
      </w:r>
    </w:p>
    <w:p>
      <w:pPr>
        <w:spacing w:after="0" w:line="179" w:lineRule="exact"/>
        <w:rPr>
          <w:sz w:val="20"/>
          <w:szCs w:val="20"/>
          <w:color w:val="auto"/>
        </w:rPr>
      </w:pPr>
    </w:p>
    <w:p>
      <w:pPr>
        <w:ind w:left="81" w:hanging="81"/>
        <w:spacing w:after="0"/>
        <w:tabs>
          <w:tab w:leader="none" w:pos="81"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$11.3 million, $26.6 million and $35.4 million for the years ended December 31, 2019, 2018 and 2017, respectively, related to distributor termination costs.</w:t>
      </w:r>
    </w:p>
    <w:p>
      <w:pPr>
        <w:spacing w:after="0" w:line="182" w:lineRule="exact"/>
        <w:rPr>
          <w:sz w:val="20"/>
          <w:szCs w:val="20"/>
          <w:color w:val="auto"/>
        </w:rPr>
      </w:pPr>
    </w:p>
    <w:p>
      <w:pPr>
        <w:jc w:val="both"/>
        <w:ind w:left="1"/>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5" w:lineRule="exact"/>
        <w:rPr>
          <w:sz w:val="20"/>
          <w:szCs w:val="20"/>
          <w:color w:val="auto"/>
        </w:rPr>
      </w:pPr>
    </w:p>
    <w:p>
      <w:pPr>
        <w:ind w:left="1"/>
        <w:spacing w:after="0"/>
        <w:rPr>
          <w:sz w:val="20"/>
          <w:szCs w:val="20"/>
          <w:color w:val="auto"/>
        </w:rPr>
      </w:pPr>
      <w:r>
        <w:rPr>
          <w:rFonts w:ascii="Arial" w:cs="Arial" w:eastAsia="Arial" w:hAnsi="Arial"/>
          <w:sz w:val="19"/>
          <w:szCs w:val="19"/>
          <w:b w:val="1"/>
          <w:bCs w:val="1"/>
          <w:i w:val="1"/>
          <w:iCs w:val="1"/>
          <w:color w:val="auto"/>
        </w:rPr>
        <w:t>Results of Operations for the Year Ended December 31, 2019 Compared to the Year Ended December 31, 2018.</w:t>
      </w:r>
    </w:p>
    <w:p>
      <w:pPr>
        <w:spacing w:after="0" w:line="227" w:lineRule="exact"/>
        <w:rPr>
          <w:sz w:val="20"/>
          <w:szCs w:val="20"/>
          <w:color w:val="auto"/>
        </w:rPr>
      </w:pPr>
    </w:p>
    <w:p>
      <w:pPr>
        <w:jc w:val="both"/>
        <w:ind w:left="1" w:firstLine="648"/>
        <w:spacing w:after="0" w:line="27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$4.20 billion for the year ended December 31, 2019, an increase of approximately $393.6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10.3% higher than net sales of $3.81 billion for the year ended December 31, 2018. Net sales for the year ended December 31, 2019 were positively impacted by approximately $101.9 million as a result of the U.S. Price Increase and the Canada Price Increase, on certain of our Monster Energy® brand energy drinks. Net changes in foreign currency exchange rates had an unfavorable impact on net sales of approximately $69.2 million for the year ended December 31, 2019.</w:t>
      </w:r>
    </w:p>
    <w:p>
      <w:pPr>
        <w:spacing w:after="0" w:line="165" w:lineRule="exact"/>
        <w:rPr>
          <w:sz w:val="20"/>
          <w:szCs w:val="20"/>
          <w:color w:val="auto"/>
        </w:rPr>
      </w:pPr>
    </w:p>
    <w:p>
      <w:pPr>
        <w:jc w:val="both"/>
        <w:ind w:left="1" w:firstLine="648"/>
        <w:spacing w:after="0" w:line="316" w:lineRule="auto"/>
        <w:rPr>
          <w:sz w:val="20"/>
          <w:szCs w:val="20"/>
          <w:color w:val="auto"/>
        </w:rPr>
      </w:pPr>
      <w:r>
        <w:rPr>
          <w:rFonts w:ascii="Arial" w:cs="Arial" w:eastAsia="Arial" w:hAnsi="Arial"/>
          <w:sz w:val="18"/>
          <w:szCs w:val="18"/>
          <w:color w:val="auto"/>
        </w:rPr>
        <w:t>Net sales for the Monster Energy® Drinks segment were $3.90 billion for the year ended December 31, 2019, an increase of approximately $405.6 million, or 11.6% higher than net sales of $3.50 billion for the year ended December 31,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2018. Net sales for the Monster Energy® Drinks segment increased primarily due to (i) sales of our Reign Total Body Fuel</w:t>
      </w:r>
      <w:r>
        <w:rPr>
          <w:rFonts w:ascii="Arial" w:cs="Arial" w:eastAsia="Arial" w:hAnsi="Arial"/>
          <w:sz w:val="28"/>
          <w:szCs w:val="28"/>
          <w:color w:val="auto"/>
          <w:vertAlign w:val="superscript"/>
        </w:rPr>
        <w:t>TM</w:t>
      </w:r>
      <w:r>
        <w:rPr>
          <w:rFonts w:ascii="Arial" w:cs="Arial" w:eastAsia="Arial" w:hAnsi="Arial"/>
          <w:sz w:val="19"/>
          <w:szCs w:val="19"/>
          <w:color w:val="auto"/>
        </w:rPr>
        <w:t xml:space="preserve"> high performance energy drinks, introduced in the first quarter of 2019, (ii) the price increases described above, and (iii) increased worldwide sales by volume of our Monster Energy® brand energy drinks as a result of increased consumer demand. Net changes in foreign currency exchange rates had an unfavorable impact on net sales for the Monster Energy® Drinks segment of approximately $59.6 million for the year ended December 31, 2019.</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Strategic Brands segment were $274.9 million for the year ended December 31, 2019, a decrease of approximately $10.9 million, or 3.8% lower than net sales of $285.8 million for the year ended December 31, 2018. Net changes in foreign currency exchange rates had an unfavorable impact on net sales for the Strategic Brands segment of approximately $9.6 million for the year ended December 31, 2019.</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$21.9 million for the year ended December 31, 2019, a decrease of approximately $1.1 million, or 4.6% lower than net sales of $22.9 million for the year ended December 31, 2018.</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Case sales, in 192-ounce case equivalents, were 448.8 million cases for the year ended December 31, 2019, an increase of approximately 37.9 million cases or 9.2% higher than case sales of 410.9 million cases for the year ended December 31, 2018. The overall average net sales per case (excluding net sales of AFF Third-Party Products of $21.9 million and $22.9 million for the years ended December 31, 2019 and 2018, respectively, as these sales do not have unit case equivalents) increased to $9.31 for the year ended December 31, 2019, which was 1.1% higher than the average net sales per case of $9.21 for the year ended December 31, 2018. The increase in the average net sales per case was primarily attributable to a price increase effective from November 1, 2018 in the United States and effective from February 1, 2019 in Canada, on certain of our Monster Energy® brand energy drinks.</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$2.52 billion for the year ended December 31, 2019, an increase of approximately</w:t>
      </w:r>
      <w:r>
        <w:rPr>
          <w:rFonts w:ascii="Arial" w:cs="Arial" w:eastAsia="Arial" w:hAnsi="Arial"/>
          <w:sz w:val="20"/>
          <w:szCs w:val="20"/>
          <w:i w:val="1"/>
          <w:iCs w:val="1"/>
          <w:color w:val="auto"/>
        </w:rPr>
        <w:t xml:space="preserve"> </w:t>
      </w:r>
      <w:r>
        <w:rPr>
          <w:rFonts w:ascii="Arial" w:cs="Arial" w:eastAsia="Arial" w:hAnsi="Arial"/>
          <w:sz w:val="20"/>
          <w:szCs w:val="20"/>
          <w:color w:val="auto"/>
        </w:rPr>
        <w:t>$223.2 million, or 9.7% higher than the gross profit of $2.30 billion for the year ended December 31, 2018. The increase in gross profit dollars was primarily the result of the $405.6 million increase in net sales of our Monster Energy® Drinks segment for the year ended December 31, 2019.</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Gross profit as a percentage of net sales decreased to 60.0% for the year ended December 31, 2019 from 60.3% for the year ended December 31, 2018. The decrease for the year ended December 31, 2019 was primarily the result of geographical and product sales mix. Such decrease was partially offset by the sales price increases discussed above.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$1.12 billion for the year ended December 31, 2019, an increase</w:t>
      </w:r>
      <w:r>
        <w:rPr>
          <w:rFonts w:ascii="Arial" w:cs="Arial" w:eastAsia="Arial" w:hAnsi="Arial"/>
          <w:sz w:val="19"/>
          <w:szCs w:val="19"/>
          <w:i w:val="1"/>
          <w:iCs w:val="1"/>
          <w:color w:val="auto"/>
        </w:rPr>
        <w:t xml:space="preserve"> </w:t>
      </w:r>
      <w:r>
        <w:rPr>
          <w:rFonts w:ascii="Arial" w:cs="Arial" w:eastAsia="Arial" w:hAnsi="Arial"/>
          <w:sz w:val="19"/>
          <w:szCs w:val="19"/>
          <w:color w:val="auto"/>
        </w:rPr>
        <w:t>of approximately $103.9 million, or 10.3% higher than total operating expenses of $1.01 billion for the year ended December 31, 2018. The increase in operating expenses was primarily due to increased payroll expenses of $36.0 million (of which $6.2 million was related to an increase in stock-based compensation), increased expenditures of $25.1 million for professional service fees, including legal and accounting costs, increased expenditures of $13.4 million for sponsorships and endorsements, and increased expenditures of $19.1 million in other marketing expenses. The increase in operating expenses was partially offset by decreased expenditures of $15.4 million related to the costs associated with distributor terminations. Operating expenses for the year ended December 31, 2019 included a $15.5 million provision in connection with an intellectual property claim brought by the descendants of Hubert Hansen in relation to the Company’s use of the Hubert Hansen name prior to the transaction with TCCC, that closed in 2015.</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$1.40 billion for the year ended December 31, 2019,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$119.3 million, or 9.3% higher than operating income of $1.28 billion for the year ended December 31, 2018. Operating income as a percentage of net sales was 33.4% and 33.7% for the years ended December 31, 2019 and December 31, 2018, respectively. Operating income was $229.2 million and $180.8 million for the years ended December 31, 2019 and 2018, respectively, in connection with our operations in Europe, Middle East and Africa (“EMEA”), Asia Pacific and South America.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Operating income* for the Monster Energy® Drinks segment was $1.57 billion for the year ended December 31, 2019, an increase of approximately $195.0 million, or 14.2% higher than operating income of $1.37 billion for the year ended December 31, 2018. The increase in operating income for the Monster Energy® Drinks segment was primarily the result of the $405.6 million increase in net sales of our Monster Energy® Drinks segment for the year ended December 31, 2019.</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Operating income* for the Strategic Brands segment was $164.1 million for the year ended December 31, 2019, a decrease of approximately $12.5 million, or 7.1% lower than operating income of $176.5 million for the year ended December 31, 2018.</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Operating income* for the Other segment was $3.7 million for the year ended December 31, 2019, a decrease of approximately $1.7 million, or 31.9% lower than operating income of $5.4 million for the year ended December 31, 2018.</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*Exclusive of corporate and unallocated expenses.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non-operating income, net, was $13.0 million for the year ended December 31,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other non-operating income, net, of $9.7 million for the year ended December 31, 2018. Foreign currency transaction losses were $4.1 million and $4.0 million for the years ended December 31, 2019 and 2018, respectively. Interest income was $17.8 million and $13.8 million for the years ended December 31, 2019 and 2018, respectively.</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$308.1 million for the year ended December 31, 2019, an</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 of $7.9 million, or 2.6% higher than the provision for income taxes of $300.3 million for the year ended December 31, 2018. The effective combined federal, state and foreign tax rate decreased to 21.8% from 23.2% for the year ended December 31, 2019 and 2018, respectively. The decrease in effective tax rate was primarily attributable to an increase in equity compensation deductions. The decrease in the effective tax rate was partially offset by increased income taxes in certain foreign jurisdictions.</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$1.11 billion for the year ended December 31, 2019, an increase of $114.8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11.6% higher than net income of $993.0 million for the year ended December 31, 2018. The increase in net income was primarily due to the $223.2 million increase in gross profit. The increase in net income was partially offset by the increase in operating expenses of $103.9 million and an increase in the provision for income taxes of $7.9 million.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Year Ended December 31, 2018 Compared to the Year Ended December 31, 2017.</w:t>
      </w:r>
    </w:p>
    <w:p>
      <w:pPr>
        <w:spacing w:after="0" w:line="22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Net Sales. </w:t>
      </w:r>
      <w:r>
        <w:rPr>
          <w:rFonts w:ascii="Arial" w:cs="Arial" w:eastAsia="Arial" w:hAnsi="Arial"/>
          <w:sz w:val="20"/>
          <w:szCs w:val="20"/>
          <w:color w:val="auto"/>
        </w:rPr>
        <w:t>Net sales were $3.81 billion for the year ended December 31, 2018, an increase of approximately $438.1</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or 13.0% higher than net sales of $3.37 billion for the year ended December 31, 2017. Net sales for the year ended December 31, 2018 were negatively impacted by approximately $42.2 million as a result of the adoption of ASC 606. Net changes in foreign currency exchange rates had a favorable impact on net sales of approximately $14.8 million for the year ended December 31, 2018.</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Net sales for the Monster Energy® Drinks segment were $3.50 billion for the year ended December 31, 2018, an increase of approximately $450.8 million, or 14.8% higher than net sales of $3.05 billion for the year ended December 31, 2017. Net sales for the Monster Energy® Drinks segment for the year ended December 31, 2018 were negatively impacted by approximately $17.4 million as a result of the adoption of ASC 606. Net changes in foreign currency exchange rates had a favorable impact on net sales for the Monster Energy® Drinks segment of approximately $14.6 million for the year ended December 31, 2018. Net sales for the Monster Energy® Drinks segment increased primarily due to increased sales by volume of our Monster Energy® brand energy drinks as a result of increased domestic and international consumer demand.</w:t>
      </w:r>
    </w:p>
    <w:p>
      <w:pPr>
        <w:spacing w:after="0" w:line="16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Net sales for the Strategic Brands segment were $285.8 million for the year ended December 31, 2018, a decrease of approximately $14.0 million, or 4.7% lower than net sales of $299.8 million for the year ended December 31, 2017. Net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sales for the Strategic Brands segment for the year ended December 31, 2018 were negatively impacted by approximately $24.9 million as a result of the adoption of ASC 606. Net changes in foreign currency exchange rates had a favorable impact on net sales for the Strategic Brands segment of approximately $0.2 million for the year ended December 31, 2018.</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$22.9 million for the year ended December 31, 2018, an increase of approximately $1.3 million, or 6.1% higher than net sales of $21.6 million for the year ended December 31, 2017.</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Case sales, in 192-ounce case equivalents, were 410.9 million cases for the year ended December 31, 2018, an increase of approximately 50.9 million cases or 14.1% higher than case sales of 360.0 million cases for the year ended December 31, 2017. The overall average net sales per case (excluding net sales of AFF Third-Party Products of $22.9 million and $21.6 million for the years ended December 31, 2018 and 2017, respectively, as these sales do not have unit case equivalents) decreased to $9.21 for the year ended December 31, 2018, which was 1.0% lower than the average net sales per case of $9.30 for the year ended December 31, 2017, due to the adoption of ASC 606. Without the adoption of ASC 606, the overall average net sales per case increased to $9.31 for the year ended December 31, 2018, as compared to average net sales per case of $9.30 for the year ended December 31, 2017.</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$2.30 billion for the year ended December 31, 2018, an increase of approximately</w:t>
      </w:r>
      <w:r>
        <w:rPr>
          <w:rFonts w:ascii="Arial" w:cs="Arial" w:eastAsia="Arial" w:hAnsi="Arial"/>
          <w:sz w:val="20"/>
          <w:szCs w:val="20"/>
          <w:i w:val="1"/>
          <w:iCs w:val="1"/>
          <w:color w:val="auto"/>
        </w:rPr>
        <w:t xml:space="preserve"> </w:t>
      </w:r>
      <w:r>
        <w:rPr>
          <w:rFonts w:ascii="Arial" w:cs="Arial" w:eastAsia="Arial" w:hAnsi="Arial"/>
          <w:sz w:val="20"/>
          <w:szCs w:val="20"/>
          <w:color w:val="auto"/>
        </w:rPr>
        <w:t>$157.7 million, or 7.4% higher than the gross profit of $2.14 billion for the year ended December 31, 2017. The increase in gross profit dollars was primarily the result of the $450.8 million increase in net sales of our Monster Energy® brand energy drinks segment for the year ended December 31, 2018.</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Gross profit as a percentage of net sales decreased to 60.3% for the year ended December 31, 2018 from 63.5% for the year ended December 31, 2017. Gross profit as a percentage of net sales, excluding the impact of ASC 606, was 60.7% for the year ended December 31, 2018.</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decrease in gross profit as a percentage of net sales was primarily attributable to (i) increases in certain input costs, principally aluminum cans, freight in and other input costs; (ii) domestic product sales mix (iii) geographical sales mix, as a result of our international sales increasing as a percentage of total net sales (our foreign operations generally have lower gross profit margins); (iv) the $42.2 million of commissions accounted for as a reduction to net sales due to the adoption of ASC 606; and (v) increases in promotional allowances as a percentage of gross sales.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$1.01 billion for the year ended December 31, 2018,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$72.9 million, or 7.8% higher than total operating expenses of $938.9 million for the year ended December 31, 2017. The increase in operating expenses was primarily due to increased out-bound freight and warehouse costs of $38.5 million, increased payroll expenses of $28.6 million (of which $4.8 million was related to an increase in stock-based compensation), increased expenditures of $14.8 million for sponsorships and endorsements, and increased expenditures of $12.1 million for other marketing expenses. The increase in operating expenses was partially offset by the $8.8 million decrease in costs associated with distributor terminations. Commissions included in operating expenses were $16.7 million, or 65.1% lower than commissions included in operating expenses of $47.7 million for the year ended December 31, 2017. Without the adoption of ASC 606, an additional $42.2 million of commissions would have been included in operating expenses for the year ended December 31, 2018 (such commissions are included as a reduction to net sales).</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$1.28 billion for the year ended December 31, 2018,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$84.8 million, or 7.1% higher than operating income of $1.20 billion for the year ended December 31, 2017. Operating income as a percentage of net sales decreased to 33.7% for the year ended December 31, 2018 from 35.6% for the year ended December 31, 2017. Operating income was $180.8 million and $139.3 million for the years ended December 31, 2018 and 2017, respectively, in connection with our operations in EMEA, Asia Pacific and South America.</w:t>
      </w:r>
    </w:p>
    <w:p>
      <w:pPr>
        <w:spacing w:after="0" w:line="16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Operating income* for the Monster Energy® Drinks segment was $1.37 billion for the year ended December 31, 2018, an increase of approximately $106.5 million, or 8.4% higher than operating income of $1.26 billion for the year ended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7" w:name="page48"/>
    <w:bookmarkEnd w:id="47"/>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
        <w:spacing w:after="0" w:line="316" w:lineRule="auto"/>
        <w:rPr>
          <w:sz w:val="20"/>
          <w:szCs w:val="20"/>
          <w:color w:val="auto"/>
        </w:rPr>
      </w:pPr>
      <w:r>
        <w:rPr>
          <w:rFonts w:ascii="Arial" w:cs="Arial" w:eastAsia="Arial" w:hAnsi="Arial"/>
          <w:sz w:val="18"/>
          <w:szCs w:val="18"/>
          <w:color w:val="auto"/>
        </w:rPr>
        <w:t>December 31, 2017. The increase in operating income for the Monster Energy® Drinks segment was primarily the result of the $455.1 million increase in net sales of our Monster Energy® brand energy drinks for the year ended December 31, 2018.</w:t>
      </w:r>
    </w:p>
    <w:p>
      <w:pPr>
        <w:spacing w:after="0" w:line="130"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Operating income* for the Strategic Brands segment was $176.5 million for the year ended December 31, 2018, an increase of approximately $2.1 million, or 1.2% higher than operating income of $174.5 million for the year ended December 31, 2017.</w:t>
      </w:r>
    </w:p>
    <w:p>
      <w:pPr>
        <w:spacing w:after="0" w:line="186" w:lineRule="exact"/>
        <w:rPr>
          <w:sz w:val="20"/>
          <w:szCs w:val="20"/>
          <w:color w:val="auto"/>
        </w:rPr>
      </w:pPr>
    </w:p>
    <w:p>
      <w:pPr>
        <w:jc w:val="both"/>
        <w:ind w:left="1" w:firstLine="648"/>
        <w:spacing w:after="0" w:line="316" w:lineRule="auto"/>
        <w:rPr>
          <w:sz w:val="20"/>
          <w:szCs w:val="20"/>
          <w:color w:val="auto"/>
        </w:rPr>
      </w:pPr>
      <w:r>
        <w:rPr>
          <w:rFonts w:ascii="Arial" w:cs="Arial" w:eastAsia="Arial" w:hAnsi="Arial"/>
          <w:sz w:val="18"/>
          <w:szCs w:val="18"/>
          <w:color w:val="auto"/>
        </w:rPr>
        <w:t>Operating income* for the Other segment was $5.4 million for the year ended December 31, 2018, a decrease of approximately $0.2 million, or 4.0% lower than operating income of $5.6 million for the year ended December 31, 2017.</w:t>
      </w:r>
    </w:p>
    <w:p>
      <w:pPr>
        <w:spacing w:after="0" w:line="130"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*Exclusive of corporate and unallocated expenses.</w:t>
      </w:r>
    </w:p>
    <w:p>
      <w:pPr>
        <w:spacing w:after="0" w:line="216"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i w:val="1"/>
          <w:iCs w:val="1"/>
          <w:color w:val="auto"/>
        </w:rPr>
        <w:t xml:space="preserve">Other Income, net. </w:t>
      </w:r>
      <w:r>
        <w:rPr>
          <w:rFonts w:ascii="Arial" w:cs="Arial" w:eastAsia="Arial" w:hAnsi="Arial"/>
          <w:sz w:val="20"/>
          <w:szCs w:val="20"/>
          <w:color w:val="auto"/>
        </w:rPr>
        <w:t>Other non-operating income, net, was $9.7 million for the year ended December 31, 2018, as</w:t>
      </w:r>
      <w:r>
        <w:rPr>
          <w:rFonts w:ascii="Arial" w:cs="Arial" w:eastAsia="Arial" w:hAnsi="Arial"/>
          <w:sz w:val="20"/>
          <w:szCs w:val="20"/>
          <w:i w:val="1"/>
          <w:iCs w:val="1"/>
          <w:color w:val="auto"/>
        </w:rPr>
        <w:t xml:space="preserve"> </w:t>
      </w:r>
      <w:r>
        <w:rPr>
          <w:rFonts w:ascii="Arial" w:cs="Arial" w:eastAsia="Arial" w:hAnsi="Arial"/>
          <w:sz w:val="20"/>
          <w:szCs w:val="20"/>
          <w:color w:val="auto"/>
        </w:rPr>
        <w:t>compared to other non-operating income, net, of $2.8 million for the year ended December 31, 2017. Foreign currency transaction (losses)/gains were ($4.0) million and ($3.3) million for the years ended December 31, 2018 and 2017, respectively. Interest income was $13.8 million and $6.8 million for the years ended December 31, 2018 and 2017, respectively.</w:t>
      </w:r>
    </w:p>
    <w:p>
      <w:pPr>
        <w:spacing w:after="0" w:line="195" w:lineRule="exact"/>
        <w:rPr>
          <w:sz w:val="20"/>
          <w:szCs w:val="20"/>
          <w:color w:val="auto"/>
        </w:rPr>
      </w:pPr>
    </w:p>
    <w:p>
      <w:pPr>
        <w:jc w:val="both"/>
        <w:ind w:left="1" w:firstLine="648"/>
        <w:spacing w:after="0" w:line="256"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$300.3 million for the year ended December 31, 2018, a</w:t>
      </w:r>
      <w:r>
        <w:rPr>
          <w:rFonts w:ascii="Arial" w:cs="Arial" w:eastAsia="Arial" w:hAnsi="Arial"/>
          <w:sz w:val="19"/>
          <w:szCs w:val="19"/>
          <w:i w:val="1"/>
          <w:iCs w:val="1"/>
          <w:color w:val="auto"/>
        </w:rPr>
        <w:t xml:space="preserve"> </w:t>
      </w:r>
      <w:r>
        <w:rPr>
          <w:rFonts w:ascii="Arial" w:cs="Arial" w:eastAsia="Arial" w:hAnsi="Arial"/>
          <w:sz w:val="19"/>
          <w:szCs w:val="19"/>
          <w:color w:val="auto"/>
        </w:rPr>
        <w:t>decrease of $80.7 million, or 21.2% lower than the provision for income taxes of $380.9 million for the year ended December 31, 2017. The effective combined federal, state and foreign tax rate decreased to 23.2% from 31.7% for the years ended December 31, 2018 and 2017, respectively. The decrease in the effective tax rate was primarily due to the reduction in the U.S. federal statutory tax rate as a result of the Tax Reform Act signed into law on December 22, 2017 (before considering the potential impact of further clarification of certain matters related to the Tax Reform Act), and to a reduction in certain foreign income that is subject to U.S. taxation. The decrease in the provision for income taxes was partially offset by the elimination of the domestic production deduction following the Tax Reform Act as well as a decrease in the stock based compensation tax deduction.</w:t>
      </w:r>
    </w:p>
    <w:p>
      <w:pPr>
        <w:spacing w:after="0" w:line="185"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9"/>
          <w:szCs w:val="19"/>
          <w:i w:val="1"/>
          <w:iCs w:val="1"/>
          <w:color w:val="auto"/>
        </w:rPr>
        <w:t>Net Income</w:t>
      </w:r>
      <w:r>
        <w:rPr>
          <w:rFonts w:ascii="Arial" w:cs="Arial" w:eastAsia="Arial" w:hAnsi="Arial"/>
          <w:sz w:val="19"/>
          <w:szCs w:val="19"/>
          <w:color w:val="auto"/>
        </w:rPr>
        <w:t>. Net income was $993.0 million for the year ended December 31, 2018, an increase of $172.3 million, or</w:t>
      </w:r>
      <w:r>
        <w:rPr>
          <w:rFonts w:ascii="Arial" w:cs="Arial" w:eastAsia="Arial" w:hAnsi="Arial"/>
          <w:sz w:val="19"/>
          <w:szCs w:val="19"/>
          <w:i w:val="1"/>
          <w:iCs w:val="1"/>
          <w:color w:val="auto"/>
        </w:rPr>
        <w:t xml:space="preserve"> </w:t>
      </w:r>
      <w:r>
        <w:rPr>
          <w:rFonts w:ascii="Arial" w:cs="Arial" w:eastAsia="Arial" w:hAnsi="Arial"/>
          <w:sz w:val="19"/>
          <w:szCs w:val="19"/>
          <w:color w:val="auto"/>
        </w:rPr>
        <w:t>21.0% higher than net income of $820.7 million for the year ended December 31, 2017. The increase in net income was primarily due to the $157.7 million increase in gross profit and the $80.7 million decrease in the provision for income taxes. The increase in net income was partially offset by the increase in operating expenses of $72.9 million.</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20"/>
          <w:szCs w:val="20"/>
          <w:i w:val="1"/>
          <w:iCs w:val="1"/>
          <w:u w:val="single" w:color="auto"/>
          <w:color w:val="auto"/>
        </w:rPr>
        <w:t>For the year ended December 31, 2019 compared to the year ended December 31, 2018.</w:t>
      </w:r>
    </w:p>
    <w:p>
      <w:pPr>
        <w:spacing w:after="0" w:line="229" w:lineRule="exact"/>
        <w:rPr>
          <w:sz w:val="20"/>
          <w:szCs w:val="20"/>
          <w:color w:val="auto"/>
        </w:rPr>
      </w:pPr>
    </w:p>
    <w:p>
      <w:pPr>
        <w:jc w:val="both"/>
        <w:ind w:left="1" w:firstLine="648"/>
        <w:spacing w:after="0" w:line="321"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$4.87 billion for the year ended December 31, 2019, an increase of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$438.2 million, or 9.9% higher than gross sales of $4.43 billion for the year ended December 31, 2018. Gross sales for the year ended December 31, 2019 were positively impacted by approximately $101.9 million as a result of U.S. Price Increase and the Canada Price Increase, on certain of our Monster Energy® brand energy drinks. Net changes in foreign currency exchange rates had an unfavorable impact on gross sales of approximately $82.5 million for the year ended December 31, 2019.</w:t>
      </w:r>
    </w:p>
    <w:p>
      <w:pPr>
        <w:spacing w:after="0" w:line="134"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18"/>
          <w:szCs w:val="18"/>
          <w:color w:val="auto"/>
        </w:rPr>
        <w:t>Gross sales for the Monster Energy® Drinks segment were $4.53 billion for the year ended December 31, 2019, an increase of approximately $453.6 million, or 11.1% higher than gross sales of $4.08 billion for the year ended December 31, 2018. Gross sales for the Monster Energy® Drinks segment increased primarily due to (i) sales of our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high performance energy drinks, introduced in the first quarter of 2019, (ii) the price increases described above, and</w:t>
      </w:r>
    </w:p>
    <w:p>
      <w:pPr>
        <w:spacing w:after="0" w:line="3" w:lineRule="exact"/>
        <w:rPr>
          <w:sz w:val="20"/>
          <w:szCs w:val="20"/>
          <w:color w:val="auto"/>
        </w:rPr>
      </w:pPr>
    </w:p>
    <w:p>
      <w:pPr>
        <w:ind w:left="4941" w:right="1060" w:hanging="4941"/>
        <w:spacing w:after="0" w:line="695" w:lineRule="auto"/>
        <w:tabs>
          <w:tab w:leader="none" w:pos="351" w:val="left"/>
        </w:tabs>
        <w:numPr>
          <w:ilvl w:val="0"/>
          <w:numId w:val="24"/>
        </w:numPr>
        <w:rPr>
          <w:rFonts w:ascii="Arial" w:cs="Arial" w:eastAsia="Arial" w:hAnsi="Arial"/>
          <w:sz w:val="20"/>
          <w:szCs w:val="20"/>
          <w:color w:val="auto"/>
        </w:rPr>
      </w:pPr>
      <w:r>
        <w:rPr>
          <w:rFonts w:ascii="Arial" w:cs="Arial" w:eastAsia="Arial" w:hAnsi="Arial"/>
          <w:sz w:val="20"/>
          <w:szCs w:val="20"/>
          <w:color w:val="auto"/>
        </w:rPr>
        <w:t>increased sales by volume of our Monster Energy® brand energy drinks as a result of increased domestic and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international consumer demand. Net changes in foreign currency exchange rates had an unfavorable impact on gross sales for the Monster Energy® Drinks segment of approximately $72.9 million for the year ended December 31, 2019.</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Gross sales for the Strategic Brands segment were $312.7 million for the year ended December 31, 2019, a decrease of $14.4 million, or 4.4% lower than gross sales of $327.1 million for the year ended December 31, 2018. Net changes in foreign currency exchange rates had an unfavorable impact on gross sales in the Strategic Brands segment of approximately $9.6 million for the year ended December 31, 2019.</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Gross sales for the Other segment were $21.9 million for the year ended December 31, 2019, a decrease of $1.1 million, or 4.6% lower than gross sales of $22.9 million for the year ended December 31, 2018.</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Promotional allowances, commissions and other expenses, as described in the footnote below, were $666.9 million for the year ended December 31, 2019, an increase of $44.5 million, or 7.2% higher than promotional allowances, commissions and other expenses of $622.3 million for the year ended December 31, 2018. Promotional allowances, commissions and other expenses as a percentage of gross sales decreased to 13.7% from 14.0% for the year ended December 31, 2019 and 2018,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For the year ended December 31, 2018 compared to the year ended December 31, 2017.</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$4.43 billion for the year ended December 31, 2018, an increase of approximately</w:t>
      </w:r>
      <w:r>
        <w:rPr>
          <w:rFonts w:ascii="Arial" w:cs="Arial" w:eastAsia="Arial" w:hAnsi="Arial"/>
          <w:sz w:val="19"/>
          <w:szCs w:val="19"/>
          <w:i w:val="1"/>
          <w:iCs w:val="1"/>
          <w:color w:val="auto"/>
        </w:rPr>
        <w:t xml:space="preserve"> </w:t>
      </w:r>
      <w:r>
        <w:rPr>
          <w:rFonts w:ascii="Arial" w:cs="Arial" w:eastAsia="Arial" w:hAnsi="Arial"/>
          <w:sz w:val="19"/>
          <w:szCs w:val="19"/>
          <w:color w:val="auto"/>
        </w:rPr>
        <w:t>$568.2 million, or 14.7% higher than gross sales of $3.86 billion for the year ended December 31, 2017.</w:t>
      </w:r>
    </w:p>
    <w:p>
      <w:pPr>
        <w:spacing w:after="0" w:line="15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Gross sales for the Monster Energy® Drinks segment were $4.08 billion for the year ended December 31, 2018, an increase of $558.2 million, or 15.9% higher than gross sales of $3.52 billion for the year ended December 31, 2017. Gross sales of our Monster Energy® Drinks segment increased partially due to increased sales by volume as a result of increased domestic and international consumer demand.</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Gross sales for the Strategic Brands segment were $327.1 million for the year ended December 31, 2018, an increase of $8.6 million, or 2.7% higher than gross sales of $318.5 million for the year ended December 31, 2017.</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Gross sales for the Other segment were $22.9 million for the year ended December 31, 2018, an increase of $1.3 million, or 6.1% higher than gross sales of $21.6 million for the year ended December 31, 2017.</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 other individual product line contributed either a material increase or decrease to gross sales for the year ended December 31, 2018.</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Promotional and other allowances, as described in the footnote below, were $622.3 million for the year ended December 31, 2018, an increase of $130.0 million, or 26.4% higher than promotional and other allowances of $492.3 million for the year ended December 31, 2017. Promotional and other allowances as a percentage of gross sales increased to 14.0% from 12.7% for the years ended December 31, 2018 and 2017, respectively, partially due to an increase in commissions of $42.2 million included in net sales, related to the adoption of ASC 606.</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changes in foreign currency exchange rates had a favorable impact on gross sales in the Monster Energy® Drinks segment of approximately $21.6 million for the year ended December 31, 2018. Net changes in foreign currency exchange rates had a favorable impact on gross sales in the Strategic Brands segment of approximately $0.2 million for the year ended December 31, 2018.</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49" w:name="page50"/>
    <w:bookmarkEnd w:id="49"/>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jc w:val="both"/>
        <w:ind w:left="1"/>
        <w:spacing w:after="0" w:line="238" w:lineRule="auto"/>
        <w:rPr>
          <w:sz w:val="20"/>
          <w:szCs w:val="20"/>
          <w:color w:val="auto"/>
        </w:rPr>
      </w:pPr>
      <w:r>
        <w:rPr>
          <w:rFonts w:ascii="Arial" w:cs="Arial" w:eastAsia="Arial" w:hAnsi="Arial"/>
          <w:sz w:val="14"/>
          <w:szCs w:val="14"/>
          <w:i w:val="1"/>
          <w:iCs w:val="1"/>
          <w:color w:val="auto"/>
        </w:rPr>
        <w:t>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5" w:lineRule="exact"/>
        <w:rPr>
          <w:sz w:val="20"/>
          <w:szCs w:val="20"/>
          <w:color w:val="auto"/>
        </w:rPr>
      </w:pPr>
    </w:p>
    <w:p>
      <w:pPr>
        <w:ind w:left="641"/>
        <w:spacing w:after="0"/>
        <w:rPr>
          <w:sz w:val="20"/>
          <w:szCs w:val="20"/>
          <w:color w:val="auto"/>
        </w:rPr>
      </w:pPr>
      <w:r>
        <w:rPr>
          <w:rFonts w:ascii="Arial" w:cs="Arial" w:eastAsia="Arial" w:hAnsi="Arial"/>
          <w:sz w:val="19"/>
          <w:szCs w:val="19"/>
          <w:color w:val="auto"/>
        </w:rPr>
        <w:t>The following table reconciles the non-GAAP financial measure of gross sales with the most directly comparable</w:t>
      </w:r>
    </w:p>
    <w:p>
      <w:pPr>
        <w:spacing w:after="0" w:line="27" w:lineRule="exact"/>
        <w:rPr>
          <w:sz w:val="20"/>
          <w:szCs w:val="20"/>
          <w:color w:val="auto"/>
        </w:rPr>
      </w:pPr>
    </w:p>
    <w:p>
      <w:pPr>
        <w:ind w:left="1"/>
        <w:spacing w:after="0"/>
        <w:rPr>
          <w:sz w:val="20"/>
          <w:szCs w:val="20"/>
          <w:color w:val="auto"/>
        </w:rPr>
      </w:pPr>
      <w:r>
        <w:rPr>
          <w:rFonts w:ascii="Arial" w:cs="Arial" w:eastAsia="Arial" w:hAnsi="Arial"/>
          <w:sz w:val="20"/>
          <w:szCs w:val="20"/>
          <w:color w:val="auto"/>
        </w:rPr>
        <w:t>GAAP financial measure of net sales:</w:t>
      </w:r>
    </w:p>
    <w:p>
      <w:pPr>
        <w:spacing w:after="0" w:line="21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Percentage</w:t>
            </w:r>
          </w:p>
        </w:tc>
        <w:tc>
          <w:tcPr>
            <w:tcW w:w="8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980" w:type="dxa"/>
            <w:vAlign w:val="bottom"/>
            <w:vMerge w:val="restart"/>
          </w:tcPr>
          <w:p>
            <w:pPr>
              <w:jc w:val="right"/>
              <w:ind w:right="2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980" w:type="dxa"/>
            <w:vAlign w:val="bottom"/>
            <w:vMerge w:val="restart"/>
          </w:tcPr>
          <w:p>
            <w:pPr>
              <w:jc w:val="right"/>
              <w:ind w:right="23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Change</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0"/>
        </w:trPr>
        <w:tc>
          <w:tcPr>
            <w:tcW w:w="4560" w:type="dxa"/>
            <w:vAlign w:val="bottom"/>
            <w:vMerge w:val="restart"/>
          </w:tcPr>
          <w:p>
            <w:pPr>
              <w:spacing w:after="0"/>
              <w:rPr>
                <w:sz w:val="20"/>
                <w:szCs w:val="20"/>
                <w:color w:val="auto"/>
              </w:rPr>
            </w:pPr>
            <w:r>
              <w:rPr>
                <w:rFonts w:ascii="Arial" w:cs="Arial" w:eastAsia="Arial" w:hAnsi="Arial"/>
                <w:sz w:val="18"/>
                <w:szCs w:val="18"/>
                <w:color w:val="auto"/>
              </w:rPr>
              <w:t>Gross sales, net of discounts and returns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19 vs. 18</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18 vs. 17</w:t>
            </w: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97"/>
              </w:rPr>
              <w:t>4,867,698</w:t>
            </w:r>
          </w:p>
        </w:tc>
        <w:tc>
          <w:tcPr>
            <w:tcW w:w="20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w w:val="94"/>
              </w:rPr>
              <w:t>$ 4,429,522</w:t>
            </w:r>
          </w:p>
        </w:tc>
        <w:tc>
          <w:tcPr>
            <w:tcW w:w="20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w w:val="94"/>
              </w:rPr>
              <w:t>$ 3,861,368</w:t>
            </w:r>
          </w:p>
        </w:tc>
        <w:tc>
          <w:tcPr>
            <w:tcW w:w="180" w:type="dxa"/>
            <w:vAlign w:val="bottom"/>
          </w:tcPr>
          <w:p>
            <w:pPr>
              <w:spacing w:after="0"/>
              <w:rPr>
                <w:sz w:val="16"/>
                <w:szCs w:val="16"/>
                <w:color w:val="auto"/>
              </w:rPr>
            </w:pP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92"/>
              </w:rPr>
              <w:t>9.9%</w:t>
            </w:r>
          </w:p>
        </w:tc>
        <w:tc>
          <w:tcPr>
            <w:tcW w:w="200" w:type="dxa"/>
            <w:vAlign w:val="bottom"/>
          </w:tcPr>
          <w:p>
            <w:pPr>
              <w:spacing w:after="0"/>
              <w:rPr>
                <w:sz w:val="16"/>
                <w:szCs w:val="16"/>
                <w:color w:val="auto"/>
              </w:rPr>
            </w:pPr>
          </w:p>
        </w:tc>
        <w:tc>
          <w:tcPr>
            <w:tcW w:w="840" w:type="dxa"/>
            <w:vAlign w:val="bottom"/>
          </w:tcPr>
          <w:p>
            <w:pPr>
              <w:jc w:val="center"/>
              <w:spacing w:after="0" w:line="195" w:lineRule="exact"/>
              <w:rPr>
                <w:sz w:val="20"/>
                <w:szCs w:val="20"/>
                <w:color w:val="auto"/>
              </w:rPr>
            </w:pPr>
            <w:r>
              <w:rPr>
                <w:rFonts w:ascii="Arial" w:cs="Arial" w:eastAsia="Arial" w:hAnsi="Arial"/>
                <w:sz w:val="18"/>
                <w:szCs w:val="18"/>
                <w:color w:val="auto"/>
                <w:w w:val="90"/>
              </w:rPr>
              <w:t>14.7%</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666,879</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622,339</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492,323</w:t>
            </w:r>
          </w:p>
        </w:tc>
        <w:tc>
          <w:tcPr>
            <w:tcW w:w="10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7.2%</w:t>
            </w:r>
          </w:p>
        </w:tc>
        <w:tc>
          <w:tcPr>
            <w:tcW w:w="2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4,200,819</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$ 3,807,183</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$ 3,369,045</w:t>
            </w:r>
          </w:p>
        </w:tc>
        <w:tc>
          <w:tcPr>
            <w:tcW w:w="106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10.3%</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13.0%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1"/>
        <w:spacing w:after="0" w:line="244" w:lineRule="auto"/>
        <w:rPr>
          <w:sz w:val="20"/>
          <w:szCs w:val="20"/>
          <w:color w:val="auto"/>
        </w:rPr>
      </w:pPr>
      <w:r>
        <w:rPr>
          <w:rFonts w:ascii="Arial" w:cs="Arial" w:eastAsia="Arial" w:hAnsi="Arial"/>
          <w:sz w:val="13"/>
          <w:szCs w:val="13"/>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w:t>
      </w:r>
    </w:p>
    <w:p>
      <w:pPr>
        <w:spacing w:after="0" w:line="2" w:lineRule="exact"/>
        <w:rPr>
          <w:sz w:val="20"/>
          <w:szCs w:val="20"/>
          <w:color w:val="auto"/>
        </w:rPr>
      </w:pPr>
    </w:p>
    <w:p>
      <w:pPr>
        <w:jc w:val="both"/>
        <w:ind w:left="1" w:hanging="1"/>
        <w:spacing w:after="0" w:line="241" w:lineRule="auto"/>
        <w:tabs>
          <w:tab w:leader="none" w:pos="185" w:val="left"/>
        </w:tabs>
        <w:numPr>
          <w:ilvl w:val="0"/>
          <w:numId w:val="25"/>
        </w:numPr>
        <w:rPr>
          <w:rFonts w:ascii="Arial" w:cs="Arial" w:eastAsia="Arial" w:hAnsi="Arial"/>
          <w:sz w:val="13"/>
          <w:szCs w:val="13"/>
          <w:i w:val="1"/>
          <w:iCs w:val="1"/>
          <w:color w:val="auto"/>
        </w:rPr>
      </w:pPr>
      <w:r>
        <w:rPr>
          <w:rFonts w:ascii="Arial" w:cs="Arial" w:eastAsia="Arial" w:hAnsi="Arial"/>
          <w:sz w:val="13"/>
          <w:szCs w:val="13"/>
          <w:i w:val="1"/>
          <w:iCs w:val="1"/>
          <w:color w:val="auto"/>
        </w:rPr>
        <w:t>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years ended December 31, 2019 and 2018 were (i) to increase sales volume and trial, (ii) to address market conditions, and (iii) to secure shelf and display space at retail.</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Sales</w:t>
      </w:r>
    </w:p>
    <w:p>
      <w:pPr>
        <w:spacing w:after="0" w:line="222"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77"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0"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pronounced, the addition of new bottlers/distributors and customers, changes in the sales mix of our products and changes in and/or increased advertising and promotional expenses. (See “Part I, Item 1 – Business – Seasonality”).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400" w:type="dxa"/>
            <w:vAlign w:val="bottom"/>
            <w:gridSpan w:val="9"/>
            <w:vMerge w:val="restart"/>
          </w:tcPr>
          <w:p>
            <w:pPr>
              <w:spacing w:after="0"/>
              <w:rPr>
                <w:sz w:val="20"/>
                <w:szCs w:val="20"/>
                <w:color w:val="auto"/>
              </w:rPr>
            </w:pPr>
            <w:r>
              <w:rPr>
                <w:rFonts w:ascii="Arial" w:cs="Arial" w:eastAsia="Arial" w:hAnsi="Arial"/>
                <w:sz w:val="18"/>
                <w:szCs w:val="18"/>
                <w:color w:val="auto"/>
              </w:rPr>
              <w:t>Net Sales (in Thousands)</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69"/>
        </w:trPr>
        <w:tc>
          <w:tcPr>
            <w:tcW w:w="2400" w:type="dxa"/>
            <w:vAlign w:val="bottom"/>
            <w:gridSpan w:val="9"/>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8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Quarter 1</w:t>
            </w:r>
          </w:p>
        </w:tc>
        <w:tc>
          <w:tcPr>
            <w:tcW w:w="580" w:type="dxa"/>
            <w:vAlign w:val="bottom"/>
            <w:gridSpan w:val="3"/>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945,991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850,921</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742,146</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680,186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626,791</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1,104,045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1,015,873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907,068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827,488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693,722</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1,133,577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1,016,160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909,476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787,954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756,619</w:t>
            </w:r>
          </w:p>
        </w:tc>
        <w:tc>
          <w:tcPr>
            <w:tcW w:w="0" w:type="dxa"/>
            <w:vAlign w:val="bottom"/>
          </w:tcPr>
          <w:p>
            <w:pPr>
              <w:spacing w:after="0"/>
              <w:rPr>
                <w:sz w:val="1"/>
                <w:szCs w:val="1"/>
                <w:color w:val="auto"/>
              </w:rPr>
            </w:pPr>
          </w:p>
        </w:tc>
      </w:tr>
      <w:tr>
        <w:trPr>
          <w:trHeight w:val="230"/>
        </w:trPr>
        <w:tc>
          <w:tcPr>
            <w:tcW w:w="2400" w:type="dxa"/>
            <w:vAlign w:val="bottom"/>
            <w:gridSpan w:val="9"/>
          </w:tcPr>
          <w:p>
            <w:pPr>
              <w:spacing w:after="0"/>
              <w:rPr>
                <w:sz w:val="20"/>
                <w:szCs w:val="20"/>
                <w:color w:val="auto"/>
              </w:rPr>
            </w:pPr>
            <w:r>
              <w:rPr>
                <w:rFonts w:ascii="Arial" w:cs="Arial" w:eastAsia="Arial" w:hAnsi="Arial"/>
                <w:sz w:val="18"/>
                <w:szCs w:val="18"/>
                <w:color w:val="auto"/>
              </w:rPr>
              <w:t>Quarter 4</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1,017,206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924,229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810,355</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753,765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645,432</w:t>
            </w:r>
          </w:p>
        </w:tc>
        <w:tc>
          <w:tcPr>
            <w:tcW w:w="0" w:type="dxa"/>
            <w:vAlign w:val="bottom"/>
          </w:tcPr>
          <w:p>
            <w:pPr>
              <w:spacing w:after="0"/>
              <w:rPr>
                <w:sz w:val="1"/>
                <w:szCs w:val="1"/>
                <w:color w:val="auto"/>
              </w:rPr>
            </w:pPr>
          </w:p>
        </w:tc>
      </w:tr>
      <w:tr>
        <w:trPr>
          <w:trHeight w:val="210"/>
        </w:trPr>
        <w:tc>
          <w:tcPr>
            <w:tcW w:w="2400" w:type="dxa"/>
            <w:vAlign w:val="bottom"/>
            <w:gridSpan w:val="9"/>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4,200,819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3,807,183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3,369,045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3,049,393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2,722,564</w:t>
            </w:r>
          </w:p>
        </w:tc>
        <w:tc>
          <w:tcPr>
            <w:tcW w:w="0" w:type="dxa"/>
            <w:vAlign w:val="bottom"/>
          </w:tcPr>
          <w:p>
            <w:pPr>
              <w:spacing w:after="0"/>
              <w:rPr>
                <w:sz w:val="1"/>
                <w:szCs w:val="1"/>
                <w:color w:val="auto"/>
              </w:rPr>
            </w:pPr>
          </w:p>
        </w:tc>
      </w:tr>
      <w:tr>
        <w:trPr>
          <w:trHeight w:val="20"/>
        </w:trPr>
        <w:tc>
          <w:tcPr>
            <w:tcW w:w="2400" w:type="dxa"/>
            <w:vAlign w:val="bottom"/>
            <w:gridSpan w:val="9"/>
            <w:vMerge w:val="restart"/>
          </w:tcPr>
          <w:p>
            <w:pPr>
              <w:spacing w:after="0"/>
              <w:rPr>
                <w:sz w:val="20"/>
                <w:szCs w:val="20"/>
                <w:color w:val="auto"/>
              </w:rPr>
            </w:pPr>
            <w:r>
              <w:rPr>
                <w:rFonts w:ascii="Arial" w:cs="Arial" w:eastAsia="Arial" w:hAnsi="Arial"/>
                <w:sz w:val="18"/>
                <w:szCs w:val="18"/>
                <w:color w:val="auto"/>
              </w:rPr>
              <w:t>Less: AFF third party net</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0" w:type="dxa"/>
            <w:vAlign w:val="bottom"/>
            <w:gridSpan w:val="9"/>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rPr>
              <w:t>sales (in Thousands)</w:t>
            </w:r>
          </w:p>
        </w:tc>
        <w:tc>
          <w:tcPr>
            <w:tcW w:w="5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Quarter 1</w:t>
            </w:r>
          </w:p>
        </w:tc>
        <w:tc>
          <w:tcPr>
            <w:tcW w:w="920" w:type="dxa"/>
            <w:vAlign w:val="bottom"/>
            <w:gridSpan w:val="5"/>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(5,321)</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(4,657)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(5,539)</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gridSpan w:val="9"/>
          </w:tcPr>
          <w:p>
            <w:pPr>
              <w:spacing w:after="0"/>
              <w:rPr>
                <w:sz w:val="20"/>
                <w:szCs w:val="20"/>
                <w:color w:val="auto"/>
              </w:rPr>
            </w:pPr>
            <w:r>
              <w:rPr>
                <w:rFonts w:ascii="Arial" w:cs="Arial" w:eastAsia="Arial" w:hAnsi="Arial"/>
                <w:sz w:val="18"/>
                <w:szCs w:val="18"/>
                <w:color w:val="auto"/>
              </w:rPr>
              <w:t>Quarter 4</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00" w:type="dxa"/>
            <w:vAlign w:val="bottom"/>
            <w:gridSpan w:val="9"/>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40" w:type="dxa"/>
            <w:vAlign w:val="bottom"/>
            <w:gridSpan w:val="5"/>
            <w:vMerge w:val="restart"/>
          </w:tcPr>
          <w:p>
            <w:pPr>
              <w:spacing w:after="0"/>
              <w:rPr>
                <w:sz w:val="20"/>
                <w:szCs w:val="20"/>
                <w:color w:val="auto"/>
              </w:rPr>
            </w:pPr>
            <w:r>
              <w:rPr>
                <w:rFonts w:ascii="Arial" w:cs="Arial" w:eastAsia="Arial" w:hAnsi="Arial"/>
                <w:sz w:val="18"/>
                <w:szCs w:val="18"/>
                <w:color w:val="auto"/>
                <w:w w:val="90"/>
              </w:rPr>
              <w:t>Adjusted Net Sales (in</w:t>
            </w:r>
          </w:p>
        </w:tc>
        <w:tc>
          <w:tcPr>
            <w:tcW w:w="760" w:type="dxa"/>
            <w:vAlign w:val="bottom"/>
            <w:gridSpan w:val="4"/>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640" w:type="dxa"/>
            <w:vAlign w:val="bottom"/>
            <w:tcBorders>
              <w:bottom w:val="single" w:sz="8" w:color="auto"/>
            </w:tcBorders>
            <w:gridSpan w:val="5"/>
            <w:vMerge w:val="continue"/>
          </w:tcPr>
          <w:p>
            <w:pPr>
              <w:spacing w:after="0"/>
              <w:rPr>
                <w:sz w:val="24"/>
                <w:szCs w:val="24"/>
                <w:color w:val="auto"/>
              </w:rPr>
            </w:pPr>
          </w:p>
        </w:tc>
        <w:tc>
          <w:tcPr>
            <w:tcW w:w="76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gridSpan w:val="9"/>
          </w:tcPr>
          <w:p>
            <w:pPr>
              <w:spacing w:after="0" w:line="196" w:lineRule="exact"/>
              <w:rPr>
                <w:sz w:val="20"/>
                <w:szCs w:val="20"/>
                <w:color w:val="auto"/>
              </w:rPr>
            </w:pPr>
            <w:r>
              <w:rPr>
                <w:rFonts w:ascii="Arial" w:cs="Arial" w:eastAsia="Arial" w:hAnsi="Arial"/>
                <w:sz w:val="18"/>
                <w:szCs w:val="18"/>
                <w:color w:val="auto"/>
              </w:rPr>
              <w:t>Thousands)¹</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Quarter 1</w:t>
            </w:r>
          </w:p>
        </w:tc>
        <w:tc>
          <w:tcPr>
            <w:tcW w:w="1500" w:type="dxa"/>
            <w:vAlign w:val="bottom"/>
            <w:gridSpan w:val="6"/>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940,670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846,264</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736,607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680,186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626,791</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1,098,254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1,009,250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900,894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820,853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693,722</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1,127,717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1,009,587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904,276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782,268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756,619</w:t>
            </w:r>
          </w:p>
        </w:tc>
        <w:tc>
          <w:tcPr>
            <w:tcW w:w="0" w:type="dxa"/>
            <w:vAlign w:val="bottom"/>
          </w:tcPr>
          <w:p>
            <w:pPr>
              <w:spacing w:after="0"/>
              <w:rPr>
                <w:sz w:val="1"/>
                <w:szCs w:val="1"/>
                <w:color w:val="auto"/>
              </w:rPr>
            </w:pPr>
          </w:p>
        </w:tc>
      </w:tr>
      <w:tr>
        <w:trPr>
          <w:trHeight w:val="230"/>
        </w:trPr>
        <w:tc>
          <w:tcPr>
            <w:tcW w:w="2400" w:type="dxa"/>
            <w:vAlign w:val="bottom"/>
            <w:gridSpan w:val="9"/>
          </w:tcPr>
          <w:p>
            <w:pPr>
              <w:spacing w:after="0"/>
              <w:rPr>
                <w:sz w:val="20"/>
                <w:szCs w:val="20"/>
                <w:color w:val="auto"/>
              </w:rPr>
            </w:pPr>
            <w:r>
              <w:rPr>
                <w:rFonts w:ascii="Arial" w:cs="Arial" w:eastAsia="Arial" w:hAnsi="Arial"/>
                <w:sz w:val="18"/>
                <w:szCs w:val="18"/>
                <w:color w:val="auto"/>
              </w:rPr>
              <w:t>Quarter 4</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1,012,313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919,162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805,663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645,432</w:t>
            </w:r>
          </w:p>
        </w:tc>
        <w:tc>
          <w:tcPr>
            <w:tcW w:w="0" w:type="dxa"/>
            <w:vAlign w:val="bottom"/>
          </w:tcPr>
          <w:p>
            <w:pPr>
              <w:spacing w:after="0"/>
              <w:rPr>
                <w:sz w:val="1"/>
                <w:szCs w:val="1"/>
                <w:color w:val="auto"/>
              </w:rPr>
            </w:pPr>
          </w:p>
        </w:tc>
      </w:tr>
      <w:tr>
        <w:trPr>
          <w:trHeight w:val="210"/>
        </w:trPr>
        <w:tc>
          <w:tcPr>
            <w:tcW w:w="2400" w:type="dxa"/>
            <w:vAlign w:val="bottom"/>
            <w:gridSpan w:val="9"/>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4,178,954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3,784,263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3,347,440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3,032,382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2,722,564</w:t>
            </w:r>
          </w:p>
        </w:tc>
        <w:tc>
          <w:tcPr>
            <w:tcW w:w="0" w:type="dxa"/>
            <w:vAlign w:val="bottom"/>
          </w:tcPr>
          <w:p>
            <w:pPr>
              <w:spacing w:after="0"/>
              <w:rPr>
                <w:sz w:val="1"/>
                <w:szCs w:val="1"/>
                <w:color w:val="auto"/>
              </w:rPr>
            </w:pPr>
          </w:p>
        </w:tc>
      </w:tr>
      <w:tr>
        <w:trPr>
          <w:trHeight w:val="20"/>
        </w:trPr>
        <w:tc>
          <w:tcPr>
            <w:tcW w:w="2100" w:type="dxa"/>
            <w:vAlign w:val="bottom"/>
            <w:gridSpan w:val="8"/>
            <w:vMerge w:val="restart"/>
          </w:tcPr>
          <w:p>
            <w:pPr>
              <w:spacing w:after="0"/>
              <w:rPr>
                <w:sz w:val="20"/>
                <w:szCs w:val="20"/>
                <w:color w:val="auto"/>
              </w:rPr>
            </w:pPr>
            <w:r>
              <w:rPr>
                <w:rFonts w:ascii="Arial" w:cs="Arial" w:eastAsia="Arial" w:hAnsi="Arial"/>
                <w:sz w:val="18"/>
                <w:szCs w:val="18"/>
                <w:color w:val="auto"/>
                <w:w w:val="90"/>
              </w:rPr>
              <w:t>Unit Case Volume / Sales (in</w:t>
            </w: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100" w:type="dxa"/>
            <w:vAlign w:val="bottom"/>
            <w:tcBorders>
              <w:bottom w:val="single" w:sz="8" w:color="auto"/>
            </w:tcBorders>
            <w:gridSpan w:val="8"/>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gridSpan w:val="9"/>
          </w:tcPr>
          <w:p>
            <w:pPr>
              <w:spacing w:after="0" w:line="196" w:lineRule="exact"/>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Quarter 1</w:t>
            </w:r>
          </w:p>
        </w:tc>
        <w:tc>
          <w:tcPr>
            <w:tcW w:w="1560" w:type="dxa"/>
            <w:vAlign w:val="bottom"/>
            <w:gridSpan w:val="7"/>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101,284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92,315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79,992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72,653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57,779</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68,037</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121,854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111,038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81,274</w:t>
            </w:r>
          </w:p>
        </w:tc>
        <w:tc>
          <w:tcPr>
            <w:tcW w:w="0" w:type="dxa"/>
            <w:vAlign w:val="bottom"/>
          </w:tcPr>
          <w:p>
            <w:pPr>
              <w:spacing w:after="0"/>
              <w:rPr>
                <w:sz w:val="1"/>
                <w:szCs w:val="1"/>
                <w:color w:val="auto"/>
              </w:rPr>
            </w:pPr>
          </w:p>
        </w:tc>
      </w:tr>
      <w:tr>
        <w:trPr>
          <w:trHeight w:val="230"/>
        </w:trPr>
        <w:tc>
          <w:tcPr>
            <w:tcW w:w="2400" w:type="dxa"/>
            <w:vAlign w:val="bottom"/>
            <w:gridSpan w:val="9"/>
          </w:tcPr>
          <w:p>
            <w:pPr>
              <w:spacing w:after="0"/>
              <w:rPr>
                <w:sz w:val="20"/>
                <w:szCs w:val="20"/>
                <w:color w:val="auto"/>
              </w:rPr>
            </w:pPr>
            <w:r>
              <w:rPr>
                <w:rFonts w:ascii="Arial" w:cs="Arial" w:eastAsia="Arial" w:hAnsi="Arial"/>
                <w:sz w:val="18"/>
                <w:szCs w:val="18"/>
                <w:color w:val="auto"/>
              </w:rPr>
              <w:t>Quarter 4</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97,476</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67,531</w:t>
            </w:r>
          </w:p>
        </w:tc>
        <w:tc>
          <w:tcPr>
            <w:tcW w:w="0" w:type="dxa"/>
            <w:vAlign w:val="bottom"/>
          </w:tcPr>
          <w:p>
            <w:pPr>
              <w:spacing w:after="0"/>
              <w:rPr>
                <w:sz w:val="1"/>
                <w:szCs w:val="1"/>
                <w:color w:val="auto"/>
              </w:rPr>
            </w:pPr>
          </w:p>
        </w:tc>
      </w:tr>
      <w:tr>
        <w:trPr>
          <w:trHeight w:val="210"/>
        </w:trPr>
        <w:tc>
          <w:tcPr>
            <w:tcW w:w="2400" w:type="dxa"/>
            <w:vAlign w:val="bottom"/>
            <w:gridSpan w:val="9"/>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448,770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410,886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359,957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320,960</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274,621</w:t>
            </w:r>
          </w:p>
        </w:tc>
        <w:tc>
          <w:tcPr>
            <w:tcW w:w="0" w:type="dxa"/>
            <w:vAlign w:val="bottom"/>
          </w:tcPr>
          <w:p>
            <w:pPr>
              <w:spacing w:after="0"/>
              <w:rPr>
                <w:sz w:val="1"/>
                <w:szCs w:val="1"/>
                <w:color w:val="auto"/>
              </w:rPr>
            </w:pPr>
          </w:p>
        </w:tc>
      </w:tr>
      <w:tr>
        <w:trPr>
          <w:trHeight w:val="20"/>
        </w:trPr>
        <w:tc>
          <w:tcPr>
            <w:tcW w:w="2040" w:type="dxa"/>
            <w:vAlign w:val="bottom"/>
            <w:gridSpan w:val="7"/>
            <w:vMerge w:val="restart"/>
          </w:tcPr>
          <w:p>
            <w:pPr>
              <w:spacing w:after="0"/>
              <w:rPr>
                <w:sz w:val="20"/>
                <w:szCs w:val="20"/>
                <w:color w:val="auto"/>
              </w:rPr>
            </w:pPr>
            <w:r>
              <w:rPr>
                <w:rFonts w:ascii="Arial" w:cs="Arial" w:eastAsia="Arial" w:hAnsi="Arial"/>
                <w:sz w:val="18"/>
                <w:szCs w:val="18"/>
                <w:color w:val="auto"/>
                <w:w w:val="89"/>
              </w:rPr>
              <w:t>Adjusted Average Net Sales</w:t>
            </w:r>
          </w:p>
        </w:tc>
        <w:tc>
          <w:tcPr>
            <w:tcW w:w="360" w:type="dxa"/>
            <w:vAlign w:val="bottom"/>
            <w:gridSpan w:val="2"/>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40" w:type="dxa"/>
            <w:vAlign w:val="bottom"/>
            <w:tcBorders>
              <w:bottom w:val="single" w:sz="8" w:color="auto"/>
            </w:tcBorders>
            <w:gridSpan w:val="7"/>
            <w:vMerge w:val="continue"/>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0" w:type="dxa"/>
            <w:vAlign w:val="bottom"/>
            <w:gridSpan w:val="9"/>
          </w:tcPr>
          <w:p>
            <w:pPr>
              <w:spacing w:after="0" w:line="196" w:lineRule="exact"/>
              <w:rPr>
                <w:sz w:val="20"/>
                <w:szCs w:val="20"/>
                <w:color w:val="auto"/>
              </w:rPr>
            </w:pPr>
            <w:r>
              <w:rPr>
                <w:rFonts w:ascii="Arial" w:cs="Arial" w:eastAsia="Arial" w:hAnsi="Arial"/>
                <w:sz w:val="18"/>
                <w:szCs w:val="18"/>
                <w:color w:val="auto"/>
              </w:rPr>
              <w:t>Per Case</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0" w:type="dxa"/>
            <w:vAlign w:val="bottom"/>
            <w:gridSpan w:val="9"/>
          </w:tcPr>
          <w:p>
            <w:pPr>
              <w:spacing w:after="0"/>
              <w:rPr>
                <w:sz w:val="20"/>
                <w:szCs w:val="20"/>
                <w:color w:val="auto"/>
              </w:rPr>
            </w:pPr>
            <w:r>
              <w:rPr>
                <w:rFonts w:ascii="Arial" w:cs="Arial" w:eastAsia="Arial" w:hAnsi="Arial"/>
                <w:sz w:val="18"/>
                <w:szCs w:val="18"/>
                <w:color w:val="auto"/>
              </w:rPr>
              <w:t>Quarter 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400" w:type="dxa"/>
            <w:vAlign w:val="bottom"/>
            <w:gridSpan w:val="9"/>
          </w:tcPr>
          <w:p>
            <w:pPr>
              <w:spacing w:after="0"/>
              <w:rPr>
                <w:sz w:val="20"/>
                <w:szCs w:val="20"/>
                <w:color w:val="auto"/>
              </w:rPr>
            </w:pPr>
            <w:r>
              <w:rPr>
                <w:rFonts w:ascii="Arial" w:cs="Arial" w:eastAsia="Arial" w:hAnsi="Arial"/>
                <w:sz w:val="18"/>
                <w:szCs w:val="18"/>
                <w:color w:val="auto"/>
              </w:rPr>
              <w:t>Quarter 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2400" w:type="dxa"/>
            <w:vAlign w:val="bottom"/>
            <w:gridSpan w:val="9"/>
          </w:tcPr>
          <w:p>
            <w:pPr>
              <w:spacing w:after="0"/>
              <w:rPr>
                <w:sz w:val="20"/>
                <w:szCs w:val="20"/>
                <w:color w:val="auto"/>
              </w:rPr>
            </w:pPr>
            <w:r>
              <w:rPr>
                <w:rFonts w:ascii="Arial" w:cs="Arial" w:eastAsia="Arial" w:hAnsi="Arial"/>
                <w:sz w:val="18"/>
                <w:szCs w:val="18"/>
                <w:color w:val="auto"/>
              </w:rPr>
              <w:t>Quarter 4</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0"/>
        </w:trPr>
        <w:tc>
          <w:tcPr>
            <w:tcW w:w="2400" w:type="dxa"/>
            <w:vAlign w:val="bottom"/>
            <w:gridSpan w:val="9"/>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line="19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Excludes Other segment net sales of $21.9 million, $22.9 million and $21.6 million for the years ended December 31, 2019, 2018 and 2017, respectively, comprised of sales of our AFF Third-Party Products to independent third parties as these sales do not have unit case equivalents.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following represents case sales by segment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(In thousands, except average</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sales per case)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restart"/>
          </w:tcPr>
          <w:p>
            <w:pPr>
              <w:jc w:val="right"/>
              <w:ind w:right="2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40" w:type="dxa"/>
            <w:vAlign w:val="bottom"/>
            <w:gridSpan w:val="2"/>
            <w:vMerge w:val="continue"/>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2"/>
              </w:rPr>
              <w:t>4,200,819</w:t>
            </w:r>
          </w:p>
        </w:tc>
        <w:tc>
          <w:tcPr>
            <w:tcW w:w="2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92"/>
              </w:rPr>
              <w:t>3,807,183</w:t>
            </w:r>
          </w:p>
        </w:tc>
        <w:tc>
          <w:tcPr>
            <w:tcW w:w="20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2"/>
              </w:rPr>
              <w:t>3,369,045</w:t>
            </w:r>
          </w:p>
        </w:tc>
        <w:tc>
          <w:tcPr>
            <w:tcW w:w="20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3,049,393</w:t>
            </w:r>
          </w:p>
        </w:tc>
        <w:tc>
          <w:tcPr>
            <w:tcW w:w="200" w:type="dxa"/>
            <w:vAlign w:val="bottom"/>
          </w:tcPr>
          <w:p>
            <w:pPr>
              <w:spacing w:after="0"/>
              <w:rPr>
                <w:sz w:val="16"/>
                <w:szCs w:val="16"/>
                <w:color w:val="auto"/>
              </w:rPr>
            </w:pPr>
          </w:p>
        </w:tc>
        <w:tc>
          <w:tcPr>
            <w:tcW w:w="1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4"/>
              </w:rPr>
              <w:t>2,722,564</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Less: AFF third-party sales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(21,605)</w:t>
            </w:r>
          </w:p>
        </w:tc>
        <w:tc>
          <w:tcPr>
            <w:tcW w:w="1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(17,011)</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Adjusted net sales¹</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4,178,954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3,784,263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3,347,440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3,032,382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2,722,564</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Case sales by segment:</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3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Monster Energy® Drinks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377,551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338,880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289,105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256,323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228,628</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72,006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34,791</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11,202</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Total case sales</w:t>
            </w: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448,770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410,886</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359,957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320,960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274,621</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Average net sales per case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199" w:lineRule="auto"/>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Excludes Other segment net sales of $21.9 million, $22.9 million and $21.6 million for the years ended December 31, 2019, 2018 and 2017, respectively, comprised of sales of our AFF Third-Party Products to independent third parties as these sales do not have unit case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believe that inflation had a significant impact on our results of operations for the years ended December 31, 2019, 2018 or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Cash flows provided by operating activities. </w:t>
      </w:r>
      <w:r>
        <w:rPr>
          <w:rFonts w:ascii="Arial" w:cs="Arial" w:eastAsia="Arial" w:hAnsi="Arial"/>
          <w:sz w:val="20"/>
          <w:szCs w:val="20"/>
          <w:color w:val="auto"/>
        </w:rPr>
        <w:t>Cash provided by operating activities was $1.11 billion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2019, as compared with cash provided by operating activities of $1.16 billion for the year ended December 31, 2018.</w:t>
      </w:r>
    </w:p>
    <w:p>
      <w:pPr>
        <w:spacing w:after="0" w:line="18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6"/>
          <w:szCs w:val="16"/>
          <w:color w:val="auto"/>
        </w:rPr>
        <w:t>For the year ended December 31, 2019, cash provided by operating activities was primarily attributable to net income earned of $1.11 billion and adjustments for certain non-cash expenses, consisting of $64.8 million of depreciation and amortization and $63.4 million of stock-based compensation. For the year ended December 31, 2019, cash provided by operating activities also increased due to a $28.8 million increase in accounts payable, a $21.9 million increase in accrued promotional allowances, a $9.5 million decrease in prepaid income taxes, an $8.1 million increase in income taxes payable, a $7.2 million increase in accrued compensation, a $6.5 million decrease in distributor receivables and a $1.3 million decrease in deferred income taxes. For the year ended December 31, 2019, cash used in operating activities was primarily attributable to an $85.2 million increase in inventories, a $66.4 million increase in accounts receivable, a $24.9 million decrease in deferred revenue, a $14.3 million decrease in accrued liabilities and a $13.8 million increase in prepaid expenses and other assets.</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For the year ended December 31, 2018, cash provided by operating activities was primarily attributable to net income earned of $993.0 million and adjustments for certain non-cash expenses, consisting of $57.1 million of stock-based compensation and $57.0 million of depreciation and amortization. For the year ended December 31, 2018, cash provided by operating activities also increased due to a $98.7 million decrease in prepaid income taxes, an $11.7 million increase in accrued promotional allowances, an $18.1 million increase in accrued liabilities, a $10.0 million decrease in distributor receivables, a $9.9 million increase in accounts payable, a $5.5 million increase in accrued compensation and a $1.9 million increase in income taxes payable. For the year ended December 31, 2018, cash used in operating activities was primarily attributable to a $48.4 million increase in accounts receivable, a $26.1 million increase in inventories, a $20.0 million decrease in deferred revenue and a $6.7 million increase in prepaid expenses and other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Cash flows (used in) provided by investing activities. </w:t>
      </w:r>
      <w:r>
        <w:rPr>
          <w:rFonts w:ascii="Arial" w:cs="Arial" w:eastAsia="Arial" w:hAnsi="Arial"/>
          <w:sz w:val="20"/>
          <w:szCs w:val="20"/>
          <w:color w:val="auto"/>
        </w:rPr>
        <w:t>Net cash used in investing activities was $326.7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year ended December 31, 2019 as compared to cash provided by investing activities of $273.0 million for the year ended December 31, 2018.</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For both the years ended December 31, 2019 and 2018, cash provided by investing activities was primarily attributable to sales of available-for-sale investments. For both the years ended December 31, 2019 and 2018, cash used in investing activities was primarily attributable to purchases of available-for-sale investments. For both the years ended December 31, 2019 and 2018, cash used in investing activities also included the acquisition of fixed assets consisting of vans and promotional vehicles, coolers and other equipment to support our marketing and promotional activities, production equipment, furniture and fixtures, office and computer equipment, real property, computer software, equipment used for sales and administrative activities, certain leasehold improvements, improvements to real property as well as the acquisition, defense and maintenance of trademarks.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Cash flows used in financing activities. </w:t>
      </w:r>
      <w:r>
        <w:rPr>
          <w:rFonts w:ascii="Arial" w:cs="Arial" w:eastAsia="Arial" w:hAnsi="Arial"/>
          <w:sz w:val="19"/>
          <w:szCs w:val="19"/>
          <w:color w:val="auto"/>
        </w:rPr>
        <w:t>Cash used in financing activities was $628.5 million for the year ended</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31, 2019 as compared to cash used in financing activities of $1.32 billion for the year ended December 31, 2018. The cash flows used in financing activities for both the years ended December 31, 2019 and 2018 was primarily the result of the repurchases of our common stock. The cash flows provided by financing activities for both the years ended December 31, 2019, and 2018 was primarily attributable to the issuance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Cash and cash equivalents, short-term and long-term investments – </w:t>
      </w:r>
      <w:r>
        <w:rPr>
          <w:rFonts w:ascii="Arial" w:cs="Arial" w:eastAsia="Arial" w:hAnsi="Arial"/>
          <w:sz w:val="18"/>
          <w:szCs w:val="18"/>
          <w:color w:val="auto"/>
        </w:rPr>
        <w:t>As of December 31, 2019, we had $798.0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and cash equivalents, $533.1 million in short-term investments and $12.9 million in long-term investments. We have historically invested these amounts in U.S. treasuries, U.S. government agency securities and municipal securities (which may have an auction reset feature), certificates of deposit, commercial paper,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Of our $798.0 million of cash and cash equivalents held at December 31, 2019, $416.9 million was held by our foreign subsidiaries. No short-term or long-term investments were held by our foreign subsidiaries at December 31, 2019.</w:t>
      </w:r>
    </w:p>
    <w:p>
      <w:pPr>
        <w:spacing w:after="0" w:line="1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capital expenditures (exclusive of common stock repurchases) are currently estimated to be approximately $150.0 million through December 31, 2020. However, future business opportunities may cause a change in this estimate.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3" w:name="page54"/>
    <w:bookmarkEnd w:id="53"/>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 w:firstLine="648"/>
        <w:spacing w:after="0" w:line="260" w:lineRule="auto"/>
        <w:rPr>
          <w:sz w:val="20"/>
          <w:szCs w:val="20"/>
          <w:color w:val="auto"/>
        </w:rPr>
      </w:pPr>
      <w:r>
        <w:rPr>
          <w:rFonts w:ascii="Arial" w:cs="Arial" w:eastAsia="Arial" w:hAnsi="Arial"/>
          <w:sz w:val="20"/>
          <w:szCs w:val="20"/>
          <w:color w:val="auto"/>
        </w:rPr>
        <w:t>The following represents a summary of the Company’s contractual commitments and related scheduled maturities as of December 31, 2019:</w:t>
      </w:r>
    </w:p>
    <w:p>
      <w:pPr>
        <w:spacing w:after="0" w:line="193"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color w:val="auto"/>
              </w:rPr>
              <w:t>Payments due by period (in thousands)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5"/>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Less than</w:t>
            </w:r>
          </w:p>
        </w:tc>
        <w:tc>
          <w:tcPr>
            <w:tcW w:w="220" w:type="dxa"/>
            <w:vAlign w:val="bottom"/>
          </w:tcPr>
          <w:p>
            <w:pPr>
              <w:spacing w:after="0"/>
              <w:rPr>
                <w:sz w:val="16"/>
                <w:szCs w:val="16"/>
                <w:color w:val="auto"/>
              </w:rPr>
            </w:pPr>
          </w:p>
        </w:tc>
        <w:tc>
          <w:tcPr>
            <w:tcW w:w="98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20" w:type="dxa"/>
            <w:vAlign w:val="bottom"/>
          </w:tcPr>
          <w:p>
            <w:pPr>
              <w:spacing w:after="0"/>
              <w:rPr>
                <w:sz w:val="16"/>
                <w:szCs w:val="16"/>
                <w:color w:val="auto"/>
              </w:rPr>
            </w:pPr>
          </w:p>
        </w:tc>
        <w:tc>
          <w:tcPr>
            <w:tcW w:w="960" w:type="dxa"/>
            <w:vAlign w:val="bottom"/>
            <w:gridSpan w:val="2"/>
          </w:tcPr>
          <w:p>
            <w:pPr>
              <w:jc w:val="center"/>
              <w:ind w:right="480"/>
              <w:spacing w:after="0" w:line="195" w:lineRule="exact"/>
              <w:rPr>
                <w:sz w:val="20"/>
                <w:szCs w:val="20"/>
                <w:color w:val="auto"/>
              </w:rPr>
            </w:pPr>
            <w:r>
              <w:rPr>
                <w:rFonts w:ascii="Arial" w:cs="Arial" w:eastAsia="Arial" w:hAnsi="Arial"/>
                <w:sz w:val="18"/>
                <w:szCs w:val="18"/>
                <w:color w:val="auto"/>
                <w:w w:val="93"/>
              </w:rPr>
              <w:t>3</w:t>
            </w:r>
            <w:r>
              <w:rPr>
                <w:rFonts w:ascii="MS PGothic" w:cs="MS PGothic" w:eastAsia="MS PGothic" w:hAnsi="MS PGothic"/>
                <w:sz w:val="18"/>
                <w:szCs w:val="18"/>
                <w:color w:val="auto"/>
                <w:w w:val="93"/>
              </w:rPr>
              <w:t>‑</w:t>
            </w:r>
            <w:r>
              <w:rPr>
                <w:rFonts w:ascii="Arial" w:cs="Arial" w:eastAsia="Arial" w:hAnsi="Arial"/>
                <w:sz w:val="18"/>
                <w:szCs w:val="18"/>
                <w:color w:val="auto"/>
                <w:w w:val="93"/>
              </w:rPr>
              <w:t>5</w:t>
            </w:r>
          </w:p>
        </w:tc>
        <w:tc>
          <w:tcPr>
            <w:tcW w:w="100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More than</w:t>
            </w:r>
          </w:p>
        </w:tc>
      </w:tr>
      <w:tr>
        <w:trPr>
          <w:trHeight w:val="230"/>
        </w:trPr>
        <w:tc>
          <w:tcPr>
            <w:tcW w:w="41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years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1"/>
              </w:rPr>
              <w:t>5 years</w:t>
            </w:r>
          </w:p>
        </w:tc>
      </w:tr>
      <w:tr>
        <w:trPr>
          <w:trHeight w:val="411"/>
        </w:trPr>
        <w:tc>
          <w:tcPr>
            <w:tcW w:w="4320" w:type="dxa"/>
            <w:vAlign w:val="bottom"/>
            <w:gridSpan w:val="2"/>
          </w:tcPr>
          <w:p>
            <w:pPr>
              <w:spacing w:after="0"/>
              <w:rPr>
                <w:sz w:val="20"/>
                <w:szCs w:val="20"/>
                <w:color w:val="auto"/>
              </w:rPr>
            </w:pPr>
            <w:r>
              <w:rPr>
                <w:rFonts w:ascii="Arial" w:cs="Arial" w:eastAsia="Arial" w:hAnsi="Arial"/>
                <w:sz w:val="18"/>
                <w:szCs w:val="18"/>
                <w:color w:val="auto"/>
              </w:rPr>
              <w:t>Contractual Obligations¹</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181,896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121,675</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56,721</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18,188</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Purchase Commitments²</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86,712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86,712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213,548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62,924</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18,188</w:t>
            </w: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81" w:hanging="81"/>
        <w:spacing w:after="0"/>
        <w:tabs>
          <w:tab w:leader="none" w:pos="81" w:val="left"/>
        </w:tabs>
        <w:numPr>
          <w:ilvl w:val="0"/>
          <w:numId w:val="26"/>
        </w:numPr>
        <w:rPr>
          <w:rFonts w:ascii="Arial" w:cs="Arial" w:eastAsia="Arial" w:hAnsi="Arial"/>
          <w:sz w:val="21"/>
          <w:szCs w:val="21"/>
          <w:color w:val="auto"/>
          <w:vertAlign w:val="superscript"/>
        </w:rPr>
      </w:pPr>
      <w:r>
        <w:rPr>
          <w:rFonts w:ascii="Arial" w:cs="Arial" w:eastAsia="Arial" w:hAnsi="Arial"/>
          <w:sz w:val="14"/>
          <w:szCs w:val="14"/>
          <w:color w:val="auto"/>
        </w:rPr>
        <w:t>Contractual obligations include our obligations related to sponsorships and other commitments.</w:t>
      </w:r>
    </w:p>
    <w:p>
      <w:pPr>
        <w:spacing w:after="0" w:line="182" w:lineRule="exact"/>
        <w:rPr>
          <w:sz w:val="20"/>
          <w:szCs w:val="20"/>
          <w:color w:val="auto"/>
        </w:rPr>
      </w:pPr>
    </w:p>
    <w:p>
      <w:pPr>
        <w:ind w:left="1" w:hanging="1"/>
        <w:spacing w:after="0" w:line="191" w:lineRule="auto"/>
        <w:tabs>
          <w:tab w:leader="none" w:pos="96"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6" w:lineRule="exact"/>
        <w:rPr>
          <w:sz w:val="20"/>
          <w:szCs w:val="20"/>
          <w:color w:val="auto"/>
        </w:rPr>
      </w:pPr>
    </w:p>
    <w:p>
      <w:pPr>
        <w:jc w:val="both"/>
        <w:ind w:left="1" w:firstLine="648"/>
        <w:spacing w:after="0" w:line="291" w:lineRule="auto"/>
        <w:rPr>
          <w:sz w:val="20"/>
          <w:szCs w:val="20"/>
          <w:color w:val="auto"/>
        </w:rPr>
      </w:pPr>
      <w:r>
        <w:rPr>
          <w:rFonts w:ascii="Arial" w:cs="Arial" w:eastAsia="Arial" w:hAnsi="Arial"/>
          <w:sz w:val="18"/>
          <w:szCs w:val="18"/>
          <w:color w:val="auto"/>
        </w:rPr>
        <w:t>In addition, approximately $3.0 million of unrecognized tax benefits have been recorded as liabilities as of December 31, 2019. It is expected that the amount of unrecognized tax benefits will not significantly change within the next 12 months. As of December 31, 2019, we had $0.4 million of accrued interest and penalties related to unrecognized tax benefits.</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22" w:lineRule="exact"/>
        <w:rPr>
          <w:sz w:val="20"/>
          <w:szCs w:val="20"/>
          <w:color w:val="auto"/>
        </w:rPr>
      </w:pPr>
    </w:p>
    <w:p>
      <w:pPr>
        <w:ind w:left="641"/>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16"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186"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9"/>
          <w:szCs w:val="19"/>
          <w:i w:val="1"/>
          <w:iCs w:val="1"/>
          <w:color w:val="auto"/>
        </w:rPr>
        <w:t xml:space="preserve">Business Combinations </w:t>
      </w:r>
      <w:r>
        <w:rPr>
          <w:rFonts w:ascii="Arial" w:cs="Arial" w:eastAsia="Arial" w:hAnsi="Arial"/>
          <w:sz w:val="19"/>
          <w:szCs w:val="19"/>
          <w:color w:val="auto"/>
        </w:rPr>
        <w:t>– Business acquisitions are accounted for in accordance with Financial Accounting Standards</w:t>
      </w:r>
      <w:r>
        <w:rPr>
          <w:rFonts w:ascii="Arial" w:cs="Arial" w:eastAsia="Arial" w:hAnsi="Arial"/>
          <w:sz w:val="19"/>
          <w:szCs w:val="19"/>
          <w:i w:val="1"/>
          <w:iCs w:val="1"/>
          <w:color w:val="auto"/>
        </w:rPr>
        <w:t xml:space="preserve"> </w:t>
      </w:r>
      <w:r>
        <w:rPr>
          <w:rFonts w:ascii="Arial" w:cs="Arial" w:eastAsia="Arial" w:hAnsi="Arial"/>
          <w:sz w:val="19"/>
          <w:szCs w:val="19"/>
          <w:color w:val="auto"/>
        </w:rPr>
        <w:t>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88"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 The Company considers all highly liquid investments with an original maturity of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77" w:lineRule="exact"/>
        <w:rPr>
          <w:sz w:val="20"/>
          <w:szCs w:val="20"/>
          <w:color w:val="auto"/>
        </w:rPr>
      </w:pPr>
    </w:p>
    <w:p>
      <w:pPr>
        <w:jc w:val="both"/>
        <w:ind w:left="1" w:firstLine="648"/>
        <w:spacing w:after="0" w:line="291"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or trading, in accordance with FASB ASC 320. Held-to-maturity securities are those securities that the Company has the positive intent and ability to hold until maturity. Trading securities are those securities that the Company intends to sell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valued at the lower of first-in, first-out, cost or market value (net realizable value).</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computer 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records goodwill when the consideration paid for an acquisition exceeds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unit is lower than its net book value. The second step of the process, performed only if a potential impairment exists, involves determining the difference between the fair value of the reporting unit’s net assets, other than goodwill, and the fair value of the reporting unit. An impairment charge is recognized for the excess of the carrying value of goodwill over its implied fair value. For the years ended December 31, 2019, 2018 and 2017 there were no impairments recorded.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 Other Intangibles are comprised of trademarks that represent the Company’s exclusive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Monster Energy®, </w:t>
      </w:r>
      <w:r>
        <w:rPr>
          <w:sz w:val="1"/>
          <w:szCs w:val="1"/>
          <w:color w:val="auto"/>
        </w:rPr>
        <w:drawing>
          <wp:inline distT="0" distB="0" distL="0" distR="0">
            <wp:extent cx="102870"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8"/>
          <w:szCs w:val="18"/>
          <w:color w:val="auto"/>
        </w:rPr>
        <w:t>®, Monster Energy Ultra®, Unleash the Beast!®, Monster Rehab®, Java Monster®, Monster Hydro®, Monster HydroSport Super Fuel®, Espresso Monster®, Caffé Monster®, Monster Energy Extra Strength Nitrous Technology®, Muscle Monster®, Punch Monster®, Juice Monster®,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Reign Inferno</w:t>
      </w:r>
      <w:r>
        <w:rPr>
          <w:rFonts w:ascii="Arial" w:cs="Arial" w:eastAsia="Arial" w:hAnsi="Arial"/>
          <w:sz w:val="26"/>
          <w:szCs w:val="26"/>
          <w:color w:val="auto"/>
          <w:vertAlign w:val="superscript"/>
        </w:rPr>
        <w:t>TM</w:t>
      </w:r>
      <w:r>
        <w:rPr>
          <w:rFonts w:ascii="Arial" w:cs="Arial" w:eastAsia="Arial" w:hAnsi="Arial"/>
          <w:sz w:val="18"/>
          <w:szCs w:val="18"/>
          <w:color w:val="auto"/>
        </w:rPr>
        <w:t>, M3(stylized)®, BU®, Nalu®, NOS®, Full Throttle®, Burn®, Mother®, Ultra Energy®, Play® and Power Play® (stylized), Gladiator®, Relentless®, Samurai®, Predator® and BPM® trademarks, all used in connection with the manufacture, sale and distribution of beverages. The Company also owns in its own right a number of other trademarks, flavors and formulas in the United States, as well as in a number of countries around the world. In addition, in 2016 through our acquisition of AFF, we secured the intellectual property of our most important flavors for certain of our Monster Energy® Brand energy drinks in perpetuity.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intangibles with finite useful lives over their respective useful lives. For the years ended December 31, 2019, 2018 and 2017 there were no impairments recorded.</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2019, 2018 and 2017, there were no impairment indicators identified. Long-lived assets held for sale are recorded at the lower of their carrying amount or fair value less cost to sell.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Foreign Currency Translation and Transactions </w:t>
      </w:r>
      <w:r>
        <w:rPr>
          <w:rFonts w:ascii="Arial" w:cs="Arial" w:eastAsia="Arial" w:hAnsi="Arial"/>
          <w:sz w:val="19"/>
          <w:szCs w:val="19"/>
          <w:color w:val="auto"/>
        </w:rPr>
        <w:t>– The accounts of the Company’s foreign subsidiaries are translated</w:t>
      </w:r>
      <w:r>
        <w:rPr>
          <w:rFonts w:ascii="Arial" w:cs="Arial" w:eastAsia="Arial" w:hAnsi="Arial"/>
          <w:sz w:val="19"/>
          <w:szCs w:val="19"/>
          <w:i w:val="1"/>
          <w:iCs w:val="1"/>
          <w:color w:val="auto"/>
        </w:rPr>
        <w:t xml:space="preserve"> </w:t>
      </w:r>
      <w:r>
        <w:rPr>
          <w:rFonts w:ascii="Arial" w:cs="Arial" w:eastAsia="Arial" w:hAnsi="Arial"/>
          <w:sz w:val="19"/>
          <w:szCs w:val="19"/>
          <w:color w:val="auto"/>
        </w:rPr>
        <w:t>in accordance with FASB ASC 830. Foreign currency transaction gains and losses are recognized in other income,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2019, 2018 and 2017,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2019 have terms of three months or less. We do not enter into forward currency exchange contracts for speculation or trading purposes.</w:t>
      </w:r>
    </w:p>
    <w:p>
      <w:pPr>
        <w:spacing w:after="0" w:line="18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Company’s Monster Energy® Drinks segment generates net operating revenues by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ready-to-drink packaged energy drinks primarily to bottlers and full service beverage distributors. In some cases,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Company sells directly to retail grocery and specialty chains, wholesalers, club stores, mass merchandisers, convenience chains, drug stores, foodservice customers, value retailers, e-commerce retailers and the military.</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2019 and December 31, 2018.</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30" w:lineRule="exact"/>
        <w:rPr>
          <w:sz w:val="20"/>
          <w:szCs w:val="20"/>
          <w:color w:val="auto"/>
        </w:rPr>
      </w:pPr>
    </w:p>
    <w:p>
      <w:pPr>
        <w:ind w:left="1000" w:hanging="326"/>
        <w:spacing w:after="0"/>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000" w:hanging="326"/>
        <w:spacing w:after="0" w:line="252" w:lineRule="auto"/>
        <w:tabs>
          <w:tab w:leader="none" w:pos="10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26"/>
        <w:spacing w:after="0" w:line="239" w:lineRule="auto"/>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Company’s agreed share of slotting, shelf space allowances and other fees given directly to retailers;</w:t>
      </w:r>
    </w:p>
    <w:p>
      <w:pPr>
        <w:spacing w:after="0" w:line="11" w:lineRule="exact"/>
        <w:rPr>
          <w:rFonts w:ascii="Arial" w:cs="Arial" w:eastAsia="Arial" w:hAnsi="Arial"/>
          <w:sz w:val="19"/>
          <w:szCs w:val="19"/>
          <w:color w:val="auto"/>
        </w:rPr>
      </w:pPr>
    </w:p>
    <w:p>
      <w:pPr>
        <w:ind w:left="1000" w:hanging="326"/>
        <w:spacing w:after="0" w:line="239" w:lineRule="auto"/>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000" w:hanging="326"/>
        <w:spacing w:after="0" w:line="239" w:lineRule="auto"/>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Arial" w:cs="Arial" w:eastAsia="Arial" w:hAnsi="Arial"/>
          <w:sz w:val="20"/>
          <w:szCs w:val="20"/>
          <w:color w:val="auto"/>
        </w:rPr>
      </w:pPr>
    </w:p>
    <w:p>
      <w:pPr>
        <w:ind w:left="1000" w:hanging="326"/>
        <w:spacing w:after="0"/>
        <w:tabs>
          <w:tab w:leader="none" w:pos="10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commissions paid to TCCC based on our sales to the TCCC Subsidiaries and/or the TCCC Related Parties.</w:t>
      </w: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57" w:name="page58"/>
    <w:bookmarkEnd w:id="57"/>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estimated expenses and actual expenses for promotional and other allowance costs have historically been insignificant and are recognized in earnings in the period such differences are determined.</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20 years.</w:t>
      </w:r>
    </w:p>
    <w:p>
      <w:pPr>
        <w:spacing w:after="0" w:line="186"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The Company also enters into license agreements that generate revenues associated with third-party sales of non-beverage products bearing our trademarks including, but not limited to, clothing, hats, t-shirts, jackets, helmets and automotive wheels.</w:t>
      </w:r>
    </w:p>
    <w:p>
      <w:pPr>
        <w:spacing w:after="0" w:line="18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77"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flavors, concentrates and/or beverage bases, the costs of raw</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93"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9"/>
          <w:szCs w:val="19"/>
          <w:i w:val="1"/>
          <w:iCs w:val="1"/>
          <w:color w:val="auto"/>
        </w:rPr>
        <w:t xml:space="preserve">Operating Expenses </w:t>
      </w:r>
      <w:r>
        <w:rPr>
          <w:rFonts w:ascii="Arial" w:cs="Arial" w:eastAsia="Arial" w:hAnsi="Arial"/>
          <w:sz w:val="19"/>
          <w:szCs w:val="19"/>
          <w:color w:val="auto"/>
        </w:rPr>
        <w:t>– Operating expenses include selling expenses such as distribution expenses to transport products</w:t>
      </w:r>
      <w:r>
        <w:rPr>
          <w:rFonts w:ascii="Arial" w:cs="Arial" w:eastAsia="Arial" w:hAnsi="Arial"/>
          <w:sz w:val="19"/>
          <w:szCs w:val="19"/>
          <w:i w:val="1"/>
          <w:iCs w:val="1"/>
          <w:color w:val="auto"/>
        </w:rPr>
        <w:t xml:space="preserve"> </w:t>
      </w:r>
      <w:r>
        <w:rPr>
          <w:rFonts w:ascii="Arial" w:cs="Arial" w:eastAsia="Arial" w:hAnsi="Arial"/>
          <w:sz w:val="19"/>
          <w:szCs w:val="19"/>
          <w:color w:val="auto"/>
        </w:rPr>
        <w:t>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ind w:left="641"/>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liability method of accounting for income taxes as set forth in FASB ASC</w:t>
      </w:r>
    </w:p>
    <w:p>
      <w:pPr>
        <w:spacing w:after="0" w:line="39" w:lineRule="exact"/>
        <w:rPr>
          <w:sz w:val="20"/>
          <w:szCs w:val="20"/>
          <w:color w:val="auto"/>
        </w:rPr>
      </w:pPr>
    </w:p>
    <w:p>
      <w:pPr>
        <w:jc w:val="both"/>
        <w:ind w:left="1" w:hanging="1"/>
        <w:spacing w:after="0"/>
        <w:tabs>
          <w:tab w:leader="none" w:pos="432" w:val="left"/>
        </w:tabs>
        <w:numPr>
          <w:ilvl w:val="0"/>
          <w:numId w:val="29"/>
        </w:numPr>
        <w:rPr>
          <w:rFonts w:ascii="Arial" w:cs="Arial" w:eastAsia="Arial" w:hAnsi="Arial"/>
          <w:sz w:val="20"/>
          <w:szCs w:val="20"/>
          <w:color w:val="auto"/>
        </w:rPr>
      </w:pPr>
      <w:r>
        <w:rPr>
          <w:rFonts w:ascii="Arial" w:cs="Arial" w:eastAsia="Arial" w:hAnsi="Arial"/>
          <w:sz w:val="20"/>
          <w:szCs w:val="20"/>
          <w:color w:val="auto"/>
        </w:rPr>
        <w:t>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7"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9" w:lineRule="exact"/>
        <w:rPr>
          <w:sz w:val="20"/>
          <w:szCs w:val="20"/>
          <w:color w:val="auto"/>
        </w:rPr>
      </w:pPr>
    </w:p>
    <w:p>
      <w:pPr>
        <w:ind w:left="641"/>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16"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See “Part II, Item 8 – Financial Statements and Supplementary Data – Note 1 – Organization and Summary of Significant Accounting Policies – Recent Accounting Pronouncements” for a full description of recent accounting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58" w:name="page59"/>
    <w:bookmarkEnd w:id="58"/>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pronouncements including the respective expected dates of adoption and expected effects on the Company’s consolidated financial position, results of operations or liquidity.</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8"/>
          <w:szCs w:val="18"/>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171"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86" w:lineRule="exact"/>
        <w:rPr>
          <w:sz w:val="20"/>
          <w:szCs w:val="20"/>
          <w:color w:val="auto"/>
        </w:rPr>
      </w:pPr>
    </w:p>
    <w:p>
      <w:pPr>
        <w:ind w:left="321" w:hanging="321"/>
        <w:spacing w:after="0" w:line="247"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We have extensive commercial arrangements with TCCC and, as a result, our future performance is substantially dependent on the success of our relationship with TCCC;</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impact of TCCC’s bottlers/distributors distributing Coca-Cola brand energy drinks;</w:t>
      </w:r>
    </w:p>
    <w:p>
      <w:pPr>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TCCC being one of our significant shareholders and the potential divergence of TCCC’s interests from those of our other shareholders;</w:t>
      </w:r>
    </w:p>
    <w:p>
      <w:pPr>
        <w:spacing w:after="0" w:line="1"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TCCC’s refranchising initiative to transition from a TCCC owned system to an independent bottling system, including our ability to maintain relationships with TCCC system bottlers/distributors and manage their ongoing commitment to focus on our products;</w:t>
      </w:r>
    </w:p>
    <w:p>
      <w:pPr>
        <w:spacing w:after="0" w:line="1" w:lineRule="exact"/>
        <w:rPr>
          <w:rFonts w:ascii="Arial" w:cs="Arial" w:eastAsia="Arial" w:hAnsi="Arial"/>
          <w:sz w:val="20"/>
          <w:szCs w:val="20"/>
          <w:color w:val="auto"/>
        </w:rPr>
      </w:pPr>
    </w:p>
    <w:p>
      <w:pPr>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possible slowing of and/or decline in the sales growth rates of the domestic and international energy drink categories and/or the U.S. convenience store market generally;</w:t>
      </w:r>
    </w:p>
    <w:p>
      <w:pPr>
        <w:spacing w:after="0" w:line="1" w:lineRule="exact"/>
        <w:rPr>
          <w:rFonts w:ascii="Arial" w:cs="Arial" w:eastAsia="Arial" w:hAnsi="Arial"/>
          <w:sz w:val="20"/>
          <w:szCs w:val="20"/>
          <w:color w:val="auto"/>
        </w:rPr>
      </w:pPr>
    </w:p>
    <w:p>
      <w:pPr>
        <w:ind w:left="321" w:right="20"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Fluctuations in the inventory levels of our bottlers/distributors, planned or otherwise, and the resultant impact on our revenues;</w:t>
      </w:r>
    </w:p>
    <w:p>
      <w:pPr>
        <w:spacing w:after="0" w:line="1"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3" w:lineRule="exact"/>
        <w:rPr>
          <w:rFonts w:ascii="Arial" w:cs="Arial" w:eastAsia="Arial" w:hAnsi="Arial"/>
          <w:sz w:val="20"/>
          <w:szCs w:val="20"/>
          <w:color w:val="auto"/>
        </w:rPr>
      </w:pPr>
    </w:p>
    <w:p>
      <w:pPr>
        <w:ind w:left="321" w:hanging="321"/>
        <w:spacing w:after="0" w:line="239" w:lineRule="auto"/>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comply with laws, regulations and evolving industry standards regarding consumer privacy and data use and security, including with respect to the GDPR and the CCPA;</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0"/>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59" w:name="page60"/>
    <w:bookmarkEnd w:id="59"/>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321" w:hanging="321"/>
        <w:spacing w:after="0" w:line="245"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321" w:right="20"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produce our products in international markets in which they are sold, thereby reducing freight costs and/or product damages;</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absorb, reduce or pass on to our bottlers/distributors increases in freight costs;</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21" w:right="20" w:hanging="321"/>
        <w:spacing w:after="0" w:line="252" w:lineRule="auto"/>
        <w:tabs>
          <w:tab w:leader="none" w:pos="321" w:val="left"/>
        </w:tabs>
        <w:numPr>
          <w:ilvl w:val="0"/>
          <w:numId w:val="31"/>
        </w:numPr>
        <w:rPr>
          <w:rFonts w:ascii="Arial" w:cs="Arial" w:eastAsia="Arial" w:hAnsi="Arial"/>
          <w:sz w:val="19"/>
          <w:szCs w:val="19"/>
          <w:color w:val="auto"/>
        </w:rPr>
      </w:pPr>
      <w:r>
        <w:rPr>
          <w:rFonts w:ascii="Arial" w:cs="Arial" w:eastAsia="Arial" w:hAnsi="Arial"/>
          <w:sz w:val="19"/>
          <w:szCs w:val="19"/>
          <w:color w:val="auto"/>
        </w:rPr>
        <w:t>Our foreign currency exchange rate risk with respect to our sales, expenses, profits, assets and liabilities denominated in currencies other than the U.S. dollar, which will continue to increase as foreign sales increase;</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Uncertainties surrounding Brexit;</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Implications of OECD’s BEPS project;</w:t>
      </w:r>
    </w:p>
    <w:p>
      <w:pPr>
        <w:ind w:left="321" w:right="20"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 the FDA, the FTC or other governmental agencies or bodies;</w:t>
      </w:r>
    </w:p>
    <w:p>
      <w:pPr>
        <w:spacing w:after="0" w:line="1"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2" w:lineRule="exact"/>
        <w:rPr>
          <w:rFonts w:ascii="Arial" w:cs="Arial" w:eastAsia="Arial" w:hAnsi="Arial"/>
          <w:sz w:val="20"/>
          <w:szCs w:val="20"/>
          <w:color w:val="auto"/>
        </w:rPr>
      </w:pP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Intellectual property injunctions;</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Unfavorable resolution of tax matters;</w:t>
      </w:r>
    </w:p>
    <w:p>
      <w:pPr>
        <w:ind w:left="321" w:hanging="321"/>
        <w:spacing w:after="0"/>
        <w:tabs>
          <w:tab w:leader="none" w:pos="321" w:val="left"/>
        </w:tabs>
        <w:numPr>
          <w:ilvl w:val="0"/>
          <w:numId w:val="31"/>
        </w:numPr>
        <w:rPr>
          <w:rFonts w:ascii="Arial" w:cs="Arial" w:eastAsia="Arial" w:hAnsi="Arial"/>
          <w:sz w:val="19"/>
          <w:szCs w:val="19"/>
          <w:color w:val="auto"/>
        </w:rPr>
      </w:pPr>
      <w:r>
        <w:rPr>
          <w:rFonts w:ascii="Arial" w:cs="Arial" w:eastAsia="Arial" w:hAnsi="Arial"/>
          <w:sz w:val="19"/>
          <w:szCs w:val="19"/>
          <w:color w:val="auto"/>
        </w:rPr>
        <w:t>Uncertainty and volatility in the domestic and global economies, including risk of counterparty default or failure;</w:t>
      </w:r>
    </w:p>
    <w:p>
      <w:pPr>
        <w:spacing w:after="0" w:line="11" w:lineRule="exact"/>
        <w:rPr>
          <w:rFonts w:ascii="Arial" w:cs="Arial" w:eastAsia="Arial" w:hAnsi="Arial"/>
          <w:sz w:val="19"/>
          <w:szCs w:val="19"/>
          <w:color w:val="auto"/>
        </w:rPr>
      </w:pPr>
    </w:p>
    <w:p>
      <w:pPr>
        <w:ind w:left="321" w:hanging="321"/>
        <w:spacing w:after="0"/>
        <w:tabs>
          <w:tab w:leader="none" w:pos="3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address any significant deficiencies or material weakness in our internal controls over financial reporting;</w:t>
      </w:r>
    </w:p>
    <w:p>
      <w:pPr>
        <w:spacing w:after="0" w:line="22" w:lineRule="exact"/>
        <w:rPr>
          <w:rFonts w:ascii="Arial" w:cs="Arial" w:eastAsia="Arial" w:hAnsi="Arial"/>
          <w:sz w:val="18"/>
          <w:szCs w:val="18"/>
          <w:color w:val="auto"/>
        </w:rPr>
      </w:pPr>
    </w:p>
    <w:p>
      <w:pPr>
        <w:ind w:left="321" w:hanging="321"/>
        <w:spacing w:after="0"/>
        <w:tabs>
          <w:tab w:leader="none" w:pos="321"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continue to generate sufficient cash flows to support our expansion plans and general operating activities;</w:t>
      </w:r>
    </w:p>
    <w:p>
      <w:pPr>
        <w:spacing w:after="0" w:line="22" w:lineRule="exact"/>
        <w:rPr>
          <w:rFonts w:ascii="Arial" w:cs="Arial" w:eastAsia="Arial" w:hAnsi="Arial"/>
          <w:sz w:val="18"/>
          <w:szCs w:val="18"/>
          <w:color w:val="auto"/>
        </w:rPr>
      </w:pPr>
    </w:p>
    <w:p>
      <w:pPr>
        <w:jc w:val="both"/>
        <w:ind w:left="321"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20"/>
          <w:szCs w:val="20"/>
          <w:color w:val="auto"/>
        </w:rPr>
      </w:pPr>
    </w:p>
    <w:p>
      <w:pPr>
        <w:ind w:left="321" w:right="20"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Adverse publicity surrounding obesity and health concerns related to our products, water usage, environmental impact, human rights and labor and workplace laws;</w:t>
      </w:r>
    </w:p>
    <w:p>
      <w:pPr>
        <w:spacing w:after="0" w:line="1"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 and changes in cost and availability of certain key ingredients, as well as disruptions to the supply chain, as a result of climate change and extreme weather conditions;</w:t>
      </w:r>
    </w:p>
    <w:p>
      <w:pPr>
        <w:spacing w:after="0" w:line="1" w:lineRule="exact"/>
        <w:rPr>
          <w:rFonts w:ascii="Arial" w:cs="Arial" w:eastAsia="Arial" w:hAnsi="Arial"/>
          <w:sz w:val="20"/>
          <w:szCs w:val="20"/>
          <w:color w:val="auto"/>
        </w:rPr>
      </w:pPr>
    </w:p>
    <w:p>
      <w:pPr>
        <w:ind w:left="321" w:hanging="321"/>
        <w:spacing w:after="0" w:line="252" w:lineRule="auto"/>
        <w:tabs>
          <w:tab w:leader="none" w:pos="321"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impact of unstable political conditions, civil unrest, large scale terrorist acts, the outbreak or escalation of armed hostilities, major natural disasters and extreme weather conditions, or widespread outbreaks of infectious diseases;</w:t>
      </w:r>
    </w:p>
    <w:p>
      <w:pPr>
        <w:ind w:left="321" w:hanging="321"/>
        <w:spacing w:after="0"/>
        <w:tabs>
          <w:tab w:leader="none" w:pos="321"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impact on our global supply chain and our operations due to the recent coronavirus (or COVID-19) outbreak;</w:t>
      </w:r>
    </w:p>
    <w:p>
      <w:pPr>
        <w:spacing w:after="0" w:line="11" w:lineRule="exact"/>
        <w:rPr>
          <w:rFonts w:ascii="Arial" w:cs="Arial" w:eastAsia="Arial" w:hAnsi="Arial"/>
          <w:sz w:val="19"/>
          <w:szCs w:val="19"/>
          <w:color w:val="auto"/>
        </w:rPr>
      </w:pPr>
    </w:p>
    <w:p>
      <w:pPr>
        <w:jc w:val="both"/>
        <w:ind w:left="321" w:hanging="321"/>
        <w:spacing w:after="0" w:line="252" w:lineRule="auto"/>
        <w:tabs>
          <w:tab w:leader="none" w:pos="321"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ind w:left="321" w:hanging="321"/>
        <w:spacing w:after="0" w:line="195" w:lineRule="auto"/>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impact on our business of trademark and trade dress infringement proceedings brought against us relating to our Reign Total Body Fuel</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high performance energy drinks;</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Our ability to implement and/or maintain price increases;</w:t>
      </w:r>
    </w:p>
    <w:p>
      <w:pPr>
        <w:ind w:left="321" w:hanging="321"/>
        <w:spacing w:after="0"/>
        <w:tabs>
          <w:tab w:leader="none" w:pos="321"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60" w:name="page61"/>
    <w:bookmarkEnd w:id="6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321" w:hanging="321"/>
        <w:spacing w:after="0" w:line="247"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achieve growth for our Monster Energy® brand energy drinks and/or our other products, including our Strategic Brands;</w:t>
      </w:r>
    </w:p>
    <w:p>
      <w:pPr>
        <w:spacing w:after="0" w:line="1" w:lineRule="exact"/>
        <w:rPr>
          <w:rFonts w:ascii="Arial" w:cs="Arial" w:eastAsia="Arial" w:hAnsi="Arial"/>
          <w:sz w:val="20"/>
          <w:szCs w:val="20"/>
          <w:color w:val="auto"/>
        </w:rPr>
      </w:pPr>
    </w:p>
    <w:p>
      <w:pPr>
        <w:jc w:val="both"/>
        <w:ind w:left="321" w:hanging="321"/>
        <w:spacing w:after="0" w:line="266"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jc w:val="both"/>
        <w:ind w:left="321" w:hanging="321"/>
        <w:spacing w:after="0" w:line="266"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8"/>
          <w:szCs w:val="18"/>
          <w:color w:val="auto"/>
        </w:rPr>
      </w:pPr>
    </w:p>
    <w:p>
      <w:pPr>
        <w:jc w:val="both"/>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Disruptions in the timely import or export of our products and/or ingredients due to port strikes and related labor issues;</w:t>
      </w:r>
    </w:p>
    <w:p>
      <w:pPr>
        <w:spacing w:after="0" w:line="22" w:lineRule="exact"/>
        <w:rPr>
          <w:rFonts w:ascii="Arial" w:cs="Arial" w:eastAsia="Arial" w:hAnsi="Arial"/>
          <w:sz w:val="18"/>
          <w:szCs w:val="18"/>
          <w:color w:val="auto"/>
        </w:rPr>
      </w:pPr>
    </w:p>
    <w:p>
      <w:pPr>
        <w:ind w:left="321" w:hanging="321"/>
        <w:spacing w:after="0"/>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2" w:lineRule="exact"/>
        <w:rPr>
          <w:rFonts w:ascii="Arial" w:cs="Arial" w:eastAsia="Arial" w:hAnsi="Arial"/>
          <w:sz w:val="20"/>
          <w:szCs w:val="20"/>
          <w:color w:val="auto"/>
        </w:rPr>
      </w:pPr>
    </w:p>
    <w:p>
      <w:pPr>
        <w:jc w:val="both"/>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aluminum cans generally, PET containers used for our Monster Hydro® energy drinks and 24-ounce aluminum cap cans;</w:t>
      </w:r>
    </w:p>
    <w:p>
      <w:pPr>
        <w:spacing w:after="0" w:line="1" w:lineRule="exact"/>
        <w:rPr>
          <w:rFonts w:ascii="Arial" w:cs="Arial" w:eastAsia="Arial" w:hAnsi="Arial"/>
          <w:sz w:val="20"/>
          <w:szCs w:val="20"/>
          <w:color w:val="auto"/>
        </w:rPr>
      </w:pPr>
    </w:p>
    <w:p>
      <w:pPr>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impact on our cost of sales of corporate activity among the limited number of suppliers from whom we purchase certain raw materials;</w:t>
      </w:r>
    </w:p>
    <w:p>
      <w:pPr>
        <w:spacing w:after="0" w:line="1" w:lineRule="exact"/>
        <w:rPr>
          <w:rFonts w:ascii="Arial" w:cs="Arial" w:eastAsia="Arial" w:hAnsi="Arial"/>
          <w:sz w:val="20"/>
          <w:szCs w:val="20"/>
          <w:color w:val="auto"/>
        </w:rPr>
      </w:pPr>
    </w:p>
    <w:p>
      <w:pPr>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21" w:hanging="321"/>
        <w:spacing w:after="0" w:line="266"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321" w:right="20"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by the full service bottlers/distributors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21" w:hanging="321"/>
        <w:spacing w:after="0" w:line="266" w:lineRule="auto"/>
        <w:tabs>
          <w:tab w:leader="none" w:pos="321"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Unilateral decisions by full service bottlers/distributors,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ind w:left="321" w:hanging="321"/>
        <w:spacing w:after="0" w:line="239" w:lineRule="auto"/>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effects of retailer consolidation on our business and our ability to successfully adapt to the rapidly changing retail landscape;</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ind w:left="321" w:hanging="321"/>
        <w:spacing w:after="0"/>
        <w:tabs>
          <w:tab w:leader="none" w:pos="32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61" w:name="page62"/>
    <w:bookmarkEnd w:id="61"/>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321" w:hanging="321"/>
        <w:spacing w:after="0"/>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Unforeseen economic and political changes and local or international catastrophic events;</w:t>
      </w:r>
    </w:p>
    <w:p>
      <w:pPr>
        <w:spacing w:after="0" w:line="15" w:lineRule="exact"/>
        <w:rPr>
          <w:rFonts w:ascii="Arial" w:cs="Arial" w:eastAsia="Arial" w:hAnsi="Arial"/>
          <w:sz w:val="20"/>
          <w:szCs w:val="20"/>
          <w:color w:val="auto"/>
        </w:rPr>
      </w:pPr>
    </w:p>
    <w:p>
      <w:pPr>
        <w:ind w:left="321" w:hanging="321"/>
        <w:spacing w:after="0"/>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jc w:val="both"/>
        <w:ind w:left="321" w:hanging="321"/>
        <w:spacing w:after="0" w:line="239" w:lineRule="auto"/>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21" w:hanging="321"/>
        <w:spacing w:after="0" w:line="239" w:lineRule="auto"/>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321" w:hanging="321"/>
        <w:spacing w:after="0" w:line="239" w:lineRule="auto"/>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 as well as negatively impact the motivation of equity award grantees;</w:t>
      </w:r>
    </w:p>
    <w:p>
      <w:pPr>
        <w:spacing w:after="0" w:line="1" w:lineRule="exact"/>
        <w:rPr>
          <w:rFonts w:ascii="Arial" w:cs="Arial" w:eastAsia="Arial" w:hAnsi="Arial"/>
          <w:sz w:val="20"/>
          <w:szCs w:val="20"/>
          <w:color w:val="auto"/>
        </w:rPr>
      </w:pPr>
    </w:p>
    <w:p>
      <w:pPr>
        <w:ind w:left="321" w:hanging="321"/>
        <w:spacing w:after="0" w:line="239" w:lineRule="auto"/>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jc w:val="both"/>
        <w:ind w:left="321" w:hanging="321"/>
        <w:spacing w:after="0" w:line="239" w:lineRule="auto"/>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20"/>
          <w:szCs w:val="20"/>
          <w:color w:val="auto"/>
        </w:rPr>
      </w:pPr>
    </w:p>
    <w:p>
      <w:pPr>
        <w:ind w:left="321" w:hanging="321"/>
        <w:spacing w:after="0"/>
        <w:tabs>
          <w:tab w:leader="none" w:pos="321"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00"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9"/>
          <w:szCs w:val="19"/>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79" w:lineRule="exact"/>
        <w:rPr>
          <w:sz w:val="20"/>
          <w:szCs w:val="20"/>
          <w:color w:val="auto"/>
        </w:rPr>
      </w:pPr>
    </w:p>
    <w:p>
      <w:pPr>
        <w:ind w:left="1"/>
        <w:spacing w:after="0"/>
        <w:tabs>
          <w:tab w:leader="none" w:pos="1241"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22" w:lineRule="exact"/>
        <w:rPr>
          <w:sz w:val="20"/>
          <w:szCs w:val="20"/>
          <w:color w:val="auto"/>
        </w:rPr>
      </w:pPr>
    </w:p>
    <w:p>
      <w:pPr>
        <w:jc w:val="both"/>
        <w:ind w:left="1" w:firstLine="648"/>
        <w:spacing w:after="0" w:line="272" w:lineRule="auto"/>
        <w:rPr>
          <w:sz w:val="20"/>
          <w:szCs w:val="20"/>
          <w:color w:val="auto"/>
        </w:rPr>
      </w:pPr>
      <w:r>
        <w:rPr>
          <w:rFonts w:ascii="Arial" w:cs="Arial" w:eastAsia="Arial" w:hAnsi="Arial"/>
          <w:sz w:val="18"/>
          <w:szCs w:val="18"/>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juice concentrates, increases in the price of aluminum for cans, as well as sugar and other sweeteners, glucose, sucrose, milk, cream, protein, coffee and tea, all of which are used in some or many of our products), fluctuations in energy and fuel prices, and limited availability of certain raw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spacing w:after="0" w:line="171"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generally do not hedge against fluctuations in commodity prices.</w:t>
      </w:r>
    </w:p>
    <w:p>
      <w:pPr>
        <w:spacing w:after="0" w:line="177" w:lineRule="exact"/>
        <w:rPr>
          <w:sz w:val="20"/>
          <w:szCs w:val="20"/>
          <w:color w:val="auto"/>
        </w:rPr>
      </w:pPr>
    </w:p>
    <w:p>
      <w:pPr>
        <w:jc w:val="both"/>
        <w:ind w:left="1" w:firstLine="648"/>
        <w:spacing w:after="0" w:line="291" w:lineRule="auto"/>
        <w:rPr>
          <w:sz w:val="20"/>
          <w:szCs w:val="20"/>
          <w:color w:val="auto"/>
        </w:rPr>
      </w:pPr>
      <w:r>
        <w:rPr>
          <w:rFonts w:ascii="Arial" w:cs="Arial" w:eastAsia="Arial" w:hAnsi="Arial"/>
          <w:sz w:val="18"/>
          <w:szCs w:val="18"/>
          <w:color w:val="auto"/>
        </w:rPr>
        <w:t>Our gross sales to customers outside of the United States were approximately 33% and 31% of consolidated gross sales for the years ended December 31, 2019 and 2018, respectively. Our growth strategy includes expanding our international business. As a result, we are subject to risks from changes in foreign currency exchange rates. During the year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ended December 31, 2019,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2019 have terms of three months or less. We do not enter into forward currency exchange contracts for speculation or trading purposes.</w:t>
      </w:r>
    </w:p>
    <w:p>
      <w:pPr>
        <w:spacing w:after="0" w:line="19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have not designated our foreign currency exchange contracts as hedge transactions under FASB ASC 815. Therefore, gains and losses on our foreign currency exchange contracts are recognized in other income,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2019 to be significant.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of December 31, 2019, we had $798.0 million in cash and cash equivalents and $546.0 million in short-term and long-term investments including certificates of deposit, commercial paper, U.S. government agency securities, U.S. treasuries, variable rate demand notes and municipal securities (which may have an auction reset feature). Certain of these investments are subject to general credit, liquidity, market and interest rate risks.</w:t>
      </w:r>
    </w:p>
    <w:p>
      <w:pPr>
        <w:spacing w:after="0" w:line="18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information required to be furnished in response to this Item 8 follows the signature page and Index to Exhibits hereto at pages 71 through 118.</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 establishing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maintaining adequate internal control over financial reporting, as defined in Exchange Act Rules 13a-15(f) and 15d-15(f). Under the supervision and with the participation of our management, including our Chief Executive Officer and Chief Financial Officer, our management conducted an evaluation of the effectiveness of our internal control over financial reporting as of December 31, 2019, based on the framework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of the Treadway Commission. Based on our management’s evaluation under the framework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our management concluded that our internal control over financial reporting was effective as of December 31, 2019.</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internal control over financial reporting as of December 31, 2019, has been audited by Deloitte &amp; Touche LLP, an independent registered public accounting firm, as stated in their attestation report, which is included herein.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w:t>
      </w:r>
      <w:r>
        <w:rPr>
          <w:rFonts w:ascii="Arial" w:cs="Arial" w:eastAsia="Arial" w:hAnsi="Arial"/>
          <w:sz w:val="20"/>
          <w:szCs w:val="20"/>
          <w:i w:val="1"/>
          <w:iCs w:val="1"/>
          <w:color w:val="auto"/>
        </w:rPr>
        <w:t xml:space="preserve"> </w:t>
      </w:r>
      <w:r>
        <w:rPr>
          <w:rFonts w:ascii="Arial" w:cs="Arial" w:eastAsia="Arial" w:hAnsi="Arial"/>
          <w:sz w:val="20"/>
          <w:szCs w:val="20"/>
          <w:color w:val="auto"/>
        </w:rPr>
        <w:t>over financial reporting during the quarter ended December 31,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We have audited the internal control over financial reporting of Monster Beverage Corporation and subsidiaries (the “Company”) as of December 31, 2019, based on criteria established in </w:t>
      </w:r>
      <w:r>
        <w:rPr>
          <w:rFonts w:ascii="Arial" w:cs="Arial" w:eastAsia="Arial" w:hAnsi="Arial"/>
          <w:sz w:val="19"/>
          <w:szCs w:val="19"/>
          <w:i w:val="1"/>
          <w:iCs w:val="1"/>
          <w:color w:val="auto"/>
        </w:rPr>
        <w:t>Internal Control —Integrated Framework (2013)</w:t>
      </w:r>
      <w:r>
        <w:rPr>
          <w:rFonts w:ascii="Arial" w:cs="Arial" w:eastAsia="Arial" w:hAnsi="Arial"/>
          <w:sz w:val="19"/>
          <w:szCs w:val="19"/>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COSO.</w:t>
      </w:r>
    </w:p>
    <w:p>
      <w:pPr>
        <w:spacing w:after="0" w:line="7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consolidated financial statements and financial statement schedule as of and for the year ended December 31, 2019, of the Company and our report dated February 28, 2020, expressed an unqualified opinion on those financial statements and financial statement schedule.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rPr>
          <w:sz w:val="20"/>
          <w:szCs w:val="20"/>
          <w:color w:val="auto"/>
        </w:rPr>
      </w:pPr>
      <w:r>
        <w:rPr>
          <w:rFonts w:ascii="Arial" w:cs="Arial" w:eastAsia="Arial" w:hAnsi="Arial"/>
          <w:sz w:val="20"/>
          <w:szCs w:val="20"/>
          <w:color w:val="auto"/>
        </w:rPr>
        <w:t>February 28, 2020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2020 Annual Meeting of Stockholders to be filed with the SEC within 120 days after the end of the fiscal year ended December 31, 2019 (the “2020 Proxy Statement”) and is incorporated herein by reference.</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“Delinquent Section 16(a) Reports” in our 2020 Proxy Statement and is incorporated herein by reference.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Audit Committee and the Audit Committee Financial Expert is reported under the caption “Audit Committee; Report of the Audit Committee; Duties and Responsibilities” in our 2020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We have adopted a Code of Business Conduct and Ethics that applies to all our directors, officers (including our principal executive officer, principal financial officer, principal accounting officer and controllers) and employees. The Code of Business Conduct and Ethics and any amendment thereto, as well as any waivers that are required to be disclosed by the rules of the SEC or NASDAQ, may be obtained at </w:t>
      </w:r>
      <w:r>
        <w:rPr>
          <w:rFonts w:ascii="Arial" w:cs="Arial" w:eastAsia="Arial" w:hAnsi="Arial"/>
          <w:sz w:val="18"/>
          <w:szCs w:val="18"/>
          <w:u w:val="single" w:color="auto"/>
          <w:color w:val="auto"/>
        </w:rPr>
        <w:t>http://investors.monsterbevcorp.com/governance.cfm</w:t>
      </w:r>
      <w:r>
        <w:rPr>
          <w:rFonts w:ascii="Arial" w:cs="Arial" w:eastAsia="Arial" w:hAnsi="Arial"/>
          <w:sz w:val="18"/>
          <w:szCs w:val="18"/>
          <w:color w:val="auto"/>
        </w:rPr>
        <w:t xml:space="preserve"> or at no cost to you by writing or telephoning us at the following address or telephone number: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4900" w:hanging="484"/>
        <w:spacing w:after="0"/>
        <w:tabs>
          <w:tab w:leader="none" w:pos="49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739-6200</w:t>
      </w:r>
    </w:p>
    <w:p>
      <w:pPr>
        <w:ind w:left="4900" w:hanging="484"/>
        <w:spacing w:after="0"/>
        <w:tabs>
          <w:tab w:leader="none" w:pos="49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426-7367</w:t>
      </w:r>
    </w:p>
    <w:p>
      <w:pPr>
        <w:spacing w:after="0" w:line="194"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2020 Proxy Statement and is incorporated herein by reference.</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executive officers as a group is reported under the caption “Principal Stockholders and Security Ownership of Management” in our 2020 Proxy Statement and is incorporated herein by reference.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shares of the Company’s Common Stock authorized for issuance under the Company’s equity compensation plans is reported under the caption “Employee Equity Compensation Plan Information” in our 2020 Proxy Statement and is incorporated herein by reference.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2020 Proxy Statement and is incorporated herein by reference.</w:t>
      </w:r>
    </w:p>
    <w:p>
      <w:pPr>
        <w:spacing w:after="0" w:line="18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2020 Proxy Statement and is incorporated herein by reference.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5140" w:type="dxa"/>
            <w:vAlign w:val="bottom"/>
            <w:gridSpan w:val="7"/>
          </w:tcPr>
          <w:p>
            <w:pPr>
              <w:ind w:left="260"/>
              <w:spacing w:after="0"/>
              <w:rPr>
                <w:sz w:val="20"/>
                <w:szCs w:val="20"/>
                <w:color w:val="auto"/>
              </w:rPr>
            </w:pPr>
            <w:r>
              <w:rPr>
                <w:rFonts w:ascii="Arial" w:cs="Arial" w:eastAsia="Arial" w:hAnsi="Arial"/>
                <w:sz w:val="20"/>
                <w:szCs w:val="20"/>
                <w:b w:val="1"/>
                <w:bCs w:val="1"/>
                <w:color w:val="auto"/>
              </w:rPr>
              <w:t>PART IV</w:t>
            </w:r>
          </w:p>
        </w:tc>
        <w:tc>
          <w:tcPr>
            <w:tcW w:w="540" w:type="dxa"/>
            <w:vAlign w:val="bottom"/>
          </w:tcPr>
          <w:p>
            <w:pPr>
              <w:spacing w:after="0"/>
              <w:rPr>
                <w:sz w:val="22"/>
                <w:szCs w:val="22"/>
                <w:color w:val="auto"/>
              </w:rPr>
            </w:pPr>
          </w:p>
        </w:tc>
      </w:tr>
      <w:tr>
        <w:trPr>
          <w:trHeight w:val="446"/>
        </w:trPr>
        <w:tc>
          <w:tcPr>
            <w:tcW w:w="920" w:type="dxa"/>
            <w:vAlign w:val="bottom"/>
            <w:gridSpan w:val="2"/>
          </w:tcPr>
          <w:p>
            <w:pPr>
              <w:spacing w:after="0"/>
              <w:rPr>
                <w:sz w:val="20"/>
                <w:szCs w:val="20"/>
                <w:color w:val="auto"/>
              </w:rPr>
            </w:pPr>
            <w:r>
              <w:rPr>
                <w:rFonts w:ascii="Arial" w:cs="Arial" w:eastAsia="Arial" w:hAnsi="Arial"/>
                <w:sz w:val="20"/>
                <w:szCs w:val="20"/>
                <w:b w:val="1"/>
                <w:bCs w:val="1"/>
                <w:color w:val="auto"/>
              </w:rPr>
              <w:t>ITEM 15.</w:t>
            </w:r>
          </w:p>
        </w:tc>
        <w:tc>
          <w:tcPr>
            <w:tcW w:w="8600" w:type="dxa"/>
            <w:vAlign w:val="bottom"/>
            <w:gridSpan w:val="9"/>
          </w:tcPr>
          <w:p>
            <w:pPr>
              <w:ind w:left="300"/>
              <w:spacing w:after="0"/>
              <w:rPr>
                <w:sz w:val="20"/>
                <w:szCs w:val="20"/>
                <w:color w:val="auto"/>
              </w:rPr>
            </w:pPr>
            <w:r>
              <w:rPr>
                <w:rFonts w:ascii="Arial" w:cs="Arial" w:eastAsia="Arial" w:hAnsi="Arial"/>
                <w:sz w:val="20"/>
                <w:szCs w:val="20"/>
                <w:b w:val="1"/>
                <w:bCs w:val="1"/>
                <w:color w:val="auto"/>
              </w:rPr>
              <w:t>EXHIBITS AND FINANCIAL STATEMENT SCHEDULES</w:t>
            </w:r>
          </w:p>
        </w:tc>
        <w:tc>
          <w:tcPr>
            <w:tcW w:w="540" w:type="dxa"/>
            <w:vAlign w:val="bottom"/>
          </w:tcPr>
          <w:p>
            <w:pPr>
              <w:spacing w:after="0"/>
              <w:rPr>
                <w:sz w:val="24"/>
                <w:szCs w:val="24"/>
                <w:color w:val="auto"/>
              </w:rPr>
            </w:pPr>
          </w:p>
        </w:tc>
      </w:tr>
      <w:tr>
        <w:trPr>
          <w:trHeight w:val="446"/>
        </w:trPr>
        <w:tc>
          <w:tcPr>
            <w:tcW w:w="9520" w:type="dxa"/>
            <w:vAlign w:val="bottom"/>
            <w:gridSpan w:val="11"/>
          </w:tcPr>
          <w:p>
            <w:pPr>
              <w:ind w:left="320"/>
              <w:spacing w:after="0"/>
              <w:rPr>
                <w:sz w:val="20"/>
                <w:szCs w:val="20"/>
                <w:color w:val="auto"/>
              </w:rPr>
            </w:pPr>
            <w:r>
              <w:rPr>
                <w:rFonts w:ascii="Arial" w:cs="Arial" w:eastAsia="Arial" w:hAnsi="Arial"/>
                <w:sz w:val="20"/>
                <w:szCs w:val="20"/>
                <w:color w:val="auto"/>
              </w:rPr>
              <w:t>(a) The following documents are filed as a part of this Form 10-K:</w:t>
            </w:r>
          </w:p>
        </w:tc>
        <w:tc>
          <w:tcPr>
            <w:tcW w:w="540" w:type="dxa"/>
            <w:vAlign w:val="bottom"/>
          </w:tcPr>
          <w:p>
            <w:pPr>
              <w:spacing w:after="0"/>
              <w:rPr>
                <w:sz w:val="24"/>
                <w:szCs w:val="24"/>
                <w:color w:val="auto"/>
              </w:rPr>
            </w:pPr>
          </w:p>
        </w:tc>
      </w:tr>
      <w:tr>
        <w:trPr>
          <w:trHeight w:val="428"/>
        </w:trPr>
        <w:tc>
          <w:tcPr>
            <w:tcW w:w="660" w:type="dxa"/>
            <w:vAlign w:val="bottom"/>
          </w:tcPr>
          <w:p>
            <w:pPr>
              <w:spacing w:after="0"/>
              <w:rPr>
                <w:sz w:val="24"/>
                <w:szCs w:val="24"/>
                <w:color w:val="auto"/>
              </w:rPr>
            </w:pPr>
          </w:p>
        </w:tc>
        <w:tc>
          <w:tcPr>
            <w:tcW w:w="8860" w:type="dxa"/>
            <w:vAlign w:val="bottom"/>
            <w:gridSpan w:val="10"/>
          </w:tcPr>
          <w:p>
            <w:pPr>
              <w:spacing w:after="0"/>
              <w:rPr>
                <w:rFonts w:ascii="Arial" w:cs="Arial" w:eastAsia="Arial" w:hAnsi="Arial"/>
                <w:sz w:val="20"/>
                <w:szCs w:val="20"/>
                <w:color w:val="0000EE"/>
              </w:rPr>
            </w:pPr>
            <w:hyperlink w:anchor="page72">
              <w:r>
                <w:rPr>
                  <w:rFonts w:ascii="Arial" w:cs="Arial" w:eastAsia="Arial" w:hAnsi="Arial"/>
                  <w:sz w:val="20"/>
                  <w:szCs w:val="20"/>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463"/>
        </w:trPr>
        <w:tc>
          <w:tcPr>
            <w:tcW w:w="660" w:type="dxa"/>
            <w:vAlign w:val="bottom"/>
          </w:tcPr>
          <w:p>
            <w:pPr>
              <w:spacing w:after="0"/>
              <w:rPr>
                <w:sz w:val="24"/>
                <w:szCs w:val="24"/>
                <w:color w:val="auto"/>
              </w:rPr>
            </w:pPr>
          </w:p>
        </w:tc>
        <w:tc>
          <w:tcPr>
            <w:tcW w:w="4640" w:type="dxa"/>
            <w:vAlign w:val="bottom"/>
            <w:tcBorders>
              <w:top w:val="single" w:sz="8" w:color="0000EE"/>
            </w:tcBorders>
            <w:gridSpan w:val="4"/>
          </w:tcPr>
          <w:p>
            <w:pPr>
              <w:spacing w:after="0"/>
              <w:rPr>
                <w:sz w:val="20"/>
                <w:szCs w:val="20"/>
                <w:color w:val="auto"/>
              </w:rPr>
            </w:pPr>
            <w:r>
              <w:rPr>
                <w:rFonts w:ascii="Arial" w:cs="Arial" w:eastAsia="Arial" w:hAnsi="Arial"/>
                <w:sz w:val="20"/>
                <w:szCs w:val="20"/>
                <w:color w:val="auto"/>
              </w:rPr>
              <w:t>Financial Statements:</w:t>
            </w:r>
          </w:p>
        </w:tc>
        <w:tc>
          <w:tcPr>
            <w:tcW w:w="42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r>
      <w:tr>
        <w:trPr>
          <w:trHeight w:val="20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120" w:type="dxa"/>
            <w:vAlign w:val="bottom"/>
            <w:tcBorders>
              <w:bottom w:val="single" w:sz="8" w:color="0000EE"/>
            </w:tcBorders>
            <w:gridSpan w:val="4"/>
          </w:tcPr>
          <w:p>
            <w:pPr>
              <w:spacing w:after="0" w:line="206" w:lineRule="exact"/>
              <w:rPr>
                <w:rFonts w:ascii="Arial" w:cs="Arial" w:eastAsia="Arial" w:hAnsi="Arial"/>
                <w:sz w:val="20"/>
                <w:szCs w:val="20"/>
                <w:color w:val="0000EE"/>
                <w:w w:val="87"/>
              </w:rPr>
            </w:pPr>
            <w:hyperlink w:anchor="page75">
              <w:r>
                <w:rPr>
                  <w:rFonts w:ascii="Arial" w:cs="Arial" w:eastAsia="Arial" w:hAnsi="Arial"/>
                  <w:sz w:val="20"/>
                  <w:szCs w:val="20"/>
                  <w:color w:val="0000EE"/>
                  <w:w w:val="87"/>
                </w:rPr>
                <w:t>Consolidated Balance Sheets as of December 31, 2019 and 2018</w:t>
              </w:r>
            </w:hyperlink>
          </w:p>
        </w:tc>
        <w:tc>
          <w:tcPr>
            <w:tcW w:w="3480" w:type="dxa"/>
            <w:vAlign w:val="bottom"/>
            <w:gridSpan w:val="5"/>
          </w:tcPr>
          <w:p>
            <w:pPr>
              <w:spacing w:after="0"/>
              <w:rPr>
                <w:sz w:val="17"/>
                <w:szCs w:val="17"/>
                <w:color w:val="auto"/>
              </w:rPr>
            </w:pPr>
          </w:p>
        </w:tc>
        <w:tc>
          <w:tcPr>
            <w:tcW w:w="540" w:type="dxa"/>
            <w:vAlign w:val="bottom"/>
          </w:tcPr>
          <w:p>
            <w:pPr>
              <w:jc w:val="right"/>
              <w:spacing w:after="0" w:line="206" w:lineRule="exact"/>
              <w:rPr>
                <w:sz w:val="20"/>
                <w:szCs w:val="20"/>
                <w:color w:val="auto"/>
              </w:rPr>
            </w:pPr>
            <w:r>
              <w:rPr>
                <w:rFonts w:ascii="Arial" w:cs="Arial" w:eastAsia="Arial" w:hAnsi="Arial"/>
                <w:sz w:val="20"/>
                <w:szCs w:val="20"/>
                <w:color w:val="auto"/>
              </w:rPr>
              <w:t>75</w:t>
            </w: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9"/>
          </w:tcPr>
          <w:p>
            <w:pPr>
              <w:spacing w:after="0" w:line="209" w:lineRule="exact"/>
              <w:rPr>
                <w:rFonts w:ascii="Arial" w:cs="Arial" w:eastAsia="Arial" w:hAnsi="Arial"/>
                <w:sz w:val="20"/>
                <w:szCs w:val="20"/>
                <w:color w:val="0000EE"/>
              </w:rPr>
            </w:pPr>
            <w:hyperlink w:anchor="page76">
              <w:r>
                <w:rPr>
                  <w:rFonts w:ascii="Arial" w:cs="Arial" w:eastAsia="Arial" w:hAnsi="Arial"/>
                  <w:sz w:val="20"/>
                  <w:szCs w:val="20"/>
                  <w:color w:val="0000EE"/>
                </w:rPr>
                <w:t>Consolidated Statements of Income for the years ended December 31, 2019, 2018 and 2017</w:t>
              </w:r>
            </w:hyperlink>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76</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9"/>
          </w:tcPr>
          <w:p>
            <w:pPr>
              <w:spacing w:after="0" w:line="209" w:lineRule="exact"/>
              <w:rPr>
                <w:rFonts w:ascii="Arial" w:cs="Arial" w:eastAsia="Arial" w:hAnsi="Arial"/>
                <w:sz w:val="20"/>
                <w:szCs w:val="20"/>
                <w:color w:val="0000EE"/>
                <w:w w:val="93"/>
              </w:rPr>
            </w:pPr>
            <w:hyperlink w:anchor="page77">
              <w:r>
                <w:rPr>
                  <w:rFonts w:ascii="Arial" w:cs="Arial" w:eastAsia="Arial" w:hAnsi="Arial"/>
                  <w:sz w:val="20"/>
                  <w:szCs w:val="20"/>
                  <w:color w:val="0000EE"/>
                  <w:w w:val="93"/>
                </w:rPr>
                <w:t>Consolidated Statements of Comprehensive Income for the years ended December 31, 2019, 2018 and</w:t>
              </w:r>
            </w:hyperlink>
          </w:p>
        </w:tc>
        <w:tc>
          <w:tcPr>
            <w:tcW w:w="5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77">
              <w:r>
                <w:rPr>
                  <w:rFonts w:ascii="Arial" w:cs="Arial" w:eastAsia="Arial" w:hAnsi="Arial"/>
                  <w:sz w:val="20"/>
                  <w:szCs w:val="20"/>
                  <w:color w:val="0000EE"/>
                  <w:w w:val="85"/>
                </w:rPr>
                <w:t>2017</w:t>
              </w:r>
            </w:hyperlink>
          </w:p>
        </w:tc>
        <w:tc>
          <w:tcPr>
            <w:tcW w:w="306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77</w:t>
            </w: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0" w:type="dxa"/>
            <w:vAlign w:val="bottom"/>
            <w:gridSpan w:val="9"/>
          </w:tcPr>
          <w:p>
            <w:pPr>
              <w:spacing w:after="0" w:line="209" w:lineRule="exact"/>
              <w:rPr>
                <w:rFonts w:ascii="Arial" w:cs="Arial" w:eastAsia="Arial" w:hAnsi="Arial"/>
                <w:sz w:val="20"/>
                <w:szCs w:val="20"/>
                <w:color w:val="0000EE"/>
                <w:w w:val="91"/>
              </w:rPr>
            </w:pPr>
            <w:hyperlink w:anchor="page78">
              <w:r>
                <w:rPr>
                  <w:rFonts w:ascii="Arial" w:cs="Arial" w:eastAsia="Arial" w:hAnsi="Arial"/>
                  <w:sz w:val="20"/>
                  <w:szCs w:val="20"/>
                  <w:color w:val="0000EE"/>
                  <w:w w:val="91"/>
                </w:rPr>
                <w:t>Consolidated Statements of Stockholders’ Equity for the years ended December 31, 2019, 2018 and 2017</w:t>
              </w:r>
            </w:hyperlink>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78</w:t>
            </w: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40" w:type="dxa"/>
            <w:vAlign w:val="bottom"/>
            <w:tcBorders>
              <w:top w:val="single" w:sz="8" w:color="0000EE"/>
            </w:tcBorders>
            <w:gridSpan w:val="8"/>
          </w:tcPr>
          <w:p>
            <w:pPr>
              <w:spacing w:after="0" w:line="209" w:lineRule="exact"/>
              <w:rPr>
                <w:rFonts w:ascii="Arial" w:cs="Arial" w:eastAsia="Arial" w:hAnsi="Arial"/>
                <w:sz w:val="20"/>
                <w:szCs w:val="20"/>
                <w:color w:val="0000EE"/>
                <w:w w:val="96"/>
              </w:rPr>
            </w:pPr>
            <w:hyperlink w:anchor="page79">
              <w:r>
                <w:rPr>
                  <w:rFonts w:ascii="Arial" w:cs="Arial" w:eastAsia="Arial" w:hAnsi="Arial"/>
                  <w:sz w:val="20"/>
                  <w:szCs w:val="20"/>
                  <w:color w:val="0000EE"/>
                  <w:w w:val="96"/>
                </w:rPr>
                <w:t>Consolidated Statements of Cash Flows for the years ended December 31, 2019, 2018 and 2017</w:t>
              </w:r>
            </w:hyperlink>
          </w:p>
        </w:tc>
        <w:tc>
          <w:tcPr>
            <w:tcW w:w="260" w:type="dxa"/>
            <w:vAlign w:val="bottom"/>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79</w:t>
            </w:r>
          </w:p>
        </w:tc>
      </w:tr>
      <w:tr>
        <w:trPr>
          <w:trHeight w:val="210"/>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81">
              <w:r>
                <w:rPr>
                  <w:rFonts w:ascii="Arial" w:cs="Arial" w:eastAsia="Arial" w:hAnsi="Arial"/>
                  <w:sz w:val="20"/>
                  <w:szCs w:val="20"/>
                  <w:color w:val="0000EE"/>
                </w:rPr>
                <w:t>Notes to Consolidated Financial Statements</w:t>
              </w:r>
            </w:hyperlink>
          </w:p>
        </w:tc>
        <w:tc>
          <w:tcPr>
            <w:tcW w:w="1000" w:type="dxa"/>
            <w:vAlign w:val="bottom"/>
            <w:gridSpan w:val="3"/>
          </w:tcPr>
          <w:p>
            <w:pPr>
              <w:spacing w:after="0"/>
              <w:rPr>
                <w:sz w:val="18"/>
                <w:szCs w:val="18"/>
                <w:color w:val="auto"/>
              </w:rPr>
            </w:pPr>
          </w:p>
        </w:tc>
        <w:tc>
          <w:tcPr>
            <w:tcW w:w="540" w:type="dxa"/>
            <w:vAlign w:val="bottom"/>
          </w:tcPr>
          <w:p>
            <w:pPr>
              <w:jc w:val="right"/>
              <w:spacing w:after="0" w:line="209" w:lineRule="exact"/>
              <w:rPr>
                <w:sz w:val="20"/>
                <w:szCs w:val="20"/>
                <w:color w:val="auto"/>
              </w:rPr>
            </w:pPr>
            <w:r>
              <w:rPr>
                <w:rFonts w:ascii="Arial" w:cs="Arial" w:eastAsia="Arial" w:hAnsi="Arial"/>
                <w:sz w:val="20"/>
                <w:szCs w:val="20"/>
                <w:color w:val="auto"/>
              </w:rPr>
              <w:t>81</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63"/>
        </w:trPr>
        <w:tc>
          <w:tcPr>
            <w:tcW w:w="660" w:type="dxa"/>
            <w:vAlign w:val="bottom"/>
          </w:tcPr>
          <w:p>
            <w:pPr>
              <w:spacing w:after="0"/>
              <w:rPr>
                <w:sz w:val="24"/>
                <w:szCs w:val="24"/>
                <w:color w:val="auto"/>
              </w:rPr>
            </w:pPr>
          </w:p>
        </w:tc>
        <w:tc>
          <w:tcPr>
            <w:tcW w:w="8860" w:type="dxa"/>
            <w:vAlign w:val="bottom"/>
            <w:gridSpan w:val="10"/>
          </w:tcPr>
          <w:p>
            <w:pPr>
              <w:spacing w:after="0"/>
              <w:rPr>
                <w:sz w:val="20"/>
                <w:szCs w:val="20"/>
                <w:color w:val="auto"/>
              </w:rPr>
            </w:pPr>
            <w:r>
              <w:rPr>
                <w:rFonts w:ascii="Arial" w:cs="Arial" w:eastAsia="Arial" w:hAnsi="Arial"/>
                <w:sz w:val="20"/>
                <w:szCs w:val="20"/>
                <w:color w:val="auto"/>
              </w:rPr>
              <w:t>Financial Statement Schedule:</w:t>
            </w:r>
          </w:p>
        </w:tc>
        <w:tc>
          <w:tcPr>
            <w:tcW w:w="540" w:type="dxa"/>
            <w:vAlign w:val="bottom"/>
          </w:tcPr>
          <w:p>
            <w:pPr>
              <w:spacing w:after="0"/>
              <w:rPr>
                <w:sz w:val="24"/>
                <w:szCs w:val="24"/>
                <w:color w:val="auto"/>
              </w:rPr>
            </w:pPr>
          </w:p>
        </w:tc>
      </w:tr>
      <w:tr>
        <w:trPr>
          <w:trHeight w:val="206"/>
        </w:trPr>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0" w:type="dxa"/>
            <w:vAlign w:val="bottom"/>
            <w:gridSpan w:val="9"/>
          </w:tcPr>
          <w:p>
            <w:pPr>
              <w:spacing w:after="0" w:line="206" w:lineRule="exact"/>
              <w:rPr>
                <w:sz w:val="20"/>
                <w:szCs w:val="20"/>
                <w:color w:val="auto"/>
              </w:rPr>
            </w:pPr>
            <w:r>
              <w:rPr>
                <w:rFonts w:ascii="Arial" w:cs="Arial" w:eastAsia="Arial" w:hAnsi="Arial"/>
                <w:sz w:val="20"/>
                <w:szCs w:val="20"/>
                <w:color w:val="0000EE"/>
              </w:rPr>
              <w:t>Valuation and Qualifying Accounts for the years ended December 31, 2019, 2018 and 2017</w:t>
            </w:r>
          </w:p>
        </w:tc>
        <w:tc>
          <w:tcPr>
            <w:tcW w:w="540" w:type="dxa"/>
            <w:vAlign w:val="bottom"/>
          </w:tcPr>
          <w:p>
            <w:pPr>
              <w:jc w:val="right"/>
              <w:spacing w:after="0" w:line="206" w:lineRule="exact"/>
              <w:rPr>
                <w:sz w:val="20"/>
                <w:szCs w:val="20"/>
                <w:color w:val="auto"/>
              </w:rPr>
            </w:pPr>
            <w:r>
              <w:rPr>
                <w:rFonts w:ascii="Arial" w:cs="Arial" w:eastAsia="Arial" w:hAnsi="Arial"/>
                <w:sz w:val="20"/>
                <w:szCs w:val="20"/>
                <w:color w:val="auto"/>
              </w:rPr>
              <w:t>118</w:t>
            </w:r>
          </w:p>
        </w:tc>
      </w:tr>
      <w:tr>
        <w:trPr>
          <w:trHeight w:val="20"/>
        </w:trPr>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gridSpan w:val="5"/>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63"/>
        </w:trPr>
        <w:tc>
          <w:tcPr>
            <w:tcW w:w="660" w:type="dxa"/>
            <w:vAlign w:val="bottom"/>
          </w:tcPr>
          <w:p>
            <w:pPr>
              <w:spacing w:after="0"/>
              <w:rPr>
                <w:sz w:val="24"/>
                <w:szCs w:val="24"/>
                <w:color w:val="auto"/>
              </w:rPr>
            </w:pPr>
          </w:p>
        </w:tc>
        <w:tc>
          <w:tcPr>
            <w:tcW w:w="8860" w:type="dxa"/>
            <w:vAlign w:val="bottom"/>
            <w:gridSpan w:val="10"/>
          </w:tcPr>
          <w:p>
            <w:pPr>
              <w:spacing w:after="0"/>
              <w:rPr>
                <w:sz w:val="20"/>
                <w:szCs w:val="20"/>
                <w:color w:val="auto"/>
              </w:rPr>
            </w:pPr>
            <w:r>
              <w:rPr>
                <w:rFonts w:ascii="Arial" w:cs="Arial" w:eastAsia="Arial" w:hAnsi="Arial"/>
                <w:sz w:val="20"/>
                <w:szCs w:val="20"/>
                <w:color w:val="auto"/>
              </w:rPr>
              <w:t>Exhibits:</w:t>
            </w:r>
          </w:p>
        </w:tc>
        <w:tc>
          <w:tcPr>
            <w:tcW w:w="540" w:type="dxa"/>
            <w:vAlign w:val="bottom"/>
          </w:tcPr>
          <w:p>
            <w:pPr>
              <w:spacing w:after="0"/>
              <w:rPr>
                <w:sz w:val="24"/>
                <w:szCs w:val="24"/>
                <w:color w:val="auto"/>
              </w:rPr>
            </w:pPr>
          </w:p>
        </w:tc>
      </w:tr>
      <w:tr>
        <w:trPr>
          <w:trHeight w:val="230"/>
        </w:trPr>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0" w:type="dxa"/>
            <w:vAlign w:val="bottom"/>
            <w:gridSpan w:val="9"/>
          </w:tcPr>
          <w:p>
            <w:pPr>
              <w:spacing w:after="0"/>
              <w:rPr>
                <w:sz w:val="20"/>
                <w:szCs w:val="20"/>
                <w:color w:val="auto"/>
              </w:rPr>
            </w:pPr>
            <w:r>
              <w:rPr>
                <w:rFonts w:ascii="Arial" w:cs="Arial" w:eastAsia="Arial" w:hAnsi="Arial"/>
                <w:sz w:val="20"/>
                <w:szCs w:val="20"/>
                <w:color w:val="auto"/>
                <w:w w:val="92"/>
              </w:rPr>
              <w:t>The Exhibits listed in the Index of Exhibits, which appears immediately preceding the signature page and</w:t>
            </w:r>
          </w:p>
        </w:tc>
        <w:tc>
          <w:tcPr>
            <w:tcW w:w="54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0" w:type="dxa"/>
            <w:vAlign w:val="bottom"/>
            <w:gridSpan w:val="9"/>
          </w:tcPr>
          <w:p>
            <w:pPr>
              <w:spacing w:after="0"/>
              <w:rPr>
                <w:sz w:val="20"/>
                <w:szCs w:val="20"/>
                <w:color w:val="auto"/>
              </w:rPr>
            </w:pPr>
            <w:r>
              <w:rPr>
                <w:rFonts w:ascii="Arial" w:cs="Arial" w:eastAsia="Arial" w:hAnsi="Arial"/>
                <w:sz w:val="20"/>
                <w:szCs w:val="20"/>
                <w:color w:val="auto"/>
              </w:rPr>
              <w:t>is incorporated herein by reference, as filed as part of this Form 10-K.</w:t>
            </w:r>
          </w:p>
        </w:tc>
        <w:tc>
          <w:tcPr>
            <w:tcW w:w="540" w:type="dxa"/>
            <w:vAlign w:val="bottom"/>
          </w:tcPr>
          <w:p>
            <w:pPr>
              <w:spacing w:after="0"/>
              <w:rPr>
                <w:sz w:val="21"/>
                <w:szCs w:val="21"/>
                <w:color w:val="auto"/>
              </w:rPr>
            </w:pPr>
          </w:p>
        </w:tc>
      </w:tr>
      <w:tr>
        <w:trPr>
          <w:trHeight w:val="473"/>
        </w:trPr>
        <w:tc>
          <w:tcPr>
            <w:tcW w:w="920" w:type="dxa"/>
            <w:vAlign w:val="bottom"/>
            <w:gridSpan w:val="2"/>
          </w:tcPr>
          <w:p>
            <w:pPr>
              <w:spacing w:after="0"/>
              <w:rPr>
                <w:sz w:val="20"/>
                <w:szCs w:val="20"/>
                <w:color w:val="auto"/>
              </w:rPr>
            </w:pPr>
            <w:r>
              <w:rPr>
                <w:rFonts w:ascii="Arial" w:cs="Arial" w:eastAsia="Arial" w:hAnsi="Arial"/>
                <w:sz w:val="20"/>
                <w:szCs w:val="20"/>
                <w:b w:val="1"/>
                <w:bCs w:val="1"/>
                <w:color w:val="auto"/>
              </w:rPr>
              <w:t>ITEM 16.</w:t>
            </w:r>
          </w:p>
        </w:tc>
        <w:tc>
          <w:tcPr>
            <w:tcW w:w="8600" w:type="dxa"/>
            <w:vAlign w:val="bottom"/>
            <w:gridSpan w:val="9"/>
          </w:tcPr>
          <w:p>
            <w:pPr>
              <w:ind w:left="300"/>
              <w:spacing w:after="0"/>
              <w:rPr>
                <w:sz w:val="20"/>
                <w:szCs w:val="20"/>
                <w:color w:val="auto"/>
              </w:rPr>
            </w:pPr>
            <w:r>
              <w:rPr>
                <w:rFonts w:ascii="Arial" w:cs="Arial" w:eastAsia="Arial" w:hAnsi="Arial"/>
                <w:sz w:val="20"/>
                <w:szCs w:val="20"/>
                <w:b w:val="1"/>
                <w:bCs w:val="1"/>
                <w:color w:val="auto"/>
              </w:rPr>
              <w:t>FORM 10-K SUMMARY</w:t>
            </w:r>
          </w:p>
        </w:tc>
        <w:tc>
          <w:tcPr>
            <w:tcW w:w="540" w:type="dxa"/>
            <w:vAlign w:val="bottom"/>
          </w:tcPr>
          <w:p>
            <w:pPr>
              <w:spacing w:after="0"/>
              <w:rPr>
                <w:sz w:val="24"/>
                <w:szCs w:val="24"/>
                <w:color w:val="auto"/>
              </w:rPr>
            </w:pPr>
          </w:p>
        </w:tc>
      </w:tr>
    </w:tbl>
    <w:p>
      <w:pPr>
        <w:spacing w:after="0" w:line="19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40" w:type="dxa"/>
            <w:vAlign w:val="bottom"/>
            <w:tcBorders>
              <w:top w:val="single" w:sz="8" w:color="auto"/>
              <w:left w:val="single" w:sz="8" w:color="auto"/>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2.1</w:t>
            </w:r>
          </w:p>
        </w:tc>
        <w:tc>
          <w:tcPr>
            <w:tcW w:w="40" w:type="dxa"/>
            <w:vAlign w:val="bottom"/>
            <w:tcBorders>
              <w:top w:val="single" w:sz="8" w:color="auto"/>
            </w:tcBorders>
          </w:tcPr>
          <w:p>
            <w:pPr>
              <w:spacing w:after="0"/>
              <w:rPr>
                <w:sz w:val="17"/>
                <w:szCs w:val="17"/>
                <w:color w:val="auto"/>
              </w:rPr>
            </w:pPr>
          </w:p>
        </w:tc>
        <w:tc>
          <w:tcPr>
            <w:tcW w:w="8900" w:type="dxa"/>
            <w:vAlign w:val="bottom"/>
            <w:tcBorders>
              <w:top w:val="single" w:sz="8" w:color="auto"/>
              <w:bottom w:val="single" w:sz="8" w:color="0000EE"/>
              <w:right w:val="single" w:sz="8" w:color="auto"/>
            </w:tcBorders>
            <w:gridSpan w:val="35"/>
          </w:tcPr>
          <w:p>
            <w:pPr>
              <w:spacing w:after="0" w:line="203" w:lineRule="exact"/>
              <w:rPr>
                <w:rFonts w:ascii="Arial" w:cs="Arial" w:eastAsia="Arial" w:hAnsi="Arial"/>
                <w:sz w:val="20"/>
                <w:szCs w:val="20"/>
                <w:color w:val="0000EE"/>
                <w:w w:val="89"/>
              </w:rPr>
            </w:pPr>
            <w:hyperlink r:id="rId80">
              <w:r>
                <w:rPr>
                  <w:rFonts w:ascii="Arial" w:cs="Arial" w:eastAsia="Arial" w:hAnsi="Arial"/>
                  <w:sz w:val="20"/>
                  <w:szCs w:val="20"/>
                  <w:color w:val="0000EE"/>
                  <w:w w:val="89"/>
                </w:rPr>
                <w:t>Transaction Agreement, dated as of August 14, 2014, by and among Monster Beverage Corporation, New Laser</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w w:val="90"/>
              </w:rPr>
            </w:pPr>
            <w:hyperlink r:id="rId80">
              <w:r>
                <w:rPr>
                  <w:rFonts w:ascii="Arial" w:cs="Arial" w:eastAsia="Arial" w:hAnsi="Arial"/>
                  <w:sz w:val="20"/>
                  <w:szCs w:val="20"/>
                  <w:color w:val="0000EE"/>
                  <w:w w:val="90"/>
                </w:rPr>
                <w:t>Corporation, New Laser Merger Corp, The Coca-Cola Company and European Refreshments (incorporated by</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760" w:type="dxa"/>
            <w:vAlign w:val="bottom"/>
            <w:tcBorders>
              <w:top w:val="single" w:sz="8" w:color="0000EE"/>
            </w:tcBorders>
            <w:gridSpan w:val="31"/>
          </w:tcPr>
          <w:p>
            <w:pPr>
              <w:spacing w:after="0" w:line="209" w:lineRule="exact"/>
              <w:rPr>
                <w:rFonts w:ascii="Arial" w:cs="Arial" w:eastAsia="Arial" w:hAnsi="Arial"/>
                <w:sz w:val="20"/>
                <w:szCs w:val="20"/>
                <w:color w:val="0000EE"/>
              </w:rPr>
            </w:pPr>
            <w:hyperlink r:id="rId80">
              <w:r>
                <w:rPr>
                  <w:rFonts w:ascii="Arial" w:cs="Arial" w:eastAsia="Arial" w:hAnsi="Arial"/>
                  <w:sz w:val="20"/>
                  <w:szCs w:val="20"/>
                  <w:color w:val="0000EE"/>
                </w:rPr>
                <w:t>reference to Exhibit 2.1 to our Form 8-K dated August 18, 2014).</w:t>
              </w:r>
            </w:hyperlink>
          </w:p>
        </w:tc>
        <w:tc>
          <w:tcPr>
            <w:tcW w:w="140" w:type="dxa"/>
            <w:vAlign w:val="bottom"/>
            <w:tcBorders>
              <w:right w:val="single" w:sz="8" w:color="auto"/>
            </w:tcBorders>
            <w:gridSpan w:val="4"/>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2.1.1</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7"/>
              </w:rPr>
            </w:pPr>
            <w:hyperlink r:id="rId81">
              <w:r>
                <w:rPr>
                  <w:rFonts w:ascii="Arial" w:cs="Arial" w:eastAsia="Arial" w:hAnsi="Arial"/>
                  <w:sz w:val="20"/>
                  <w:szCs w:val="20"/>
                  <w:color w:val="0000EE"/>
                  <w:w w:val="97"/>
                </w:rPr>
                <w:t>Amendment to Transaction Agreement, dated as of March 16, 2018, by and among Monster Beverage</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w w:val="96"/>
              </w:rPr>
            </w:pPr>
            <w:hyperlink r:id="rId81">
              <w:r>
                <w:rPr>
                  <w:rFonts w:ascii="Arial" w:cs="Arial" w:eastAsia="Arial" w:hAnsi="Arial"/>
                  <w:sz w:val="20"/>
                  <w:szCs w:val="20"/>
                  <w:color w:val="0000EE"/>
                  <w:w w:val="96"/>
                </w:rPr>
                <w:t>Corporation, New Laser Corporation, New Laser Merger Corp., The Coca-Cola Company and European</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tcBorders>
              <w:top w:val="single" w:sz="8" w:color="0000EE"/>
            </w:tcBorders>
            <w:gridSpan w:val="19"/>
          </w:tcPr>
          <w:p>
            <w:pPr>
              <w:spacing w:after="0" w:line="209" w:lineRule="exact"/>
              <w:rPr>
                <w:rFonts w:ascii="Arial" w:cs="Arial" w:eastAsia="Arial" w:hAnsi="Arial"/>
                <w:sz w:val="20"/>
                <w:szCs w:val="20"/>
                <w:color w:val="0000EE"/>
                <w:w w:val="97"/>
              </w:rPr>
            </w:pPr>
            <w:hyperlink r:id="rId81">
              <w:r>
                <w:rPr>
                  <w:rFonts w:ascii="Arial" w:cs="Arial" w:eastAsia="Arial" w:hAnsi="Arial"/>
                  <w:sz w:val="20"/>
                  <w:szCs w:val="20"/>
                  <w:color w:val="0000EE"/>
                  <w:w w:val="97"/>
                </w:rPr>
                <w:t>Refreshments (incorporated by reference to Exhibit 2.1 to our Form 8-K dated March 20, 2018).</w:t>
              </w:r>
            </w:hyperlink>
          </w:p>
        </w:tc>
        <w:tc>
          <w:tcPr>
            <w:tcW w:w="620" w:type="dxa"/>
            <w:vAlign w:val="bottom"/>
            <w:tcBorders>
              <w:right w:val="single" w:sz="8" w:color="auto"/>
            </w:tcBorders>
            <w:gridSpan w:val="16"/>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2.2</w:t>
            </w:r>
          </w:p>
        </w:tc>
        <w:tc>
          <w:tcPr>
            <w:tcW w:w="40" w:type="dxa"/>
            <w:vAlign w:val="bottom"/>
          </w:tcPr>
          <w:p>
            <w:pPr>
              <w:spacing w:after="0"/>
              <w:rPr>
                <w:sz w:val="15"/>
                <w:szCs w:val="15"/>
                <w:color w:val="auto"/>
              </w:rPr>
            </w:pPr>
          </w:p>
        </w:tc>
        <w:tc>
          <w:tcPr>
            <w:tcW w:w="8620" w:type="dxa"/>
            <w:vAlign w:val="bottom"/>
            <w:tcBorders>
              <w:bottom w:val="single" w:sz="8" w:color="0000EE"/>
            </w:tcBorders>
            <w:gridSpan w:val="28"/>
          </w:tcPr>
          <w:p>
            <w:pPr>
              <w:spacing w:after="0" w:line="183" w:lineRule="exact"/>
              <w:rPr>
                <w:rFonts w:ascii="Arial" w:cs="Arial" w:eastAsia="Arial" w:hAnsi="Arial"/>
                <w:sz w:val="20"/>
                <w:szCs w:val="20"/>
                <w:color w:val="0000EE"/>
                <w:w w:val="89"/>
              </w:rPr>
            </w:pPr>
            <w:hyperlink r:id="rId82">
              <w:r>
                <w:rPr>
                  <w:rFonts w:ascii="Arial" w:cs="Arial" w:eastAsia="Arial" w:hAnsi="Arial"/>
                  <w:sz w:val="20"/>
                  <w:szCs w:val="20"/>
                  <w:color w:val="0000EE"/>
                  <w:w w:val="89"/>
                </w:rPr>
                <w:t>Asset Transfer Agreement, dated as of August 14, 2014, by and among Monster Beverage Corporation, New</w:t>
              </w:r>
            </w:hyperlink>
          </w:p>
        </w:tc>
        <w:tc>
          <w:tcPr>
            <w:tcW w:w="280" w:type="dxa"/>
            <w:vAlign w:val="bottom"/>
            <w:tcBorders>
              <w:right w:val="single" w:sz="8" w:color="auto"/>
            </w:tcBorders>
            <w:gridSpan w:val="7"/>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500" w:type="dxa"/>
            <w:vAlign w:val="bottom"/>
            <w:tcBorders>
              <w:bottom w:val="single" w:sz="8" w:color="0000EE"/>
            </w:tcBorders>
            <w:gridSpan w:val="25"/>
          </w:tcPr>
          <w:p>
            <w:pPr>
              <w:spacing w:after="0" w:line="209" w:lineRule="exact"/>
              <w:rPr>
                <w:rFonts w:ascii="Arial" w:cs="Arial" w:eastAsia="Arial" w:hAnsi="Arial"/>
                <w:sz w:val="20"/>
                <w:szCs w:val="20"/>
                <w:color w:val="0000EE"/>
                <w:w w:val="90"/>
              </w:rPr>
            </w:pPr>
            <w:hyperlink r:id="rId82">
              <w:r>
                <w:rPr>
                  <w:rFonts w:ascii="Arial" w:cs="Arial" w:eastAsia="Arial" w:hAnsi="Arial"/>
                  <w:sz w:val="20"/>
                  <w:szCs w:val="20"/>
                  <w:color w:val="0000EE"/>
                  <w:w w:val="90"/>
                </w:rPr>
                <w:t>Laser Corporation and The Coca-Cola Company (incorporated by reference to Exhibit 2.2 to our Form 8-K</w:t>
              </w:r>
            </w:hyperlink>
          </w:p>
        </w:tc>
        <w:tc>
          <w:tcPr>
            <w:tcW w:w="400" w:type="dxa"/>
            <w:vAlign w:val="bottom"/>
            <w:tcBorders>
              <w:right w:val="single" w:sz="8" w:color="auto"/>
            </w:tcBorders>
            <w:gridSpan w:val="10"/>
          </w:tcPr>
          <w:p>
            <w:pPr>
              <w:spacing w:after="0"/>
              <w:rPr>
                <w:sz w:val="18"/>
                <w:szCs w:val="18"/>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rPr>
            </w:pPr>
            <w:hyperlink r:id="rId82">
              <w:r>
                <w:rPr>
                  <w:rFonts w:ascii="Arial" w:cs="Arial" w:eastAsia="Arial" w:hAnsi="Arial"/>
                  <w:sz w:val="20"/>
                  <w:szCs w:val="20"/>
                  <w:color w:val="0000EE"/>
                </w:rPr>
                <w:t>dated August 18, 2014).</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6"/>
              </w:rPr>
            </w:pPr>
            <w:hyperlink r:id="rId83">
              <w:r>
                <w:rPr>
                  <w:rFonts w:ascii="Arial" w:cs="Arial" w:eastAsia="Arial" w:hAnsi="Arial"/>
                  <w:sz w:val="20"/>
                  <w:szCs w:val="20"/>
                  <w:color w:val="0000EE"/>
                  <w:w w:val="96"/>
                </w:rPr>
                <w:t>Certificate of Incorporation of the Company, as amended (incorporated by reference to Exhibit 3.1 to our</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20" w:type="dxa"/>
            <w:vAlign w:val="bottom"/>
            <w:tcBorders>
              <w:top w:val="single" w:sz="8" w:color="0000EE"/>
            </w:tcBorders>
            <w:gridSpan w:val="21"/>
          </w:tcPr>
          <w:p>
            <w:pPr>
              <w:spacing w:after="0" w:line="209" w:lineRule="exact"/>
              <w:rPr>
                <w:rFonts w:ascii="Arial" w:cs="Arial" w:eastAsia="Arial" w:hAnsi="Arial"/>
                <w:sz w:val="20"/>
                <w:szCs w:val="20"/>
                <w:color w:val="0000EE"/>
              </w:rPr>
            </w:pPr>
            <w:hyperlink r:id="rId83">
              <w:r>
                <w:rPr>
                  <w:rFonts w:ascii="Arial" w:cs="Arial" w:eastAsia="Arial" w:hAnsi="Arial"/>
                  <w:sz w:val="20"/>
                  <w:szCs w:val="20"/>
                  <w:color w:val="0000EE"/>
                </w:rPr>
                <w:t>Form 10-K dated November 7, 2016).</w:t>
              </w:r>
            </w:hyperlink>
          </w:p>
        </w:tc>
        <w:tc>
          <w:tcPr>
            <w:tcW w:w="580" w:type="dxa"/>
            <w:vAlign w:val="bottom"/>
            <w:tcBorders>
              <w:right w:val="single" w:sz="8" w:color="auto"/>
            </w:tcBorders>
            <w:gridSpan w:val="14"/>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5"/>
              </w:rPr>
            </w:pPr>
            <w:hyperlink r:id="rId84">
              <w:r>
                <w:rPr>
                  <w:rFonts w:ascii="Arial" w:cs="Arial" w:eastAsia="Arial" w:hAnsi="Arial"/>
                  <w:sz w:val="20"/>
                  <w:szCs w:val="20"/>
                  <w:color w:val="0000EE"/>
                  <w:w w:val="95"/>
                </w:rPr>
                <w:t>Second Amended and Restated By-laws of the Company (incorporated by reference to Exhibit 3.2 to our</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300" w:type="dxa"/>
            <w:vAlign w:val="bottom"/>
            <w:tcBorders>
              <w:top w:val="single" w:sz="8" w:color="0000EE"/>
            </w:tcBorders>
            <w:gridSpan w:val="20"/>
          </w:tcPr>
          <w:p>
            <w:pPr>
              <w:spacing w:after="0" w:line="209" w:lineRule="exact"/>
              <w:rPr>
                <w:rFonts w:ascii="Arial" w:cs="Arial" w:eastAsia="Arial" w:hAnsi="Arial"/>
                <w:sz w:val="20"/>
                <w:szCs w:val="20"/>
                <w:color w:val="0000EE"/>
              </w:rPr>
            </w:pPr>
            <w:hyperlink r:id="rId84">
              <w:r>
                <w:rPr>
                  <w:rFonts w:ascii="Arial" w:cs="Arial" w:eastAsia="Arial" w:hAnsi="Arial"/>
                  <w:sz w:val="20"/>
                  <w:szCs w:val="20"/>
                  <w:color w:val="0000EE"/>
                </w:rPr>
                <w:t>Form 8-K dated April 16, 2018).</w:t>
              </w:r>
            </w:hyperlink>
          </w:p>
        </w:tc>
        <w:tc>
          <w:tcPr>
            <w:tcW w:w="600" w:type="dxa"/>
            <w:vAlign w:val="bottom"/>
            <w:tcBorders>
              <w:right w:val="single" w:sz="8" w:color="auto"/>
            </w:tcBorders>
            <w:gridSpan w:val="15"/>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4.1*</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rPr>
            </w:pPr>
            <w:hyperlink w:anchor="page119">
              <w:r>
                <w:rPr>
                  <w:rFonts w:ascii="Arial" w:cs="Arial" w:eastAsia="Arial" w:hAnsi="Arial"/>
                  <w:sz w:val="20"/>
                  <w:szCs w:val="20"/>
                  <w:color w:val="0000EE"/>
                </w:rPr>
                <w:t>Description of Common Stock.</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w:t>
            </w:r>
          </w:p>
        </w:tc>
        <w:tc>
          <w:tcPr>
            <w:tcW w:w="40" w:type="dxa"/>
            <w:vAlign w:val="bottom"/>
          </w:tcPr>
          <w:p>
            <w:pPr>
              <w:spacing w:after="0"/>
              <w:rPr>
                <w:sz w:val="15"/>
                <w:szCs w:val="15"/>
                <w:color w:val="auto"/>
              </w:rPr>
            </w:pPr>
          </w:p>
        </w:tc>
        <w:tc>
          <w:tcPr>
            <w:tcW w:w="8460" w:type="dxa"/>
            <w:vAlign w:val="bottom"/>
            <w:tcBorders>
              <w:bottom w:val="single" w:sz="8" w:color="0000EE"/>
            </w:tcBorders>
            <w:gridSpan w:val="24"/>
          </w:tcPr>
          <w:p>
            <w:pPr>
              <w:spacing w:after="0" w:line="183" w:lineRule="exact"/>
              <w:rPr>
                <w:rFonts w:ascii="Arial" w:cs="Arial" w:eastAsia="Arial" w:hAnsi="Arial"/>
                <w:sz w:val="20"/>
                <w:szCs w:val="20"/>
                <w:color w:val="0000EE"/>
                <w:w w:val="89"/>
              </w:rPr>
            </w:pPr>
            <w:hyperlink r:id="rId85">
              <w:r>
                <w:rPr>
                  <w:rFonts w:ascii="Arial" w:cs="Arial" w:eastAsia="Arial" w:hAnsi="Arial"/>
                  <w:sz w:val="20"/>
                  <w:szCs w:val="20"/>
                  <w:color w:val="0000EE"/>
                  <w:w w:val="89"/>
                </w:rPr>
                <w:t>Amended and Restated Distribution Coordination Agreement, dated as of June 12, 2015, between Monster</w:t>
              </w:r>
            </w:hyperlink>
          </w:p>
        </w:tc>
        <w:tc>
          <w:tcPr>
            <w:tcW w:w="440" w:type="dxa"/>
            <w:vAlign w:val="bottom"/>
            <w:tcBorders>
              <w:right w:val="single" w:sz="8" w:color="auto"/>
            </w:tcBorders>
            <w:gridSpan w:val="11"/>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40" w:type="dxa"/>
            <w:vAlign w:val="bottom"/>
            <w:tcBorders>
              <w:bottom w:val="single" w:sz="8" w:color="0000EE"/>
            </w:tcBorders>
            <w:gridSpan w:val="29"/>
          </w:tcPr>
          <w:p>
            <w:pPr>
              <w:spacing w:after="0" w:line="209" w:lineRule="exact"/>
              <w:rPr>
                <w:rFonts w:ascii="Arial" w:cs="Arial" w:eastAsia="Arial" w:hAnsi="Arial"/>
                <w:sz w:val="20"/>
                <w:szCs w:val="20"/>
                <w:color w:val="0000EE"/>
                <w:w w:val="90"/>
              </w:rPr>
            </w:pPr>
            <w:hyperlink r:id="rId85">
              <w:r>
                <w:rPr>
                  <w:rFonts w:ascii="Arial" w:cs="Arial" w:eastAsia="Arial" w:hAnsi="Arial"/>
                  <w:sz w:val="20"/>
                  <w:szCs w:val="20"/>
                  <w:color w:val="0000EE"/>
                  <w:w w:val="90"/>
                </w:rPr>
                <w:t>Energy Company and The Coca-Cola Company (incorporated by reference to Exhibit 10.1 to our Form 10-Q</w:t>
              </w:r>
            </w:hyperlink>
          </w:p>
        </w:tc>
        <w:tc>
          <w:tcPr>
            <w:tcW w:w="260" w:type="dxa"/>
            <w:vAlign w:val="bottom"/>
            <w:tcBorders>
              <w:right w:val="single" w:sz="8" w:color="auto"/>
            </w:tcBorders>
            <w:gridSpan w:val="6"/>
          </w:tcPr>
          <w:p>
            <w:pPr>
              <w:spacing w:after="0"/>
              <w:rPr>
                <w:sz w:val="18"/>
                <w:szCs w:val="18"/>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rPr>
            </w:pPr>
            <w:hyperlink r:id="rId85">
              <w:r>
                <w:rPr>
                  <w:rFonts w:ascii="Arial" w:cs="Arial" w:eastAsia="Arial" w:hAnsi="Arial"/>
                  <w:sz w:val="20"/>
                  <w:szCs w:val="20"/>
                  <w:color w:val="0000EE"/>
                </w:rPr>
                <w:t>dated August 10, 2015).</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10.2</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0"/>
              </w:rPr>
            </w:pPr>
            <w:hyperlink r:id="rId86">
              <w:r>
                <w:rPr>
                  <w:rFonts w:ascii="Arial" w:cs="Arial" w:eastAsia="Arial" w:hAnsi="Arial"/>
                  <w:sz w:val="20"/>
                  <w:szCs w:val="20"/>
                  <w:color w:val="0000EE"/>
                  <w:w w:val="90"/>
                </w:rPr>
                <w:t>Amended and Restated International Distribution Coordination Agreement, dated as of June 12, 2015, between</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700" w:type="dxa"/>
            <w:vAlign w:val="bottom"/>
            <w:tcBorders>
              <w:top w:val="single" w:sz="8" w:color="0000EE"/>
              <w:bottom w:val="single" w:sz="8" w:color="0000EE"/>
            </w:tcBorders>
            <w:gridSpan w:val="30"/>
          </w:tcPr>
          <w:p>
            <w:pPr>
              <w:spacing w:after="0" w:line="209" w:lineRule="exact"/>
              <w:rPr>
                <w:rFonts w:ascii="Arial" w:cs="Arial" w:eastAsia="Arial" w:hAnsi="Arial"/>
                <w:sz w:val="20"/>
                <w:szCs w:val="20"/>
                <w:color w:val="0000EE"/>
                <w:w w:val="89"/>
              </w:rPr>
            </w:pPr>
            <w:hyperlink r:id="rId86">
              <w:r>
                <w:rPr>
                  <w:rFonts w:ascii="Arial" w:cs="Arial" w:eastAsia="Arial" w:hAnsi="Arial"/>
                  <w:sz w:val="20"/>
                  <w:szCs w:val="20"/>
                  <w:color w:val="0000EE"/>
                  <w:w w:val="89"/>
                </w:rPr>
                <w:t>Monster Energy Ltd. and Monster Energy Company and The Coca-Cola Company (incorporated by reference</w:t>
              </w:r>
            </w:hyperlink>
          </w:p>
        </w:tc>
        <w:tc>
          <w:tcPr>
            <w:tcW w:w="100" w:type="dxa"/>
            <w:vAlign w:val="bottom"/>
            <w:tcBorders>
              <w:top w:val="single" w:sz="8" w:color="0000EE"/>
            </w:tcBorders>
            <w:gridSpan w:val="2"/>
          </w:tcPr>
          <w:p>
            <w:pPr>
              <w:spacing w:after="0"/>
              <w:rPr>
                <w:sz w:val="18"/>
                <w:szCs w:val="18"/>
                <w:color w:val="auto"/>
              </w:rPr>
            </w:pPr>
          </w:p>
        </w:tc>
        <w:tc>
          <w:tcPr>
            <w:tcW w:w="100" w:type="dxa"/>
            <w:vAlign w:val="bottom"/>
            <w:tcBorders>
              <w:right w:val="single" w:sz="8" w:color="auto"/>
            </w:tcBorders>
            <w:gridSpan w:val="3"/>
          </w:tcPr>
          <w:p>
            <w:pPr>
              <w:spacing w:after="0"/>
              <w:rPr>
                <w:sz w:val="18"/>
                <w:szCs w:val="18"/>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rPr>
            </w:pPr>
            <w:hyperlink r:id="rId86">
              <w:r>
                <w:rPr>
                  <w:rFonts w:ascii="Arial" w:cs="Arial" w:eastAsia="Arial" w:hAnsi="Arial"/>
                  <w:sz w:val="20"/>
                  <w:szCs w:val="20"/>
                  <w:color w:val="0000EE"/>
                </w:rPr>
                <w:t>to Exhibit 10.2 to our Form 10-Q dated August 10, 2015).</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10.3</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5"/>
              </w:rPr>
            </w:pPr>
            <w:hyperlink r:id="rId87">
              <w:r>
                <w:rPr>
                  <w:rFonts w:ascii="Arial" w:cs="Arial" w:eastAsia="Arial" w:hAnsi="Arial"/>
                  <w:sz w:val="20"/>
                  <w:szCs w:val="20"/>
                  <w:color w:val="0000EE"/>
                  <w:w w:val="95"/>
                </w:rPr>
                <w:t>Form of Indemnification Agreement (to be provided by Monster Beverage Corporation to its directors and</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420" w:type="dxa"/>
            <w:vAlign w:val="bottom"/>
            <w:tcBorders>
              <w:top w:val="single" w:sz="8" w:color="0000EE"/>
            </w:tcBorders>
            <w:gridSpan w:val="22"/>
          </w:tcPr>
          <w:p>
            <w:pPr>
              <w:spacing w:after="0" w:line="209" w:lineRule="exact"/>
              <w:rPr>
                <w:rFonts w:ascii="Arial" w:cs="Arial" w:eastAsia="Arial" w:hAnsi="Arial"/>
                <w:sz w:val="20"/>
                <w:szCs w:val="20"/>
                <w:color w:val="0000EE"/>
              </w:rPr>
            </w:pPr>
            <w:hyperlink r:id="rId87">
              <w:r>
                <w:rPr>
                  <w:rFonts w:ascii="Arial" w:cs="Arial" w:eastAsia="Arial" w:hAnsi="Arial"/>
                  <w:sz w:val="20"/>
                  <w:szCs w:val="20"/>
                  <w:color w:val="0000EE"/>
                </w:rPr>
                <w:t>officers) (incorporated by reference to Exhibit 10.1 to our Form 8-K dated June 11, 2019).</w:t>
              </w:r>
            </w:hyperlink>
          </w:p>
        </w:tc>
        <w:tc>
          <w:tcPr>
            <w:tcW w:w="480" w:type="dxa"/>
            <w:vAlign w:val="bottom"/>
            <w:tcBorders>
              <w:right w:val="single" w:sz="8" w:color="auto"/>
            </w:tcBorders>
            <w:gridSpan w:val="13"/>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10.4+</w:t>
            </w:r>
          </w:p>
        </w:tc>
        <w:tc>
          <w:tcPr>
            <w:tcW w:w="40" w:type="dxa"/>
            <w:vAlign w:val="bottom"/>
          </w:tcPr>
          <w:p>
            <w:pPr>
              <w:spacing w:after="0"/>
              <w:rPr>
                <w:sz w:val="15"/>
                <w:szCs w:val="15"/>
                <w:color w:val="auto"/>
              </w:rPr>
            </w:pPr>
          </w:p>
        </w:tc>
        <w:tc>
          <w:tcPr>
            <w:tcW w:w="8440" w:type="dxa"/>
            <w:vAlign w:val="bottom"/>
            <w:tcBorders>
              <w:bottom w:val="single" w:sz="8" w:color="0000EE"/>
            </w:tcBorders>
            <w:gridSpan w:val="23"/>
          </w:tcPr>
          <w:p>
            <w:pPr>
              <w:spacing w:after="0" w:line="183" w:lineRule="exact"/>
              <w:rPr>
                <w:rFonts w:ascii="Arial" w:cs="Arial" w:eastAsia="Arial" w:hAnsi="Arial"/>
                <w:sz w:val="20"/>
                <w:szCs w:val="20"/>
                <w:color w:val="0000EE"/>
                <w:w w:val="89"/>
              </w:rPr>
            </w:pPr>
            <w:hyperlink r:id="rId88">
              <w:r>
                <w:rPr>
                  <w:rFonts w:ascii="Arial" w:cs="Arial" w:eastAsia="Arial" w:hAnsi="Arial"/>
                  <w:sz w:val="20"/>
                  <w:szCs w:val="20"/>
                  <w:color w:val="0000EE"/>
                  <w:w w:val="89"/>
                </w:rPr>
                <w:t>Hansen Natural Corporation 2001 Amended and Restated Stock Option Plan (incorporated by reference to</w:t>
              </w:r>
            </w:hyperlink>
          </w:p>
        </w:tc>
        <w:tc>
          <w:tcPr>
            <w:tcW w:w="460" w:type="dxa"/>
            <w:vAlign w:val="bottom"/>
            <w:tcBorders>
              <w:right w:val="single" w:sz="8" w:color="auto"/>
            </w:tcBorders>
            <w:gridSpan w:val="12"/>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rPr>
            </w:pPr>
            <w:hyperlink r:id="rId88">
              <w:r>
                <w:rPr>
                  <w:rFonts w:ascii="Arial" w:cs="Arial" w:eastAsia="Arial" w:hAnsi="Arial"/>
                  <w:sz w:val="20"/>
                  <w:szCs w:val="20"/>
                  <w:color w:val="0000EE"/>
                </w:rPr>
                <w:t>Exhibit A to our Proxy Statement dated September 25, 2007).</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10.5+</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3"/>
              </w:rPr>
            </w:pPr>
            <w:hyperlink r:id="rId89">
              <w:r>
                <w:rPr>
                  <w:rFonts w:ascii="Arial" w:cs="Arial" w:eastAsia="Arial" w:hAnsi="Arial"/>
                  <w:sz w:val="20"/>
                  <w:szCs w:val="20"/>
                  <w:color w:val="0000EE"/>
                  <w:w w:val="93"/>
                </w:rPr>
                <w:t>Form of Restricted Stock Unit Agreement pursuant to the 2009 Hansen Natural Corporation Stock Incentive</w:t>
              </w:r>
            </w:hyperlink>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820" w:type="dxa"/>
            <w:vAlign w:val="bottom"/>
            <w:tcBorders>
              <w:bottom w:val="single" w:sz="8" w:color="0000EE"/>
            </w:tcBorders>
            <w:gridSpan w:val="33"/>
          </w:tcPr>
          <w:p>
            <w:pPr>
              <w:spacing w:after="0" w:line="209" w:lineRule="exact"/>
              <w:rPr>
                <w:rFonts w:ascii="Arial" w:cs="Arial" w:eastAsia="Arial" w:hAnsi="Arial"/>
                <w:sz w:val="20"/>
                <w:szCs w:val="20"/>
                <w:color w:val="0000EE"/>
                <w:w w:val="90"/>
              </w:rPr>
            </w:pPr>
            <w:hyperlink r:id="rId89">
              <w:r>
                <w:rPr>
                  <w:rFonts w:ascii="Arial" w:cs="Arial" w:eastAsia="Arial" w:hAnsi="Arial"/>
                  <w:sz w:val="20"/>
                  <w:szCs w:val="20"/>
                  <w:color w:val="0000EE"/>
                  <w:w w:val="90"/>
                </w:rPr>
                <w:t>Plan for Non-Employee Directors (incorporated by reference to Exhibit 10.1 to our Form 10-K dated August 5,</w:t>
              </w:r>
            </w:hyperlink>
          </w:p>
        </w:tc>
        <w:tc>
          <w:tcPr>
            <w:tcW w:w="80" w:type="dxa"/>
            <w:vAlign w:val="bottom"/>
            <w:tcBorders>
              <w:right w:val="single" w:sz="8" w:color="auto"/>
            </w:tcBorders>
            <w:gridSpan w:val="2"/>
          </w:tcPr>
          <w:p>
            <w:pPr>
              <w:spacing w:after="0"/>
              <w:rPr>
                <w:sz w:val="18"/>
                <w:szCs w:val="18"/>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380" w:type="dxa"/>
            <w:vAlign w:val="bottom"/>
            <w:gridSpan w:val="3"/>
          </w:tcPr>
          <w:p>
            <w:pPr>
              <w:ind w:left="40"/>
              <w:spacing w:after="0" w:line="209" w:lineRule="exact"/>
              <w:rPr>
                <w:rFonts w:ascii="Arial" w:cs="Arial" w:eastAsia="Arial" w:hAnsi="Arial"/>
                <w:sz w:val="20"/>
                <w:szCs w:val="20"/>
                <w:color w:val="0000EE"/>
              </w:rPr>
            </w:pPr>
            <w:hyperlink r:id="rId89">
              <w:r>
                <w:rPr>
                  <w:rFonts w:ascii="Arial" w:cs="Arial" w:eastAsia="Arial" w:hAnsi="Arial"/>
                  <w:sz w:val="20"/>
                  <w:szCs w:val="20"/>
                  <w:color w:val="0000EE"/>
                </w:rPr>
                <w:t>2016).</w:t>
              </w:r>
            </w:hyperlink>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10.6+</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7"/>
              </w:rPr>
            </w:pPr>
            <w:hyperlink r:id="rId90">
              <w:r>
                <w:rPr>
                  <w:rFonts w:ascii="Arial" w:cs="Arial" w:eastAsia="Arial" w:hAnsi="Arial"/>
                  <w:sz w:val="20"/>
                  <w:szCs w:val="20"/>
                  <w:color w:val="0000EE"/>
                  <w:w w:val="97"/>
                </w:rPr>
                <w:t>Form of Restricted Stock Agreement (incorporated by reference to Exhibit 10.1 to our Form 10-Q dated</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40" w:type="dxa"/>
            <w:vAlign w:val="bottom"/>
            <w:tcBorders>
              <w:top w:val="single" w:sz="8" w:color="0000EE"/>
            </w:tcBorders>
            <w:gridSpan w:val="18"/>
          </w:tcPr>
          <w:p>
            <w:pPr>
              <w:spacing w:after="0" w:line="209" w:lineRule="exact"/>
              <w:rPr>
                <w:rFonts w:ascii="Arial" w:cs="Arial" w:eastAsia="Arial" w:hAnsi="Arial"/>
                <w:sz w:val="20"/>
                <w:szCs w:val="20"/>
                <w:color w:val="0000EE"/>
              </w:rPr>
            </w:pPr>
            <w:hyperlink r:id="rId90">
              <w:r>
                <w:rPr>
                  <w:rFonts w:ascii="Arial" w:cs="Arial" w:eastAsia="Arial" w:hAnsi="Arial"/>
                  <w:sz w:val="20"/>
                  <w:szCs w:val="20"/>
                  <w:color w:val="0000EE"/>
                </w:rPr>
                <w:t>August 9, 2011).</w:t>
              </w:r>
            </w:hyperlink>
          </w:p>
        </w:tc>
        <w:tc>
          <w:tcPr>
            <w:tcW w:w="660" w:type="dxa"/>
            <w:vAlign w:val="bottom"/>
            <w:tcBorders>
              <w:right w:val="single" w:sz="8" w:color="auto"/>
            </w:tcBorders>
            <w:gridSpan w:val="17"/>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10.7+</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1"/>
              </w:rPr>
            </w:pPr>
            <w:hyperlink r:id="rId91">
              <w:r>
                <w:rPr>
                  <w:rFonts w:ascii="Arial" w:cs="Arial" w:eastAsia="Arial" w:hAnsi="Arial"/>
                  <w:sz w:val="20"/>
                  <w:szCs w:val="20"/>
                  <w:color w:val="0000EE"/>
                  <w:w w:val="91"/>
                </w:rPr>
                <w:t>Monster Beverage Corporation 2011 Omnibus Incentive Plan (incorporated by reference to Exhibit 10.1 to our</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760" w:type="dxa"/>
            <w:vAlign w:val="bottom"/>
            <w:tcBorders>
              <w:top w:val="single" w:sz="8" w:color="0000EE"/>
            </w:tcBorders>
            <w:gridSpan w:val="31"/>
          </w:tcPr>
          <w:p>
            <w:pPr>
              <w:spacing w:after="0" w:line="209" w:lineRule="exact"/>
              <w:rPr>
                <w:rFonts w:ascii="Arial" w:cs="Arial" w:eastAsia="Arial" w:hAnsi="Arial"/>
                <w:sz w:val="20"/>
                <w:szCs w:val="20"/>
                <w:color w:val="0000EE"/>
              </w:rPr>
            </w:pPr>
            <w:hyperlink r:id="rId91">
              <w:r>
                <w:rPr>
                  <w:rFonts w:ascii="Arial" w:cs="Arial" w:eastAsia="Arial" w:hAnsi="Arial"/>
                  <w:sz w:val="20"/>
                  <w:szCs w:val="20"/>
                  <w:color w:val="0000EE"/>
                </w:rPr>
                <w:t>Form 8-K dated May 24, 2011).</w:t>
              </w:r>
            </w:hyperlink>
          </w:p>
        </w:tc>
        <w:tc>
          <w:tcPr>
            <w:tcW w:w="140" w:type="dxa"/>
            <w:vAlign w:val="bottom"/>
            <w:tcBorders>
              <w:right w:val="single" w:sz="8" w:color="auto"/>
            </w:tcBorders>
            <w:gridSpan w:val="4"/>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10.8+</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5"/>
              </w:rPr>
            </w:pPr>
            <w:hyperlink r:id="rId92">
              <w:r>
                <w:rPr>
                  <w:rFonts w:ascii="Arial" w:cs="Arial" w:eastAsia="Arial" w:hAnsi="Arial"/>
                  <w:sz w:val="20"/>
                  <w:szCs w:val="20"/>
                  <w:color w:val="0000EE"/>
                  <w:w w:val="95"/>
                </w:rPr>
                <w:t>Employment Agreement between Monster Beverage Corporation and Rodney C. Sacks (incorporated by</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280" w:type="dxa"/>
            <w:vAlign w:val="bottom"/>
            <w:tcBorders>
              <w:top w:val="single" w:sz="8" w:color="0000EE"/>
            </w:tcBorders>
            <w:gridSpan w:val="19"/>
          </w:tcPr>
          <w:p>
            <w:pPr>
              <w:spacing w:after="0" w:line="209" w:lineRule="exact"/>
              <w:rPr>
                <w:rFonts w:ascii="Arial" w:cs="Arial" w:eastAsia="Arial" w:hAnsi="Arial"/>
                <w:sz w:val="20"/>
                <w:szCs w:val="20"/>
                <w:color w:val="0000EE"/>
              </w:rPr>
            </w:pPr>
            <w:hyperlink r:id="rId92">
              <w:r>
                <w:rPr>
                  <w:rFonts w:ascii="Arial" w:cs="Arial" w:eastAsia="Arial" w:hAnsi="Arial"/>
                  <w:sz w:val="20"/>
                  <w:szCs w:val="20"/>
                  <w:color w:val="0000EE"/>
                </w:rPr>
                <w:t>reference to Exhibit 10.1 to our Form 8-K dated March 19, 2014).</w:t>
              </w:r>
            </w:hyperlink>
          </w:p>
        </w:tc>
        <w:tc>
          <w:tcPr>
            <w:tcW w:w="620" w:type="dxa"/>
            <w:vAlign w:val="bottom"/>
            <w:tcBorders>
              <w:right w:val="single" w:sz="8" w:color="auto"/>
            </w:tcBorders>
            <w:gridSpan w:val="16"/>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10.9+</w:t>
            </w:r>
          </w:p>
        </w:tc>
        <w:tc>
          <w:tcPr>
            <w:tcW w:w="40" w:type="dxa"/>
            <w:vAlign w:val="bottom"/>
          </w:tcPr>
          <w:p>
            <w:pPr>
              <w:spacing w:after="0"/>
              <w:rPr>
                <w:sz w:val="15"/>
                <w:szCs w:val="15"/>
                <w:color w:val="auto"/>
              </w:rPr>
            </w:pPr>
          </w:p>
        </w:tc>
        <w:tc>
          <w:tcPr>
            <w:tcW w:w="8900" w:type="dxa"/>
            <w:vAlign w:val="bottom"/>
            <w:tcBorders>
              <w:right w:val="single" w:sz="8" w:color="auto"/>
            </w:tcBorders>
            <w:gridSpan w:val="35"/>
          </w:tcPr>
          <w:p>
            <w:pPr>
              <w:spacing w:after="0" w:line="183" w:lineRule="exact"/>
              <w:rPr>
                <w:rFonts w:ascii="Arial" w:cs="Arial" w:eastAsia="Arial" w:hAnsi="Arial"/>
                <w:sz w:val="20"/>
                <w:szCs w:val="20"/>
                <w:color w:val="0000EE"/>
                <w:w w:val="93"/>
              </w:rPr>
            </w:pPr>
            <w:hyperlink r:id="rId93">
              <w:r>
                <w:rPr>
                  <w:rFonts w:ascii="Arial" w:cs="Arial" w:eastAsia="Arial" w:hAnsi="Arial"/>
                  <w:sz w:val="20"/>
                  <w:szCs w:val="20"/>
                  <w:color w:val="0000EE"/>
                  <w:w w:val="93"/>
                </w:rPr>
                <w:t>Employment Agreement between Monster Beverage Corporation and Hilton H. Schlosberg (incorporated by</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00" w:type="dxa"/>
            <w:vAlign w:val="bottom"/>
            <w:tcBorders>
              <w:top w:val="single" w:sz="8" w:color="0000EE"/>
            </w:tcBorders>
            <w:gridSpan w:val="27"/>
          </w:tcPr>
          <w:p>
            <w:pPr>
              <w:spacing w:after="0" w:line="209" w:lineRule="exact"/>
              <w:rPr>
                <w:rFonts w:ascii="Arial" w:cs="Arial" w:eastAsia="Arial" w:hAnsi="Arial"/>
                <w:sz w:val="20"/>
                <w:szCs w:val="20"/>
                <w:color w:val="0000EE"/>
              </w:rPr>
            </w:pPr>
            <w:hyperlink r:id="rId93">
              <w:r>
                <w:rPr>
                  <w:rFonts w:ascii="Arial" w:cs="Arial" w:eastAsia="Arial" w:hAnsi="Arial"/>
                  <w:sz w:val="20"/>
                  <w:szCs w:val="20"/>
                  <w:color w:val="0000EE"/>
                </w:rPr>
                <w:t>reference to Exhibit 10.2 to our Form 8-K dated March 19, 2014).</w:t>
              </w:r>
            </w:hyperlink>
          </w:p>
        </w:tc>
        <w:tc>
          <w:tcPr>
            <w:tcW w:w="300" w:type="dxa"/>
            <w:vAlign w:val="bottom"/>
            <w:tcBorders>
              <w:right w:val="single" w:sz="8" w:color="auto"/>
            </w:tcBorders>
            <w:gridSpan w:val="8"/>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10.10+</w:t>
            </w:r>
          </w:p>
        </w:tc>
        <w:tc>
          <w:tcPr>
            <w:tcW w:w="40" w:type="dxa"/>
            <w:vAlign w:val="bottom"/>
          </w:tcPr>
          <w:p>
            <w:pPr>
              <w:spacing w:after="0"/>
              <w:rPr>
                <w:sz w:val="15"/>
                <w:szCs w:val="15"/>
                <w:color w:val="auto"/>
              </w:rPr>
            </w:pPr>
          </w:p>
        </w:tc>
        <w:tc>
          <w:tcPr>
            <w:tcW w:w="8860" w:type="dxa"/>
            <w:vAlign w:val="bottom"/>
            <w:tcBorders>
              <w:bottom w:val="single" w:sz="8" w:color="0000EE"/>
            </w:tcBorders>
            <w:gridSpan w:val="34"/>
          </w:tcPr>
          <w:p>
            <w:pPr>
              <w:spacing w:after="0" w:line="183" w:lineRule="exact"/>
              <w:rPr>
                <w:rFonts w:ascii="Arial" w:cs="Arial" w:eastAsia="Arial" w:hAnsi="Arial"/>
                <w:sz w:val="20"/>
                <w:szCs w:val="20"/>
                <w:color w:val="0000EE"/>
                <w:w w:val="90"/>
              </w:rPr>
            </w:pPr>
            <w:hyperlink r:id="rId94">
              <w:r>
                <w:rPr>
                  <w:rFonts w:ascii="Arial" w:cs="Arial" w:eastAsia="Arial" w:hAnsi="Arial"/>
                  <w:sz w:val="20"/>
                  <w:szCs w:val="20"/>
                  <w:color w:val="0000EE"/>
                  <w:w w:val="90"/>
                </w:rPr>
                <w:t>Form of Stock Option Agreement (incorporated by reference to Exhibit 10.10 to our Form 10-K dated March 1,</w:t>
              </w:r>
            </w:hyperlink>
          </w:p>
        </w:tc>
        <w:tc>
          <w:tcPr>
            <w:tcW w:w="40" w:type="dxa"/>
            <w:vAlign w:val="bottom"/>
            <w:tcBorders>
              <w:right w:val="single" w:sz="8" w:color="auto"/>
            </w:tcBorders>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1380" w:type="dxa"/>
            <w:vAlign w:val="bottom"/>
            <w:gridSpan w:val="3"/>
          </w:tcPr>
          <w:p>
            <w:pPr>
              <w:ind w:left="40"/>
              <w:spacing w:after="0" w:line="209" w:lineRule="exact"/>
              <w:rPr>
                <w:rFonts w:ascii="Arial" w:cs="Arial" w:eastAsia="Arial" w:hAnsi="Arial"/>
                <w:sz w:val="20"/>
                <w:szCs w:val="20"/>
                <w:color w:val="0000EE"/>
              </w:rPr>
            </w:pPr>
            <w:hyperlink r:id="rId94">
              <w:r>
                <w:rPr>
                  <w:rFonts w:ascii="Arial" w:cs="Arial" w:eastAsia="Arial" w:hAnsi="Arial"/>
                  <w:sz w:val="20"/>
                  <w:szCs w:val="20"/>
                  <w:color w:val="0000EE"/>
                </w:rPr>
                <w:t>2018).</w:t>
              </w:r>
            </w:hyperlink>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10.11+</w:t>
            </w:r>
          </w:p>
        </w:tc>
        <w:tc>
          <w:tcPr>
            <w:tcW w:w="40" w:type="dxa"/>
            <w:vAlign w:val="bottom"/>
          </w:tcPr>
          <w:p>
            <w:pPr>
              <w:spacing w:after="0"/>
              <w:rPr>
                <w:sz w:val="15"/>
                <w:szCs w:val="15"/>
                <w:color w:val="auto"/>
              </w:rPr>
            </w:pPr>
          </w:p>
        </w:tc>
        <w:tc>
          <w:tcPr>
            <w:tcW w:w="8200" w:type="dxa"/>
            <w:vAlign w:val="bottom"/>
            <w:tcBorders>
              <w:bottom w:val="single" w:sz="8" w:color="0000EE"/>
            </w:tcBorders>
            <w:gridSpan w:val="17"/>
          </w:tcPr>
          <w:p>
            <w:pPr>
              <w:spacing w:after="0" w:line="183" w:lineRule="exact"/>
              <w:rPr>
                <w:rFonts w:ascii="Arial" w:cs="Arial" w:eastAsia="Arial" w:hAnsi="Arial"/>
                <w:sz w:val="20"/>
                <w:szCs w:val="20"/>
                <w:color w:val="0000EE"/>
                <w:w w:val="91"/>
              </w:rPr>
            </w:pPr>
            <w:hyperlink r:id="rId95">
              <w:r>
                <w:rPr>
                  <w:rFonts w:ascii="Arial" w:cs="Arial" w:eastAsia="Arial" w:hAnsi="Arial"/>
                  <w:sz w:val="20"/>
                  <w:szCs w:val="20"/>
                  <w:color w:val="0000EE"/>
                  <w:w w:val="91"/>
                </w:rPr>
                <w:t>Form of Stock Option Agreement of Chief Executive Officer and President and Chief Financial Officer</w:t>
              </w:r>
            </w:hyperlink>
          </w:p>
        </w:tc>
        <w:tc>
          <w:tcPr>
            <w:tcW w:w="700" w:type="dxa"/>
            <w:vAlign w:val="bottom"/>
            <w:tcBorders>
              <w:right w:val="single" w:sz="8" w:color="auto"/>
            </w:tcBorders>
            <w:gridSpan w:val="18"/>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rPr>
            </w:pPr>
            <w:hyperlink r:id="rId95">
              <w:r>
                <w:rPr>
                  <w:rFonts w:ascii="Arial" w:cs="Arial" w:eastAsia="Arial" w:hAnsi="Arial"/>
                  <w:sz w:val="20"/>
                  <w:szCs w:val="20"/>
                  <w:color w:val="0000EE"/>
                </w:rPr>
                <w:t>(incorporated by reference to Exhibit 10.11 to our Form 10-K dated March 1, 2018).</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10.12+</w:t>
            </w:r>
          </w:p>
        </w:tc>
        <w:tc>
          <w:tcPr>
            <w:tcW w:w="40" w:type="dxa"/>
            <w:vAlign w:val="bottom"/>
          </w:tcPr>
          <w:p>
            <w:pPr>
              <w:spacing w:after="0"/>
              <w:rPr>
                <w:sz w:val="15"/>
                <w:szCs w:val="15"/>
                <w:color w:val="auto"/>
              </w:rPr>
            </w:pPr>
          </w:p>
        </w:tc>
        <w:tc>
          <w:tcPr>
            <w:tcW w:w="8200" w:type="dxa"/>
            <w:vAlign w:val="bottom"/>
            <w:tcBorders>
              <w:bottom w:val="single" w:sz="8" w:color="0000EE"/>
            </w:tcBorders>
            <w:gridSpan w:val="17"/>
          </w:tcPr>
          <w:p>
            <w:pPr>
              <w:spacing w:after="0" w:line="183" w:lineRule="exact"/>
              <w:rPr>
                <w:rFonts w:ascii="Arial" w:cs="Arial" w:eastAsia="Arial" w:hAnsi="Arial"/>
                <w:sz w:val="20"/>
                <w:szCs w:val="20"/>
                <w:color w:val="0000EE"/>
                <w:w w:val="90"/>
              </w:rPr>
            </w:pPr>
            <w:hyperlink r:id="rId96">
              <w:r>
                <w:rPr>
                  <w:rFonts w:ascii="Arial" w:cs="Arial" w:eastAsia="Arial" w:hAnsi="Arial"/>
                  <w:sz w:val="20"/>
                  <w:szCs w:val="20"/>
                  <w:color w:val="0000EE"/>
                  <w:w w:val="90"/>
                </w:rPr>
                <w:t>Monster Beverage Corporation 2017 Compensation Plan for Non-Employee Directors (incorporated by</w:t>
              </w:r>
            </w:hyperlink>
          </w:p>
        </w:tc>
        <w:tc>
          <w:tcPr>
            <w:tcW w:w="700" w:type="dxa"/>
            <w:vAlign w:val="bottom"/>
            <w:tcBorders>
              <w:right w:val="single" w:sz="8" w:color="auto"/>
            </w:tcBorders>
            <w:gridSpan w:val="18"/>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35"/>
          </w:tcPr>
          <w:p>
            <w:pPr>
              <w:spacing w:after="0" w:line="209" w:lineRule="exact"/>
              <w:rPr>
                <w:rFonts w:ascii="Arial" w:cs="Arial" w:eastAsia="Arial" w:hAnsi="Arial"/>
                <w:sz w:val="20"/>
                <w:szCs w:val="20"/>
                <w:color w:val="0000EE"/>
              </w:rPr>
            </w:pPr>
            <w:hyperlink r:id="rId96">
              <w:r>
                <w:rPr>
                  <w:rFonts w:ascii="Arial" w:cs="Arial" w:eastAsia="Arial" w:hAnsi="Arial"/>
                  <w:sz w:val="20"/>
                  <w:szCs w:val="20"/>
                  <w:color w:val="0000EE"/>
                </w:rPr>
                <w:t>reference to Exhibit 4.1 to our Form S-8 dated June 21, 2017).</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2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58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659"/>
        </w:trPr>
        <w:tc>
          <w:tcPr>
            <w:tcW w:w="1140" w:type="dxa"/>
            <w:vAlign w:val="bottom"/>
          </w:tcPr>
          <w:p>
            <w:pPr>
              <w:spacing w:after="0"/>
              <w:rPr>
                <w:sz w:val="24"/>
                <w:szCs w:val="24"/>
                <w:color w:val="auto"/>
              </w:rPr>
            </w:pPr>
          </w:p>
        </w:tc>
        <w:tc>
          <w:tcPr>
            <w:tcW w:w="4640" w:type="dxa"/>
            <w:vAlign w:val="bottom"/>
            <w:gridSpan w:val="9"/>
          </w:tcPr>
          <w:p>
            <w:pPr>
              <w:jc w:val="right"/>
              <w:ind w:right="640"/>
              <w:spacing w:after="0"/>
              <w:rPr>
                <w:sz w:val="20"/>
                <w:szCs w:val="20"/>
                <w:color w:val="auto"/>
              </w:rPr>
            </w:pPr>
            <w:r>
              <w:rPr>
                <w:rFonts w:ascii="Arial" w:cs="Arial" w:eastAsia="Arial" w:hAnsi="Arial"/>
                <w:sz w:val="20"/>
                <w:szCs w:val="20"/>
                <w:color w:val="auto"/>
              </w:rPr>
              <w:t>68</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7"/>
        </w:trPr>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517" w:right="899" w:bottom="1440" w:gutter="0" w:footer="0" w:header="0"/>
        </w:sectPr>
      </w:pPr>
    </w:p>
    <w:bookmarkStart w:id="68" w:name="page69"/>
    <w:bookmarkEnd w:id="68"/>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11" w:type="dxa"/>
        <w:tblCellMar>
          <w:top w:w="0" w:type="dxa"/>
          <w:left w:w="0" w:type="dxa"/>
          <w:bottom w:w="0" w:type="dxa"/>
          <w:right w:w="0" w:type="dxa"/>
        </w:tblCellMar>
      </w:tblPr>
      <w:tr>
        <w:trPr>
          <w:trHeight w:val="203"/>
        </w:trPr>
        <w:tc>
          <w:tcPr>
            <w:tcW w:w="1140" w:type="dxa"/>
            <w:vAlign w:val="bottom"/>
            <w:tcBorders>
              <w:top w:val="single" w:sz="8" w:color="auto"/>
              <w:left w:val="single" w:sz="8" w:color="auto"/>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10.13+</w:t>
            </w:r>
          </w:p>
        </w:tc>
        <w:tc>
          <w:tcPr>
            <w:tcW w:w="40" w:type="dxa"/>
            <w:vAlign w:val="bottom"/>
            <w:tcBorders>
              <w:top w:val="single" w:sz="8" w:color="auto"/>
            </w:tcBorders>
          </w:tcPr>
          <w:p>
            <w:pPr>
              <w:spacing w:after="0"/>
              <w:rPr>
                <w:sz w:val="17"/>
                <w:szCs w:val="17"/>
                <w:color w:val="auto"/>
              </w:rPr>
            </w:pPr>
          </w:p>
        </w:tc>
        <w:tc>
          <w:tcPr>
            <w:tcW w:w="8900" w:type="dxa"/>
            <w:vAlign w:val="bottom"/>
            <w:tcBorders>
              <w:top w:val="single" w:sz="8" w:color="auto"/>
              <w:right w:val="single" w:sz="8" w:color="auto"/>
            </w:tcBorders>
            <w:gridSpan w:val="13"/>
          </w:tcPr>
          <w:p>
            <w:pPr>
              <w:spacing w:after="0" w:line="203" w:lineRule="exact"/>
              <w:rPr>
                <w:rFonts w:ascii="Arial" w:cs="Arial" w:eastAsia="Arial" w:hAnsi="Arial"/>
                <w:sz w:val="20"/>
                <w:szCs w:val="20"/>
                <w:color w:val="0000EE"/>
                <w:w w:val="94"/>
              </w:rPr>
            </w:pPr>
            <w:hyperlink r:id="rId97">
              <w:r>
                <w:rPr>
                  <w:rFonts w:ascii="Arial" w:cs="Arial" w:eastAsia="Arial" w:hAnsi="Arial"/>
                  <w:sz w:val="20"/>
                  <w:szCs w:val="20"/>
                  <w:color w:val="0000EE"/>
                  <w:w w:val="94"/>
                </w:rPr>
                <w:t>Monster Beverage Corporation Deferred Compensation Plan for Non-Employee Directors (incorporated by</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500" w:type="dxa"/>
            <w:vAlign w:val="bottom"/>
            <w:tcBorders>
              <w:top w:val="single" w:sz="8" w:color="0000EE"/>
            </w:tcBorders>
            <w:gridSpan w:val="9"/>
          </w:tcPr>
          <w:p>
            <w:pPr>
              <w:spacing w:after="0" w:line="209" w:lineRule="exact"/>
              <w:rPr>
                <w:rFonts w:ascii="Arial" w:cs="Arial" w:eastAsia="Arial" w:hAnsi="Arial"/>
                <w:sz w:val="20"/>
                <w:szCs w:val="20"/>
                <w:color w:val="0000EE"/>
              </w:rPr>
            </w:pPr>
            <w:hyperlink r:id="rId97">
              <w:r>
                <w:rPr>
                  <w:rFonts w:ascii="Arial" w:cs="Arial" w:eastAsia="Arial" w:hAnsi="Arial"/>
                  <w:sz w:val="20"/>
                  <w:szCs w:val="20"/>
                  <w:color w:val="0000EE"/>
                </w:rPr>
                <w:t>reference to Exhibit 4.2 to our Form S-8 dated June 21, 2017).</w:t>
              </w:r>
            </w:hyperlink>
          </w:p>
        </w:tc>
        <w:tc>
          <w:tcPr>
            <w:tcW w:w="400" w:type="dxa"/>
            <w:vAlign w:val="bottom"/>
            <w:tcBorders>
              <w:right w:val="single" w:sz="8" w:color="auto"/>
            </w:tcBorders>
            <w:gridSpan w:val="4"/>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10.14+</w:t>
            </w:r>
          </w:p>
        </w:tc>
        <w:tc>
          <w:tcPr>
            <w:tcW w:w="40" w:type="dxa"/>
            <w:vAlign w:val="bottom"/>
          </w:tcPr>
          <w:p>
            <w:pPr>
              <w:spacing w:after="0"/>
              <w:rPr>
                <w:sz w:val="15"/>
                <w:szCs w:val="15"/>
                <w:color w:val="auto"/>
              </w:rPr>
            </w:pPr>
          </w:p>
        </w:tc>
        <w:tc>
          <w:tcPr>
            <w:tcW w:w="8860" w:type="dxa"/>
            <w:vAlign w:val="bottom"/>
            <w:tcBorders>
              <w:bottom w:val="single" w:sz="8" w:color="0000EE"/>
            </w:tcBorders>
            <w:gridSpan w:val="12"/>
          </w:tcPr>
          <w:p>
            <w:pPr>
              <w:spacing w:after="0" w:line="183" w:lineRule="exact"/>
              <w:rPr>
                <w:rFonts w:ascii="Arial" w:cs="Arial" w:eastAsia="Arial" w:hAnsi="Arial"/>
                <w:sz w:val="20"/>
                <w:szCs w:val="20"/>
                <w:color w:val="0000EE"/>
                <w:w w:val="89"/>
              </w:rPr>
            </w:pPr>
            <w:hyperlink r:id="rId98">
              <w:r>
                <w:rPr>
                  <w:rFonts w:ascii="Arial" w:cs="Arial" w:eastAsia="Arial" w:hAnsi="Arial"/>
                  <w:sz w:val="20"/>
                  <w:szCs w:val="20"/>
                  <w:color w:val="0000EE"/>
                  <w:w w:val="89"/>
                </w:rPr>
                <w:t>Amended and Restated Monster Beverage Corporation Deferred Compensation Plan (incorporated by reference</w:t>
              </w:r>
            </w:hyperlink>
          </w:p>
        </w:tc>
        <w:tc>
          <w:tcPr>
            <w:tcW w:w="40" w:type="dxa"/>
            <w:vAlign w:val="bottom"/>
            <w:tcBorders>
              <w:right w:val="single" w:sz="8" w:color="auto"/>
            </w:tcBorders>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13"/>
          </w:tcPr>
          <w:p>
            <w:pPr>
              <w:spacing w:after="0" w:line="209" w:lineRule="exact"/>
              <w:rPr>
                <w:rFonts w:ascii="Arial" w:cs="Arial" w:eastAsia="Arial" w:hAnsi="Arial"/>
                <w:sz w:val="20"/>
                <w:szCs w:val="20"/>
                <w:color w:val="0000EE"/>
              </w:rPr>
            </w:pPr>
            <w:hyperlink r:id="rId98">
              <w:r>
                <w:rPr>
                  <w:rFonts w:ascii="Arial" w:cs="Arial" w:eastAsia="Arial" w:hAnsi="Arial"/>
                  <w:sz w:val="20"/>
                  <w:szCs w:val="20"/>
                  <w:color w:val="0000EE"/>
                </w:rPr>
                <w:t>to Exhibit 10.14 to our Form 10-K dated March 1, 2018).</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21*</w:t>
            </w:r>
          </w:p>
        </w:tc>
        <w:tc>
          <w:tcPr>
            <w:tcW w:w="40" w:type="dxa"/>
            <w:vAlign w:val="bottom"/>
          </w:tcPr>
          <w:p>
            <w:pPr>
              <w:spacing w:after="0"/>
              <w:rPr>
                <w:sz w:val="15"/>
                <w:szCs w:val="15"/>
                <w:color w:val="auto"/>
              </w:rPr>
            </w:pPr>
          </w:p>
        </w:tc>
        <w:tc>
          <w:tcPr>
            <w:tcW w:w="8900" w:type="dxa"/>
            <w:vAlign w:val="bottom"/>
            <w:tcBorders>
              <w:right w:val="single" w:sz="8" w:color="auto"/>
            </w:tcBorders>
            <w:gridSpan w:val="13"/>
          </w:tcPr>
          <w:p>
            <w:pPr>
              <w:spacing w:after="0" w:line="183" w:lineRule="exact"/>
              <w:rPr>
                <w:rFonts w:ascii="Arial" w:cs="Arial" w:eastAsia="Arial" w:hAnsi="Arial"/>
                <w:sz w:val="20"/>
                <w:szCs w:val="20"/>
                <w:color w:val="0000EE"/>
              </w:rPr>
            </w:pPr>
            <w:hyperlink w:anchor="page122">
              <w:r>
                <w:rPr>
                  <w:rFonts w:ascii="Arial" w:cs="Arial" w:eastAsia="Arial" w:hAnsi="Arial"/>
                  <w:sz w:val="20"/>
                  <w:szCs w:val="20"/>
                  <w:color w:val="0000EE"/>
                </w:rPr>
                <w:t>Subsidiaries</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23*</w:t>
            </w:r>
          </w:p>
        </w:tc>
        <w:tc>
          <w:tcPr>
            <w:tcW w:w="40" w:type="dxa"/>
            <w:vAlign w:val="bottom"/>
          </w:tcPr>
          <w:p>
            <w:pPr>
              <w:spacing w:after="0"/>
              <w:rPr>
                <w:sz w:val="15"/>
                <w:szCs w:val="15"/>
                <w:color w:val="auto"/>
              </w:rPr>
            </w:pPr>
          </w:p>
        </w:tc>
        <w:tc>
          <w:tcPr>
            <w:tcW w:w="8900" w:type="dxa"/>
            <w:vAlign w:val="bottom"/>
            <w:tcBorders>
              <w:right w:val="single" w:sz="8" w:color="auto"/>
            </w:tcBorders>
            <w:gridSpan w:val="13"/>
          </w:tcPr>
          <w:p>
            <w:pPr>
              <w:spacing w:after="0" w:line="183" w:lineRule="exact"/>
              <w:rPr>
                <w:rFonts w:ascii="Arial" w:cs="Arial" w:eastAsia="Arial" w:hAnsi="Arial"/>
                <w:sz w:val="20"/>
                <w:szCs w:val="20"/>
                <w:color w:val="0000EE"/>
              </w:rPr>
            </w:pPr>
            <w:hyperlink w:anchor="page124">
              <w:r>
                <w:rPr>
                  <w:rFonts w:ascii="Arial" w:cs="Arial" w:eastAsia="Arial" w:hAnsi="Arial"/>
                  <w:sz w:val="20"/>
                  <w:szCs w:val="20"/>
                  <w:color w:val="0000EE"/>
                </w:rPr>
                <w:t>Consent of Independent Registered Public Accounting Firm</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31.1*</w:t>
            </w:r>
          </w:p>
        </w:tc>
        <w:tc>
          <w:tcPr>
            <w:tcW w:w="40" w:type="dxa"/>
            <w:vAlign w:val="bottom"/>
          </w:tcPr>
          <w:p>
            <w:pPr>
              <w:spacing w:after="0"/>
              <w:rPr>
                <w:sz w:val="15"/>
                <w:szCs w:val="15"/>
                <w:color w:val="auto"/>
              </w:rPr>
            </w:pPr>
          </w:p>
        </w:tc>
        <w:tc>
          <w:tcPr>
            <w:tcW w:w="8460" w:type="dxa"/>
            <w:vAlign w:val="bottom"/>
            <w:tcBorders>
              <w:bottom w:val="single" w:sz="8" w:color="0000EE"/>
            </w:tcBorders>
            <w:gridSpan w:val="8"/>
          </w:tcPr>
          <w:p>
            <w:pPr>
              <w:spacing w:after="0" w:line="183" w:lineRule="exact"/>
              <w:rPr>
                <w:rFonts w:ascii="Arial" w:cs="Arial" w:eastAsia="Arial" w:hAnsi="Arial"/>
                <w:sz w:val="20"/>
                <w:szCs w:val="20"/>
                <w:color w:val="0000EE"/>
                <w:w w:val="90"/>
              </w:rPr>
            </w:pPr>
            <w:hyperlink w:anchor="page125">
              <w:r>
                <w:rPr>
                  <w:rFonts w:ascii="Arial" w:cs="Arial" w:eastAsia="Arial" w:hAnsi="Arial"/>
                  <w:sz w:val="20"/>
                  <w:szCs w:val="20"/>
                  <w:color w:val="0000EE"/>
                  <w:w w:val="90"/>
                </w:rPr>
                <w:t>Certification by CEO pursuant to Rule 13A-14(a) or 15D-14(a) of the Securities Exchange Act of 1934, as</w:t>
              </w:r>
            </w:hyperlink>
          </w:p>
        </w:tc>
        <w:tc>
          <w:tcPr>
            <w:tcW w:w="440" w:type="dxa"/>
            <w:vAlign w:val="bottom"/>
            <w:tcBorders>
              <w:right w:val="single" w:sz="8" w:color="auto"/>
            </w:tcBorders>
            <w:gridSpan w:val="5"/>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13"/>
          </w:tcPr>
          <w:p>
            <w:pPr>
              <w:spacing w:after="0" w:line="209" w:lineRule="exact"/>
              <w:rPr>
                <w:rFonts w:ascii="Arial" w:cs="Arial" w:eastAsia="Arial" w:hAnsi="Arial"/>
                <w:sz w:val="20"/>
                <w:szCs w:val="20"/>
                <w:color w:val="0000EE"/>
              </w:rPr>
            </w:pPr>
            <w:hyperlink w:anchor="page125">
              <w:r>
                <w:rPr>
                  <w:rFonts w:ascii="Arial" w:cs="Arial" w:eastAsia="Arial" w:hAnsi="Arial"/>
                  <w:sz w:val="20"/>
                  <w:szCs w:val="20"/>
                  <w:color w:val="0000EE"/>
                </w:rPr>
                <w:t>adopted pursuant to Section 302 of the Sarbanes-Oxley Act of 2002 *</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31.2*</w:t>
            </w:r>
          </w:p>
        </w:tc>
        <w:tc>
          <w:tcPr>
            <w:tcW w:w="40" w:type="dxa"/>
            <w:vAlign w:val="bottom"/>
          </w:tcPr>
          <w:p>
            <w:pPr>
              <w:spacing w:after="0"/>
              <w:rPr>
                <w:sz w:val="15"/>
                <w:szCs w:val="15"/>
                <w:color w:val="auto"/>
              </w:rPr>
            </w:pPr>
          </w:p>
        </w:tc>
        <w:tc>
          <w:tcPr>
            <w:tcW w:w="8440" w:type="dxa"/>
            <w:vAlign w:val="bottom"/>
            <w:tcBorders>
              <w:bottom w:val="single" w:sz="8" w:color="0000EE"/>
            </w:tcBorders>
            <w:gridSpan w:val="7"/>
          </w:tcPr>
          <w:p>
            <w:pPr>
              <w:spacing w:after="0" w:line="183" w:lineRule="exact"/>
              <w:rPr>
                <w:rFonts w:ascii="Arial" w:cs="Arial" w:eastAsia="Arial" w:hAnsi="Arial"/>
                <w:sz w:val="20"/>
                <w:szCs w:val="20"/>
                <w:color w:val="0000EE"/>
                <w:w w:val="90"/>
              </w:rPr>
            </w:pPr>
            <w:hyperlink w:anchor="page126">
              <w:r>
                <w:rPr>
                  <w:rFonts w:ascii="Arial" w:cs="Arial" w:eastAsia="Arial" w:hAnsi="Arial"/>
                  <w:sz w:val="20"/>
                  <w:szCs w:val="20"/>
                  <w:color w:val="0000EE"/>
                  <w:w w:val="90"/>
                </w:rPr>
                <w:t>Certification by CFO pursuant to Rule 13A-14(a) or 15D-14(a) of the Securities Exchange Act of 1934, as</w:t>
              </w:r>
            </w:hyperlink>
          </w:p>
        </w:tc>
        <w:tc>
          <w:tcPr>
            <w:tcW w:w="460" w:type="dxa"/>
            <w:vAlign w:val="bottom"/>
            <w:tcBorders>
              <w:right w:val="single" w:sz="8" w:color="auto"/>
            </w:tcBorders>
            <w:gridSpan w:val="6"/>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13"/>
          </w:tcPr>
          <w:p>
            <w:pPr>
              <w:spacing w:after="0" w:line="209" w:lineRule="exact"/>
              <w:rPr>
                <w:rFonts w:ascii="Arial" w:cs="Arial" w:eastAsia="Arial" w:hAnsi="Arial"/>
                <w:sz w:val="20"/>
                <w:szCs w:val="20"/>
                <w:color w:val="0000EE"/>
              </w:rPr>
            </w:pPr>
            <w:hyperlink w:anchor="page126">
              <w:r>
                <w:rPr>
                  <w:rFonts w:ascii="Arial" w:cs="Arial" w:eastAsia="Arial" w:hAnsi="Arial"/>
                  <w:sz w:val="20"/>
                  <w:szCs w:val="20"/>
                  <w:color w:val="0000EE"/>
                </w:rPr>
                <w:t>adopted pursuant to Section 302 of the Sarbanes-Oxley Act of 2002 *</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32.1*</w:t>
            </w:r>
          </w:p>
        </w:tc>
        <w:tc>
          <w:tcPr>
            <w:tcW w:w="40" w:type="dxa"/>
            <w:vAlign w:val="bottom"/>
          </w:tcPr>
          <w:p>
            <w:pPr>
              <w:spacing w:after="0"/>
              <w:rPr>
                <w:sz w:val="15"/>
                <w:szCs w:val="15"/>
                <w:color w:val="auto"/>
              </w:rPr>
            </w:pPr>
          </w:p>
        </w:tc>
        <w:tc>
          <w:tcPr>
            <w:tcW w:w="8760" w:type="dxa"/>
            <w:vAlign w:val="bottom"/>
            <w:tcBorders>
              <w:bottom w:val="single" w:sz="8" w:color="0000EE"/>
            </w:tcBorders>
            <w:gridSpan w:val="11"/>
          </w:tcPr>
          <w:p>
            <w:pPr>
              <w:spacing w:after="0" w:line="183" w:lineRule="exact"/>
              <w:rPr>
                <w:rFonts w:ascii="Arial" w:cs="Arial" w:eastAsia="Arial" w:hAnsi="Arial"/>
                <w:sz w:val="20"/>
                <w:szCs w:val="20"/>
                <w:color w:val="0000EE"/>
                <w:w w:val="89"/>
              </w:rPr>
            </w:pPr>
            <w:hyperlink w:anchor="page127">
              <w:r>
                <w:rPr>
                  <w:rFonts w:ascii="Arial" w:cs="Arial" w:eastAsia="Arial" w:hAnsi="Arial"/>
                  <w:sz w:val="20"/>
                  <w:szCs w:val="20"/>
                  <w:color w:val="0000EE"/>
                  <w:w w:val="89"/>
                </w:rPr>
                <w:t>Certification by CEO pursuant to 18 U.S.C. Section 1350, as adopted pursuant to Section 906 of the Sarbanes-</w:t>
              </w:r>
            </w:hyperlink>
          </w:p>
        </w:tc>
        <w:tc>
          <w:tcPr>
            <w:tcW w:w="140" w:type="dxa"/>
            <w:vAlign w:val="bottom"/>
            <w:tcBorders>
              <w:right w:val="single" w:sz="8" w:color="auto"/>
            </w:tcBorders>
            <w:gridSpan w:val="2"/>
          </w:tcPr>
          <w:p>
            <w:pPr>
              <w:spacing w:after="0"/>
              <w:rPr>
                <w:sz w:val="15"/>
                <w:szCs w:val="15"/>
                <w:color w:val="auto"/>
              </w:rPr>
            </w:pPr>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900" w:type="dxa"/>
            <w:vAlign w:val="bottom"/>
            <w:tcBorders>
              <w:right w:val="single" w:sz="8" w:color="auto"/>
            </w:tcBorders>
            <w:gridSpan w:val="13"/>
          </w:tcPr>
          <w:p>
            <w:pPr>
              <w:spacing w:after="0" w:line="209" w:lineRule="exact"/>
              <w:rPr>
                <w:rFonts w:ascii="Arial" w:cs="Arial" w:eastAsia="Arial" w:hAnsi="Arial"/>
                <w:sz w:val="20"/>
                <w:szCs w:val="20"/>
                <w:color w:val="0000EE"/>
              </w:rPr>
            </w:pPr>
            <w:hyperlink w:anchor="page127">
              <w:r>
                <w:rPr>
                  <w:rFonts w:ascii="Arial" w:cs="Arial" w:eastAsia="Arial" w:hAnsi="Arial"/>
                  <w:sz w:val="20"/>
                  <w:szCs w:val="20"/>
                  <w:color w:val="0000EE"/>
                </w:rPr>
                <w:t>Oxley Act of 2002 *</w:t>
              </w:r>
            </w:hyperlink>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4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32.2*</w:t>
            </w:r>
          </w:p>
        </w:tc>
        <w:tc>
          <w:tcPr>
            <w:tcW w:w="40" w:type="dxa"/>
            <w:vAlign w:val="bottom"/>
          </w:tcPr>
          <w:p>
            <w:pPr>
              <w:spacing w:after="0"/>
              <w:rPr>
                <w:sz w:val="15"/>
                <w:szCs w:val="15"/>
                <w:color w:val="auto"/>
              </w:rPr>
            </w:pPr>
          </w:p>
        </w:tc>
        <w:tc>
          <w:tcPr>
            <w:tcW w:w="8900" w:type="dxa"/>
            <w:vAlign w:val="bottom"/>
            <w:tcBorders>
              <w:right w:val="single" w:sz="8" w:color="auto"/>
            </w:tcBorders>
            <w:gridSpan w:val="13"/>
          </w:tcPr>
          <w:p>
            <w:pPr>
              <w:spacing w:after="0" w:line="183" w:lineRule="exact"/>
              <w:rPr>
                <w:rFonts w:ascii="Arial" w:cs="Arial" w:eastAsia="Arial" w:hAnsi="Arial"/>
                <w:sz w:val="20"/>
                <w:szCs w:val="20"/>
                <w:color w:val="0000EE"/>
                <w:w w:val="90"/>
              </w:rPr>
            </w:pPr>
            <w:hyperlink w:anchor="page128">
              <w:r>
                <w:rPr>
                  <w:rFonts w:ascii="Arial" w:cs="Arial" w:eastAsia="Arial" w:hAnsi="Arial"/>
                  <w:sz w:val="20"/>
                  <w:szCs w:val="20"/>
                  <w:color w:val="0000EE"/>
                  <w:w w:val="90"/>
                </w:rPr>
                <w:t>Certification by CFO pursuant to 18 U.S.C. Section 1350, as adopted pursuant to Section 906 of the Sarbanes-</w:t>
              </w:r>
            </w:hyperlink>
          </w:p>
        </w:tc>
      </w:tr>
      <w:tr>
        <w:trPr>
          <w:trHeight w:val="210"/>
        </w:trPr>
        <w:tc>
          <w:tcPr>
            <w:tcW w:w="1140" w:type="dxa"/>
            <w:vAlign w:val="bottom"/>
            <w:tcBorders>
              <w:left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740" w:type="dxa"/>
            <w:vAlign w:val="bottom"/>
            <w:tcBorders>
              <w:top w:val="single" w:sz="8" w:color="0000EE"/>
            </w:tcBorders>
            <w:gridSpan w:val="10"/>
          </w:tcPr>
          <w:p>
            <w:pPr>
              <w:spacing w:after="0" w:line="209" w:lineRule="exact"/>
              <w:rPr>
                <w:rFonts w:ascii="Arial" w:cs="Arial" w:eastAsia="Arial" w:hAnsi="Arial"/>
                <w:sz w:val="20"/>
                <w:szCs w:val="20"/>
                <w:color w:val="0000EE"/>
              </w:rPr>
            </w:pPr>
            <w:hyperlink w:anchor="page128">
              <w:r>
                <w:rPr>
                  <w:rFonts w:ascii="Arial" w:cs="Arial" w:eastAsia="Arial" w:hAnsi="Arial"/>
                  <w:sz w:val="20"/>
                  <w:szCs w:val="20"/>
                  <w:color w:val="0000EE"/>
                </w:rPr>
                <w:t>Oxley Act of 2002 *</w:t>
              </w:r>
            </w:hyperlink>
          </w:p>
        </w:tc>
        <w:tc>
          <w:tcPr>
            <w:tcW w:w="160" w:type="dxa"/>
            <w:vAlign w:val="bottom"/>
            <w:tcBorders>
              <w:right w:val="single" w:sz="8" w:color="auto"/>
            </w:tcBorders>
            <w:gridSpan w:val="3"/>
          </w:tcPr>
          <w:p>
            <w:pPr>
              <w:spacing w:after="0"/>
              <w:rPr>
                <w:sz w:val="18"/>
                <w:szCs w:val="18"/>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114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w:t>
            </w:r>
          </w:p>
        </w:tc>
        <w:tc>
          <w:tcPr>
            <w:tcW w:w="40" w:type="dxa"/>
            <w:vAlign w:val="bottom"/>
          </w:tcPr>
          <w:p>
            <w:pPr>
              <w:spacing w:after="0"/>
              <w:rPr>
                <w:sz w:val="17"/>
                <w:szCs w:val="17"/>
                <w:color w:val="auto"/>
              </w:rPr>
            </w:pPr>
          </w:p>
        </w:tc>
        <w:tc>
          <w:tcPr>
            <w:tcW w:w="8900" w:type="dxa"/>
            <w:vAlign w:val="bottom"/>
            <w:tcBorders>
              <w:right w:val="single" w:sz="8" w:color="auto"/>
            </w:tcBorders>
            <w:gridSpan w:val="13"/>
          </w:tcPr>
          <w:p>
            <w:pPr>
              <w:spacing w:after="0" w:line="207" w:lineRule="exact"/>
              <w:rPr>
                <w:sz w:val="20"/>
                <w:szCs w:val="20"/>
                <w:color w:val="auto"/>
              </w:rPr>
            </w:pPr>
            <w:r>
              <w:rPr>
                <w:rFonts w:ascii="Arial" w:cs="Arial" w:eastAsia="Arial" w:hAnsi="Arial"/>
                <w:sz w:val="20"/>
                <w:szCs w:val="20"/>
                <w:color w:val="auto"/>
                <w:w w:val="92"/>
              </w:rPr>
              <w:t>The following materials from Monster Beverage Corporation’s Annual Report on Form 10-K for the fiscal year</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2"/>
              </w:rPr>
              <w:t>ended December 31, 2019 are furnished herewith, formatted in iXBRL (Inline eXtensible Business Reporting</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0"/>
              </w:rPr>
              <w:t>Language): (i) Consolidated Balance Sheets as of December 31, 2019 and 2018, (ii) Consolidated Statements</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rPr>
              <w:t>of Income for the years ended December 31, 2019, 2018 and 2017, (iii) Consolidated Statements of</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0"/>
              </w:rPr>
              <w:t>Comprehensive Income for the years ended December 31, 2019, 2018 and 2017, (iv) Consolidated Statements</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1"/>
              </w:rPr>
              <w:t>of Stockholders’ Equity for the years ended December 31, 2019, 2018 and 2017, (v) Consolidated Statements</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7"/>
              </w:rPr>
              <w:t>of Cash Flows for the years ended December 31, 2019, 2018 and 2017, and (vi) Notes to Consolidated</w:t>
            </w:r>
          </w:p>
        </w:tc>
      </w:tr>
      <w:tr>
        <w:trPr>
          <w:trHeight w:val="246"/>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90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20"/>
                <w:szCs w:val="20"/>
                <w:color w:val="auto"/>
              </w:rPr>
              <w:t>Financial Statements.</w:t>
            </w:r>
          </w:p>
        </w:tc>
      </w:tr>
      <w:tr>
        <w:trPr>
          <w:trHeight w:val="206"/>
        </w:trPr>
        <w:tc>
          <w:tcPr>
            <w:tcW w:w="114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104*</w:t>
            </w:r>
          </w:p>
        </w:tc>
        <w:tc>
          <w:tcPr>
            <w:tcW w:w="40" w:type="dxa"/>
            <w:vAlign w:val="bottom"/>
          </w:tcPr>
          <w:p>
            <w:pPr>
              <w:spacing w:after="0"/>
              <w:rPr>
                <w:sz w:val="17"/>
                <w:szCs w:val="17"/>
                <w:color w:val="auto"/>
              </w:rPr>
            </w:pPr>
          </w:p>
        </w:tc>
        <w:tc>
          <w:tcPr>
            <w:tcW w:w="8900" w:type="dxa"/>
            <w:vAlign w:val="bottom"/>
            <w:tcBorders>
              <w:right w:val="single" w:sz="8" w:color="auto"/>
            </w:tcBorders>
            <w:gridSpan w:val="13"/>
          </w:tcPr>
          <w:p>
            <w:pPr>
              <w:spacing w:after="0" w:line="207" w:lineRule="exact"/>
              <w:rPr>
                <w:sz w:val="20"/>
                <w:szCs w:val="20"/>
                <w:color w:val="auto"/>
              </w:rPr>
            </w:pPr>
            <w:r>
              <w:rPr>
                <w:rFonts w:ascii="Arial" w:cs="Arial" w:eastAsia="Arial" w:hAnsi="Arial"/>
                <w:sz w:val="20"/>
                <w:szCs w:val="20"/>
                <w:color w:val="auto"/>
                <w:w w:val="92"/>
              </w:rPr>
              <w:t>The cover page from Monster Beverage Corporation’s Annual Report on Form 10-K for the fiscal year ended</w:t>
            </w:r>
          </w:p>
        </w:tc>
      </w:tr>
      <w:tr>
        <w:trPr>
          <w:trHeight w:val="230"/>
        </w:trPr>
        <w:tc>
          <w:tcPr>
            <w:tcW w:w="1140" w:type="dxa"/>
            <w:vAlign w:val="bottom"/>
            <w:tcBorders>
              <w:left w:val="single" w:sz="8" w:color="auto"/>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900" w:type="dxa"/>
            <w:vAlign w:val="bottom"/>
            <w:tcBorders>
              <w:right w:val="single" w:sz="8" w:color="auto"/>
            </w:tcBorders>
            <w:gridSpan w:val="13"/>
          </w:tcPr>
          <w:p>
            <w:pPr>
              <w:spacing w:after="0"/>
              <w:rPr>
                <w:sz w:val="20"/>
                <w:szCs w:val="20"/>
                <w:color w:val="auto"/>
              </w:rPr>
            </w:pPr>
            <w:r>
              <w:rPr>
                <w:rFonts w:ascii="Arial" w:cs="Arial" w:eastAsia="Arial" w:hAnsi="Arial"/>
                <w:sz w:val="20"/>
                <w:szCs w:val="20"/>
                <w:color w:val="auto"/>
                <w:w w:val="93"/>
              </w:rPr>
              <w:t>December 31, 2019, formatted in iXBRL (Inline eXtensible Business Reporting Language) and contained in</w:t>
            </w:r>
          </w:p>
        </w:tc>
      </w:tr>
      <w:tr>
        <w:trPr>
          <w:trHeight w:val="246"/>
        </w:trPr>
        <w:tc>
          <w:tcPr>
            <w:tcW w:w="1140" w:type="dxa"/>
            <w:vAlign w:val="bottom"/>
            <w:tcBorders>
              <w:left w:val="single" w:sz="8" w:color="auto"/>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900" w:type="dxa"/>
            <w:vAlign w:val="bottom"/>
            <w:tcBorders>
              <w:bottom w:val="single" w:sz="8" w:color="auto"/>
              <w:right w:val="single" w:sz="8" w:color="auto"/>
            </w:tcBorders>
            <w:gridSpan w:val="13"/>
          </w:tcPr>
          <w:p>
            <w:pPr>
              <w:spacing w:after="0"/>
              <w:rPr>
                <w:sz w:val="20"/>
                <w:szCs w:val="20"/>
                <w:color w:val="auto"/>
              </w:rPr>
            </w:pPr>
            <w:r>
              <w:rPr>
                <w:rFonts w:ascii="Arial" w:cs="Arial" w:eastAsia="Arial" w:hAnsi="Arial"/>
                <w:sz w:val="20"/>
                <w:szCs w:val="20"/>
                <w:color w:val="auto"/>
              </w:rPr>
              <w:t>Exhibit 101.</w:t>
            </w:r>
          </w:p>
        </w:tc>
      </w:tr>
    </w:tbl>
    <w:p>
      <w:pPr>
        <w:spacing w:after="0" w:line="110" w:lineRule="exact"/>
        <w:rPr>
          <w:sz w:val="20"/>
          <w:szCs w:val="20"/>
          <w:color w:val="auto"/>
        </w:rPr>
      </w:pPr>
    </w:p>
    <w:p>
      <w:pPr>
        <w:ind w:left="321" w:hanging="321"/>
        <w:spacing w:after="0"/>
        <w:tabs>
          <w:tab w:leader="none" w:pos="321"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Filed herewith.</w:t>
      </w:r>
    </w:p>
    <w:p>
      <w:pPr>
        <w:ind w:left="321" w:hanging="321"/>
        <w:spacing w:after="0" w:line="196" w:lineRule="auto"/>
        <w:tabs>
          <w:tab w:leader="none" w:pos="321" w:val="left"/>
        </w:tabs>
        <w:numPr>
          <w:ilvl w:val="0"/>
          <w:numId w:val="37"/>
        </w:numPr>
        <w:rPr>
          <w:rFonts w:ascii="Arial" w:cs="Arial" w:eastAsia="Arial" w:hAnsi="Arial"/>
          <w:sz w:val="19"/>
          <w:szCs w:val="19"/>
          <w:color w:val="auto"/>
          <w:vertAlign w:val="superscript"/>
        </w:rPr>
      </w:pPr>
      <w:r>
        <w:rPr>
          <w:rFonts w:ascii="Arial" w:cs="Arial" w:eastAsia="Arial" w:hAnsi="Arial"/>
          <w:sz w:val="13"/>
          <w:szCs w:val="13"/>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353695</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Pursuant to the requirements of Sections 13 or 15(d) of the Securities Exchange Act of 1934, as amended, the registrant has duly caused this report to be signed on its behalf by the undersigned, thereunto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20" w:type="dxa"/>
            <w:vAlign w:val="bottom"/>
            <w:gridSpan w:val="3"/>
          </w:tcPr>
          <w:p>
            <w:pPr>
              <w:spacing w:after="0"/>
              <w:rPr>
                <w:sz w:val="20"/>
                <w:szCs w:val="20"/>
                <w:color w:val="auto"/>
              </w:rPr>
            </w:pPr>
            <w:r>
              <w:rPr>
                <w:rFonts w:ascii="Arial" w:cs="Arial" w:eastAsia="Arial" w:hAnsi="Arial"/>
                <w:sz w:val="20"/>
                <w:szCs w:val="20"/>
                <w:b w:val="1"/>
                <w:bCs w:val="1"/>
                <w:color w:val="auto"/>
              </w:rPr>
              <w:t>MONSTER BEVERAGE CORPORATION</w:t>
            </w:r>
          </w:p>
        </w:tc>
        <w:tc>
          <w:tcPr>
            <w:tcW w:w="3220" w:type="dxa"/>
            <w:vAlign w:val="bottom"/>
          </w:tcPr>
          <w:p>
            <w:pPr>
              <w:spacing w:after="0"/>
              <w:rPr>
                <w:sz w:val="22"/>
                <w:szCs w:val="22"/>
                <w:color w:val="auto"/>
              </w:rPr>
            </w:pPr>
          </w:p>
        </w:tc>
      </w:tr>
      <w:tr>
        <w:trPr>
          <w:trHeight w:val="293"/>
        </w:trPr>
        <w:tc>
          <w:tcPr>
            <w:tcW w:w="280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3920" w:type="dxa"/>
            <w:vAlign w:val="bottom"/>
          </w:tcPr>
          <w:p>
            <w:pPr>
              <w:ind w:left="820"/>
              <w:spacing w:after="0"/>
              <w:rPr>
                <w:sz w:val="20"/>
                <w:szCs w:val="20"/>
                <w:color w:val="auto"/>
              </w:rPr>
            </w:pPr>
            <w:r>
              <w:rPr>
                <w:rFonts w:ascii="Arial" w:cs="Arial" w:eastAsia="Arial" w:hAnsi="Arial"/>
                <w:sz w:val="20"/>
                <w:szCs w:val="20"/>
                <w:color w:val="auto"/>
              </w:rPr>
              <w:t>Rodney C. Sacks</w:t>
            </w:r>
          </w:p>
        </w:tc>
        <w:tc>
          <w:tcPr>
            <w:tcW w:w="3220" w:type="dxa"/>
            <w:vAlign w:val="bottom"/>
          </w:tcPr>
          <w:p>
            <w:pPr>
              <w:ind w:left="1300"/>
              <w:spacing w:after="0"/>
              <w:rPr>
                <w:sz w:val="20"/>
                <w:szCs w:val="20"/>
                <w:color w:val="auto"/>
              </w:rPr>
            </w:pPr>
            <w:r>
              <w:rPr>
                <w:rFonts w:ascii="Arial" w:cs="Arial" w:eastAsia="Arial" w:hAnsi="Arial"/>
                <w:sz w:val="20"/>
                <w:szCs w:val="20"/>
                <w:color w:val="auto"/>
                <w:w w:val="87"/>
              </w:rPr>
              <w:t>Date: February 28, 2020</w:t>
            </w:r>
          </w:p>
        </w:tc>
      </w:tr>
      <w:tr>
        <w:trPr>
          <w:trHeight w:val="254"/>
        </w:trPr>
        <w:tc>
          <w:tcPr>
            <w:tcW w:w="1980" w:type="dxa"/>
            <w:vAlign w:val="bottom"/>
            <w:tcBorders>
              <w:top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3920" w:type="dxa"/>
            <w:vAlign w:val="bottom"/>
          </w:tcPr>
          <w:p>
            <w:pPr>
              <w:ind w:left="820"/>
              <w:spacing w:after="0"/>
              <w:rPr>
                <w:sz w:val="20"/>
                <w:szCs w:val="20"/>
                <w:color w:val="auto"/>
              </w:rPr>
            </w:pPr>
            <w:r>
              <w:rPr>
                <w:rFonts w:ascii="Arial" w:cs="Arial" w:eastAsia="Arial" w:hAnsi="Arial"/>
                <w:sz w:val="20"/>
                <w:szCs w:val="20"/>
                <w:color w:val="auto"/>
              </w:rPr>
              <w:t>Chairman of the Board</w:t>
            </w:r>
          </w:p>
        </w:tc>
        <w:tc>
          <w:tcPr>
            <w:tcW w:w="3220" w:type="dxa"/>
            <w:vAlign w:val="bottom"/>
          </w:tcPr>
          <w:p>
            <w:pPr>
              <w:spacing w:after="0"/>
              <w:rPr>
                <w:sz w:val="22"/>
                <w:szCs w:val="22"/>
                <w:color w:val="auto"/>
              </w:rPr>
            </w:pPr>
          </w:p>
        </w:tc>
      </w:tr>
    </w:tbl>
    <w:p>
      <w:pPr>
        <w:spacing w:after="0" w:line="10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2"/>
          </w:tcPr>
          <w:p>
            <w:pPr>
              <w:spacing w:after="0"/>
              <w:rPr>
                <w:sz w:val="20"/>
                <w:szCs w:val="20"/>
                <w:color w:val="auto"/>
              </w:rPr>
            </w:pPr>
            <w:r>
              <w:rPr>
                <w:rFonts w:ascii="Arial" w:cs="Arial" w:eastAsia="Arial" w:hAnsi="Arial"/>
                <w:sz w:val="20"/>
                <w:szCs w:val="20"/>
                <w:color w:val="auto"/>
              </w:rPr>
              <w:t>Signature</w:t>
            </w:r>
          </w:p>
        </w:tc>
        <w:tc>
          <w:tcPr>
            <w:tcW w:w="20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Title</w:t>
            </w:r>
          </w:p>
        </w:tc>
        <w:tc>
          <w:tcPr>
            <w:tcW w:w="2080" w:type="dxa"/>
            <w:vAlign w:val="bottom"/>
            <w:gridSpan w:val="2"/>
          </w:tcPr>
          <w:p>
            <w:pPr>
              <w:spacing w:after="0"/>
              <w:rPr>
                <w:sz w:val="20"/>
                <w:szCs w:val="20"/>
                <w:color w:val="auto"/>
              </w:rPr>
            </w:pPr>
            <w:r>
              <w:rPr>
                <w:rFonts w:ascii="Arial" w:cs="Arial" w:eastAsia="Arial" w:hAnsi="Arial"/>
                <w:sz w:val="20"/>
                <w:szCs w:val="20"/>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87"/>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RODNEY C. SACKS</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Chairman of the Board of</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13"/>
        </w:trPr>
        <w:tc>
          <w:tcPr>
            <w:tcW w:w="3400" w:type="dxa"/>
            <w:vAlign w:val="bottom"/>
            <w:gridSpan w:val="2"/>
          </w:tcPr>
          <w:p>
            <w:pPr>
              <w:spacing w:after="0" w:line="213" w:lineRule="exact"/>
              <w:rPr>
                <w:sz w:val="20"/>
                <w:szCs w:val="20"/>
                <w:color w:val="auto"/>
              </w:rPr>
            </w:pPr>
            <w:r>
              <w:rPr>
                <w:rFonts w:ascii="Arial" w:cs="Arial" w:eastAsia="Arial" w:hAnsi="Arial"/>
                <w:sz w:val="20"/>
                <w:szCs w:val="20"/>
                <w:color w:val="auto"/>
              </w:rPr>
              <w:t>Rodney C. Sacks</w:t>
            </w:r>
          </w:p>
        </w:tc>
        <w:tc>
          <w:tcPr>
            <w:tcW w:w="200" w:type="dxa"/>
            <w:vAlign w:val="bottom"/>
          </w:tcPr>
          <w:p>
            <w:pPr>
              <w:spacing w:after="0"/>
              <w:rPr>
                <w:sz w:val="18"/>
                <w:szCs w:val="18"/>
                <w:color w:val="auto"/>
              </w:rPr>
            </w:pPr>
          </w:p>
        </w:tc>
        <w:tc>
          <w:tcPr>
            <w:tcW w:w="4380" w:type="dxa"/>
            <w:vAlign w:val="bottom"/>
            <w:gridSpan w:val="2"/>
          </w:tcPr>
          <w:p>
            <w:pPr>
              <w:spacing w:after="0" w:line="213" w:lineRule="exact"/>
              <w:rPr>
                <w:sz w:val="20"/>
                <w:szCs w:val="20"/>
                <w:color w:val="auto"/>
              </w:rPr>
            </w:pPr>
            <w:r>
              <w:rPr>
                <w:rFonts w:ascii="Arial" w:cs="Arial" w:eastAsia="Arial" w:hAnsi="Arial"/>
                <w:sz w:val="20"/>
                <w:szCs w:val="20"/>
                <w:color w:val="auto"/>
              </w:rPr>
              <w:t>Directors and Chief Executive</w:t>
            </w: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50"/>
        </w:trPr>
        <w:tc>
          <w:tcPr>
            <w:tcW w:w="7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Officer (principal executive officer)</w:t>
            </w: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2"/>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HILTON H. SCHLOSBERG</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Vice Chairman of the Board of</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26"/>
        </w:trPr>
        <w:tc>
          <w:tcPr>
            <w:tcW w:w="3400" w:type="dxa"/>
            <w:vAlign w:val="bottom"/>
            <w:gridSpan w:val="2"/>
          </w:tcPr>
          <w:p>
            <w:pPr>
              <w:spacing w:after="0" w:line="227" w:lineRule="exact"/>
              <w:rPr>
                <w:sz w:val="20"/>
                <w:szCs w:val="20"/>
                <w:color w:val="auto"/>
              </w:rPr>
            </w:pPr>
            <w:r>
              <w:rPr>
                <w:rFonts w:ascii="Arial" w:cs="Arial" w:eastAsia="Arial" w:hAnsi="Arial"/>
                <w:sz w:val="20"/>
                <w:szCs w:val="20"/>
                <w:color w:val="auto"/>
              </w:rPr>
              <w:t>Hilton H. Schlosberg</w:t>
            </w:r>
          </w:p>
        </w:tc>
        <w:tc>
          <w:tcPr>
            <w:tcW w:w="200" w:type="dxa"/>
            <w:vAlign w:val="bottom"/>
          </w:tcPr>
          <w:p>
            <w:pPr>
              <w:spacing w:after="0"/>
              <w:rPr>
                <w:sz w:val="19"/>
                <w:szCs w:val="19"/>
                <w:color w:val="auto"/>
              </w:rPr>
            </w:pPr>
          </w:p>
        </w:tc>
        <w:tc>
          <w:tcPr>
            <w:tcW w:w="4380" w:type="dxa"/>
            <w:vAlign w:val="bottom"/>
            <w:gridSpan w:val="2"/>
          </w:tcPr>
          <w:p>
            <w:pPr>
              <w:spacing w:after="0" w:line="220" w:lineRule="exact"/>
              <w:rPr>
                <w:sz w:val="20"/>
                <w:szCs w:val="20"/>
                <w:color w:val="auto"/>
              </w:rPr>
            </w:pPr>
            <w:r>
              <w:rPr>
                <w:rFonts w:ascii="Arial" w:cs="Arial" w:eastAsia="Arial" w:hAnsi="Arial"/>
                <w:sz w:val="20"/>
                <w:szCs w:val="20"/>
                <w:color w:val="auto"/>
              </w:rPr>
              <w:t>Directors, President, Chief</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Operating Officer, Chief</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Financial Officer and Secretary</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(principal financial officer,</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controller and principal</w:t>
            </w: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0"/>
        </w:trPr>
        <w:tc>
          <w:tcPr>
            <w:tcW w:w="7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accounting officer)</w:t>
            </w: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37"/>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KATHLEEN E. CIARAMELLO</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9"/>
        </w:trPr>
        <w:tc>
          <w:tcPr>
            <w:tcW w:w="3400" w:type="dxa"/>
            <w:vAlign w:val="bottom"/>
            <w:gridSpan w:val="2"/>
          </w:tcPr>
          <w:p>
            <w:pPr>
              <w:spacing w:after="0"/>
              <w:rPr>
                <w:sz w:val="20"/>
                <w:szCs w:val="20"/>
                <w:color w:val="auto"/>
              </w:rPr>
            </w:pPr>
            <w:r>
              <w:rPr>
                <w:rFonts w:ascii="Arial" w:cs="Arial" w:eastAsia="Arial" w:hAnsi="Arial"/>
                <w:sz w:val="20"/>
                <w:szCs w:val="20"/>
                <w:color w:val="auto"/>
              </w:rPr>
              <w:t>Kathleen E. Ciaramello</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GARY P. FAYARD</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9"/>
        </w:trPr>
        <w:tc>
          <w:tcPr>
            <w:tcW w:w="3400" w:type="dxa"/>
            <w:vAlign w:val="bottom"/>
            <w:gridSpan w:val="2"/>
          </w:tcPr>
          <w:p>
            <w:pPr>
              <w:spacing w:after="0"/>
              <w:rPr>
                <w:sz w:val="20"/>
                <w:szCs w:val="20"/>
                <w:color w:val="auto"/>
              </w:rPr>
            </w:pPr>
            <w:r>
              <w:rPr>
                <w:rFonts w:ascii="Arial" w:cs="Arial" w:eastAsia="Arial" w:hAnsi="Arial"/>
                <w:sz w:val="20"/>
                <w:szCs w:val="20"/>
                <w:color w:val="auto"/>
              </w:rPr>
              <w:t>Gary P. Fayard</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MARK J. HALL</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9"/>
        </w:trPr>
        <w:tc>
          <w:tcPr>
            <w:tcW w:w="3400" w:type="dxa"/>
            <w:vAlign w:val="bottom"/>
            <w:gridSpan w:val="2"/>
          </w:tcPr>
          <w:p>
            <w:pPr>
              <w:spacing w:after="0"/>
              <w:rPr>
                <w:sz w:val="20"/>
                <w:szCs w:val="20"/>
                <w:color w:val="auto"/>
              </w:rPr>
            </w:pPr>
            <w:r>
              <w:rPr>
                <w:rFonts w:ascii="Arial" w:cs="Arial" w:eastAsia="Arial" w:hAnsi="Arial"/>
                <w:sz w:val="20"/>
                <w:szCs w:val="20"/>
                <w:color w:val="auto"/>
              </w:rPr>
              <w:t>Mark J. Hall</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JEANNE P. JACKSON</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9"/>
        </w:trPr>
        <w:tc>
          <w:tcPr>
            <w:tcW w:w="3400" w:type="dxa"/>
            <w:vAlign w:val="bottom"/>
            <w:gridSpan w:val="2"/>
          </w:tcPr>
          <w:p>
            <w:pPr>
              <w:spacing w:after="0"/>
              <w:rPr>
                <w:sz w:val="20"/>
                <w:szCs w:val="20"/>
                <w:color w:val="auto"/>
              </w:rPr>
            </w:pPr>
            <w:r>
              <w:rPr>
                <w:rFonts w:ascii="Arial" w:cs="Arial" w:eastAsia="Arial" w:hAnsi="Arial"/>
                <w:sz w:val="20"/>
                <w:szCs w:val="20"/>
                <w:color w:val="auto"/>
              </w:rPr>
              <w:t>Jeanne P. Jackson</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STEVEN G. PIZULA</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9"/>
        </w:trPr>
        <w:tc>
          <w:tcPr>
            <w:tcW w:w="3400" w:type="dxa"/>
            <w:vAlign w:val="bottom"/>
            <w:gridSpan w:val="2"/>
          </w:tcPr>
          <w:p>
            <w:pPr>
              <w:spacing w:after="0"/>
              <w:rPr>
                <w:sz w:val="20"/>
                <w:szCs w:val="20"/>
                <w:color w:val="auto"/>
              </w:rPr>
            </w:pPr>
            <w:r>
              <w:rPr>
                <w:rFonts w:ascii="Arial" w:cs="Arial" w:eastAsia="Arial" w:hAnsi="Arial"/>
                <w:sz w:val="20"/>
                <w:szCs w:val="20"/>
                <w:color w:val="auto"/>
              </w:rPr>
              <w:t>Steven G. Pizula</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20"/>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BENJAMIN M. POLK</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9"/>
        </w:trPr>
        <w:tc>
          <w:tcPr>
            <w:tcW w:w="3400" w:type="dxa"/>
            <w:vAlign w:val="bottom"/>
            <w:gridSpan w:val="2"/>
          </w:tcPr>
          <w:p>
            <w:pPr>
              <w:spacing w:after="0"/>
              <w:rPr>
                <w:sz w:val="20"/>
                <w:szCs w:val="20"/>
                <w:color w:val="auto"/>
              </w:rPr>
            </w:pPr>
            <w:r>
              <w:rPr>
                <w:rFonts w:ascii="Arial" w:cs="Arial" w:eastAsia="Arial" w:hAnsi="Arial"/>
                <w:sz w:val="20"/>
                <w:szCs w:val="20"/>
                <w:color w:val="auto"/>
              </w:rPr>
              <w:t>Benjamin M. Polk</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1"/>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SYDNEY SELATI</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4"/>
        </w:trPr>
        <w:tc>
          <w:tcPr>
            <w:tcW w:w="3400" w:type="dxa"/>
            <w:vAlign w:val="bottom"/>
            <w:gridSpan w:val="2"/>
          </w:tcPr>
          <w:p>
            <w:pPr>
              <w:spacing w:after="0"/>
              <w:rPr>
                <w:sz w:val="20"/>
                <w:szCs w:val="20"/>
                <w:color w:val="auto"/>
              </w:rPr>
            </w:pPr>
            <w:r>
              <w:rPr>
                <w:rFonts w:ascii="Arial" w:cs="Arial" w:eastAsia="Arial" w:hAnsi="Arial"/>
                <w:sz w:val="20"/>
                <w:szCs w:val="20"/>
                <w:color w:val="auto"/>
              </w:rPr>
              <w:t>Sydney Selati</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411"/>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MARK S. VIDERGAUZ</w:t>
            </w:r>
          </w:p>
        </w:tc>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2080" w:type="dxa"/>
            <w:vAlign w:val="bottom"/>
            <w:gridSpan w:val="2"/>
          </w:tcPr>
          <w:p>
            <w:pPr>
              <w:spacing w:after="0"/>
              <w:rPr>
                <w:sz w:val="20"/>
                <w:szCs w:val="20"/>
                <w:color w:val="auto"/>
              </w:rPr>
            </w:pPr>
            <w:r>
              <w:rPr>
                <w:rFonts w:ascii="Arial" w:cs="Arial" w:eastAsia="Arial" w:hAnsi="Arial"/>
                <w:sz w:val="20"/>
                <w:szCs w:val="20"/>
                <w:color w:val="auto"/>
              </w:rPr>
              <w:t>February 28, 2020</w:t>
            </w:r>
          </w:p>
        </w:tc>
      </w:tr>
      <w:tr>
        <w:trPr>
          <w:trHeight w:val="244"/>
        </w:trPr>
        <w:tc>
          <w:tcPr>
            <w:tcW w:w="3400" w:type="dxa"/>
            <w:vAlign w:val="bottom"/>
            <w:gridSpan w:val="2"/>
          </w:tcPr>
          <w:p>
            <w:pPr>
              <w:spacing w:after="0"/>
              <w:rPr>
                <w:sz w:val="20"/>
                <w:szCs w:val="20"/>
                <w:color w:val="auto"/>
              </w:rPr>
            </w:pPr>
            <w:r>
              <w:rPr>
                <w:rFonts w:ascii="Arial" w:cs="Arial" w:eastAsia="Arial" w:hAnsi="Arial"/>
                <w:sz w:val="20"/>
                <w:szCs w:val="20"/>
                <w:color w:val="auto"/>
              </w:rPr>
              <w:t>Mark S. Vidergauz</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672"/>
        </w:trPr>
        <w:tc>
          <w:tcPr>
            <w:tcW w:w="7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580" w:type="dxa"/>
            <w:vAlign w:val="bottom"/>
            <w:gridSpan w:val="3"/>
          </w:tcPr>
          <w:p>
            <w:pPr>
              <w:jc w:val="right"/>
              <w:ind w:right="2840"/>
              <w:spacing w:after="0"/>
              <w:rPr>
                <w:sz w:val="20"/>
                <w:szCs w:val="20"/>
                <w:color w:val="auto"/>
              </w:rPr>
            </w:pPr>
            <w:r>
              <w:rPr>
                <w:rFonts w:ascii="Arial" w:cs="Arial" w:eastAsia="Arial" w:hAnsi="Arial"/>
                <w:sz w:val="20"/>
                <w:szCs w:val="20"/>
                <w:color w:val="auto"/>
              </w:rPr>
              <w:t>70</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57"/>
        </w:trPr>
        <w:tc>
          <w:tcPr>
            <w:tcW w:w="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517" w:right="9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520" w:type="dxa"/>
            <w:vAlign w:val="bottom"/>
            <w:gridSpan w:val="10"/>
          </w:tcPr>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9520" w:type="dxa"/>
            <w:vAlign w:val="bottom"/>
            <w:gridSpan w:val="10"/>
            <w:vMerge w:val="restart"/>
          </w:tcPr>
          <w:p>
            <w:pPr>
              <w:spacing w:after="0"/>
              <w:rPr>
                <w:sz w:val="20"/>
                <w:szCs w:val="20"/>
                <w:color w:val="auto"/>
              </w:rPr>
            </w:pPr>
            <w:r>
              <w:rPr>
                <w:rFonts w:ascii="Arial" w:cs="Arial" w:eastAsia="Arial" w:hAnsi="Arial"/>
                <w:sz w:val="20"/>
                <w:szCs w:val="20"/>
                <w:color w:val="auto"/>
              </w:rPr>
              <w:t>MONSTER BEVERAGE CORPORATION AND SUBSIDIARIES</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4"/>
              </w:rPr>
              <w:t>Page</w:t>
            </w:r>
          </w:p>
        </w:tc>
        <w:tc>
          <w:tcPr>
            <w:tcW w:w="0" w:type="dxa"/>
            <w:vAlign w:val="bottom"/>
          </w:tcPr>
          <w:p>
            <w:pPr>
              <w:spacing w:after="0"/>
              <w:rPr>
                <w:sz w:val="1"/>
                <w:szCs w:val="1"/>
                <w:color w:val="auto"/>
              </w:rPr>
            </w:pPr>
          </w:p>
        </w:tc>
      </w:tr>
      <w:tr>
        <w:trPr>
          <w:trHeight w:val="214"/>
        </w:trPr>
        <w:tc>
          <w:tcPr>
            <w:tcW w:w="9520" w:type="dxa"/>
            <w:vAlign w:val="bottom"/>
            <w:gridSpan w:val="10"/>
            <w:vMerge w:val="continue"/>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4640" w:type="dxa"/>
            <w:vAlign w:val="bottom"/>
            <w:tcBorders>
              <w:bottom w:val="single" w:sz="8" w:color="0000EE"/>
            </w:tcBorders>
            <w:gridSpan w:val="3"/>
          </w:tcPr>
          <w:p>
            <w:pPr>
              <w:spacing w:after="0"/>
              <w:rPr>
                <w:rFonts w:ascii="Arial" w:cs="Arial" w:eastAsia="Arial" w:hAnsi="Arial"/>
                <w:sz w:val="20"/>
                <w:szCs w:val="20"/>
                <w:color w:val="0000EE"/>
                <w:w w:val="90"/>
              </w:rPr>
            </w:pPr>
            <w:hyperlink w:anchor="page72">
              <w:r>
                <w:rPr>
                  <w:rFonts w:ascii="Arial" w:cs="Arial" w:eastAsia="Arial" w:hAnsi="Arial"/>
                  <w:sz w:val="20"/>
                  <w:szCs w:val="20"/>
                  <w:color w:val="0000EE"/>
                  <w:w w:val="90"/>
                </w:rPr>
                <w:t>Report of Independent Registered Public Accounting Firm</w:t>
              </w:r>
            </w:hyperlink>
          </w:p>
        </w:tc>
        <w:tc>
          <w:tcPr>
            <w:tcW w:w="4880" w:type="dxa"/>
            <w:vAlign w:val="bottom"/>
            <w:gridSpan w:val="7"/>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20"/>
                <w:szCs w:val="20"/>
                <w:color w:val="auto"/>
                <w:w w:val="80"/>
              </w:rPr>
              <w:t>72</w:t>
            </w:r>
          </w:p>
        </w:tc>
        <w:tc>
          <w:tcPr>
            <w:tcW w:w="0" w:type="dxa"/>
            <w:vAlign w:val="bottom"/>
          </w:tcPr>
          <w:p>
            <w:pPr>
              <w:spacing w:after="0"/>
              <w:rPr>
                <w:sz w:val="1"/>
                <w:szCs w:val="1"/>
                <w:color w:val="auto"/>
              </w:rPr>
            </w:pPr>
          </w:p>
        </w:tc>
      </w:tr>
      <w:tr>
        <w:trPr>
          <w:trHeight w:val="358"/>
        </w:trPr>
        <w:tc>
          <w:tcPr>
            <w:tcW w:w="5120" w:type="dxa"/>
            <w:vAlign w:val="bottom"/>
            <w:tcBorders>
              <w:bottom w:val="single" w:sz="8" w:color="0000EE"/>
            </w:tcBorders>
            <w:gridSpan w:val="4"/>
          </w:tcPr>
          <w:p>
            <w:pPr>
              <w:spacing w:after="0"/>
              <w:rPr>
                <w:rFonts w:ascii="Arial" w:cs="Arial" w:eastAsia="Arial" w:hAnsi="Arial"/>
                <w:sz w:val="20"/>
                <w:szCs w:val="20"/>
                <w:color w:val="0000EE"/>
                <w:w w:val="87"/>
              </w:rPr>
            </w:pPr>
            <w:hyperlink w:anchor="page75">
              <w:r>
                <w:rPr>
                  <w:rFonts w:ascii="Arial" w:cs="Arial" w:eastAsia="Arial" w:hAnsi="Arial"/>
                  <w:sz w:val="20"/>
                  <w:szCs w:val="20"/>
                  <w:color w:val="0000EE"/>
                  <w:w w:val="87"/>
                </w:rPr>
                <w:t>Consolidated Balance Sheets as of December 31, 2019 and 2018</w:t>
              </w:r>
            </w:hyperlink>
          </w:p>
        </w:tc>
        <w:tc>
          <w:tcPr>
            <w:tcW w:w="4400" w:type="dxa"/>
            <w:vAlign w:val="bottom"/>
            <w:gridSpan w:val="6"/>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20"/>
                <w:szCs w:val="20"/>
                <w:color w:val="auto"/>
                <w:w w:val="80"/>
              </w:rPr>
              <w:t>75</w:t>
            </w:r>
          </w:p>
        </w:tc>
        <w:tc>
          <w:tcPr>
            <w:tcW w:w="0" w:type="dxa"/>
            <w:vAlign w:val="bottom"/>
          </w:tcPr>
          <w:p>
            <w:pPr>
              <w:spacing w:after="0"/>
              <w:rPr>
                <w:sz w:val="1"/>
                <w:szCs w:val="1"/>
                <w:color w:val="auto"/>
              </w:rPr>
            </w:pPr>
          </w:p>
        </w:tc>
      </w:tr>
      <w:tr>
        <w:trPr>
          <w:trHeight w:val="358"/>
        </w:trPr>
        <w:tc>
          <w:tcPr>
            <w:tcW w:w="7260" w:type="dxa"/>
            <w:vAlign w:val="bottom"/>
            <w:tcBorders>
              <w:bottom w:val="single" w:sz="8" w:color="0000EE"/>
            </w:tcBorders>
            <w:gridSpan w:val="5"/>
          </w:tcPr>
          <w:p>
            <w:pPr>
              <w:spacing w:after="0"/>
              <w:rPr>
                <w:rFonts w:ascii="Arial" w:cs="Arial" w:eastAsia="Arial" w:hAnsi="Arial"/>
                <w:sz w:val="20"/>
                <w:szCs w:val="20"/>
                <w:color w:val="0000EE"/>
                <w:w w:val="88"/>
              </w:rPr>
            </w:pPr>
            <w:hyperlink w:anchor="page76">
              <w:r>
                <w:rPr>
                  <w:rFonts w:ascii="Arial" w:cs="Arial" w:eastAsia="Arial" w:hAnsi="Arial"/>
                  <w:sz w:val="20"/>
                  <w:szCs w:val="20"/>
                  <w:color w:val="0000EE"/>
                  <w:w w:val="88"/>
                </w:rPr>
                <w:t>Consolidated Statements of Income for the years ended December 31, 2019, 2018 and 2017</w:t>
              </w:r>
            </w:hyperlink>
          </w:p>
        </w:tc>
        <w:tc>
          <w:tcPr>
            <w:tcW w:w="2260" w:type="dxa"/>
            <w:vAlign w:val="bottom"/>
            <w:gridSpan w:val="5"/>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20"/>
                <w:szCs w:val="20"/>
                <w:color w:val="auto"/>
                <w:w w:val="80"/>
              </w:rPr>
              <w:t>76</w:t>
            </w:r>
          </w:p>
        </w:tc>
        <w:tc>
          <w:tcPr>
            <w:tcW w:w="0" w:type="dxa"/>
            <w:vAlign w:val="bottom"/>
          </w:tcPr>
          <w:p>
            <w:pPr>
              <w:spacing w:after="0"/>
              <w:rPr>
                <w:sz w:val="1"/>
                <w:szCs w:val="1"/>
                <w:color w:val="auto"/>
              </w:rPr>
            </w:pPr>
          </w:p>
        </w:tc>
      </w:tr>
      <w:tr>
        <w:trPr>
          <w:trHeight w:val="358"/>
        </w:trPr>
        <w:tc>
          <w:tcPr>
            <w:tcW w:w="856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77">
              <w:r>
                <w:rPr>
                  <w:rFonts w:ascii="Arial" w:cs="Arial" w:eastAsia="Arial" w:hAnsi="Arial"/>
                  <w:sz w:val="20"/>
                  <w:szCs w:val="20"/>
                  <w:color w:val="0000EE"/>
                  <w:w w:val="88"/>
                </w:rPr>
                <w:t>Consolidated Statements of Comprehensive Income for the years ended December 31, 2019, 2018 and 2017</w:t>
              </w:r>
            </w:hyperlink>
          </w:p>
        </w:tc>
        <w:tc>
          <w:tcPr>
            <w:tcW w:w="96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20"/>
                <w:szCs w:val="20"/>
                <w:color w:val="auto"/>
                <w:w w:val="80"/>
              </w:rPr>
              <w:t>77</w:t>
            </w:r>
          </w:p>
        </w:tc>
        <w:tc>
          <w:tcPr>
            <w:tcW w:w="0" w:type="dxa"/>
            <w:vAlign w:val="bottom"/>
          </w:tcPr>
          <w:p>
            <w:pPr>
              <w:spacing w:after="0"/>
              <w:rPr>
                <w:sz w:val="1"/>
                <w:szCs w:val="1"/>
                <w:color w:val="auto"/>
              </w:rPr>
            </w:pPr>
          </w:p>
        </w:tc>
      </w:tr>
      <w:tr>
        <w:trPr>
          <w:trHeight w:val="358"/>
        </w:trPr>
        <w:tc>
          <w:tcPr>
            <w:tcW w:w="9520" w:type="dxa"/>
            <w:vAlign w:val="bottom"/>
            <w:gridSpan w:val="10"/>
          </w:tcPr>
          <w:p>
            <w:pPr>
              <w:spacing w:after="0"/>
              <w:rPr>
                <w:rFonts w:ascii="Arial" w:cs="Arial" w:eastAsia="Arial" w:hAnsi="Arial"/>
                <w:sz w:val="20"/>
                <w:szCs w:val="20"/>
                <w:color w:val="0000EE"/>
              </w:rPr>
            </w:pPr>
            <w:hyperlink w:anchor="page78">
              <w:r>
                <w:rPr>
                  <w:rFonts w:ascii="Arial" w:cs="Arial" w:eastAsia="Arial" w:hAnsi="Arial"/>
                  <w:sz w:val="20"/>
                  <w:szCs w:val="20"/>
                  <w:color w:val="0000EE"/>
                </w:rPr>
                <w:t>Consolidated Statements of Stockholders’ Equity for the years ended December 31, 2019, 2018 and 2017</w:t>
              </w:r>
            </w:hyperlink>
          </w:p>
        </w:tc>
        <w:tc>
          <w:tcPr>
            <w:tcW w:w="540" w:type="dxa"/>
            <w:vAlign w:val="bottom"/>
          </w:tcPr>
          <w:p>
            <w:pPr>
              <w:jc w:val="center"/>
              <w:spacing w:after="0"/>
              <w:rPr>
                <w:sz w:val="20"/>
                <w:szCs w:val="20"/>
                <w:color w:val="auto"/>
              </w:rPr>
            </w:pPr>
            <w:r>
              <w:rPr>
                <w:rFonts w:ascii="Arial" w:cs="Arial" w:eastAsia="Arial" w:hAnsi="Arial"/>
                <w:sz w:val="20"/>
                <w:szCs w:val="20"/>
                <w:color w:val="auto"/>
                <w:w w:val="80"/>
              </w:rPr>
              <w:t>78</w:t>
            </w:r>
          </w:p>
        </w:tc>
        <w:tc>
          <w:tcPr>
            <w:tcW w:w="0" w:type="dxa"/>
            <w:vAlign w:val="bottom"/>
          </w:tcPr>
          <w:p>
            <w:pPr>
              <w:spacing w:after="0"/>
              <w:rPr>
                <w:sz w:val="1"/>
                <w:szCs w:val="1"/>
                <w:color w:val="auto"/>
              </w:rPr>
            </w:pPr>
          </w:p>
        </w:tc>
      </w:tr>
      <w:tr>
        <w:trPr>
          <w:trHeight w:val="358"/>
        </w:trPr>
        <w:tc>
          <w:tcPr>
            <w:tcW w:w="7600" w:type="dxa"/>
            <w:vAlign w:val="bottom"/>
            <w:tcBorders>
              <w:top w:val="single" w:sz="8" w:color="0000EE"/>
              <w:bottom w:val="single" w:sz="8" w:color="0000EE"/>
            </w:tcBorders>
            <w:gridSpan w:val="6"/>
          </w:tcPr>
          <w:p>
            <w:pPr>
              <w:spacing w:after="0"/>
              <w:rPr>
                <w:rFonts w:ascii="Arial" w:cs="Arial" w:eastAsia="Arial" w:hAnsi="Arial"/>
                <w:sz w:val="20"/>
                <w:szCs w:val="20"/>
                <w:color w:val="0000EE"/>
                <w:w w:val="88"/>
              </w:rPr>
            </w:pPr>
            <w:hyperlink w:anchor="page79">
              <w:r>
                <w:rPr>
                  <w:rFonts w:ascii="Arial" w:cs="Arial" w:eastAsia="Arial" w:hAnsi="Arial"/>
                  <w:sz w:val="20"/>
                  <w:szCs w:val="20"/>
                  <w:color w:val="0000EE"/>
                  <w:w w:val="88"/>
                </w:rPr>
                <w:t>Consolidated Statements of Cash Flows for the years ended December 31, 2019, 2018 and 2017</w:t>
              </w:r>
            </w:hyperlink>
          </w:p>
        </w:tc>
        <w:tc>
          <w:tcPr>
            <w:tcW w:w="740" w:type="dxa"/>
            <w:vAlign w:val="bottom"/>
            <w:tcBorders>
              <w:top w:val="single" w:sz="8" w:color="0000EE"/>
            </w:tcBorders>
          </w:tcPr>
          <w:p>
            <w:pPr>
              <w:spacing w:after="0"/>
              <w:rPr>
                <w:sz w:val="24"/>
                <w:szCs w:val="24"/>
                <w:color w:val="auto"/>
              </w:rPr>
            </w:pPr>
          </w:p>
        </w:tc>
        <w:tc>
          <w:tcPr>
            <w:tcW w:w="1180" w:type="dxa"/>
            <w:vAlign w:val="bottom"/>
            <w:gridSpan w:val="3"/>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20"/>
                <w:szCs w:val="20"/>
                <w:color w:val="auto"/>
                <w:w w:val="80"/>
              </w:rPr>
              <w:t>79</w:t>
            </w:r>
          </w:p>
        </w:tc>
        <w:tc>
          <w:tcPr>
            <w:tcW w:w="0" w:type="dxa"/>
            <w:vAlign w:val="bottom"/>
          </w:tcPr>
          <w:p>
            <w:pPr>
              <w:spacing w:after="0"/>
              <w:rPr>
                <w:sz w:val="1"/>
                <w:szCs w:val="1"/>
                <w:color w:val="auto"/>
              </w:rPr>
            </w:pPr>
          </w:p>
        </w:tc>
      </w:tr>
      <w:tr>
        <w:trPr>
          <w:trHeight w:val="358"/>
        </w:trPr>
        <w:tc>
          <w:tcPr>
            <w:tcW w:w="9520" w:type="dxa"/>
            <w:vAlign w:val="bottom"/>
            <w:gridSpan w:val="10"/>
          </w:tcPr>
          <w:p>
            <w:pPr>
              <w:spacing w:after="0"/>
              <w:rPr>
                <w:rFonts w:ascii="Arial" w:cs="Arial" w:eastAsia="Arial" w:hAnsi="Arial"/>
                <w:sz w:val="20"/>
                <w:szCs w:val="20"/>
                <w:color w:val="0000EE"/>
              </w:rPr>
            </w:pPr>
            <w:hyperlink w:anchor="page81">
              <w:r>
                <w:rPr>
                  <w:rFonts w:ascii="Arial" w:cs="Arial" w:eastAsia="Arial" w:hAnsi="Arial"/>
                  <w:sz w:val="20"/>
                  <w:szCs w:val="20"/>
                  <w:color w:val="0000EE"/>
                </w:rPr>
                <w:t>Notes to Consolidated Financial Statements</w:t>
              </w:r>
            </w:hyperlink>
          </w:p>
        </w:tc>
        <w:tc>
          <w:tcPr>
            <w:tcW w:w="540" w:type="dxa"/>
            <w:vAlign w:val="bottom"/>
          </w:tcPr>
          <w:p>
            <w:pPr>
              <w:jc w:val="center"/>
              <w:spacing w:after="0"/>
              <w:rPr>
                <w:sz w:val="20"/>
                <w:szCs w:val="20"/>
                <w:color w:val="auto"/>
              </w:rPr>
            </w:pPr>
            <w:r>
              <w:rPr>
                <w:rFonts w:ascii="Arial" w:cs="Arial" w:eastAsia="Arial" w:hAnsi="Arial"/>
                <w:sz w:val="20"/>
                <w:szCs w:val="20"/>
                <w:color w:val="auto"/>
                <w:w w:val="80"/>
              </w:rPr>
              <w:t>81</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20" w:type="dxa"/>
            <w:vAlign w:val="bottom"/>
            <w:gridSpan w:val="10"/>
          </w:tcPr>
          <w:p>
            <w:pPr>
              <w:spacing w:after="0"/>
              <w:rPr>
                <w:rFonts w:ascii="Arial" w:cs="Arial" w:eastAsia="Arial" w:hAnsi="Arial"/>
                <w:sz w:val="20"/>
                <w:szCs w:val="20"/>
                <w:color w:val="0000EE"/>
                <w:w w:val="90"/>
              </w:rPr>
            </w:pPr>
            <w:hyperlink w:anchor="page118">
              <w:r>
                <w:rPr>
                  <w:rFonts w:ascii="Arial" w:cs="Arial" w:eastAsia="Arial" w:hAnsi="Arial"/>
                  <w:sz w:val="20"/>
                  <w:szCs w:val="20"/>
                  <w:color w:val="0000EE"/>
                  <w:w w:val="90"/>
                </w:rPr>
                <w:t>Financial Statement Schedule – Valuation and Qualifying Accounts for the years ended December 31, 2019, 2018 and</w:t>
              </w:r>
            </w:hyperlink>
          </w:p>
        </w:tc>
        <w:tc>
          <w:tcPr>
            <w:tcW w:w="540" w:type="dxa"/>
            <w:vAlign w:val="bottom"/>
          </w:tcPr>
          <w:p>
            <w:pPr>
              <w:jc w:val="center"/>
              <w:spacing w:after="0"/>
              <w:rPr>
                <w:sz w:val="20"/>
                <w:szCs w:val="20"/>
                <w:color w:val="auto"/>
              </w:rPr>
            </w:pPr>
            <w:r>
              <w:rPr>
                <w:rFonts w:ascii="Arial" w:cs="Arial" w:eastAsia="Arial" w:hAnsi="Arial"/>
                <w:sz w:val="20"/>
                <w:szCs w:val="20"/>
                <w:color w:val="auto"/>
                <w:w w:val="89"/>
              </w:rPr>
              <w:t>118</w:t>
            </w:r>
          </w:p>
        </w:tc>
        <w:tc>
          <w:tcPr>
            <w:tcW w:w="0" w:type="dxa"/>
            <w:vAlign w:val="bottom"/>
          </w:tcPr>
          <w:p>
            <w:pPr>
              <w:spacing w:after="0"/>
              <w:rPr>
                <w:sz w:val="1"/>
                <w:szCs w:val="1"/>
                <w:color w:val="auto"/>
              </w:rPr>
            </w:pPr>
          </w:p>
        </w:tc>
      </w:tr>
      <w:tr>
        <w:trPr>
          <w:trHeight w:val="210"/>
        </w:trPr>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118">
              <w:r>
                <w:rPr>
                  <w:rFonts w:ascii="Arial" w:cs="Arial" w:eastAsia="Arial" w:hAnsi="Arial"/>
                  <w:sz w:val="20"/>
                  <w:szCs w:val="20"/>
                  <w:color w:val="0000EE"/>
                  <w:w w:val="85"/>
                </w:rPr>
                <w:t>2017</w:t>
              </w:r>
            </w:hyperlink>
          </w:p>
        </w:tc>
        <w:tc>
          <w:tcPr>
            <w:tcW w:w="30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have audited the accompanying consolidated balance sheets of Monster Beverage Corporation and subsidiaries (the “Company”) as of December 31, 2019 and 2018, the related consolidated statements of income, comprehensive income, stockholders’ equity and cash flows, for each of the three years in the period ended December 31, 2019, and the related notes and the schedule listed in the Index at Item 15(a)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20"/>
          <w:szCs w:val="20"/>
          <w:i w:val="1"/>
          <w:iCs w:val="1"/>
          <w:color w:val="auto"/>
        </w:rPr>
        <w:t>Internal Control–Integrated Framework (2013)</w:t>
      </w:r>
      <w:r>
        <w:rPr>
          <w:rFonts w:ascii="Arial" w:cs="Arial" w:eastAsia="Arial" w:hAnsi="Arial"/>
          <w:sz w:val="20"/>
          <w:szCs w:val="20"/>
          <w:color w:val="auto"/>
        </w:rPr>
        <w:t xml:space="preserve"> issued by the Committee of Sponsoring Organizations of the Treadway Commission and our report dated February 28, 2020, expressed an unqualified opinion on the Company’s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Accrued Promotional Allowances — Refer to Note 2 to the financial statements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Critical Audit Matter Description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Company’s promotional and other allowances are calculated based on various programs with its bottlers/distributors and retail customers, and accruals are established during the year for its anticipated liabilities. These accruals are based on agreed-upon terms as well as the Company’s historical experience with similar programs and require management’s judgment with respect to estimating consumer participation and/or distributor and retail customer performance levels. Promotional and other allowances primarily include consideration given to bottlers/distributors or retail customers, including, but not limited to, the following: (i) discounts granted off list prices to support price promotions to end consumers by retailers; (ii) reimbursements given to bottlers/distributors for agreed portions of their promotional spend with retailers, including slotting, shelf space allowances, and other fees for both new and existing products; (iii) agreed share of fees given to bottlers/distributors and/or directly to retailers for advertising, in-store marketing, and promotional activities; (iv) agreed share of slotting, shelf space allowances, and other fees given directly to retailers, club stores and/or wholesalers; (v) incentives given to bottlers/distributors and/or retailers for achieving or exceeding certain predetermined sales goals; (vi) discounted or free products; (vii) contractual fees given to bottlers/distributors related to sales made by the Company directly to certain customers that fall within the bottlers’/distributors’ sales territories; and (viii) certain commissions paid based on sales to bottlers/distributors. The length of promotional programs can vary from as little as one day, for one-time events, to as long as one year based on the agreed-upon terms. The nature of such programs is determined on a per retail customer basis, and in certain instances, the same program is set for multiple retail customers. The promotional expenditures are recorded as a reduction to net sales in the period the underlying sale occurs. Total promotional expenditures included as a reduction to net sales were $666.9 million for the year ended December 31, 2019, and accrued promotional allowances were $166.8 million as of December 31, 2019.</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identified accrued promotional allowances as a critical audit matter because of the extent and subjective nature of management judgment required with respect to estimating consumer participation and/or distributor and retail customer performance levels and future promotional claims.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audit procedures over accrued promotional allowances, with respect to management’s judgment regarding levels of consumer participation and/or distributor and retail customer performance levels and future promotional claims, included the following, among others:</w:t>
      </w:r>
    </w:p>
    <w:p>
      <w:pPr>
        <w:spacing w:after="0" w:line="186" w:lineRule="exact"/>
        <w:rPr>
          <w:sz w:val="20"/>
          <w:szCs w:val="20"/>
          <w:color w:val="auto"/>
        </w:rPr>
      </w:pPr>
    </w:p>
    <w:p>
      <w:pPr>
        <w:ind w:left="1000" w:hanging="326"/>
        <w:spacing w:after="0" w:line="260" w:lineRule="auto"/>
        <w:tabs>
          <w:tab w:leader="none" w:pos="10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tested the effectiveness of controls over accrued promotional allowances, including those controls pertaining to management’s estimation of future promotional claims.</w:t>
      </w:r>
    </w:p>
    <w:p>
      <w:pPr>
        <w:spacing w:after="0" w:line="176" w:lineRule="exact"/>
        <w:rPr>
          <w:rFonts w:ascii="Arial" w:cs="Arial" w:eastAsia="Arial" w:hAnsi="Arial"/>
          <w:sz w:val="20"/>
          <w:szCs w:val="20"/>
          <w:color w:val="auto"/>
        </w:rPr>
      </w:pPr>
    </w:p>
    <w:p>
      <w:pPr>
        <w:jc w:val="both"/>
        <w:ind w:left="1000" w:hanging="326"/>
        <w:spacing w:after="0" w:line="243" w:lineRule="auto"/>
        <w:tabs>
          <w:tab w:leader="none" w:pos="10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selected a sample of accrued promotional allowances recorded for specific distributors and retail customers and sent confirmation requests of the accrual recorded and key terms of the agreement directly to the distributor or retail customer. We compared the confirmation response to the accrued amount recorded by the Company. In instances of nonreplies to our confirmation request from the distributor or retail customer, we performed alternative procedures as follows: (1) developing an expectation of the accrual using current-year claim and payment data, and/or (2) vouching known claim submissions, unpaid as of period-end, to underlying supporting documentation.</w:t>
      </w:r>
    </w:p>
    <w:p>
      <w:pPr>
        <w:spacing w:after="0" w:line="193" w:lineRule="exact"/>
        <w:rPr>
          <w:rFonts w:ascii="Arial" w:cs="Arial" w:eastAsia="Arial" w:hAnsi="Arial"/>
          <w:sz w:val="20"/>
          <w:szCs w:val="20"/>
          <w:color w:val="auto"/>
        </w:rPr>
      </w:pPr>
    </w:p>
    <w:p>
      <w:pPr>
        <w:jc w:val="both"/>
        <w:ind w:left="1000" w:hanging="326"/>
        <w:spacing w:after="0" w:line="246" w:lineRule="auto"/>
        <w:tabs>
          <w:tab w:leader="none" w:pos="100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We tested the promotional expenditure amount recorded as a reduction to net sales and assessed the reasonableness of management’s estimate by developing an expectation of the amount, based on historical promotional expenditure amounts recorded as a percentage of sales, and compared our expectation to the recorded promotional expenditure amount.</w:t>
      </w:r>
    </w:p>
    <w:p>
      <w:pPr>
        <w:spacing w:after="0" w:line="191" w:lineRule="exact"/>
        <w:rPr>
          <w:rFonts w:ascii="Arial" w:cs="Arial" w:eastAsia="Arial" w:hAnsi="Arial"/>
          <w:sz w:val="20"/>
          <w:szCs w:val="20"/>
          <w:color w:val="auto"/>
        </w:rPr>
      </w:pPr>
    </w:p>
    <w:p>
      <w:pPr>
        <w:jc w:val="both"/>
        <w:ind w:left="1000" w:hanging="326"/>
        <w:spacing w:after="0" w:line="291"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performed inquiries with the Company’s sales and marketing personnel to corroborate our understanding of new and existing promotional programs that may alter the relationship between gross sales and promotional allowances, as such programs are considered by management when estimating future promotional claims.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000" w:hanging="326"/>
        <w:spacing w:after="0" w:line="260" w:lineRule="auto"/>
        <w:tabs>
          <w:tab w:leader="none" w:pos="1000" w:val="left"/>
        </w:tabs>
        <w:numPr>
          <w:ilvl w:val="0"/>
          <w:numId w:val="39"/>
        </w:numPr>
        <w:rPr>
          <w:rFonts w:ascii="Arial" w:cs="Arial" w:eastAsia="Arial" w:hAnsi="Arial"/>
          <w:sz w:val="20"/>
          <w:szCs w:val="20"/>
          <w:color w:val="auto"/>
        </w:rPr>
      </w:pPr>
      <w:r>
        <w:rPr>
          <w:rFonts w:ascii="Arial" w:cs="Arial" w:eastAsia="Arial" w:hAnsi="Arial"/>
          <w:sz w:val="20"/>
          <w:szCs w:val="20"/>
          <w:color w:val="auto"/>
        </w:rPr>
        <w:t>We evaluated management’s ability to estimate promotional allowances by comparing the actual promotional allowances subsequently paid to the original estimates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2020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2019 AND 2018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2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620" w:type="dxa"/>
            <w:vAlign w:val="bottom"/>
            <w:vMerge w:val="restart"/>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480" w:type="dxa"/>
            <w:vAlign w:val="bottom"/>
            <w:gridSpan w:val="2"/>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61"/>
        </w:trPr>
        <w:tc>
          <w:tcPr>
            <w:tcW w:w="16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34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44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797,957</w:t>
            </w:r>
          </w:p>
        </w:tc>
        <w:tc>
          <w:tcPr>
            <w:tcW w:w="2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637,513</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533,063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320,650</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540,330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484,562</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360,731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277,705</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30"/>
        </w:trPr>
        <w:tc>
          <w:tcPr>
            <w:tcW w:w="7440" w:type="dxa"/>
            <w:vAlign w:val="bottom"/>
            <w:gridSpan w:val="5"/>
          </w:tcPr>
          <w:p>
            <w:pPr>
              <w:spacing w:after="0"/>
              <w:rPr>
                <w:sz w:val="20"/>
                <w:szCs w:val="20"/>
                <w:color w:val="auto"/>
              </w:rPr>
            </w:pPr>
            <w:r>
              <w:rPr>
                <w:rFonts w:ascii="Arial" w:cs="Arial" w:eastAsia="Arial" w:hAnsi="Arial"/>
                <w:sz w:val="18"/>
                <w:szCs w:val="18"/>
                <w:color w:val="auto"/>
              </w:rPr>
              <w:t>Prepaid income taxes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38,831</w:t>
            </w:r>
          </w:p>
        </w:tc>
        <w:tc>
          <w:tcPr>
            <w:tcW w:w="0" w:type="dxa"/>
            <w:vAlign w:val="bottom"/>
          </w:tcPr>
          <w:p>
            <w:pPr>
              <w:spacing w:after="0"/>
              <w:rPr>
                <w:sz w:val="1"/>
                <w:szCs w:val="1"/>
                <w:color w:val="auto"/>
              </w:rPr>
            </w:pPr>
          </w:p>
        </w:tc>
      </w:tr>
      <w:tr>
        <w:trPr>
          <w:trHeight w:val="224"/>
        </w:trPr>
        <w:tc>
          <w:tcPr>
            <w:tcW w:w="7440" w:type="dxa"/>
            <w:vAlign w:val="bottom"/>
            <w:gridSpan w:val="5"/>
          </w:tcPr>
          <w:p>
            <w:pPr>
              <w:ind w:left="12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2,316,309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1,804,170</w:t>
            </w:r>
          </w:p>
        </w:tc>
        <w:tc>
          <w:tcPr>
            <w:tcW w:w="0" w:type="dxa"/>
            <w:vAlign w:val="bottom"/>
          </w:tcPr>
          <w:p>
            <w:pPr>
              <w:spacing w:after="0"/>
              <w:rPr>
                <w:sz w:val="1"/>
                <w:szCs w:val="1"/>
                <w:color w:val="auto"/>
              </w:rPr>
            </w:pPr>
          </w:p>
        </w:tc>
      </w:tr>
      <w:tr>
        <w:trPr>
          <w:trHeight w:val="404"/>
        </w:trPr>
        <w:tc>
          <w:tcPr>
            <w:tcW w:w="7440" w:type="dxa"/>
            <w:vAlign w:val="bottom"/>
            <w:gridSpan w:val="5"/>
          </w:tcPr>
          <w:p>
            <w:pPr>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12,905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298,640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243,051</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85,687</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1,331,643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1,331,643</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1,052,105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1,045,878</w:t>
            </w:r>
          </w:p>
        </w:tc>
        <w:tc>
          <w:tcPr>
            <w:tcW w:w="0" w:type="dxa"/>
            <w:vAlign w:val="bottom"/>
          </w:tcPr>
          <w:p>
            <w:pPr>
              <w:spacing w:after="0"/>
              <w:rPr>
                <w:sz w:val="1"/>
                <w:szCs w:val="1"/>
                <w:color w:val="auto"/>
              </w:rPr>
            </w:pPr>
          </w:p>
        </w:tc>
      </w:tr>
      <w:tr>
        <w:trPr>
          <w:trHeight w:val="230"/>
        </w:trPr>
        <w:tc>
          <w:tcPr>
            <w:tcW w:w="744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53,973</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16,462</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5780" w:type="dxa"/>
            <w:vAlign w:val="bottom"/>
            <w:gridSpan w:val="4"/>
          </w:tcPr>
          <w:p>
            <w:pPr>
              <w:jc w:val="center"/>
              <w:ind w:right="1860"/>
              <w:spacing w:after="0"/>
              <w:rPr>
                <w:sz w:val="20"/>
                <w:szCs w:val="20"/>
                <w:color w:val="auto"/>
              </w:rPr>
            </w:pPr>
            <w:r>
              <w:rPr>
                <w:rFonts w:ascii="Arial" w:cs="Arial" w:eastAsia="Arial" w:hAnsi="Arial"/>
                <w:sz w:val="18"/>
                <w:szCs w:val="18"/>
                <w:b w:val="1"/>
                <w:bCs w:val="1"/>
                <w:color w:val="auto"/>
                <w:w w:val="85"/>
              </w:rPr>
              <w:t>Total Assets</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5,150,352</w:t>
            </w:r>
          </w:p>
        </w:tc>
        <w:tc>
          <w:tcPr>
            <w:tcW w:w="220" w:type="dxa"/>
            <w:vAlign w:val="bottom"/>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4,526,891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92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 EQUITY</w:t>
            </w:r>
          </w:p>
        </w:tc>
        <w:tc>
          <w:tcPr>
            <w:tcW w:w="18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660" w:type="dxa"/>
            <w:vAlign w:val="bottom"/>
          </w:tcPr>
          <w:p>
            <w:pPr>
              <w:spacing w:after="0"/>
              <w:rPr>
                <w:sz w:val="24"/>
                <w:szCs w:val="24"/>
                <w:color w:val="auto"/>
              </w:rPr>
            </w:pPr>
          </w:p>
        </w:tc>
        <w:tc>
          <w:tcPr>
            <w:tcW w:w="3920" w:type="dxa"/>
            <w:vAlign w:val="bottom"/>
            <w:tcBorders>
              <w:bottom w:val="single" w:sz="8" w:color="auto"/>
            </w:tcBorders>
            <w:gridSpan w:val="3"/>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4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274,045</w:t>
            </w:r>
          </w:p>
        </w:tc>
        <w:tc>
          <w:tcPr>
            <w:tcW w:w="22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248,760</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114,075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112,507</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Accrued promotional allowances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166,761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145,741</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44,045</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39,903</w:t>
            </w:r>
          </w:p>
        </w:tc>
        <w:tc>
          <w:tcPr>
            <w:tcW w:w="0" w:type="dxa"/>
            <w:vAlign w:val="bottom"/>
          </w:tcPr>
          <w:p>
            <w:pPr>
              <w:spacing w:after="0"/>
              <w:rPr>
                <w:sz w:val="1"/>
                <w:szCs w:val="1"/>
                <w:color w:val="auto"/>
              </w:rPr>
            </w:pPr>
          </w:p>
        </w:tc>
      </w:tr>
      <w:tr>
        <w:trPr>
          <w:trHeight w:val="230"/>
        </w:trPr>
        <w:tc>
          <w:tcPr>
            <w:tcW w:w="744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0" w:type="dxa"/>
            <w:vAlign w:val="bottom"/>
          </w:tcPr>
          <w:p>
            <w:pPr>
              <w:spacing w:after="0"/>
              <w:rPr>
                <w:sz w:val="1"/>
                <w:szCs w:val="1"/>
                <w:color w:val="auto"/>
              </w:rPr>
            </w:pPr>
          </w:p>
        </w:tc>
      </w:tr>
      <w:tr>
        <w:trPr>
          <w:trHeight w:val="224"/>
        </w:trPr>
        <w:tc>
          <w:tcPr>
            <w:tcW w:w="7440" w:type="dxa"/>
            <w:vAlign w:val="bottom"/>
            <w:gridSpan w:val="5"/>
          </w:tcPr>
          <w:p>
            <w:pPr>
              <w:ind w:left="1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661,097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601,145</w:t>
            </w:r>
          </w:p>
        </w:tc>
        <w:tc>
          <w:tcPr>
            <w:tcW w:w="0" w:type="dxa"/>
            <w:vAlign w:val="bottom"/>
          </w:tcPr>
          <w:p>
            <w:pPr>
              <w:spacing w:after="0"/>
              <w:rPr>
                <w:sz w:val="1"/>
                <w:szCs w:val="1"/>
                <w:color w:val="auto"/>
              </w:rPr>
            </w:pPr>
          </w:p>
        </w:tc>
      </w:tr>
      <w:tr>
        <w:trPr>
          <w:trHeight w:val="418"/>
        </w:trPr>
        <w:tc>
          <w:tcPr>
            <w:tcW w:w="7440" w:type="dxa"/>
            <w:vAlign w:val="bottom"/>
            <w:gridSpan w:val="5"/>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287,469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312,224</w:t>
            </w:r>
          </w:p>
        </w:tc>
        <w:tc>
          <w:tcPr>
            <w:tcW w:w="0" w:type="dxa"/>
            <w:vAlign w:val="bottom"/>
          </w:tcPr>
          <w:p>
            <w:pPr>
              <w:spacing w:after="0"/>
              <w:rPr>
                <w:sz w:val="1"/>
                <w:szCs w:val="1"/>
                <w:color w:val="auto"/>
              </w:rPr>
            </w:pPr>
          </w:p>
        </w:tc>
      </w:tr>
      <w:tr>
        <w:trPr>
          <w:trHeight w:val="432"/>
        </w:trPr>
        <w:tc>
          <w:tcPr>
            <w:tcW w:w="744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432"/>
        </w:trPr>
        <w:tc>
          <w:tcPr>
            <w:tcW w:w="7440" w:type="dxa"/>
            <w:vAlign w:val="bottom"/>
            <w:gridSpan w:val="5"/>
          </w:tcPr>
          <w:p>
            <w:pPr>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40" w:type="dxa"/>
            <w:vAlign w:val="bottom"/>
            <w:gridSpan w:val="5"/>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Common stock - $0.005 par value; 1,250,000 shares authorized;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5"/>
          </w:tcPr>
          <w:p>
            <w:pPr>
              <w:ind w:left="120"/>
              <w:spacing w:after="0"/>
              <w:rPr>
                <w:sz w:val="20"/>
                <w:szCs w:val="20"/>
                <w:color w:val="auto"/>
              </w:rPr>
            </w:pPr>
            <w:r>
              <w:rPr>
                <w:rFonts w:ascii="Arial" w:cs="Arial" w:eastAsia="Arial" w:hAnsi="Arial"/>
                <w:sz w:val="18"/>
                <w:szCs w:val="18"/>
                <w:color w:val="auto"/>
              </w:rPr>
              <w:t>636,460 shares issued and 536,698 shares outstanding as of December 31, 2019;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5"/>
          </w:tcPr>
          <w:p>
            <w:pPr>
              <w:ind w:left="120"/>
              <w:spacing w:after="0"/>
              <w:rPr>
                <w:sz w:val="20"/>
                <w:szCs w:val="20"/>
                <w:color w:val="auto"/>
              </w:rPr>
            </w:pPr>
            <w:r>
              <w:rPr>
                <w:rFonts w:ascii="Arial" w:cs="Arial" w:eastAsia="Arial" w:hAnsi="Arial"/>
                <w:sz w:val="18"/>
                <w:szCs w:val="18"/>
                <w:color w:val="auto"/>
              </w:rPr>
              <w:t>630,970 shares issued and 543,676 shares outstanding as of December 31, 2018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4,397,511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4,238,170</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5,022,480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3,914,645</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(32,387)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16"/>
        </w:trPr>
        <w:tc>
          <w:tcPr>
            <w:tcW w:w="7440" w:type="dxa"/>
            <w:vAlign w:val="bottom"/>
            <w:gridSpan w:val="5"/>
          </w:tcPr>
          <w:p>
            <w:pPr>
              <w:spacing w:after="0"/>
              <w:rPr>
                <w:sz w:val="20"/>
                <w:szCs w:val="20"/>
                <w:color w:val="auto"/>
              </w:rPr>
            </w:pPr>
            <w:r>
              <w:rPr>
                <w:rFonts w:ascii="Arial" w:cs="Arial" w:eastAsia="Arial" w:hAnsi="Arial"/>
                <w:sz w:val="18"/>
                <w:szCs w:val="18"/>
                <w:color w:val="auto"/>
              </w:rPr>
              <w:t>Common stock in treasury, at cost; 99,762 and 87,294 shares as of December 31, 2019 and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5"/>
          </w:tcPr>
          <w:p>
            <w:pPr>
              <w:ind w:left="140"/>
              <w:spacing w:after="0"/>
              <w:rPr>
                <w:sz w:val="20"/>
                <w:szCs w:val="20"/>
                <w:color w:val="auto"/>
              </w:rPr>
            </w:pPr>
            <w:r>
              <w:rPr>
                <w:rFonts w:ascii="Arial" w:cs="Arial" w:eastAsia="Arial" w:hAnsi="Arial"/>
                <w:sz w:val="18"/>
                <w:szCs w:val="18"/>
                <w:color w:val="auto"/>
              </w:rPr>
              <w:t>December 31, 2018, respectively</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(5,219,505)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(4,512,205)</w:t>
            </w:r>
          </w:p>
        </w:tc>
        <w:tc>
          <w:tcPr>
            <w:tcW w:w="0" w:type="dxa"/>
            <w:vAlign w:val="bottom"/>
          </w:tcPr>
          <w:p>
            <w:pPr>
              <w:spacing w:after="0"/>
              <w:rPr>
                <w:sz w:val="1"/>
                <w:szCs w:val="1"/>
                <w:color w:val="auto"/>
              </w:rPr>
            </w:pPr>
          </w:p>
        </w:tc>
      </w:tr>
      <w:tr>
        <w:trPr>
          <w:trHeight w:val="210"/>
        </w:trPr>
        <w:tc>
          <w:tcPr>
            <w:tcW w:w="7440" w:type="dxa"/>
            <w:vAlign w:val="bottom"/>
            <w:gridSpan w:val="5"/>
          </w:tcPr>
          <w:p>
            <w:pPr>
              <w:ind w:left="1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4,171,281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3,610,901</w:t>
            </w: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578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w w:val="91"/>
              </w:rPr>
              <w:t>Total Liabilities and Stockholders’ Equity</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5,150,352</w:t>
            </w:r>
          </w:p>
        </w:tc>
        <w:tc>
          <w:tcPr>
            <w:tcW w:w="220" w:type="dxa"/>
            <w:vAlign w:val="bottom"/>
          </w:tcPr>
          <w:p>
            <w:pPr>
              <w:spacing w:after="0"/>
              <w:rPr>
                <w:sz w:val="18"/>
                <w:szCs w:val="18"/>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4,526,891</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ectPr>
          <w:pgSz w:w="11900" w:h="16838" w:orient="portrait"/>
          <w:cols w:equalWidth="0" w:num="1">
            <w:col w:w="10060"/>
          </w:cols>
          <w:pgMar w:left="920" w:top="517"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right="4440"/>
        <w:spacing w:after="0" w:line="264" w:lineRule="auto"/>
        <w:rPr>
          <w:sz w:val="20"/>
          <w:szCs w:val="20"/>
          <w:color w:val="auto"/>
        </w:rPr>
      </w:pPr>
      <w:r>
        <w:rPr>
          <w:rFonts w:ascii="Arial" w:cs="Arial" w:eastAsia="Arial" w:hAnsi="Arial"/>
          <w:sz w:val="19"/>
          <w:szCs w:val="19"/>
          <w:b w:val="1"/>
          <w:bCs w:val="1"/>
          <w:color w:val="auto"/>
        </w:rPr>
        <w:t>MONSTER BEVERAGE CORPORATION AND SUBSIDIARIES CONSOLIDATED STATEMENTS OF INCOME</w:t>
      </w:r>
    </w:p>
    <w:p>
      <w:pPr>
        <w:spacing w:after="0" w:line="1" w:lineRule="exact"/>
        <w:rPr>
          <w:sz w:val="20"/>
          <w:szCs w:val="20"/>
          <w:color w:val="auto"/>
        </w:rPr>
      </w:pPr>
    </w:p>
    <w:p>
      <w:pPr>
        <w:ind w:right="4360"/>
        <w:spacing w:after="0" w:line="244" w:lineRule="auto"/>
        <w:rPr>
          <w:sz w:val="20"/>
          <w:szCs w:val="20"/>
          <w:color w:val="auto"/>
        </w:rPr>
      </w:pPr>
      <w:r>
        <w:rPr>
          <w:rFonts w:ascii="Arial" w:cs="Arial" w:eastAsia="Arial" w:hAnsi="Arial"/>
          <w:sz w:val="20"/>
          <w:szCs w:val="20"/>
          <w:b w:val="1"/>
          <w:bCs w:val="1"/>
          <w:color w:val="auto"/>
        </w:rPr>
        <w:t>FOR THE YEARS ENDED DECEMBER 31, 2019, 2018 AND 2017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38873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24"/>
        </w:trPr>
        <w:tc>
          <w:tcPr>
            <w:tcW w:w="648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4,200,819</w:t>
            </w:r>
          </w:p>
        </w:tc>
        <w:tc>
          <w:tcPr>
            <w:tcW w:w="1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3,807,183</w:t>
            </w:r>
          </w:p>
        </w:tc>
        <w:tc>
          <w:tcPr>
            <w:tcW w:w="1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3,369,045</w:t>
            </w:r>
          </w:p>
        </w:tc>
        <w:tc>
          <w:tcPr>
            <w:tcW w:w="0" w:type="dxa"/>
            <w:vAlign w:val="bottom"/>
          </w:tcPr>
          <w:p>
            <w:pPr>
              <w:spacing w:after="0"/>
              <w:rPr>
                <w:sz w:val="1"/>
                <w:szCs w:val="1"/>
                <w:color w:val="auto"/>
              </w:rPr>
            </w:pPr>
          </w:p>
        </w:tc>
      </w:tr>
      <w:tr>
        <w:trPr>
          <w:trHeight w:val="418"/>
        </w:trPr>
        <w:tc>
          <w:tcPr>
            <w:tcW w:w="648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1,682,234</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1,511,808</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1,231,355</w:t>
            </w:r>
          </w:p>
        </w:tc>
        <w:tc>
          <w:tcPr>
            <w:tcW w:w="0" w:type="dxa"/>
            <w:vAlign w:val="bottom"/>
          </w:tcPr>
          <w:p>
            <w:pPr>
              <w:spacing w:after="0"/>
              <w:rPr>
                <w:sz w:val="1"/>
                <w:szCs w:val="1"/>
                <w:color w:val="auto"/>
              </w:rPr>
            </w:pPr>
          </w:p>
        </w:tc>
      </w:tr>
      <w:tr>
        <w:trPr>
          <w:trHeight w:val="426"/>
        </w:trPr>
        <w:tc>
          <w:tcPr>
            <w:tcW w:w="648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2,518,585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2,295,375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2,137,690</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1,115,646</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1,011,756</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938,903</w:t>
            </w:r>
          </w:p>
        </w:tc>
        <w:tc>
          <w:tcPr>
            <w:tcW w:w="0" w:type="dxa"/>
            <w:vAlign w:val="bottom"/>
          </w:tcPr>
          <w:p>
            <w:pPr>
              <w:spacing w:after="0"/>
              <w:rPr>
                <w:sz w:val="1"/>
                <w:szCs w:val="1"/>
                <w:color w:val="auto"/>
              </w:rPr>
            </w:pPr>
          </w:p>
        </w:tc>
      </w:tr>
      <w:tr>
        <w:trPr>
          <w:trHeight w:val="426"/>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1,402,939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1,283,619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1,198,787</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9,653</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426"/>
        </w:trPr>
        <w:tc>
          <w:tcPr>
            <w:tcW w:w="64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1,415,962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1,293,272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1,201,623</w:t>
            </w:r>
          </w:p>
        </w:tc>
        <w:tc>
          <w:tcPr>
            <w:tcW w:w="0" w:type="dxa"/>
            <w:vAlign w:val="bottom"/>
          </w:tcPr>
          <w:p>
            <w:pPr>
              <w:spacing w:after="0"/>
              <w:rPr>
                <w:sz w:val="1"/>
                <w:szCs w:val="1"/>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308,127</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300,268</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380,945</w:t>
            </w:r>
          </w:p>
        </w:tc>
        <w:tc>
          <w:tcPr>
            <w:tcW w:w="0" w:type="dxa"/>
            <w:vAlign w:val="bottom"/>
          </w:tcPr>
          <w:p>
            <w:pPr>
              <w:spacing w:after="0"/>
              <w:rPr>
                <w:sz w:val="1"/>
                <w:szCs w:val="1"/>
                <w:color w:val="auto"/>
              </w:rPr>
            </w:pPr>
          </w:p>
        </w:tc>
      </w:tr>
      <w:tr>
        <w:trPr>
          <w:trHeight w:val="426"/>
        </w:trPr>
        <w:tc>
          <w:tcPr>
            <w:tcW w:w="64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1,107,835</w:t>
            </w:r>
          </w:p>
        </w:tc>
        <w:tc>
          <w:tcPr>
            <w:tcW w:w="1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993,004</w:t>
            </w:r>
          </w:p>
        </w:tc>
        <w:tc>
          <w:tcPr>
            <w:tcW w:w="180" w:type="dxa"/>
            <w:vAlign w:val="bottom"/>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820,678</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 AND</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40"/>
              <w:spacing w:after="0"/>
              <w:rPr>
                <w:sz w:val="20"/>
                <w:szCs w:val="20"/>
                <w:color w:val="auto"/>
              </w:rPr>
            </w:pPr>
            <w:r>
              <w:rPr>
                <w:rFonts w:ascii="Arial" w:cs="Arial" w:eastAsia="Arial" w:hAnsi="Arial"/>
                <w:sz w:val="18"/>
                <w:szCs w:val="18"/>
                <w:color w:val="auto"/>
              </w:rPr>
              <w:t>COMMON STOCK EQUIVALENTS: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542,191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557,166</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566,782</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546,608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564,254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577,141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2019, 2018 AND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vMerge w:val="restart"/>
          </w:tcPr>
          <w:p>
            <w:pPr>
              <w:spacing w:after="0"/>
              <w:rPr>
                <w:sz w:val="20"/>
                <w:szCs w:val="20"/>
                <w:color w:val="auto"/>
              </w:rPr>
            </w:pPr>
            <w:r>
              <w:rPr>
                <w:rFonts w:ascii="Arial" w:cs="Arial" w:eastAsia="Arial" w:hAnsi="Arial"/>
                <w:sz w:val="18"/>
                <w:szCs w:val="18"/>
                <w:color w:val="auto"/>
              </w:rPr>
              <w:t>Net income, as reported</w:t>
            </w: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500" w:type="dxa"/>
            <w:vAlign w:val="bottom"/>
            <w:vMerge w:val="continue"/>
          </w:tcPr>
          <w:p>
            <w:pPr>
              <w:spacing w:after="0"/>
              <w:rPr>
                <w:sz w:val="16"/>
                <w:szCs w:val="16"/>
                <w:color w:val="auto"/>
              </w:rPr>
            </w:pP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1,107,835</w:t>
            </w:r>
          </w:p>
        </w:tc>
        <w:tc>
          <w:tcPr>
            <w:tcW w:w="180" w:type="dxa"/>
            <w:vAlign w:val="bottom"/>
          </w:tcPr>
          <w:p>
            <w:pPr>
              <w:spacing w:after="0"/>
              <w:rPr>
                <w:sz w:val="16"/>
                <w:szCs w:val="16"/>
                <w:color w:val="auto"/>
              </w:rPr>
            </w:pPr>
          </w:p>
        </w:tc>
        <w:tc>
          <w:tcPr>
            <w:tcW w:w="2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993,004</w:t>
            </w:r>
          </w:p>
        </w:tc>
        <w:tc>
          <w:tcPr>
            <w:tcW w:w="180" w:type="dxa"/>
            <w:vAlign w:val="bottom"/>
          </w:tcPr>
          <w:p>
            <w:pPr>
              <w:spacing w:after="0"/>
              <w:rPr>
                <w:sz w:val="16"/>
                <w:szCs w:val="16"/>
                <w:color w:val="auto"/>
              </w:rPr>
            </w:pPr>
          </w:p>
        </w:tc>
        <w:tc>
          <w:tcPr>
            <w:tcW w:w="2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820,678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Change in foreign currency translation adjustment, net of tax</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(16,957)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20"/>
              <w:spacing w:after="0"/>
              <w:rPr>
                <w:sz w:val="20"/>
                <w:szCs w:val="20"/>
                <w:color w:val="auto"/>
              </w:rPr>
            </w:pPr>
            <w:r>
              <w:rPr>
                <w:rFonts w:ascii="Arial" w:cs="Arial" w:eastAsia="Arial" w:hAnsi="Arial"/>
                <w:sz w:val="18"/>
                <w:szCs w:val="18"/>
                <w:color w:val="auto"/>
              </w:rPr>
              <w:t>Change in net unrealized gains (losses)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00" w:type="dxa"/>
            <w:vAlign w:val="bottom"/>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1,108,312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976,799</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2019, 2018 AND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66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760" w:type="dxa"/>
            <w:vAlign w:val="bottom"/>
            <w:gridSpan w:val="5"/>
            <w:vMerge w:val="restart"/>
          </w:tcPr>
          <w:p>
            <w:pPr>
              <w:ind w:left="38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1760" w:type="dxa"/>
            <w:vAlign w:val="bottom"/>
            <w:gridSpan w:val="5"/>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January 1, 2017</w:t>
            </w:r>
          </w:p>
        </w:tc>
        <w:tc>
          <w:tcPr>
            <w:tcW w:w="78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78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3"/>
        </w:trPr>
        <w:tc>
          <w:tcPr>
            <w:tcW w:w="2660" w:type="dxa"/>
            <w:vAlign w:val="bottom"/>
            <w:vMerge w:val="continue"/>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623,201</w:t>
            </w:r>
          </w:p>
        </w:tc>
        <w:tc>
          <w:tcPr>
            <w:tcW w:w="120" w:type="dxa"/>
            <w:vAlign w:val="bottom"/>
          </w:tcPr>
          <w:p>
            <w:pPr>
              <w:spacing w:after="0"/>
              <w:rPr>
                <w:sz w:val="10"/>
                <w:szCs w:val="10"/>
                <w:color w:val="auto"/>
              </w:rPr>
            </w:pP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3,116</w:t>
            </w:r>
          </w:p>
        </w:tc>
        <w:tc>
          <w:tcPr>
            <w:tcW w:w="100" w:type="dxa"/>
            <w:vAlign w:val="bottom"/>
          </w:tcPr>
          <w:p>
            <w:pPr>
              <w:spacing w:after="0"/>
              <w:rPr>
                <w:sz w:val="10"/>
                <w:szCs w:val="10"/>
                <w:color w:val="auto"/>
              </w:rPr>
            </w:pPr>
          </w:p>
        </w:tc>
        <w:tc>
          <w:tcPr>
            <w:tcW w:w="14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4,051,245</w:t>
            </w:r>
          </w:p>
        </w:tc>
        <w:tc>
          <w:tcPr>
            <w:tcW w:w="100" w:type="dxa"/>
            <w:vAlign w:val="bottom"/>
          </w:tcPr>
          <w:p>
            <w:pPr>
              <w:spacing w:after="0"/>
              <w:rPr>
                <w:sz w:val="10"/>
                <w:szCs w:val="10"/>
                <w:color w:val="auto"/>
              </w:rPr>
            </w:pPr>
          </w:p>
        </w:tc>
        <w:tc>
          <w:tcPr>
            <w:tcW w:w="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9"/>
              </w:rPr>
              <w:t>2,107,548</w:t>
            </w:r>
          </w:p>
        </w:tc>
        <w:tc>
          <w:tcPr>
            <w:tcW w:w="100" w:type="dxa"/>
            <w:vAlign w:val="bottom"/>
          </w:tcPr>
          <w:p>
            <w:pPr>
              <w:spacing w:after="0"/>
              <w:rPr>
                <w:sz w:val="10"/>
                <w:szCs w:val="10"/>
                <w:color w:val="auto"/>
              </w:rPr>
            </w:pPr>
          </w:p>
        </w:tc>
        <w:tc>
          <w:tcPr>
            <w:tcW w:w="200" w:type="dxa"/>
            <w:vAlign w:val="bottom"/>
            <w:tcBorders>
              <w:top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(23,249)</w:t>
            </w:r>
          </w:p>
        </w:tc>
        <w:tc>
          <w:tcPr>
            <w:tcW w:w="100" w:type="dxa"/>
            <w:vAlign w:val="bottom"/>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(56,635)</w:t>
            </w: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7"/>
              </w:rPr>
              <w:t>(2,808,951)</w:t>
            </w:r>
          </w:p>
        </w:tc>
        <w:tc>
          <w:tcPr>
            <w:tcW w:w="100" w:type="dxa"/>
            <w:vAlign w:val="bottom"/>
          </w:tcPr>
          <w:p>
            <w:pPr>
              <w:spacing w:after="0"/>
              <w:rPr>
                <w:sz w:val="10"/>
                <w:szCs w:val="10"/>
                <w:color w:val="auto"/>
              </w:rPr>
            </w:pPr>
          </w:p>
        </w:tc>
        <w:tc>
          <w:tcPr>
            <w:tcW w:w="180" w:type="dxa"/>
            <w:vAlign w:val="bottom"/>
            <w:tcBorders>
              <w:top w:val="single" w:sz="8" w:color="auto"/>
            </w:tcBorders>
          </w:tcPr>
          <w:p>
            <w:pPr>
              <w:ind w:left="40"/>
              <w:spacing w:after="0" w:line="123"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3,329,709</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52,282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52,282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52,596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52,626</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Unrealized loss on available-for-sale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(648)</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w w:val="99"/>
              </w:rPr>
              <w:t>Reversal of excess tax benefits from share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based payment arrangements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(5,495)</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(5,495)</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(6,322)</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(361,178)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(361,178)</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7,238</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7,238</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820,678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820,678</w:t>
            </w:r>
          </w:p>
        </w:tc>
        <w:tc>
          <w:tcPr>
            <w:tcW w:w="0" w:type="dxa"/>
            <w:vAlign w:val="bottom"/>
          </w:tcPr>
          <w:p>
            <w:pPr>
              <w:spacing w:after="0"/>
              <w:rPr>
                <w:sz w:val="1"/>
                <w:szCs w:val="1"/>
                <w:color w:val="auto"/>
              </w:rPr>
            </w:pPr>
          </w:p>
        </w:tc>
      </w:tr>
      <w:tr>
        <w:trPr>
          <w:trHeight w:val="2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2017</w:t>
            </w: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660" w:type="dxa"/>
            <w:vAlign w:val="bottom"/>
            <w:vMerge w:val="continue"/>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629,255</w:t>
            </w:r>
          </w:p>
        </w:tc>
        <w:tc>
          <w:tcPr>
            <w:tcW w:w="12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3,146</w:t>
            </w:r>
          </w:p>
        </w:tc>
        <w:tc>
          <w:tcPr>
            <w:tcW w:w="100" w:type="dxa"/>
            <w:vAlign w:val="bottom"/>
          </w:tcPr>
          <w:p>
            <w:pPr>
              <w:spacing w:after="0"/>
              <w:rPr>
                <w:sz w:val="10"/>
                <w:szCs w:val="10"/>
                <w:color w:val="auto"/>
              </w:rPr>
            </w:pPr>
          </w:p>
        </w:tc>
        <w:tc>
          <w:tcPr>
            <w:tcW w:w="140" w:type="dxa"/>
            <w:vAlign w:val="bottom"/>
          </w:tcPr>
          <w:p>
            <w:pPr>
              <w:ind w:left="40"/>
              <w:spacing w:after="0" w:line="12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4,150,628</w:t>
            </w:r>
          </w:p>
        </w:tc>
        <w:tc>
          <w:tcPr>
            <w:tcW w:w="10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w w:val="99"/>
              </w:rPr>
              <w:t>2,928,226</w:t>
            </w:r>
          </w:p>
        </w:tc>
        <w:tc>
          <w:tcPr>
            <w:tcW w:w="100" w:type="dxa"/>
            <w:vAlign w:val="bottom"/>
          </w:tcPr>
          <w:p>
            <w:pPr>
              <w:spacing w:after="0"/>
              <w:rPr>
                <w:sz w:val="10"/>
                <w:szCs w:val="10"/>
                <w:color w:val="auto"/>
              </w:rPr>
            </w:pPr>
          </w:p>
        </w:tc>
        <w:tc>
          <w:tcPr>
            <w:tcW w:w="200" w:type="dxa"/>
            <w:vAlign w:val="bottom"/>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(16,659)</w:t>
            </w:r>
          </w:p>
        </w:tc>
        <w:tc>
          <w:tcPr>
            <w:tcW w:w="10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(62,957)</w:t>
            </w:r>
          </w:p>
        </w:tc>
        <w:tc>
          <w:tcPr>
            <w:tcW w:w="100" w:type="dxa"/>
            <w:vAlign w:val="bottom"/>
            <w:vMerge w:val="continue"/>
          </w:tcPr>
          <w:p>
            <w:pPr>
              <w:spacing w:after="0"/>
              <w:rPr>
                <w:sz w:val="10"/>
                <w:szCs w:val="10"/>
                <w:color w:val="auto"/>
              </w:rPr>
            </w:pPr>
          </w:p>
        </w:tc>
        <w:tc>
          <w:tcPr>
            <w:tcW w:w="1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w w:val="97"/>
              </w:rPr>
              <w:t>(3,170,129)</w:t>
            </w:r>
          </w:p>
        </w:tc>
        <w:tc>
          <w:tcPr>
            <w:tcW w:w="100" w:type="dxa"/>
            <w:vAlign w:val="bottom"/>
          </w:tcPr>
          <w:p>
            <w:pPr>
              <w:spacing w:after="0"/>
              <w:rPr>
                <w:sz w:val="10"/>
                <w:szCs w:val="10"/>
                <w:color w:val="auto"/>
              </w:rPr>
            </w:pPr>
          </w:p>
        </w:tc>
        <w:tc>
          <w:tcPr>
            <w:tcW w:w="180" w:type="dxa"/>
            <w:vAlign w:val="bottom"/>
          </w:tcPr>
          <w:p>
            <w:pPr>
              <w:ind w:left="40"/>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3,895,212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57,111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57,111</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27,843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27,852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752</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Adjustment to excess tax benefits from</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prior periods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2,588</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ASU No. 2016-16 adoption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(6,585)</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(6,585)</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(24,337)</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7"/>
              </w:rPr>
              <w:t>(1,342,076)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7"/>
              </w:rPr>
              <w:t>(1,342,076)</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(16,957)</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(16,957)</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993,004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993,004</w:t>
            </w:r>
          </w:p>
        </w:tc>
        <w:tc>
          <w:tcPr>
            <w:tcW w:w="0" w:type="dxa"/>
            <w:vAlign w:val="bottom"/>
          </w:tcPr>
          <w:p>
            <w:pPr>
              <w:spacing w:after="0"/>
              <w:rPr>
                <w:sz w:val="1"/>
                <w:szCs w:val="1"/>
                <w:color w:val="auto"/>
              </w:rPr>
            </w:pPr>
          </w:p>
        </w:tc>
      </w:tr>
      <w:tr>
        <w:trPr>
          <w:trHeight w:val="2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2018</w:t>
            </w: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660" w:type="dxa"/>
            <w:vAlign w:val="bottom"/>
            <w:vMerge w:val="continue"/>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630,970</w:t>
            </w:r>
          </w:p>
        </w:tc>
        <w:tc>
          <w:tcPr>
            <w:tcW w:w="12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3,155</w:t>
            </w:r>
          </w:p>
        </w:tc>
        <w:tc>
          <w:tcPr>
            <w:tcW w:w="100" w:type="dxa"/>
            <w:vAlign w:val="bottom"/>
          </w:tcPr>
          <w:p>
            <w:pPr>
              <w:spacing w:after="0"/>
              <w:rPr>
                <w:sz w:val="10"/>
                <w:szCs w:val="10"/>
                <w:color w:val="auto"/>
              </w:rPr>
            </w:pPr>
          </w:p>
        </w:tc>
        <w:tc>
          <w:tcPr>
            <w:tcW w:w="140" w:type="dxa"/>
            <w:vAlign w:val="bottom"/>
          </w:tcPr>
          <w:p>
            <w:pPr>
              <w:ind w:left="40"/>
              <w:spacing w:after="0" w:line="123"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4,238,170</w:t>
            </w:r>
          </w:p>
        </w:tc>
        <w:tc>
          <w:tcPr>
            <w:tcW w:w="10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23" w:lineRule="exact"/>
              <w:rPr>
                <w:sz w:val="20"/>
                <w:szCs w:val="20"/>
                <w:color w:val="auto"/>
              </w:rPr>
            </w:pPr>
            <w:r>
              <w:rPr>
                <w:rFonts w:ascii="Arial" w:cs="Arial" w:eastAsia="Arial" w:hAnsi="Arial"/>
                <w:sz w:val="14"/>
                <w:szCs w:val="14"/>
                <w:color w:val="auto"/>
                <w:w w:val="99"/>
              </w:rPr>
              <w:t>3,914,645</w:t>
            </w:r>
          </w:p>
        </w:tc>
        <w:tc>
          <w:tcPr>
            <w:tcW w:w="100" w:type="dxa"/>
            <w:vAlign w:val="bottom"/>
          </w:tcPr>
          <w:p>
            <w:pPr>
              <w:spacing w:after="0"/>
              <w:rPr>
                <w:sz w:val="10"/>
                <w:szCs w:val="10"/>
                <w:color w:val="auto"/>
              </w:rPr>
            </w:pPr>
          </w:p>
        </w:tc>
        <w:tc>
          <w:tcPr>
            <w:tcW w:w="200" w:type="dxa"/>
            <w:vAlign w:val="bottom"/>
          </w:tcPr>
          <w:p>
            <w:pPr>
              <w:jc w:val="right"/>
              <w:ind w:right="28"/>
              <w:spacing w:after="0" w:line="123"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(32,864)</w:t>
            </w:r>
          </w:p>
        </w:tc>
        <w:tc>
          <w:tcPr>
            <w:tcW w:w="100" w:type="dxa"/>
            <w:vAlign w:val="bottom"/>
            <w:vMerge w:val="continue"/>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Arial" w:cs="Arial" w:eastAsia="Arial" w:hAnsi="Arial"/>
                <w:sz w:val="14"/>
                <w:szCs w:val="14"/>
                <w:color w:val="auto"/>
              </w:rPr>
              <w:t>(87,294)</w:t>
            </w:r>
          </w:p>
        </w:tc>
        <w:tc>
          <w:tcPr>
            <w:tcW w:w="100" w:type="dxa"/>
            <w:vAlign w:val="bottom"/>
            <w:vMerge w:val="continue"/>
          </w:tcPr>
          <w:p>
            <w:pPr>
              <w:spacing w:after="0"/>
              <w:rPr>
                <w:sz w:val="10"/>
                <w:szCs w:val="10"/>
                <w:color w:val="auto"/>
              </w:rPr>
            </w:pPr>
          </w:p>
        </w:tc>
        <w:tc>
          <w:tcPr>
            <w:tcW w:w="16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w w:val="97"/>
              </w:rPr>
              <w:t>(4,512,205)</w:t>
            </w:r>
          </w:p>
        </w:tc>
        <w:tc>
          <w:tcPr>
            <w:tcW w:w="100" w:type="dxa"/>
            <w:vAlign w:val="bottom"/>
          </w:tcPr>
          <w:p>
            <w:pPr>
              <w:spacing w:after="0"/>
              <w:rPr>
                <w:sz w:val="10"/>
                <w:szCs w:val="10"/>
                <w:color w:val="auto"/>
              </w:rPr>
            </w:pPr>
          </w:p>
        </w:tc>
        <w:tc>
          <w:tcPr>
            <w:tcW w:w="180" w:type="dxa"/>
            <w:vAlign w:val="bottom"/>
          </w:tcPr>
          <w:p>
            <w:pPr>
              <w:ind w:left="40"/>
              <w:spacing w:after="0" w:line="123"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3" w:lineRule="exact"/>
              <w:rPr>
                <w:sz w:val="20"/>
                <w:szCs w:val="20"/>
                <w:color w:val="auto"/>
              </w:rPr>
            </w:pPr>
            <w:r>
              <w:rPr>
                <w:rFonts w:ascii="Arial" w:cs="Arial" w:eastAsia="Arial" w:hAnsi="Arial"/>
                <w:sz w:val="14"/>
                <w:szCs w:val="14"/>
                <w:color w:val="auto"/>
              </w:rPr>
              <w:t>3,610,901</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63,356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63,356</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92,336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92,363</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Unrealized gain on available-for-sale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securities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Adjustment to excess tax benefits from</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40"/>
              <w:spacing w:after="0" w:line="149" w:lineRule="exact"/>
              <w:rPr>
                <w:sz w:val="20"/>
                <w:szCs w:val="20"/>
                <w:color w:val="auto"/>
              </w:rPr>
            </w:pPr>
            <w:r>
              <w:rPr>
                <w:rFonts w:ascii="Arial" w:cs="Arial" w:eastAsia="Arial" w:hAnsi="Arial"/>
                <w:sz w:val="14"/>
                <w:szCs w:val="14"/>
                <w:color w:val="auto"/>
              </w:rPr>
              <w:t>prior periods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(12,468)</w:t>
            </w:r>
          </w:p>
        </w:tc>
        <w:tc>
          <w:tcPr>
            <w:tcW w:w="1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(707,300)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(707,300)</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5"/>
        </w:trPr>
        <w:tc>
          <w:tcPr>
            <w:tcW w:w="2660" w:type="dxa"/>
            <w:vAlign w:val="bottom"/>
          </w:tcPr>
          <w:p>
            <w:pPr>
              <w:spacing w:after="0" w:line="145" w:lineRule="exact"/>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w w:val="99"/>
              </w:rPr>
              <w:t>1,107,835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color w:val="auto"/>
              </w:rPr>
              <w:t>1,107,835</w:t>
            </w:r>
          </w:p>
        </w:tc>
        <w:tc>
          <w:tcPr>
            <w:tcW w:w="0" w:type="dxa"/>
            <w:vAlign w:val="bottom"/>
          </w:tcPr>
          <w:p>
            <w:pPr>
              <w:spacing w:after="0"/>
              <w:rPr>
                <w:sz w:val="1"/>
                <w:szCs w:val="1"/>
                <w:color w:val="auto"/>
              </w:rPr>
            </w:pPr>
          </w:p>
        </w:tc>
      </w:tr>
      <w:tr>
        <w:trPr>
          <w:trHeight w:val="23"/>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2019</w:t>
            </w: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636,460</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3,182</w:t>
            </w:r>
          </w:p>
        </w:tc>
        <w:tc>
          <w:tcPr>
            <w:tcW w:w="100" w:type="dxa"/>
            <w:vAlign w:val="bottom"/>
          </w:tcPr>
          <w:p>
            <w:pPr>
              <w:spacing w:after="0"/>
              <w:rPr>
                <w:sz w:val="12"/>
                <w:szCs w:val="12"/>
                <w:color w:val="auto"/>
              </w:rPr>
            </w:pPr>
          </w:p>
        </w:tc>
        <w:tc>
          <w:tcPr>
            <w:tcW w:w="1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4,397,511</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5,022,480</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(32,387)</w:t>
            </w:r>
          </w:p>
        </w:tc>
        <w:tc>
          <w:tcPr>
            <w:tcW w:w="100" w:type="dxa"/>
            <w:vAlign w:val="bottom"/>
            <w:vMerge w:val="continue"/>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(99,762)</w:t>
            </w:r>
          </w:p>
        </w:tc>
        <w:tc>
          <w:tcPr>
            <w:tcW w:w="1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(5,219,505)</w:t>
            </w:r>
          </w:p>
        </w:tc>
        <w:tc>
          <w:tcPr>
            <w:tcW w:w="100" w:type="dxa"/>
            <w:vAlign w:val="bottom"/>
          </w:tcPr>
          <w:p>
            <w:pPr>
              <w:spacing w:after="0"/>
              <w:rPr>
                <w:sz w:val="12"/>
                <w:szCs w:val="12"/>
                <w:color w:val="auto"/>
              </w:rPr>
            </w:pPr>
          </w:p>
        </w:tc>
        <w:tc>
          <w:tcPr>
            <w:tcW w:w="1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4,171,281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2019, 2018 AND 2017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23"/>
        </w:trPr>
        <w:tc>
          <w:tcPr>
            <w:tcW w:w="62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1,107,835</w:t>
            </w:r>
          </w:p>
        </w:tc>
        <w:tc>
          <w:tcPr>
            <w:tcW w:w="20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993,004</w:t>
            </w:r>
          </w:p>
        </w:tc>
        <w:tc>
          <w:tcPr>
            <w:tcW w:w="200" w:type="dxa"/>
            <w:vAlign w:val="bottom"/>
          </w:tcPr>
          <w:p>
            <w:pPr>
              <w:spacing w:after="0"/>
              <w:rPr>
                <w:sz w:val="12"/>
                <w:szCs w:val="12"/>
                <w:color w:val="auto"/>
              </w:rPr>
            </w:pPr>
          </w:p>
        </w:tc>
        <w:tc>
          <w:tcPr>
            <w:tcW w:w="2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820,678</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64,814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56,979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48,887</w:t>
            </w: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(783)</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63,356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57,111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52,282</w:t>
            </w: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67,935</w:t>
            </w:r>
          </w:p>
        </w:tc>
        <w:tc>
          <w:tcPr>
            <w:tcW w:w="0" w:type="dxa"/>
            <w:vAlign w:val="bottom"/>
          </w:tcPr>
          <w:p>
            <w:pPr>
              <w:spacing w:after="0"/>
              <w:rPr>
                <w:sz w:val="1"/>
                <w:szCs w:val="1"/>
                <w:color w:val="auto"/>
              </w:rPr>
            </w:pPr>
          </w:p>
        </w:tc>
      </w:tr>
      <w:tr>
        <w:trPr>
          <w:trHeight w:val="149"/>
        </w:trPr>
        <w:tc>
          <w:tcPr>
            <w:tcW w:w="6240" w:type="dxa"/>
            <w:vAlign w:val="bottom"/>
          </w:tcPr>
          <w:p>
            <w:pPr>
              <w:ind w:left="2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(66,411)</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(48,370)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11,822</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TCCC Transaction receivable</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Distributor receivables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6,470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9,958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4,716</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(85,222)</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(26,146)</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(88,867)</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(13,774)</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(6,682)</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Prepaid income taxes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9,481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98,716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(71,332)</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28,832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9,852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29,579</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Accrued liabilities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(14,297)</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18,145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(4,499)</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Accrued promotional allowances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21,943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11,719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21,135</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Accrued distributor terminations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(8,172)</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Accrued compensation</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7,228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5,477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4,491</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8,105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1,943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(3,590)</w:t>
            </w:r>
          </w:p>
        </w:tc>
        <w:tc>
          <w:tcPr>
            <w:tcW w:w="0" w:type="dxa"/>
            <w:vAlign w:val="bottom"/>
          </w:tcPr>
          <w:p>
            <w:pPr>
              <w:spacing w:after="0"/>
              <w:rPr>
                <w:sz w:val="1"/>
                <w:szCs w:val="1"/>
                <w:color w:val="auto"/>
              </w:rPr>
            </w:pPr>
          </w:p>
        </w:tc>
      </w:tr>
      <w:tr>
        <w:trPr>
          <w:trHeight w:val="149"/>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(1,030)</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61"/>
        </w:trPr>
        <w:tc>
          <w:tcPr>
            <w:tcW w:w="6240" w:type="dxa"/>
            <w:vAlign w:val="bottom"/>
          </w:tcPr>
          <w:p>
            <w:pPr>
              <w:ind w:left="3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(24,858)</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(19,967)</w:t>
            </w:r>
          </w:p>
        </w:tc>
        <w:tc>
          <w:tcPr>
            <w:tcW w:w="26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(19,872)</w:t>
            </w:r>
          </w:p>
        </w:tc>
        <w:tc>
          <w:tcPr>
            <w:tcW w:w="0" w:type="dxa"/>
            <w:vAlign w:val="bottom"/>
          </w:tcPr>
          <w:p>
            <w:pPr>
              <w:spacing w:after="0"/>
              <w:rPr>
                <w:sz w:val="1"/>
                <w:szCs w:val="1"/>
                <w:color w:val="auto"/>
              </w:rPr>
            </w:pPr>
          </w:p>
        </w:tc>
      </w:tr>
      <w:tr>
        <w:trPr>
          <w:trHeight w:val="182"/>
        </w:trPr>
        <w:tc>
          <w:tcPr>
            <w:tcW w:w="6240" w:type="dxa"/>
            <w:vAlign w:val="bottom"/>
          </w:tcPr>
          <w:p>
            <w:pPr>
              <w:ind w:left="540"/>
              <w:spacing w:after="0" w:line="150" w:lineRule="exact"/>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1,113,762</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1,161,881</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987,731</w:t>
            </w:r>
          </w:p>
        </w:tc>
        <w:tc>
          <w:tcPr>
            <w:tcW w:w="0" w:type="dxa"/>
            <w:vAlign w:val="bottom"/>
          </w:tcPr>
          <w:p>
            <w:pPr>
              <w:spacing w:after="0"/>
              <w:rPr>
                <w:sz w:val="1"/>
                <w:szCs w:val="1"/>
                <w:color w:val="auto"/>
              </w:rPr>
            </w:pPr>
          </w:p>
        </w:tc>
      </w:tr>
      <w:tr>
        <w:trPr>
          <w:trHeight w:val="245"/>
        </w:trPr>
        <w:tc>
          <w:tcPr>
            <w:tcW w:w="62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851,436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1,181,484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533,183</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1,239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4,295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1,416</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(1,067,736)</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(826,084)</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(971,813)</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(101,661)</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(61,941)</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(83,435)</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Additions to intangibles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(8,737)</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(12,984)</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(9,693)</w:t>
            </w:r>
          </w:p>
        </w:tc>
        <w:tc>
          <w:tcPr>
            <w:tcW w:w="0" w:type="dxa"/>
            <w:vAlign w:val="bottom"/>
          </w:tcPr>
          <w:p>
            <w:pPr>
              <w:spacing w:after="0"/>
              <w:rPr>
                <w:sz w:val="1"/>
                <w:szCs w:val="1"/>
                <w:color w:val="auto"/>
              </w:rPr>
            </w:pPr>
          </w:p>
        </w:tc>
      </w:tr>
      <w:tr>
        <w:trPr>
          <w:trHeight w:val="161"/>
        </w:trPr>
        <w:tc>
          <w:tcPr>
            <w:tcW w:w="6240" w:type="dxa"/>
            <w:vAlign w:val="bottom"/>
          </w:tcPr>
          <w:p>
            <w:pPr>
              <w:spacing w:after="0" w:line="149" w:lineRule="exact"/>
              <w:rPr>
                <w:sz w:val="20"/>
                <w:szCs w:val="20"/>
                <w:color w:val="auto"/>
              </w:rPr>
            </w:pPr>
            <w:r>
              <w:rPr>
                <w:rFonts w:ascii="Arial" w:cs="Arial" w:eastAsia="Arial" w:hAnsi="Arial"/>
                <w:sz w:val="14"/>
                <w:szCs w:val="14"/>
                <w:color w:val="auto"/>
              </w:rPr>
              <w:t>Increase in other assets</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(1,265)</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(11,814)</w:t>
            </w:r>
          </w:p>
        </w:tc>
        <w:tc>
          <w:tcPr>
            <w:tcW w:w="26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82"/>
        </w:trPr>
        <w:tc>
          <w:tcPr>
            <w:tcW w:w="6240" w:type="dxa"/>
            <w:vAlign w:val="bottom"/>
          </w:tcPr>
          <w:p>
            <w:pPr>
              <w:ind w:left="540"/>
              <w:spacing w:after="0" w:line="150" w:lineRule="exact"/>
              <w:rPr>
                <w:sz w:val="20"/>
                <w:szCs w:val="20"/>
                <w:color w:val="auto"/>
              </w:rPr>
            </w:pPr>
            <w:r>
              <w:rPr>
                <w:rFonts w:ascii="Arial" w:cs="Arial" w:eastAsia="Arial" w:hAnsi="Arial"/>
                <w:sz w:val="14"/>
                <w:szCs w:val="14"/>
                <w:color w:val="auto"/>
              </w:rPr>
              <w:t>Net cash (used in) provided by investing activities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(326,724)</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272,956</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(531,541)</w:t>
            </w:r>
          </w:p>
        </w:tc>
        <w:tc>
          <w:tcPr>
            <w:tcW w:w="0" w:type="dxa"/>
            <w:vAlign w:val="bottom"/>
          </w:tcPr>
          <w:p>
            <w:pPr>
              <w:spacing w:after="0"/>
              <w:rPr>
                <w:sz w:val="1"/>
                <w:szCs w:val="1"/>
                <w:color w:val="auto"/>
              </w:rPr>
            </w:pPr>
          </w:p>
        </w:tc>
      </w:tr>
      <w:tr>
        <w:trPr>
          <w:trHeight w:val="245"/>
        </w:trPr>
        <w:tc>
          <w:tcPr>
            <w:tcW w:w="62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(13,569)</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(1,886)</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92,363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27,851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52,626</w:t>
            </w:r>
          </w:p>
        </w:tc>
        <w:tc>
          <w:tcPr>
            <w:tcW w:w="0" w:type="dxa"/>
            <w:vAlign w:val="bottom"/>
          </w:tcPr>
          <w:p>
            <w:pPr>
              <w:spacing w:after="0"/>
              <w:rPr>
                <w:sz w:val="1"/>
                <w:szCs w:val="1"/>
                <w:color w:val="auto"/>
              </w:rPr>
            </w:pPr>
          </w:p>
        </w:tc>
      </w:tr>
      <w:tr>
        <w:trPr>
          <w:trHeight w:val="161"/>
        </w:trPr>
        <w:tc>
          <w:tcPr>
            <w:tcW w:w="6240" w:type="dxa"/>
            <w:vAlign w:val="bottom"/>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(707,300)</w:t>
            </w:r>
          </w:p>
        </w:tc>
        <w:tc>
          <w:tcPr>
            <w:tcW w:w="26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(1,342,076)</w:t>
            </w:r>
          </w:p>
        </w:tc>
        <w:tc>
          <w:tcPr>
            <w:tcW w:w="26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(361,178)</w:t>
            </w:r>
          </w:p>
        </w:tc>
        <w:tc>
          <w:tcPr>
            <w:tcW w:w="0" w:type="dxa"/>
            <w:vAlign w:val="bottom"/>
          </w:tcPr>
          <w:p>
            <w:pPr>
              <w:spacing w:after="0"/>
              <w:rPr>
                <w:sz w:val="1"/>
                <w:szCs w:val="1"/>
                <w:color w:val="auto"/>
              </w:rPr>
            </w:pPr>
          </w:p>
        </w:tc>
      </w:tr>
      <w:tr>
        <w:trPr>
          <w:trHeight w:val="149"/>
        </w:trPr>
        <w:tc>
          <w:tcPr>
            <w:tcW w:w="6240" w:type="dxa"/>
            <w:vAlign w:val="bottom"/>
          </w:tcPr>
          <w:p>
            <w:pPr>
              <w:ind w:left="540"/>
              <w:spacing w:after="0" w:line="149" w:lineRule="exact"/>
              <w:rPr>
                <w:sz w:val="20"/>
                <w:szCs w:val="20"/>
                <w:color w:val="auto"/>
              </w:rPr>
            </w:pPr>
            <w:r>
              <w:rPr>
                <w:rFonts w:ascii="Arial" w:cs="Arial" w:eastAsia="Arial" w:hAnsi="Arial"/>
                <w:sz w:val="14"/>
                <w:szCs w:val="14"/>
                <w:color w:val="auto"/>
              </w:rPr>
              <w:t>Net cash used in financing activities</w:t>
            </w: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(628,506)</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(1,316,111)</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(311,135)</w:t>
            </w:r>
          </w:p>
        </w:tc>
        <w:tc>
          <w:tcPr>
            <w:tcW w:w="0" w:type="dxa"/>
            <w:vAlign w:val="bottom"/>
          </w:tcPr>
          <w:p>
            <w:pPr>
              <w:spacing w:after="0"/>
              <w:rPr>
                <w:sz w:val="1"/>
                <w:szCs w:val="1"/>
                <w:color w:val="auto"/>
              </w:rPr>
            </w:pPr>
          </w:p>
        </w:tc>
      </w:tr>
      <w:tr>
        <w:trPr>
          <w:trHeight w:val="306"/>
        </w:trPr>
        <w:tc>
          <w:tcPr>
            <w:tcW w:w="62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(9,835)</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5,985</w:t>
            </w:r>
          </w:p>
        </w:tc>
        <w:tc>
          <w:tcPr>
            <w:tcW w:w="0" w:type="dxa"/>
            <w:vAlign w:val="bottom"/>
          </w:tcPr>
          <w:p>
            <w:pPr>
              <w:spacing w:after="0"/>
              <w:rPr>
                <w:sz w:val="1"/>
                <w:szCs w:val="1"/>
                <w:color w:val="auto"/>
              </w:rPr>
            </w:pPr>
          </w:p>
        </w:tc>
      </w:tr>
      <w:tr>
        <w:trPr>
          <w:trHeight w:val="263"/>
        </w:trPr>
        <w:tc>
          <w:tcPr>
            <w:tcW w:w="624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160,444</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108,891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151,040</w:t>
            </w:r>
          </w:p>
        </w:tc>
        <w:tc>
          <w:tcPr>
            <w:tcW w:w="0" w:type="dxa"/>
            <w:vAlign w:val="bottom"/>
          </w:tcPr>
          <w:p>
            <w:pPr>
              <w:spacing w:after="0"/>
              <w:rPr>
                <w:sz w:val="1"/>
                <w:szCs w:val="1"/>
                <w:color w:val="auto"/>
              </w:rPr>
            </w:pPr>
          </w:p>
        </w:tc>
      </w:tr>
      <w:tr>
        <w:trPr>
          <w:trHeight w:val="161"/>
        </w:trPr>
        <w:tc>
          <w:tcPr>
            <w:tcW w:w="624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637,513</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528,622</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377,582</w:t>
            </w:r>
          </w:p>
        </w:tc>
        <w:tc>
          <w:tcPr>
            <w:tcW w:w="0" w:type="dxa"/>
            <w:vAlign w:val="bottom"/>
          </w:tcPr>
          <w:p>
            <w:pPr>
              <w:spacing w:after="0"/>
              <w:rPr>
                <w:sz w:val="1"/>
                <w:szCs w:val="1"/>
                <w:color w:val="auto"/>
              </w:rPr>
            </w:pPr>
          </w:p>
        </w:tc>
      </w:tr>
      <w:tr>
        <w:trPr>
          <w:trHeight w:val="149"/>
        </w:trPr>
        <w:tc>
          <w:tcPr>
            <w:tcW w:w="624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year</w:t>
            </w:r>
          </w:p>
        </w:tc>
        <w:tc>
          <w:tcPr>
            <w:tcW w:w="26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797,957</w:t>
            </w: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637,513</w:t>
            </w: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528,622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line="151" w:lineRule="exact"/>
              <w:rPr>
                <w:sz w:val="20"/>
                <w:szCs w:val="20"/>
                <w:color w:val="auto"/>
              </w:rPr>
            </w:pPr>
            <w:r>
              <w:rPr>
                <w:rFonts w:ascii="Arial" w:cs="Arial" w:eastAsia="Arial" w:hAnsi="Arial"/>
                <w:sz w:val="14"/>
                <w:szCs w:val="14"/>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240" w:type="dxa"/>
            <w:vAlign w:val="bottom"/>
          </w:tcPr>
          <w:p>
            <w:pPr>
              <w:ind w:left="120"/>
              <w:spacing w:after="0" w:line="149" w:lineRule="exact"/>
              <w:rPr>
                <w:sz w:val="20"/>
                <w:szCs w:val="20"/>
                <w:color w:val="auto"/>
              </w:rPr>
            </w:pPr>
            <w:r>
              <w:rPr>
                <w:rFonts w:ascii="Arial" w:cs="Arial" w:eastAsia="Arial" w:hAnsi="Arial"/>
                <w:sz w:val="14"/>
                <w:szCs w:val="14"/>
                <w:color w:val="auto"/>
              </w:rPr>
              <w:t>Cash paid during the year for:</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ind w:left="220"/>
              <w:spacing w:after="0"/>
              <w:rPr>
                <w:sz w:val="20"/>
                <w:szCs w:val="20"/>
                <w:color w:val="auto"/>
              </w:rPr>
            </w:pPr>
            <w:r>
              <w:rPr>
                <w:rFonts w:ascii="Arial" w:cs="Arial" w:eastAsia="Arial" w:hAnsi="Arial"/>
                <w:sz w:val="14"/>
                <w:szCs w:val="14"/>
                <w:color w:val="auto"/>
              </w:rPr>
              <w:t>Interest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20"/>
              <w:spacing w:after="0"/>
              <w:rPr>
                <w:sz w:val="20"/>
                <w:szCs w:val="20"/>
                <w:color w:val="auto"/>
              </w:rPr>
            </w:pPr>
            <w:r>
              <w:rPr>
                <w:rFonts w:ascii="Arial" w:cs="Arial" w:eastAsia="Arial" w:hAnsi="Arial"/>
                <w:sz w:val="14"/>
                <w:szCs w:val="14"/>
                <w:color w:val="auto"/>
              </w:rPr>
              <w:t>Income taxes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40" w:type="dxa"/>
            <w:vAlign w:val="bottom"/>
            <w:vMerge w:val="continue"/>
          </w:tcPr>
          <w:p>
            <w:pPr>
              <w:spacing w:after="0"/>
              <w:rPr>
                <w:sz w:val="11"/>
                <w:szCs w:val="11"/>
                <w:color w:val="auto"/>
              </w:rPr>
            </w:pPr>
          </w:p>
        </w:tc>
        <w:tc>
          <w:tcPr>
            <w:tcW w:w="260" w:type="dxa"/>
            <w:vAlign w:val="bottom"/>
            <w:tcBorders>
              <w:bottom w:val="single" w:sz="8" w:color="auto"/>
            </w:tcBorders>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293,810</w:t>
            </w:r>
          </w:p>
        </w:tc>
        <w:tc>
          <w:tcPr>
            <w:tcW w:w="200" w:type="dxa"/>
            <w:vAlign w:val="bottom"/>
          </w:tcPr>
          <w:p>
            <w:pPr>
              <w:spacing w:after="0"/>
              <w:rPr>
                <w:sz w:val="11"/>
                <w:szCs w:val="11"/>
                <w:color w:val="auto"/>
              </w:rPr>
            </w:pPr>
          </w:p>
        </w:tc>
        <w:tc>
          <w:tcPr>
            <w:tcW w:w="26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200,767</w:t>
            </w:r>
          </w:p>
        </w:tc>
        <w:tc>
          <w:tcPr>
            <w:tcW w:w="200" w:type="dxa"/>
            <w:vAlign w:val="bottom"/>
          </w:tcPr>
          <w:p>
            <w:pPr>
              <w:spacing w:after="0"/>
              <w:rPr>
                <w:sz w:val="11"/>
                <w:szCs w:val="11"/>
                <w:color w:val="auto"/>
              </w:rPr>
            </w:pPr>
          </w:p>
        </w:tc>
        <w:tc>
          <w:tcPr>
            <w:tcW w:w="26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389,490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right="4340"/>
        <w:spacing w:after="0" w:line="273" w:lineRule="auto"/>
        <w:rPr>
          <w:sz w:val="20"/>
          <w:szCs w:val="20"/>
          <w:color w:val="auto"/>
        </w:rPr>
      </w:pPr>
      <w:r>
        <w:rPr>
          <w:rFonts w:ascii="Arial" w:cs="Arial" w:eastAsia="Arial" w:hAnsi="Arial"/>
          <w:sz w:val="19"/>
          <w:szCs w:val="19"/>
          <w:b w:val="1"/>
          <w:bCs w:val="1"/>
          <w:color w:val="auto"/>
        </w:rPr>
        <w:t>MONSTER BEVERAGE CORPORATION AND SUBSIDIARIES CONSOLIDATED STATEMENTS OF CASH FLOWS (Continued) FOR THE 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Accrued liabilities included additions to intangibles of $12.8 million, $10.8 million and $3.7 million as of December 31, 2019, 2018 and 2017, respectively.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payable included purchases of available-for-sale short-term investments of $8.7 million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0" w:name="page81"/>
    <w:bookmarkEnd w:id="8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40"/>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1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i w:val="1"/>
          <w:iCs w:val="1"/>
          <w:color w:val="auto"/>
        </w:rPr>
        <w:t xml:space="preserve">Organization </w:t>
      </w:r>
      <w:r>
        <w:rPr>
          <w:rFonts w:ascii="Arial" w:cs="Arial" w:eastAsia="Arial" w:hAnsi="Arial"/>
          <w:sz w:val="20"/>
          <w:szCs w:val="20"/>
          <w:color w:val="auto"/>
        </w:rPr>
        <w:t>– Monster Beverage Corporation (the “Company”) was incorporated in the state of Delaware.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is a holding company and has no operating business except through its consolidated subsidiaries.</w:t>
      </w:r>
    </w:p>
    <w:p>
      <w:pPr>
        <w:spacing w:after="0" w:line="177"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The Company develops, markets, sells and distributes energy drink beverages and concentrates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energy drink beverages, primarily under the following brand names: Monster Energy®, Monster Energy Ultra®, Monster Rehab®, Monster MAXX®, Java Monster®, Muscle Monster®, Espresso Monster®, Caffé Monster®, Punch Monster®, Juice Monster®, Monster Hydro®, Monster HydroSport Super Fuel®, Predator®, Reign Total Body Fuel</w:t>
      </w:r>
      <w:r>
        <w:rPr>
          <w:rFonts w:ascii="Arial" w:cs="Arial" w:eastAsia="Arial" w:hAnsi="Arial"/>
          <w:sz w:val="26"/>
          <w:szCs w:val="26"/>
          <w:color w:val="auto"/>
          <w:vertAlign w:val="superscript"/>
        </w:rPr>
        <w:t>TM</w:t>
      </w:r>
      <w:r>
        <w:rPr>
          <w:rFonts w:ascii="Arial" w:cs="Arial" w:eastAsia="Arial" w:hAnsi="Arial"/>
          <w:sz w:val="18"/>
          <w:szCs w:val="18"/>
          <w:color w:val="auto"/>
        </w:rPr>
        <w:t>, Reign Inferno</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Thermogenic Fuel, Monster Dragon Tea®, NOS®, Full Throttle®, Burn®, Mother®, Nalu®, Ultra Energy®, Play® and Power Play® (stylized), Relentless®, BPM®, BU®, Gladiator®, Samurai® and Live+®.</w:t>
      </w:r>
    </w:p>
    <w:p>
      <w:pPr>
        <w:spacing w:after="0" w:line="19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principles generally accepted in the United States of America (“GAAP”) and include the accounts of the Company and its consolidated subsidiaries.</w:t>
      </w:r>
    </w:p>
    <w:p>
      <w:pPr>
        <w:spacing w:after="0" w:line="18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 voting</w:t>
      </w:r>
      <w:r>
        <w:rPr>
          <w:rFonts w:ascii="Arial" w:cs="Arial" w:eastAsia="Arial" w:hAnsi="Arial"/>
          <w:sz w:val="20"/>
          <w:szCs w:val="20"/>
          <w:i w:val="1"/>
          <w:iCs w:val="1"/>
          <w:color w:val="auto"/>
        </w:rPr>
        <w:t xml:space="preserve"> </w:t>
      </w:r>
      <w:r>
        <w:rPr>
          <w:rFonts w:ascii="Arial" w:cs="Arial" w:eastAsia="Arial" w:hAnsi="Arial"/>
          <w:sz w:val="20"/>
          <w:szCs w:val="20"/>
          <w:color w:val="auto"/>
        </w:rPr>
        <w:t>interest. All intercompany balances and transactions have been eliminated in consolidation.</w:t>
      </w:r>
    </w:p>
    <w:p>
      <w:pPr>
        <w:spacing w:after="0" w:line="177" w:lineRule="exact"/>
        <w:rPr>
          <w:sz w:val="20"/>
          <w:szCs w:val="20"/>
          <w:color w:val="auto"/>
        </w:rPr>
      </w:pPr>
    </w:p>
    <w:p>
      <w:pPr>
        <w:jc w:val="both"/>
        <w:ind w:left="1" w:firstLine="648"/>
        <w:spacing w:after="0" w:line="255" w:lineRule="auto"/>
        <w:rPr>
          <w:sz w:val="20"/>
          <w:szCs w:val="20"/>
          <w:color w:val="auto"/>
        </w:rPr>
      </w:pPr>
      <w:r>
        <w:rPr>
          <w:rFonts w:ascii="Arial" w:cs="Arial" w:eastAsia="Arial" w:hAnsi="Arial"/>
          <w:sz w:val="19"/>
          <w:szCs w:val="19"/>
          <w:i w:val="1"/>
          <w:iCs w:val="1"/>
          <w:color w:val="auto"/>
        </w:rPr>
        <w:t xml:space="preserve">Business Combinations </w:t>
      </w:r>
      <w:r>
        <w:rPr>
          <w:rFonts w:ascii="Arial" w:cs="Arial" w:eastAsia="Arial" w:hAnsi="Arial"/>
          <w:sz w:val="19"/>
          <w:szCs w:val="19"/>
          <w:color w:val="auto"/>
        </w:rPr>
        <w:t>– Business acquisitions are accounted for in accordance with Financial Accounting Standards</w:t>
      </w:r>
      <w:r>
        <w:rPr>
          <w:rFonts w:ascii="Arial" w:cs="Arial" w:eastAsia="Arial" w:hAnsi="Arial"/>
          <w:sz w:val="19"/>
          <w:szCs w:val="19"/>
          <w:i w:val="1"/>
          <w:iCs w:val="1"/>
          <w:color w:val="auto"/>
        </w:rPr>
        <w:t xml:space="preserve"> </w:t>
      </w:r>
      <w:r>
        <w:rPr>
          <w:rFonts w:ascii="Arial" w:cs="Arial" w:eastAsia="Arial" w:hAnsi="Arial"/>
          <w:sz w:val="19"/>
          <w:szCs w:val="19"/>
          <w:color w:val="auto"/>
        </w:rPr>
        <w:t>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88"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 The Company considers all highly liquid investments with an original maturity of three</w:t>
      </w:r>
      <w:r>
        <w:rPr>
          <w:rFonts w:ascii="Arial" w:cs="Arial" w:eastAsia="Arial" w:hAnsi="Arial"/>
          <w:sz w:val="19"/>
          <w:szCs w:val="19"/>
          <w:i w:val="1"/>
          <w:iCs w:val="1"/>
          <w:color w:val="auto"/>
        </w:rPr>
        <w:t xml:space="preserve"> </w:t>
      </w:r>
      <w:r>
        <w:rPr>
          <w:rFonts w:ascii="Arial" w:cs="Arial" w:eastAsia="Arial" w:hAnsi="Arial"/>
          <w:sz w:val="19"/>
          <w:szCs w:val="19"/>
          <w:color w:val="auto"/>
        </w:rPr>
        <w:t>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77"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(See Note 5).</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Under FASB ASC 320-10-35, a security is considered to be other-than-temporarily impaired if the present value of cash flows expected to be collected are less than the security’s amortized cost basis (the difference being defined as the “Credit Loss”) or if the fair value of the security is less than the security’s amortized cost basis and the investor intends, or will be required, to sell the security before recovery of the security’s amortized cost basis. If an other-than-temporary impairment exists, the charge to earnings is limited to the amount of Credit Loss if the investor does not intend to sell the security, and will not be required to sell the security, before recovery of the security’s amortized cost basis. Any remaining difference between fair value and amortized cost is recognized in other comprehensive loss, net of applicable taxes. The Company evaluates whether the decline in fair value of its investments is other-than-temporary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 loss is temporary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 evaluates the collectability of its trade accounts receivable based on a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valued at the lower of first-in, first-out, cost or market value (net realizable value).</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 and</w:t>
      </w:r>
      <w:r>
        <w:rPr>
          <w:rFonts w:ascii="Arial" w:cs="Arial" w:eastAsia="Arial" w:hAnsi="Arial"/>
          <w:sz w:val="19"/>
          <w:szCs w:val="19"/>
          <w:i w:val="1"/>
          <w:iCs w:val="1"/>
          <w:color w:val="auto"/>
        </w:rPr>
        <w:t xml:space="preserve"> </w:t>
      </w:r>
      <w:r>
        <w:rPr>
          <w:rFonts w:ascii="Arial" w:cs="Arial" w:eastAsia="Arial" w:hAnsi="Arial"/>
          <w:sz w:val="19"/>
          <w:szCs w:val="19"/>
          <w:color w:val="auto"/>
        </w:rPr>
        <w:t>computer 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records goodwill when the consideration paid for an acquisition exceeds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determines that the fair value is less than the carrying value, the Company will use a two-step process to determine the amount of goodwill impairment. The first step requires comparing the fair value of the reporting unit to its net book value, including goodwill. A potential impairment exists if the fair value of the reporting unit is lower than its net book value. The second step of the process, performed only if a potential impairment exists, involves determining the difference between the fair value of the reporting unit's net assets, other than goodwill, and the fair value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of the reporting unit. An impairment charge is recognized for the excess of the carrying value of goodwill over its implied fair value. For the years ended December 31, 2019, 2018 and 2017 there were no impairments recorded.</w:t>
      </w:r>
    </w:p>
    <w:p>
      <w:pPr>
        <w:spacing w:after="0" w:line="17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i w:val="1"/>
          <w:iCs w:val="1"/>
          <w:color w:val="auto"/>
        </w:rPr>
        <w:t xml:space="preserve">Other Intangibles </w:t>
      </w:r>
      <w:r>
        <w:rPr>
          <w:rFonts w:ascii="Arial" w:cs="Arial" w:eastAsia="Arial" w:hAnsi="Arial"/>
          <w:sz w:val="19"/>
          <w:szCs w:val="19"/>
          <w:color w:val="auto"/>
        </w:rPr>
        <w:t>– Other Intangibles are comprised primarily of trademarks that represent the Company’s exclusive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ownership of the Monster Energy®, </w:t>
      </w:r>
      <w:r>
        <w:rPr>
          <w:sz w:val="1"/>
          <w:szCs w:val="1"/>
          <w:color w:val="auto"/>
        </w:rPr>
        <w:drawing>
          <wp:inline distT="0" distB="0" distL="0" distR="0">
            <wp:extent cx="102870" cy="1371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Monster Energy Ultra®, Monster Dragon Tea®, Unleash the Beast!®, Monster Rehab®, Monster MAXX®, Java Monster®, Muscle Monster®, Espresso Monster®, Caffé Monster®, Punch Monster®, Juice Monster®, Monster Hydro®, Monster HydroSport Super Fuel®, Caffé Monster®, Reign Total Body Fuel</w:t>
      </w:r>
      <w:r>
        <w:rPr>
          <w:rFonts w:ascii="Arial" w:cs="Arial" w:eastAsia="Arial" w:hAnsi="Arial"/>
          <w:sz w:val="28"/>
          <w:szCs w:val="28"/>
          <w:color w:val="auto"/>
          <w:vertAlign w:val="superscript"/>
        </w:rPr>
        <w:t>TM</w:t>
      </w:r>
      <w:r>
        <w:rPr>
          <w:rFonts w:ascii="Arial" w:cs="Arial" w:eastAsia="Arial" w:hAnsi="Arial"/>
          <w:sz w:val="19"/>
          <w:szCs w:val="19"/>
          <w:color w:val="auto"/>
        </w:rPr>
        <w:t>, Reign Inferno</w:t>
      </w:r>
      <w:r>
        <w:rPr>
          <w:rFonts w:ascii="Arial" w:cs="Arial" w:eastAsia="Arial" w:hAnsi="Arial"/>
          <w:sz w:val="28"/>
          <w:szCs w:val="28"/>
          <w:color w:val="auto"/>
          <w:vertAlign w:val="superscript"/>
        </w:rPr>
        <w:t>TM</w:t>
      </w:r>
      <w:r>
        <w:rPr>
          <w:rFonts w:ascii="Arial" w:cs="Arial" w:eastAsia="Arial" w:hAnsi="Arial"/>
          <w:sz w:val="19"/>
          <w:szCs w:val="19"/>
          <w:color w:val="auto"/>
        </w:rPr>
        <w:t>, Predator®, NOS®, Full Throttle®, Burn®, Mother®, Nalu®, Ultra Energy®, Play® and Power Play® (stylized), Relentless®, BPM®, BU®, Gladiator® and Samurai®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years ended December 31, 2019, 2018 and 2017 there were no impairments recorded.</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Leases </w:t>
      </w:r>
      <w:r>
        <w:rPr>
          <w:rFonts w:ascii="Arial" w:cs="Arial" w:eastAsia="Arial" w:hAnsi="Arial"/>
          <w:sz w:val="20"/>
          <w:szCs w:val="20"/>
          <w:color w:val="auto"/>
        </w:rPr>
        <w:t>– See Note 3.</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Long-Lived Assets </w:t>
      </w:r>
      <w:r>
        <w:rPr>
          <w:rFonts w:ascii="Arial" w:cs="Arial" w:eastAsia="Arial" w:hAnsi="Arial"/>
          <w:sz w:val="19"/>
          <w:szCs w:val="19"/>
          <w:color w:val="auto"/>
        </w:rPr>
        <w:t>– Management regularly reviews property and equipment and other long-lived assets, including</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2019, 2018 and 2017, there were no impairment indicators identified. Long-lived assets held for sale are recorded at the lower of their carrying amount or fair value less cost to sell.</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subsidiaries are translated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loss in stockholders’ equity. During the years ended December 31, 2019, 2018 and 2017,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2019 have terms of three months or less. The Company does not enter into forward currency exchange contracts for speculation or trading purposes.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FASB ASC 815. Therefore, gains and losses on the Company’s foreign currency exchange contracts are recognized in other income, net, in the consolidated statements of income, and are largely offset by the changes in the fair value of the underlying economically hedged item. For the years ended December 31, 2019, 2018 and 2017, aggregate foreign currency transaction losses, including the gains or losses on forward currency exchange contracts, amounted to $4.1 million, $4.0 million and $3.3 million, respectively, and have been recorded in other income, net, in the accompanying consolidated statements of income.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See Note 2.</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Cost of Sales </w:t>
      </w:r>
      <w:r>
        <w:rPr>
          <w:rFonts w:ascii="Arial" w:cs="Arial" w:eastAsia="Arial" w:hAnsi="Arial"/>
          <w:sz w:val="20"/>
          <w:szCs w:val="20"/>
          <w:color w:val="auto"/>
        </w:rPr>
        <w:t>– Cost of sales consists of the costs of flavors, concentrates and/or beverage bases, the costs of raw</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Operating Expenses </w:t>
      </w:r>
      <w:r>
        <w:rPr>
          <w:rFonts w:ascii="Arial" w:cs="Arial" w:eastAsia="Arial" w:hAnsi="Arial"/>
          <w:sz w:val="19"/>
          <w:szCs w:val="19"/>
          <w:color w:val="auto"/>
        </w:rPr>
        <w:t>– Operating expenses include selling expenses such as distribution expenses to transport products</w:t>
      </w:r>
      <w:r>
        <w:rPr>
          <w:rFonts w:ascii="Arial" w:cs="Arial" w:eastAsia="Arial" w:hAnsi="Arial"/>
          <w:sz w:val="19"/>
          <w:szCs w:val="19"/>
          <w:i w:val="1"/>
          <w:iCs w:val="1"/>
          <w:color w:val="auto"/>
        </w:rPr>
        <w:t xml:space="preserve"> </w:t>
      </w:r>
      <w:r>
        <w:rPr>
          <w:rFonts w:ascii="Arial" w:cs="Arial" w:eastAsia="Arial" w:hAnsi="Arial"/>
          <w:sz w:val="19"/>
          <w:szCs w:val="19"/>
          <w:color w:val="auto"/>
        </w:rPr>
        <w:t>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Freight-Out Costs </w:t>
      </w:r>
      <w:r>
        <w:rPr>
          <w:rFonts w:ascii="Arial" w:cs="Arial" w:eastAsia="Arial" w:hAnsi="Arial"/>
          <w:sz w:val="20"/>
          <w:szCs w:val="20"/>
          <w:color w:val="auto"/>
        </w:rPr>
        <w:t>– For the years ended December 31, 2019, 2018 and 2017, freight-out costs amounted to $122.5</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$128.5 million and $91.9 million, respectively, and have been recorded in operating expenses in the accompanying consolidated statements of income.</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Advertising and Promotional Expenses </w:t>
      </w:r>
      <w:r>
        <w:rPr>
          <w:rFonts w:ascii="Arial" w:cs="Arial" w:eastAsia="Arial" w:hAnsi="Arial"/>
          <w:sz w:val="18"/>
          <w:szCs w:val="18"/>
          <w:color w:val="auto"/>
        </w:rPr>
        <w:t>– The Company accounts for advertising production costs by expensing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the periodic performance compliance provisions of the contracts. Advertising and promotional expenses, including, but not limited to, production costs amounted to $391.6 million, $353.9 million and $324.0 million for the years ended December 31, 2019, 2018 and 2017, respectively. Advertising and promotional expenses are included in operating expenses in the accompanying consolidated statements of income.</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FASB</w:t>
      </w:r>
      <w:r>
        <w:rPr>
          <w:rFonts w:ascii="Arial" w:cs="Arial" w:eastAsia="Arial" w:hAnsi="Arial"/>
          <w:sz w:val="19"/>
          <w:szCs w:val="19"/>
          <w:i w:val="1"/>
          <w:iCs w:val="1"/>
          <w:color w:val="auto"/>
        </w:rPr>
        <w:t xml:space="preserve"> </w:t>
      </w:r>
      <w:r>
        <w:rPr>
          <w:rFonts w:ascii="Arial" w:cs="Arial" w:eastAsia="Arial" w:hAnsi="Arial"/>
          <w:sz w:val="19"/>
          <w:szCs w:val="19"/>
          <w:color w:val="auto"/>
        </w:rPr>
        <w:t>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accounts for stock-based compensation under the provisions of FASB</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 See Note 15.</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Net Income Per Common Share </w:t>
      </w:r>
      <w:r>
        <w:rPr>
          <w:rFonts w:ascii="Arial" w:cs="Arial" w:eastAsia="Arial" w:hAnsi="Arial"/>
          <w:sz w:val="20"/>
          <w:szCs w:val="20"/>
          <w:color w:val="auto"/>
        </w:rPr>
        <w:t>– In accordance with FASB ASC 260, net income per common share, on a basic and</w:t>
      </w:r>
      <w:r>
        <w:rPr>
          <w:rFonts w:ascii="Arial" w:cs="Arial" w:eastAsia="Arial" w:hAnsi="Arial"/>
          <w:sz w:val="20"/>
          <w:szCs w:val="20"/>
          <w:i w:val="1"/>
          <w:iCs w:val="1"/>
          <w:color w:val="auto"/>
        </w:rPr>
        <w:t xml:space="preserve"> </w:t>
      </w:r>
      <w:r>
        <w:rPr>
          <w:rFonts w:ascii="Arial" w:cs="Arial" w:eastAsia="Arial" w:hAnsi="Arial"/>
          <w:sz w:val="20"/>
          <w:szCs w:val="20"/>
          <w:color w:val="auto"/>
        </w:rPr>
        <w:t>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Concentration of Risk – </w:t>
      </w:r>
      <w:r>
        <w:rPr>
          <w:rFonts w:ascii="Arial" w:cs="Arial" w:eastAsia="Arial" w:hAnsi="Arial"/>
          <w:sz w:val="19"/>
          <w:szCs w:val="19"/>
          <w:color w:val="auto"/>
        </w:rPr>
        <w:t>Certain of the Company’s products utilize components (raw materials and/or co-packing</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Coca-Cola Company (“TCCC”), through certain wholly-owned subsidiaries (the “TCCC Subsidiaries”), accounted for approximately 2%, 3% and 18% of the Company’s net sales for the years ended December 31, 2019, 2018 and 2017, respectively. As part of TCCC’s North America Refranchising initiative (the “North America Refranchising”), the territories of certain TCCC Subsidiaries have been transitioned to certain independent/non wholly-owned TCCC bottlers/distributors. Accordingly, the Company’s percentage of net sales classified as sales to the TCCC Subsidiaries decreased for the years ended December 31, 2019, 2018 and 2017.</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13% of the Company’s net sales for the years ended December 31, 2019, 2018 and 2017.</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12% and 6% of the Company’s net sales for the years ended December 31, 2019, 2018 and 2017,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10% and 9% of the Company’s net sales for the years ended December 31, 2019, 2018 and 2017,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Credit Risk </w:t>
      </w:r>
      <w:r>
        <w:rPr>
          <w:rFonts w:ascii="Arial" w:cs="Arial" w:eastAsia="Arial" w:hAnsi="Arial"/>
          <w:sz w:val="19"/>
          <w:szCs w:val="19"/>
          <w:color w:val="auto"/>
        </w:rPr>
        <w:t>– The Company sells its products nationally and internationally, primarily to bottlers and full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beverage distributors, retail grocery and specialty chains, wholesalers, club stores, mass merchandisers, convenience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 and</w:t>
      </w:r>
      <w:r>
        <w:rPr>
          <w:rFonts w:ascii="Arial" w:cs="Arial" w:eastAsia="Arial" w:hAnsi="Arial"/>
          <w:sz w:val="20"/>
          <w:szCs w:val="20"/>
          <w:i w:val="1"/>
          <w:iCs w:val="1"/>
          <w:color w:val="auto"/>
        </w:rPr>
        <w:t xml:space="preserve"> </w:t>
      </w:r>
      <w:r>
        <w:rPr>
          <w:rFonts w:ascii="Arial" w:cs="Arial" w:eastAsia="Arial" w:hAnsi="Arial"/>
          <w:sz w:val="20"/>
          <w:szCs w:val="20"/>
          <w:color w:val="auto"/>
        </w:rPr>
        <w:t>cash equivalents, accounts receivable, accounts payable and accrued liabilities, approximate fair value due to the relatively short maturity of the respective instruments.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Use of Estimates </w:t>
      </w:r>
      <w:r>
        <w:rPr>
          <w:rFonts w:ascii="Arial" w:cs="Arial" w:eastAsia="Arial" w:hAnsi="Arial"/>
          <w:sz w:val="20"/>
          <w:szCs w:val="20"/>
          <w:color w:val="auto"/>
        </w:rPr>
        <w:t>– The preparation of the consolidated financial statements in conformity with GAAP requires</w:t>
      </w:r>
      <w:r>
        <w:rPr>
          <w:rFonts w:ascii="Arial" w:cs="Arial" w:eastAsia="Arial" w:hAnsi="Arial"/>
          <w:sz w:val="20"/>
          <w:szCs w:val="20"/>
          <w:i w:val="1"/>
          <w:iCs w:val="1"/>
          <w:color w:val="auto"/>
        </w:rPr>
        <w:t xml:space="preserve"> </w:t>
      </w:r>
      <w:r>
        <w:rPr>
          <w:rFonts w:ascii="Arial" w:cs="Arial" w:eastAsia="Arial" w:hAnsi="Arial"/>
          <w:sz w:val="20"/>
          <w:szCs w:val="20"/>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Recent Accounting Pronouncements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Recently issued accounting pronouncements not yet adopted</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December 2019, the FASB issued Accounting Standards Update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The guidance is effective for interim and annual periods beginning after December 15, 2020, with early adoption permitted. The Company is currently evaluating the impact of ASU No. 2019-12 on its financial position, results of operations and liquidity.</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In August 2018, the FASB issued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was effective for the Company on a prospective or retrospective basis beginning on January 1, 2020. The adoption of ASU No. 2018-15 is not expected to have a material impact on the Company’s financial position, results of operations and liquidity.</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August 2018, the FASB issued ASU No. 2018-14, “Compensation–Retirement Benefits–Defined Benefit Plans– 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was effective for the Company on a retrospective basis beginning in the year ending December 31, 2020. The adoption of ASU No. 2018-14 is not expected to have a material impact on the Company’s financial position, results of operations and liquidity.</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was effective for the Company beginning on January 1, 2020. Certain disclosures in the new guidance will need to be applied on a retrospective basis and others on a prospective basis. The adoption of ASU No. 2018-13 is not expected to have a material impact on the Company’s financial position, results of operations and liquidity.</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The adoption of ASU No. 2017-04 is not expected to have a material impact on the Company’s financial position, results of operations and liquidity.</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was effective for fiscal years, and interim periods within those years, beginning after December 15, 2019. The adoption of ASU No. 2016-13 is not expected to have a material impact on the Company’s financial position, results of operations and liquidity.</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20"/>
          <w:szCs w:val="20"/>
          <w:i w:val="1"/>
          <w:iCs w:val="1"/>
          <w:u w:val="single" w:color="auto"/>
          <w:color w:val="auto"/>
        </w:rPr>
        <w:t>Recently adopted accounting pronouncements</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February 2018, the FASB issued ASU No. 2018-02 (ASU No. 2018-02), “Income Statement - Reporting Comprehensive Income (Topic 220)”, which amended the previous guidance to allow for certain tax effects “stranded” in accumulated other comprehensive income, which are impacted by the Tax Reform Act signed into law on December 22, 2017, to be reclassified from accumulated other comprehensive income into retained earnings. This amendment pertains only to those items impacted by the new tax law and does not apply to any future tax effects stranded in accumulated other comprehensive income. This standard was effective for fiscal years beginning after December 15, 2018, and allowed for early adoption. The adoption of ASU No. 2018-02 did not have an impact on the Company’s financial position, results of operations and liquidity.</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In February 2016, the FASB issued ASU No. 2016-02, “Leases (Topic 842)”. ASU No. 2016-02 requires the recognition of lease assets and lease liabilities on the balance sheet for leases classified as operating leases under previous guidance. The accounting for finance leases (capital leases) was substantially unchanged. The original guidance required application on a modified retrospective basis with adjustments to the earliest comparative period presented. In August 2018, the FASB issued ASU No. 2018-11, “Targeted Improvements to ASC 842,” which included an option to not restate comparative periods in transition and elect to use the effective date of ASU No. 2016-02 as the date of initial application, which the Company elected. As a result, the consolidated balance sheet prior to January 1, 2019 was not restated, and continues to be reported under previous guidance that did not require the recognition of operating lease liabilities and corresponding lease assets on the consolidated balance sheet. With the adoption of ASU No. 2016-02 on January 1, 2019, the Company recorded operating lease right-of-use assets of $26.3 million and operating lease liabilities of $22.6 million. The adoption of ASU No. 2016-02 had an immaterial impact on the Company’s consolidated statement of income and consolidated statement of cash flows for the year ended December 31, 2019. In addition, the Company elected the package of practical expedients permitted under the transition guidance within the new standard, which allowed the Company to carry forward the historical lease classification, not reassess prior conclusions related to expired or existing contracts that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7" w:name="page88"/>
    <w:bookmarkEnd w:id="87"/>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are or that contain leases, and not reassess the accounting for initial direct costs. Additional information and disclosures required by ASU No. 2016-02 are contained in Note 3.</w:t>
      </w:r>
    </w:p>
    <w:p>
      <w:pPr>
        <w:spacing w:after="0" w:line="190" w:lineRule="exact"/>
        <w:rPr>
          <w:sz w:val="20"/>
          <w:szCs w:val="20"/>
          <w:color w:val="auto"/>
        </w:rPr>
      </w:pPr>
    </w:p>
    <w:p>
      <w:pPr>
        <w:ind w:left="641" w:hanging="641"/>
        <w:spacing w:after="0"/>
        <w:tabs>
          <w:tab w:leader="none" w:pos="641" w:val="left"/>
        </w:tabs>
        <w:numPr>
          <w:ilvl w:val="0"/>
          <w:numId w:val="41"/>
        </w:numPr>
        <w:rPr>
          <w:rFonts w:ascii="Arial" w:cs="Arial" w:eastAsia="Arial" w:hAnsi="Arial"/>
          <w:sz w:val="20"/>
          <w:szCs w:val="20"/>
          <w:color w:val="auto"/>
        </w:rPr>
      </w:pPr>
      <w:r>
        <w:rPr>
          <w:rFonts w:ascii="Arial" w:cs="Arial" w:eastAsia="Arial" w:hAnsi="Arial"/>
          <w:sz w:val="20"/>
          <w:szCs w:val="20"/>
          <w:color w:val="auto"/>
        </w:rPr>
        <w:t>REVENUE RECOGNITION</w:t>
      </w:r>
    </w:p>
    <w:p>
      <w:pPr>
        <w:spacing w:after="0" w:line="216"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0"/>
          <w:szCs w:val="20"/>
          <w:color w:val="auto"/>
        </w:rPr>
        <w:t>Revenues are accounted for in accordance with ASC 606 “Revenue from Contracts with Consumers” for the years ended December 31, 2019 and 2018. For the year ended December 31, 2017, revenues were accounted for under prior accounting guidance, ASC 605 “Revenue Recognition.” Commissions paid to TCCC based on sales to certain of the Company’s bottlers/distributors who are (i) TCCC Subsidiaries, (ii) accounted for under the equity method by TCCC (the “TCCC Related Parties”) and (iii) those not included in (i) or (ii) (the “TCCC Independent Bottlers”) are accounted for as follows:</w:t>
      </w:r>
    </w:p>
    <w:p>
      <w:pPr>
        <w:spacing w:after="0" w:line="226" w:lineRule="exact"/>
        <w:rPr>
          <w:sz w:val="20"/>
          <w:szCs w:val="20"/>
          <w:color w:val="auto"/>
        </w:rPr>
      </w:pPr>
    </w:p>
    <w:tbl>
      <w:tblPr>
        <w:tblLayout w:type="fixed"/>
        <w:tblInd w:w="1001"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Year Ended</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Year Ended</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Year Ended</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December 31, 2019</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December 31, 2018</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Commissions Related To:</w:t>
            </w: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(ASC 606)</w:t>
            </w:r>
          </w:p>
        </w:tc>
        <w:tc>
          <w:tcPr>
            <w:tcW w:w="20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(ASC 606)</w:t>
            </w:r>
          </w:p>
        </w:tc>
        <w:tc>
          <w:tcPr>
            <w:tcW w:w="2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(ASC 605)</w:t>
            </w:r>
          </w:p>
        </w:tc>
      </w:tr>
      <w:tr>
        <w:trPr>
          <w:trHeight w:val="195"/>
        </w:trPr>
        <w:tc>
          <w:tcPr>
            <w:tcW w:w="2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TCCC Subsidiaries</w:t>
            </w:r>
          </w:p>
        </w:tc>
        <w:tc>
          <w:tcPr>
            <w:tcW w:w="20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Reduction to net sales</w:t>
            </w:r>
          </w:p>
        </w:tc>
        <w:tc>
          <w:tcPr>
            <w:tcW w:w="200" w:type="dxa"/>
            <w:vAlign w:val="bottom"/>
          </w:tcPr>
          <w:p>
            <w:pPr>
              <w:spacing w:after="0"/>
              <w:rPr>
                <w:sz w:val="16"/>
                <w:szCs w:val="16"/>
                <w:color w:val="auto"/>
              </w:rPr>
            </w:pPr>
          </w:p>
        </w:tc>
        <w:tc>
          <w:tcPr>
            <w:tcW w:w="1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Reduction to net sales</w:t>
            </w:r>
          </w:p>
        </w:tc>
        <w:tc>
          <w:tcPr>
            <w:tcW w:w="200" w:type="dxa"/>
            <w:vAlign w:val="bottom"/>
          </w:tcPr>
          <w:p>
            <w:pPr>
              <w:spacing w:after="0"/>
              <w:rPr>
                <w:sz w:val="16"/>
                <w:szCs w:val="16"/>
                <w:color w:val="auto"/>
              </w:rPr>
            </w:pPr>
          </w:p>
        </w:tc>
        <w:tc>
          <w:tcPr>
            <w:tcW w:w="1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Reduction to net sales</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TCCC Related Parties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w w:val="90"/>
              </w:rPr>
              <w:t>Reduction to net sales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w w:val="90"/>
              </w:rPr>
              <w:t>Reduction to net sales</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Operating expenses</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TCCC Independent Bottlers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840" w:type="dxa"/>
            <w:vAlign w:val="bottom"/>
            <w:gridSpan w:val="2"/>
          </w:tcPr>
          <w:p>
            <w:pPr>
              <w:ind w:left="200"/>
              <w:spacing w:after="0"/>
              <w:rPr>
                <w:sz w:val="20"/>
                <w:szCs w:val="20"/>
                <w:color w:val="auto"/>
              </w:rPr>
            </w:pPr>
            <w:r>
              <w:rPr>
                <w:rFonts w:ascii="Arial" w:cs="Arial" w:eastAsia="Arial" w:hAnsi="Arial"/>
                <w:sz w:val="18"/>
                <w:szCs w:val="18"/>
                <w:color w:val="auto"/>
              </w:rPr>
              <w:t>Operating expenses</w:t>
            </w:r>
          </w:p>
        </w:tc>
      </w:tr>
    </w:tbl>
    <w:p>
      <w:pPr>
        <w:spacing w:after="0" w:line="213"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19"/>
          <w:szCs w:val="19"/>
          <w:color w:val="auto"/>
        </w:rPr>
        <w:t>The Company has three operating and reportable segments; (i) Monster Energy® Drinks segment (“Monster Energy® Drinks”), which is primarily comprised of the Company’s Monster Energy® drinks and Reign Total Body Fuel</w:t>
      </w:r>
      <w:r>
        <w:rPr>
          <w:rFonts w:ascii="Arial" w:cs="Arial" w:eastAsia="Arial" w:hAnsi="Arial"/>
          <w:sz w:val="28"/>
          <w:szCs w:val="28"/>
          <w:color w:val="auto"/>
          <w:vertAlign w:val="superscript"/>
        </w:rPr>
        <w:t>TM</w:t>
      </w:r>
      <w:r>
        <w:rPr>
          <w:rFonts w:ascii="Arial" w:cs="Arial" w:eastAsia="Arial" w:hAnsi="Arial"/>
          <w:sz w:val="19"/>
          <w:szCs w:val="19"/>
          <w:color w:val="auto"/>
        </w:rPr>
        <w:t xml:space="preserve"> high performance energy drinks, (ii) Strategic Brands segment (“Strategic Brands”), which is primarily comprised of the various energy drink brands acquired from TCCC in 2015 as well as the Company’s affordable energy brands, and (iii) Other segment (“Other”), which is comprised of certain products sold by American Fruits and Flavors, LLC, a wholly-owned subsidiary of the Company, to independent third-party customers.</w:t>
      </w:r>
    </w:p>
    <w:p>
      <w:pPr>
        <w:spacing w:after="0" w:line="197"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The Company’s Monster Energy® Drinks segment generates net operating revenues by 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value stores, e-commerce retailers and the military.</w:t>
      </w:r>
    </w:p>
    <w:p>
      <w:pPr>
        <w:spacing w:after="0" w:line="192" w:lineRule="exact"/>
        <w:rPr>
          <w:sz w:val="20"/>
          <w:szCs w:val="20"/>
          <w:color w:val="auto"/>
        </w:rPr>
      </w:pPr>
    </w:p>
    <w:p>
      <w:pPr>
        <w:jc w:val="both"/>
        <w:ind w:left="1" w:firstLine="648"/>
        <w:spacing w:after="0" w:line="313" w:lineRule="auto"/>
        <w:rPr>
          <w:sz w:val="20"/>
          <w:szCs w:val="20"/>
          <w:color w:val="auto"/>
        </w:rPr>
      </w:pPr>
      <w:r>
        <w:rPr>
          <w:rFonts w:ascii="Arial" w:cs="Arial" w:eastAsia="Arial" w:hAnsi="Arial"/>
          <w:sz w:val="16"/>
          <w:szCs w:val="16"/>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 and full service 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 and full service beverage distributors.</w:t>
      </w:r>
    </w:p>
    <w:p>
      <w:pPr>
        <w:spacing w:after="0" w:line="144"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duration. The Company does not have significant financing components or payment terms. The Company did not have any material unsatisfied performance obligations as of December 31, 2019 and December 31, 2018.</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7"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30" w:lineRule="exact"/>
        <w:rPr>
          <w:sz w:val="20"/>
          <w:szCs w:val="20"/>
          <w:color w:val="auto"/>
        </w:rPr>
      </w:pPr>
    </w:p>
    <w:p>
      <w:pPr>
        <w:ind w:left="1320" w:hanging="322"/>
        <w:spacing w:after="0"/>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320" w:right="20" w:hanging="322"/>
        <w:spacing w:after="0" w:line="266"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20" w:right="20" w:hanging="322"/>
        <w:spacing w:after="0" w:line="239" w:lineRule="auto"/>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spacing w:after="0" w:line="1" w:lineRule="exact"/>
        <w:rPr>
          <w:rFonts w:ascii="Arial" w:cs="Arial" w:eastAsia="Arial" w:hAnsi="Arial"/>
          <w:sz w:val="20"/>
          <w:szCs w:val="20"/>
          <w:color w:val="auto"/>
        </w:rPr>
      </w:pPr>
    </w:p>
    <w:p>
      <w:pPr>
        <w:ind w:left="1320" w:hanging="322"/>
        <w:spacing w:after="0" w:line="239" w:lineRule="auto"/>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Company’s agreed share of slotting, shelf space allowances and other fees given directly to retailers, club stores and/or wholesalers;</w:t>
      </w:r>
    </w:p>
    <w:p>
      <w:pPr>
        <w:spacing w:after="0" w:line="1" w:lineRule="exact"/>
        <w:rPr>
          <w:rFonts w:ascii="Arial" w:cs="Arial" w:eastAsia="Arial" w:hAnsi="Arial"/>
          <w:sz w:val="20"/>
          <w:szCs w:val="20"/>
          <w:color w:val="auto"/>
        </w:rPr>
      </w:pPr>
    </w:p>
    <w:p>
      <w:pPr>
        <w:ind w:left="1320" w:hanging="322"/>
        <w:spacing w:after="0" w:line="239" w:lineRule="auto"/>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spacing w:after="0" w:line="1" w:lineRule="exact"/>
        <w:rPr>
          <w:rFonts w:ascii="Arial" w:cs="Arial" w:eastAsia="Arial" w:hAnsi="Arial"/>
          <w:sz w:val="20"/>
          <w:szCs w:val="20"/>
          <w:color w:val="auto"/>
        </w:rPr>
      </w:pPr>
    </w:p>
    <w:p>
      <w:pPr>
        <w:ind w:left="1320" w:hanging="322"/>
        <w:spacing w:after="0"/>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320" w:hanging="322"/>
        <w:spacing w:after="0" w:line="239" w:lineRule="auto"/>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Arial" w:cs="Arial" w:eastAsia="Arial" w:hAnsi="Arial"/>
          <w:sz w:val="20"/>
          <w:szCs w:val="20"/>
          <w:color w:val="auto"/>
        </w:rPr>
      </w:pPr>
    </w:p>
    <w:p>
      <w:pPr>
        <w:ind w:left="1320" w:hanging="322"/>
        <w:spacing w:after="0" w:line="244" w:lineRule="auto"/>
        <w:tabs>
          <w:tab w:leader="none" w:pos="132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commissions paid to TCCC based on the Company’s sales to the TCCC Subsidiaries and/or to the TCCC Related Parties.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over 20 years.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Disaggregation of Revenue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table disaggregates the Company’s revenue by geographical markets and reportable segments: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10"/>
          </w:tcPr>
          <w:p>
            <w:pPr>
              <w:jc w:val="center"/>
              <w:ind w:right="70"/>
              <w:spacing w:after="0"/>
              <w:rPr>
                <w:sz w:val="20"/>
                <w:szCs w:val="20"/>
                <w:color w:val="auto"/>
              </w:rPr>
            </w:pPr>
            <w:r>
              <w:rPr>
                <w:rFonts w:ascii="Arial" w:cs="Arial" w:eastAsia="Arial" w:hAnsi="Arial"/>
                <w:sz w:val="18"/>
                <w:szCs w:val="18"/>
                <w:color w:val="auto"/>
                <w:w w:val="89"/>
              </w:rPr>
              <w:t>Year Ended December 31, 2019</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U.S.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8"/>
                <w:szCs w:val="18"/>
                <w:color w:val="auto"/>
              </w:rPr>
              <w:t>EMEA</w:t>
            </w:r>
            <w:r>
              <w:rPr>
                <w:rFonts w:ascii="Arial" w:cs="Arial" w:eastAsia="Arial" w:hAnsi="Arial"/>
                <w:sz w:val="27"/>
                <w:szCs w:val="27"/>
                <w:color w:val="auto"/>
                <w:vertAlign w:val="superscript"/>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Asia Pacific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9"/>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Monster Energy® Drinks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2,799,701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599,706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gridSpan w:val="2"/>
          </w:tcPr>
          <w:p>
            <w:pPr>
              <w:jc w:val="right"/>
              <w:ind w:right="57"/>
              <w:spacing w:after="0" w:line="195"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326,684</w:t>
            </w:r>
          </w:p>
        </w:tc>
        <w:tc>
          <w:tcPr>
            <w:tcW w:w="20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177,938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3,904,029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Strategic Brands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173,968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21,865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2,995,534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674,509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jc w:val="right"/>
              <w:ind w:right="57"/>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351,744</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4,200,819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0"/>
          </w:tcPr>
          <w:p>
            <w:pPr>
              <w:jc w:val="center"/>
              <w:ind w:right="70"/>
              <w:spacing w:after="0"/>
              <w:rPr>
                <w:sz w:val="20"/>
                <w:szCs w:val="20"/>
                <w:color w:val="auto"/>
              </w:rPr>
            </w:pPr>
            <w:r>
              <w:rPr>
                <w:rFonts w:ascii="Arial" w:cs="Arial" w:eastAsia="Arial" w:hAnsi="Arial"/>
                <w:sz w:val="18"/>
                <w:szCs w:val="18"/>
                <w:color w:val="auto"/>
                <w:w w:val="89"/>
              </w:rPr>
              <w:t>Year Ended December 31,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U.S.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8"/>
                <w:szCs w:val="18"/>
                <w:color w:val="auto"/>
              </w:rPr>
              <w:t>EMEA</w:t>
            </w:r>
            <w:r>
              <w:rPr>
                <w:rFonts w:ascii="Arial" w:cs="Arial" w:eastAsia="Arial" w:hAnsi="Arial"/>
                <w:sz w:val="27"/>
                <w:szCs w:val="27"/>
                <w:color w:val="auto"/>
                <w:vertAlign w:val="superscript"/>
              </w:rPr>
              <w:t>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Net Sales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ind w:left="1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Asia Pacific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Monster Energy® Drinks</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2,627,000</w:t>
            </w: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500,826</w:t>
            </w: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225,172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145,429</w:t>
            </w:r>
          </w:p>
        </w:tc>
        <w:tc>
          <w:tcPr>
            <w:tcW w:w="240" w:type="dxa"/>
            <w:vAlign w:val="bottom"/>
            <w:gridSpan w:val="2"/>
          </w:tcPr>
          <w:p>
            <w:pPr>
              <w:spacing w:after="0"/>
              <w:rPr>
                <w:sz w:val="16"/>
                <w:szCs w:val="16"/>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3,498,427</w:t>
            </w:r>
          </w:p>
        </w:tc>
        <w:tc>
          <w:tcPr>
            <w:tcW w:w="0" w:type="dxa"/>
            <w:vAlign w:val="bottom"/>
          </w:tcPr>
          <w:p>
            <w:pPr>
              <w:spacing w:after="0"/>
              <w:rPr>
                <w:sz w:val="1"/>
                <w:szCs w:val="1"/>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Strategic Brands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179,677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285,836</w:t>
            </w:r>
          </w:p>
        </w:tc>
        <w:tc>
          <w:tcPr>
            <w:tcW w:w="0" w:type="dxa"/>
            <w:vAlign w:val="bottom"/>
          </w:tcPr>
          <w:p>
            <w:pPr>
              <w:spacing w:after="0"/>
              <w:rPr>
                <w:sz w:val="1"/>
                <w:szCs w:val="1"/>
                <w:color w:val="auto"/>
              </w:rPr>
            </w:pPr>
          </w:p>
        </w:tc>
      </w:tr>
      <w:tr>
        <w:trPr>
          <w:trHeight w:val="230"/>
        </w:trPr>
        <w:tc>
          <w:tcPr>
            <w:tcW w:w="4020" w:type="dxa"/>
            <w:vAlign w:val="bottom"/>
            <w:gridSpan w:val="4"/>
          </w:tcPr>
          <w:p>
            <w:pPr>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22,920</w:t>
            </w:r>
          </w:p>
        </w:tc>
        <w:tc>
          <w:tcPr>
            <w:tcW w:w="0" w:type="dxa"/>
            <w:vAlign w:val="bottom"/>
          </w:tcPr>
          <w:p>
            <w:pPr>
              <w:spacing w:after="0"/>
              <w:rPr>
                <w:sz w:val="1"/>
                <w:szCs w:val="1"/>
                <w:color w:val="auto"/>
              </w:rPr>
            </w:pPr>
          </w:p>
        </w:tc>
      </w:tr>
      <w:tr>
        <w:trPr>
          <w:trHeight w:val="210"/>
        </w:trPr>
        <w:tc>
          <w:tcPr>
            <w:tcW w:w="4020" w:type="dxa"/>
            <w:vAlign w:val="bottom"/>
            <w:gridSpan w:val="4"/>
          </w:tcPr>
          <w:p>
            <w:pPr>
              <w:spacing w:after="0"/>
              <w:rPr>
                <w:sz w:val="20"/>
                <w:szCs w:val="20"/>
                <w:color w:val="auto"/>
              </w:rPr>
            </w:pPr>
            <w:r>
              <w:rPr>
                <w:rFonts w:ascii="Arial" w:cs="Arial" w:eastAsia="Arial" w:hAnsi="Arial"/>
                <w:sz w:val="18"/>
                <w:szCs w:val="18"/>
                <w:color w:val="auto"/>
              </w:rPr>
              <w:t>Total Net Sales</w:t>
            </w:r>
          </w:p>
        </w:tc>
        <w:tc>
          <w:tcPr>
            <w:tcW w:w="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2,829,597</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578,667</w:t>
            </w: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147,493</w:t>
            </w:r>
          </w:p>
        </w:tc>
        <w:tc>
          <w:tcPr>
            <w:tcW w:w="24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3,807,183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Europe, Middle East and Africa (“EMEA”)</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Contract Liabilities</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Amounts received from certain bottlers/distributors at inception of their distribution contracts or at the inception of certain sales/marketing programs are accounted for as deferred revenue. As of December 31, 2019 and 2018, the Company had $331.7 million and $356.3 million of deferred revenue, respectively, which is included in current and long-term deferred revenue in the Company’s consolidated balance sheet. During the years ended December 31, 2019, 2018 and 2017, $46.3 million, $44.3 million and $43.4 million, respectively, of deferred revenue, was recognized in net sales. See Note 10.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90" w:name="page91"/>
    <w:bookmarkEnd w:id="9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43"/>
        </w:numPr>
        <w:rPr>
          <w:rFonts w:ascii="Arial" w:cs="Arial" w:eastAsia="Arial" w:hAnsi="Arial"/>
          <w:sz w:val="20"/>
          <w:szCs w:val="20"/>
          <w:color w:val="auto"/>
        </w:rPr>
      </w:pPr>
      <w:r>
        <w:rPr>
          <w:rFonts w:ascii="Arial" w:cs="Arial" w:eastAsia="Arial" w:hAnsi="Arial"/>
          <w:sz w:val="20"/>
          <w:szCs w:val="20"/>
          <w:color w:val="auto"/>
        </w:rPr>
        <w:t>LEASES</w:t>
      </w:r>
    </w:p>
    <w:p>
      <w:pPr>
        <w:spacing w:after="0" w:line="216" w:lineRule="exact"/>
        <w:rPr>
          <w:sz w:val="20"/>
          <w:szCs w:val="20"/>
          <w:color w:val="auto"/>
        </w:rPr>
      </w:pPr>
    </w:p>
    <w:p>
      <w:pPr>
        <w:jc w:val="both"/>
        <w:ind w:left="1" w:firstLine="648"/>
        <w:spacing w:after="0" w:line="257" w:lineRule="auto"/>
        <w:rPr>
          <w:sz w:val="20"/>
          <w:szCs w:val="20"/>
          <w:color w:val="auto"/>
        </w:rPr>
      </w:pPr>
      <w:r>
        <w:rPr>
          <w:rFonts w:ascii="Arial" w:cs="Arial" w:eastAsia="Arial" w:hAnsi="Arial"/>
          <w:sz w:val="19"/>
          <w:szCs w:val="19"/>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1"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Leases are classified as either finance leases or operating leases based on criteria in ASC 842. The Company’s operating leases are comprised of real estate and warehouse equipment, and the Company’s finance leases are comprised of vehicles.</w:t>
      </w:r>
    </w:p>
    <w:p>
      <w:pPr>
        <w:spacing w:after="0" w:line="186"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0"/>
          <w:szCs w:val="20"/>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commencement date. ROU assets also include any lease payments made and exclude lease incentives. Lease terms include options to extend or terminate the lease when it is reasonably certain that the Company will exercise that option.</w:t>
      </w:r>
    </w:p>
    <w:p>
      <w:pPr>
        <w:spacing w:after="0" w:line="196"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62" w:lineRule="exact"/>
        <w:rPr>
          <w:sz w:val="20"/>
          <w:szCs w:val="20"/>
          <w:color w:val="auto"/>
        </w:rPr>
      </w:pPr>
    </w:p>
    <w:p>
      <w:pPr>
        <w:jc w:val="both"/>
        <w:ind w:left="1" w:firstLine="648"/>
        <w:spacing w:after="0" w:line="278" w:lineRule="auto"/>
        <w:rPr>
          <w:sz w:val="20"/>
          <w:szCs w:val="20"/>
          <w:color w:val="auto"/>
        </w:rPr>
      </w:pPr>
      <w:r>
        <w:rPr>
          <w:rFonts w:ascii="Arial" w:cs="Arial" w:eastAsia="Arial" w:hAnsi="Arial"/>
          <w:sz w:val="18"/>
          <w:szCs w:val="18"/>
          <w:color w:val="auto"/>
        </w:rPr>
        <w:t>Lease expense for operating leases, consisting of lease payments, is recognized on a straight-line basis over the lease term and is included in operating expenses in the consolidated statement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other income, net in the consolidated statement of income.</w:t>
      </w:r>
    </w:p>
    <w:p>
      <w:pPr>
        <w:spacing w:after="0" w:line="165"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The Company’s leases have remaining lease terms of less than one year to 14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components of lease cost for the year ended December 31, 2019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Operating lease cost</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Short-term least cost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Finance leases:</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120"/>
              <w:spacing w:after="0"/>
              <w:rPr>
                <w:sz w:val="20"/>
                <w:szCs w:val="20"/>
                <w:color w:val="auto"/>
              </w:rPr>
            </w:pPr>
            <w:r>
              <w:rPr>
                <w:rFonts w:ascii="Arial" w:cs="Arial" w:eastAsia="Arial" w:hAnsi="Arial"/>
                <w:sz w:val="18"/>
                <w:szCs w:val="18"/>
                <w:color w:val="auto"/>
              </w:rPr>
              <w:t>Amortization of ROU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8820" w:type="dxa"/>
            <w:vAlign w:val="bottom"/>
          </w:tcPr>
          <w:p>
            <w:pPr>
              <w:ind w:left="120"/>
              <w:spacing w:after="0"/>
              <w:rPr>
                <w:sz w:val="20"/>
                <w:szCs w:val="20"/>
                <w:color w:val="auto"/>
              </w:rPr>
            </w:pPr>
            <w:r>
              <w:rPr>
                <w:rFonts w:ascii="Arial" w:cs="Arial" w:eastAsia="Arial" w:hAnsi="Arial"/>
                <w:sz w:val="18"/>
                <w:szCs w:val="18"/>
                <w:color w:val="auto"/>
              </w:rPr>
              <w:t>Interest on lease liabilities</w:t>
            </w: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4"/>
        </w:trPr>
        <w:tc>
          <w:tcPr>
            <w:tcW w:w="882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2"/>
        </w:trPr>
        <w:tc>
          <w:tcPr>
            <w:tcW w:w="882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20" w:type="dxa"/>
            <w:vAlign w:val="bottom"/>
            <w:vMerge w:val="restart"/>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Rent expense under operating lease agreements was $6.1 million and $10.7 million for the years ended December 31, 2018 and 2017, respectively.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Supplemental cash flow information for leases for the year ended December 31, 2019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2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4,077</w:t>
            </w: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2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2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2,223</w:t>
            </w:r>
          </w:p>
        </w:tc>
      </w:tr>
      <w:tr>
        <w:trPr>
          <w:trHeight w:val="418"/>
        </w:trPr>
        <w:tc>
          <w:tcPr>
            <w:tcW w:w="696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69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30"/>
        </w:trPr>
        <w:tc>
          <w:tcPr>
            <w:tcW w:w="69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34,931</w:t>
            </w: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ROU assets for operating and finance leases at December 31, 2019 were comprised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vMerge w:val="restart"/>
          </w:tcPr>
          <w:p>
            <w:pPr>
              <w:spacing w:after="0"/>
              <w:rPr>
                <w:sz w:val="20"/>
                <w:szCs w:val="20"/>
                <w:color w:val="auto"/>
              </w:rPr>
            </w:pPr>
            <w:r>
              <w:rPr>
                <w:rFonts w:ascii="Arial" w:cs="Arial" w:eastAsia="Arial" w:hAnsi="Arial"/>
                <w:sz w:val="18"/>
                <w:szCs w:val="18"/>
                <w:color w:val="auto"/>
              </w:rPr>
              <w:t>Operating leases</w:t>
            </w:r>
          </w:p>
        </w:tc>
        <w:tc>
          <w:tcPr>
            <w:tcW w:w="18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Real Estate</w:t>
            </w:r>
          </w:p>
        </w:tc>
        <w:tc>
          <w:tcPr>
            <w:tcW w:w="200" w:type="dxa"/>
            <w:vAlign w:val="bottom"/>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Equipment</w:t>
            </w:r>
          </w:p>
        </w:tc>
        <w:tc>
          <w:tcPr>
            <w:tcW w:w="20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21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Balance Sheet Location</w:t>
            </w:r>
          </w:p>
        </w:tc>
        <w:tc>
          <w:tcPr>
            <w:tcW w:w="0" w:type="dxa"/>
            <w:vAlign w:val="bottom"/>
          </w:tcPr>
          <w:p>
            <w:pPr>
              <w:spacing w:after="0"/>
              <w:rPr>
                <w:sz w:val="1"/>
                <w:szCs w:val="1"/>
                <w:color w:val="auto"/>
              </w:rPr>
            </w:pPr>
          </w:p>
        </w:tc>
      </w:tr>
      <w:tr>
        <w:trPr>
          <w:trHeight w:val="195"/>
        </w:trPr>
        <w:tc>
          <w:tcPr>
            <w:tcW w:w="3040" w:type="dxa"/>
            <w:vAlign w:val="bottom"/>
            <w:vMerge w:val="continue"/>
          </w:tcPr>
          <w:p>
            <w:pPr>
              <w:spacing w:after="0"/>
              <w:rPr>
                <w:sz w:val="16"/>
                <w:szCs w:val="16"/>
                <w:color w:val="auto"/>
              </w:rPr>
            </w:pPr>
          </w:p>
        </w:tc>
        <w:tc>
          <w:tcPr>
            <w:tcW w:w="186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  30,926</w:t>
            </w:r>
          </w:p>
        </w:tc>
        <w:tc>
          <w:tcPr>
            <w:tcW w:w="20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416</w:t>
            </w:r>
          </w:p>
        </w:tc>
        <w:tc>
          <w:tcPr>
            <w:tcW w:w="20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95"/>
              </w:rPr>
              <w:t>$  31,342</w:t>
            </w:r>
          </w:p>
        </w:tc>
        <w:tc>
          <w:tcPr>
            <w:tcW w:w="180" w:type="dxa"/>
            <w:vAlign w:val="bottom"/>
          </w:tcPr>
          <w:p>
            <w:pPr>
              <w:spacing w:after="0"/>
              <w:rPr>
                <w:sz w:val="16"/>
                <w:szCs w:val="16"/>
                <w:color w:val="auto"/>
              </w:rPr>
            </w:pPr>
          </w:p>
        </w:tc>
        <w:tc>
          <w:tcPr>
            <w:tcW w:w="2160" w:type="dxa"/>
            <w:vAlign w:val="bottom"/>
          </w:tcPr>
          <w:p>
            <w:pPr>
              <w:spacing w:after="0" w:line="195" w:lineRule="exact"/>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Finance leases</w:t>
            </w:r>
          </w:p>
        </w:tc>
        <w:tc>
          <w:tcPr>
            <w:tcW w:w="18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w w:val="93"/>
              </w:rPr>
              <w:t>Property and Equipment, net</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weighted-average remaining lease term and weighted-average discount rate for operating and finance leases at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2019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(years)</w:t>
            </w:r>
          </w:p>
        </w:tc>
        <w:tc>
          <w:tcPr>
            <w:tcW w:w="292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Operating Leases</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Finance Leases</w:t>
            </w: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24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460" w:type="dxa"/>
            <w:vAlign w:val="bottom"/>
            <w:gridSpan w:val="3"/>
          </w:tcPr>
          <w:p>
            <w:pPr>
              <w:jc w:val="right"/>
              <w:ind w:right="100"/>
              <w:spacing w:after="0"/>
              <w:rPr>
                <w:sz w:val="20"/>
                <w:szCs w:val="20"/>
                <w:color w:val="auto"/>
              </w:rPr>
            </w:pPr>
            <w:r>
              <w:rPr>
                <w:rFonts w:ascii="Arial" w:cs="Arial" w:eastAsia="Arial" w:hAnsi="Arial"/>
                <w:sz w:val="18"/>
                <w:szCs w:val="18"/>
                <w:color w:val="auto"/>
              </w:rPr>
              <w:t>3.1 %</w:t>
            </w:r>
          </w:p>
        </w:tc>
        <w:tc>
          <w:tcPr>
            <w:tcW w:w="1420" w:type="dxa"/>
            <w:vAlign w:val="bottom"/>
            <w:gridSpan w:val="2"/>
          </w:tcPr>
          <w:p>
            <w:pPr>
              <w:ind w:left="960"/>
              <w:spacing w:after="0"/>
              <w:rPr>
                <w:sz w:val="20"/>
                <w:szCs w:val="20"/>
                <w:color w:val="auto"/>
              </w:rPr>
            </w:pPr>
            <w:r>
              <w:rPr>
                <w:rFonts w:ascii="Arial" w:cs="Arial" w:eastAsia="Arial" w:hAnsi="Arial"/>
                <w:sz w:val="18"/>
                <w:szCs w:val="18"/>
                <w:color w:val="auto"/>
                <w:w w:val="95"/>
              </w:rPr>
              <w:t>2.9 %</w:t>
            </w:r>
          </w:p>
        </w:tc>
        <w:tc>
          <w:tcPr>
            <w:tcW w:w="0" w:type="dxa"/>
            <w:vAlign w:val="bottom"/>
          </w:tcPr>
          <w:p>
            <w:pPr>
              <w:spacing w:after="0"/>
              <w:rPr>
                <w:sz w:val="1"/>
                <w:szCs w:val="1"/>
                <w:color w:val="auto"/>
              </w:rPr>
            </w:pPr>
          </w:p>
        </w:tc>
      </w:tr>
      <w:tr>
        <w:trPr>
          <w:trHeight w:val="891"/>
        </w:trPr>
        <w:tc>
          <w:tcPr>
            <w:tcW w:w="4180" w:type="dxa"/>
            <w:vAlign w:val="bottom"/>
          </w:tcPr>
          <w:p>
            <w:pPr>
              <w:spacing w:after="0"/>
              <w:rPr>
                <w:sz w:val="24"/>
                <w:szCs w:val="24"/>
                <w:color w:val="auto"/>
              </w:rPr>
            </w:pPr>
          </w:p>
        </w:tc>
        <w:tc>
          <w:tcPr>
            <w:tcW w:w="2920" w:type="dxa"/>
            <w:vAlign w:val="bottom"/>
          </w:tcPr>
          <w:p>
            <w:pPr>
              <w:jc w:val="right"/>
              <w:ind w:right="1890"/>
              <w:spacing w:after="0"/>
              <w:rPr>
                <w:sz w:val="20"/>
                <w:szCs w:val="20"/>
                <w:color w:val="auto"/>
              </w:rPr>
            </w:pPr>
            <w:r>
              <w:rPr>
                <w:rFonts w:ascii="Arial" w:cs="Arial" w:eastAsia="Arial" w:hAnsi="Arial"/>
                <w:sz w:val="18"/>
                <w:szCs w:val="18"/>
                <w:color w:val="auto"/>
              </w:rPr>
              <w:t>92</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517" w:right="91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reconciles the undiscounted future lease payments for operating and finance leases to the operating and finance lease liabilities recorded in the consolidated balance sheet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880" w:type="dxa"/>
            <w:vAlign w:val="bottom"/>
            <w:gridSpan w:val="6"/>
          </w:tcPr>
          <w:p>
            <w:pPr>
              <w:jc w:val="right"/>
              <w:ind w:right="80"/>
              <w:spacing w:after="0"/>
              <w:rPr>
                <w:sz w:val="20"/>
                <w:szCs w:val="20"/>
                <w:color w:val="auto"/>
              </w:rPr>
            </w:pPr>
            <w:r>
              <w:rPr>
                <w:rFonts w:ascii="Arial" w:cs="Arial" w:eastAsia="Arial" w:hAnsi="Arial"/>
                <w:sz w:val="18"/>
                <w:szCs w:val="18"/>
                <w:color w:val="auto"/>
                <w:w w:val="90"/>
              </w:rPr>
              <w:t>Undiscounted Future Lease Payments</w:t>
            </w:r>
          </w:p>
        </w:tc>
        <w:tc>
          <w:tcPr>
            <w:tcW w:w="0" w:type="dxa"/>
            <w:vAlign w:val="bottom"/>
          </w:tcPr>
          <w:p>
            <w:pPr>
              <w:spacing w:after="0"/>
              <w:rPr>
                <w:sz w:val="1"/>
                <w:szCs w:val="1"/>
                <w:color w:val="auto"/>
              </w:rPr>
            </w:pPr>
          </w:p>
        </w:tc>
      </w:tr>
      <w:tr>
        <w:trPr>
          <w:trHeight w:val="210"/>
        </w:trPr>
        <w:tc>
          <w:tcPr>
            <w:tcW w:w="720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54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w w:val="90"/>
              </w:rPr>
              <w:t>Operating Leases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Finance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00" w:type="dxa"/>
            <w:vAlign w:val="bottom"/>
            <w:vMerge w:val="continue"/>
          </w:tcPr>
          <w:p>
            <w:pPr>
              <w:spacing w:after="0"/>
              <w:rPr>
                <w:sz w:val="16"/>
                <w:szCs w:val="16"/>
                <w:color w:val="auto"/>
              </w:rPr>
            </w:pPr>
          </w:p>
        </w:tc>
        <w:tc>
          <w:tcPr>
            <w:tcW w:w="440" w:type="dxa"/>
            <w:vAlign w:val="bottom"/>
            <w:tcBorders>
              <w:top w:val="single" w:sz="8" w:color="auto"/>
            </w:tcBorders>
          </w:tcPr>
          <w:p>
            <w:pPr>
              <w:jc w:val="right"/>
              <w:ind w:right="25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3,661</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2025 and thereafter</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7200" w:type="dxa"/>
            <w:vAlign w:val="bottom"/>
          </w:tcPr>
          <w:p>
            <w:pPr>
              <w:ind w:left="120"/>
              <w:spacing w:after="0" w:line="195" w:lineRule="exact"/>
              <w:rPr>
                <w:sz w:val="20"/>
                <w:szCs w:val="20"/>
                <w:color w:val="auto"/>
              </w:rPr>
            </w:pPr>
            <w:r>
              <w:rPr>
                <w:rFonts w:ascii="Arial" w:cs="Arial" w:eastAsia="Arial" w:hAnsi="Arial"/>
                <w:sz w:val="18"/>
                <w:szCs w:val="18"/>
                <w:color w:val="auto"/>
              </w:rPr>
              <w:t>Total lease payments</w:t>
            </w: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33,814</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20"/>
              <w:spacing w:after="0"/>
              <w:rPr>
                <w:sz w:val="20"/>
                <w:szCs w:val="20"/>
                <w:color w:val="auto"/>
              </w:rPr>
            </w:pPr>
            <w:r>
              <w:rPr>
                <w:rFonts w:ascii="Arial" w:cs="Arial" w:eastAsia="Arial" w:hAnsi="Arial"/>
                <w:sz w:val="18"/>
                <w:szCs w:val="18"/>
                <w:color w:val="auto"/>
              </w:rPr>
              <w:t>Less imputed interest</w:t>
            </w:r>
          </w:p>
        </w:tc>
        <w:tc>
          <w:tcPr>
            <w:tcW w:w="4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(5,351)</w:t>
            </w:r>
          </w:p>
        </w:tc>
        <w:tc>
          <w:tcPr>
            <w:tcW w:w="1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720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00" w:type="dxa"/>
            <w:vAlign w:val="bottom"/>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2,812</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Other liabilities</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As of December 31, 2019, the Company had additional operating leases for office and warehouse space that had not yet commenced of $0.7 million. These operating leases will commence in 2020 with lease terms of three to five years. As of December 31, 2019, the Company did not have any significant additional finance leases that had not yet commenced.</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Company’s future minimum operating lease commitments, as of December 31, 2018, under ASC 840, the predecessor to ASC 842,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40" w:type="dxa"/>
            <w:vAlign w:val="bottom"/>
          </w:tcPr>
          <w:p>
            <w:pPr>
              <w:spacing w:after="0"/>
              <w:rPr>
                <w:sz w:val="20"/>
                <w:szCs w:val="20"/>
                <w:color w:val="auto"/>
              </w:rPr>
            </w:pPr>
            <w:r>
              <w:rPr>
                <w:rFonts w:ascii="Arial" w:cs="Arial" w:eastAsia="Arial" w:hAnsi="Arial"/>
                <w:sz w:val="18"/>
                <w:szCs w:val="18"/>
                <w:color w:val="auto"/>
              </w:rPr>
              <w:t>2019</w:t>
            </w:r>
          </w:p>
        </w:tc>
        <w:tc>
          <w:tcPr>
            <w:tcW w:w="58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2020</w:t>
            </w:r>
          </w:p>
        </w:tc>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2021</w:t>
            </w:r>
          </w:p>
        </w:tc>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2022</w:t>
            </w:r>
          </w:p>
        </w:tc>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2023</w:t>
            </w:r>
          </w:p>
        </w:tc>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2024 and thereafter</w:t>
            </w:r>
          </w:p>
        </w:tc>
        <w:tc>
          <w:tcPr>
            <w:tcW w:w="5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14,860</w:t>
            </w:r>
          </w:p>
        </w:tc>
        <w:tc>
          <w:tcPr>
            <w:tcW w:w="0" w:type="dxa"/>
            <w:vAlign w:val="bottom"/>
          </w:tcPr>
          <w:p>
            <w:pPr>
              <w:spacing w:after="0"/>
              <w:rPr>
                <w:sz w:val="1"/>
                <w:szCs w:val="1"/>
                <w:color w:val="auto"/>
              </w:rPr>
            </w:pPr>
          </w:p>
        </w:tc>
      </w:tr>
      <w:tr>
        <w:trPr>
          <w:trHeight w:val="210"/>
        </w:trPr>
        <w:tc>
          <w:tcPr>
            <w:tcW w:w="34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500" w:type="dxa"/>
            <w:vAlign w:val="bottom"/>
            <w:vMerge w:val="restart"/>
          </w:tcPr>
          <w:p>
            <w:pPr>
              <w:jc w:val="right"/>
              <w:ind w:right="3730"/>
              <w:spacing w:after="0"/>
              <w:rPr>
                <w:sz w:val="20"/>
                <w:szCs w:val="20"/>
                <w:color w:val="auto"/>
              </w:rPr>
            </w:pPr>
            <w:r>
              <w:rPr>
                <w:rFonts w:ascii="Arial" w:cs="Arial" w:eastAsia="Arial" w:hAnsi="Arial"/>
                <w:sz w:val="18"/>
                <w:szCs w:val="18"/>
                <w:color w:val="auto"/>
              </w:rPr>
              <w:t>93</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4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517" w:right="919" w:bottom="1440" w:gutter="0" w:footer="0" w:header="0"/>
        </w:sectPr>
      </w:pPr>
    </w:p>
    <w:bookmarkStart w:id="93" w:name="page94"/>
    <w:bookmarkEnd w:id="93"/>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15"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Continuous</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Continuous</w:t>
            </w:r>
          </w:p>
        </w:tc>
      </w:t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Unrealized</w:t>
            </w:r>
          </w:p>
        </w:tc>
      </w:t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Loss Position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Holding</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Holding</w:t>
            </w:r>
          </w:p>
        </w:tc>
        <w:tc>
          <w:tcPr>
            <w:tcW w:w="24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Fair</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2019</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Cost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Losses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1"/>
              </w:rPr>
              <w:t>Months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Months</w:t>
            </w:r>
          </w:p>
        </w:tc>
      </w:tr>
      <w:tr>
        <w:trPr>
          <w:trHeight w:val="195"/>
        </w:trPr>
        <w:tc>
          <w:tcPr>
            <w:tcW w:w="2720" w:type="dxa"/>
            <w:vAlign w:val="bottom"/>
          </w:tcPr>
          <w:p>
            <w:pPr>
              <w:spacing w:after="0" w:line="195" w:lineRule="exact"/>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Short-term:</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83,478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83,478</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147,983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148,108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211,055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Variable rate demand notes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Long-term:</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272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72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545,771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545,968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2"/>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Continuous</w:t>
            </w:r>
          </w:p>
        </w:tc>
        <w:tc>
          <w:tcPr>
            <w:tcW w:w="140" w:type="dxa"/>
            <w:vAlign w:val="bottom"/>
          </w:tcPr>
          <w:p>
            <w:pPr>
              <w:spacing w:after="0"/>
              <w:rPr>
                <w:sz w:val="24"/>
                <w:szCs w:val="24"/>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Continuous</w:t>
            </w:r>
          </w:p>
        </w:tc>
      </w:t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2"/>
              </w:rPr>
              <w:t>Unrealized</w:t>
            </w:r>
          </w:p>
        </w:tc>
      </w:t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Loss Position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1"/>
              </w:rPr>
              <w:t>Loss Position</w:t>
            </w:r>
          </w:p>
        </w:tc>
      </w:tr>
      <w:tr>
        <w:trPr>
          <w:trHeight w:val="216"/>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Amortized</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Holding</w:t>
            </w:r>
          </w:p>
        </w:tc>
        <w:tc>
          <w:tcPr>
            <w:tcW w:w="1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Holding</w:t>
            </w:r>
          </w:p>
        </w:tc>
        <w:tc>
          <w:tcPr>
            <w:tcW w:w="24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8"/>
                <w:szCs w:val="18"/>
                <w:color w:val="auto"/>
                <w:w w:val="96"/>
              </w:rPr>
              <w:t>Fair</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2018</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Cost</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Gains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7"/>
              </w:rPr>
              <w:t>Losses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1"/>
              </w:rPr>
              <w:t>Months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Months</w:t>
            </w:r>
          </w:p>
        </w:tc>
      </w:tr>
      <w:tr>
        <w:trPr>
          <w:trHeight w:val="195"/>
        </w:trPr>
        <w:tc>
          <w:tcPr>
            <w:tcW w:w="2720" w:type="dxa"/>
            <w:vAlign w:val="bottom"/>
          </w:tcPr>
          <w:p>
            <w:pPr>
              <w:spacing w:after="0" w:line="195" w:lineRule="exact"/>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Short-term:</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52,838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52,838</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151,690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U.S. government agency</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720" w:type="dxa"/>
            <w:vAlign w:val="bottom"/>
          </w:tcPr>
          <w:p>
            <w:pPr>
              <w:ind w:left="2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2720" w:type="dxa"/>
            <w:vAlign w:val="bottom"/>
          </w:tcPr>
          <w:p>
            <w:pPr>
              <w:ind w:left="120"/>
              <w:spacing w:after="0"/>
              <w:rPr>
                <w:sz w:val="20"/>
                <w:szCs w:val="20"/>
                <w:color w:val="auto"/>
              </w:rPr>
            </w:pPr>
            <w:r>
              <w:rPr>
                <w:rFonts w:ascii="Arial" w:cs="Arial" w:eastAsia="Arial" w:hAnsi="Arial"/>
                <w:sz w:val="18"/>
                <w:szCs w:val="18"/>
                <w:color w:val="auto"/>
              </w:rPr>
              <w:t>Variable rate demand notes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72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320,740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320,650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During the years ended December 31, 2019, 2018 and 2017, realized gains or losses recognized on the sale of investments were not significant.</w:t>
      </w:r>
    </w:p>
    <w:p>
      <w:pPr>
        <w:spacing w:after="0" w:line="177"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8"/>
          <w:szCs w:val="18"/>
          <w:color w:val="auto"/>
        </w:rPr>
        <w:t>The Company’s investments at December 31, 2019 and 2018 in commercial paper, certificates of deposit, municipal securities, U.S. government agency securities, U.S. treasuries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w:t>
      </w:r>
    </w:p>
    <w:p>
      <w:pPr>
        <w:sectPr>
          <w:pgSz w:w="11900" w:h="16838" w:orient="portrait"/>
          <w:cols w:equalWidth="0" w:num="1">
            <w:col w:w="10061"/>
          </w:cols>
          <w:pgMar w:left="919" w:top="517" w:right="91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type w:val="continuous"/>
        </w:sectPr>
      </w:pPr>
    </w:p>
    <w:bookmarkStart w:id="94" w:name="page95"/>
    <w:bookmarkEnd w:id="94"/>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1"/>
        <w:spacing w:after="0" w:line="260" w:lineRule="auto"/>
        <w:rPr>
          <w:sz w:val="20"/>
          <w:szCs w:val="20"/>
          <w:color w:val="auto"/>
        </w:rPr>
      </w:pPr>
      <w:r>
        <w:rPr>
          <w:rFonts w:ascii="Arial" w:cs="Arial" w:eastAsia="Arial" w:hAnsi="Arial"/>
          <w:sz w:val="20"/>
          <w:szCs w:val="20"/>
          <w:color w:val="auto"/>
        </w:rPr>
        <w:t>While they are classified as marketable investment securities, the put option allows the VRDNs to be liquidated at par on a same day, or more generally, on a seven-day settlement basis.</w:t>
      </w:r>
    </w:p>
    <w:p>
      <w:pPr>
        <w:spacing w:after="0" w:line="177" w:lineRule="exact"/>
        <w:rPr>
          <w:sz w:val="20"/>
          <w:szCs w:val="20"/>
          <w:color w:val="auto"/>
        </w:rPr>
      </w:pPr>
    </w:p>
    <w:p>
      <w:pPr>
        <w:ind w:left="641"/>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color w:val="auto"/>
              </w:rPr>
              <w:t>December 31, 2019</w:t>
            </w:r>
          </w:p>
        </w:tc>
        <w:tc>
          <w:tcPr>
            <w:tcW w:w="380" w:type="dxa"/>
            <w:vAlign w:val="bottom"/>
          </w:tcPr>
          <w:p>
            <w:pPr>
              <w:spacing w:after="0"/>
              <w:rPr>
                <w:sz w:val="20"/>
                <w:szCs w:val="20"/>
                <w:color w:val="auto"/>
              </w:rPr>
            </w:pPr>
          </w:p>
        </w:tc>
        <w:tc>
          <w:tcPr>
            <w:tcW w:w="2300" w:type="dxa"/>
            <w:vAlign w:val="bottom"/>
            <w:gridSpan w:val="4"/>
          </w:tcPr>
          <w:p>
            <w:pPr>
              <w:jc w:val="right"/>
              <w:ind w:right="55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10"/>
        </w:trPr>
        <w:tc>
          <w:tcPr>
            <w:tcW w:w="4440" w:type="dxa"/>
            <w:vAlign w:val="bottom"/>
            <w:vMerge w:val="restart"/>
          </w:tcPr>
          <w:p>
            <w:pPr>
              <w:spacing w:after="0"/>
              <w:rPr>
                <w:sz w:val="20"/>
                <w:szCs w:val="20"/>
                <w:color w:val="auto"/>
              </w:rPr>
            </w:pPr>
            <w:r>
              <w:rPr>
                <w:rFonts w:ascii="Arial" w:cs="Arial" w:eastAsia="Arial" w:hAnsi="Arial"/>
                <w:sz w:val="18"/>
                <w:szCs w:val="18"/>
                <w:color w:val="auto"/>
              </w:rPr>
              <w:t>Less than 1 year:</w:t>
            </w:r>
          </w:p>
        </w:tc>
        <w:tc>
          <w:tcPr>
            <w:tcW w:w="14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Amortized Cost</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7"/>
              </w:rPr>
              <w:t>Fair Value</w:t>
            </w:r>
          </w:p>
        </w:tc>
        <w:tc>
          <w:tcPr>
            <w:tcW w:w="200" w:type="dxa"/>
            <w:vAlign w:val="bottom"/>
          </w:tcPr>
          <w:p>
            <w:pPr>
              <w:spacing w:after="0"/>
              <w:rPr>
                <w:sz w:val="18"/>
                <w:szCs w:val="18"/>
                <w:color w:val="auto"/>
              </w:rPr>
            </w:pPr>
          </w:p>
        </w:tc>
        <w:tc>
          <w:tcPr>
            <w:tcW w:w="14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Amortized Cost</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83,478</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83,478</w:t>
            </w:r>
          </w:p>
        </w:tc>
        <w:tc>
          <w:tcPr>
            <w:tcW w:w="20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52,838</w:t>
            </w: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52,838</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147,983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148,108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151,690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151,644</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40,590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28,049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211,055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211,158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78,189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78,157</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Due 1 -10 years: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6,078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Due 11 - 20 years: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Due 21 - 30 years: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Due 31 - 40 years: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1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545,771</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545,968</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320,740</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320,650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1" w:hanging="641"/>
        <w:spacing w:after="0"/>
        <w:tabs>
          <w:tab w:leader="none" w:pos="641" w:val="left"/>
        </w:tabs>
        <w:numPr>
          <w:ilvl w:val="0"/>
          <w:numId w:val="45"/>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16" w:lineRule="exact"/>
        <w:rPr>
          <w:sz w:val="20"/>
          <w:szCs w:val="20"/>
          <w:color w:val="auto"/>
        </w:rPr>
      </w:pPr>
    </w:p>
    <w:p>
      <w:pPr>
        <w:jc w:val="both"/>
        <w:ind w:left="1" w:firstLine="648"/>
        <w:spacing w:after="0" w:line="278" w:lineRule="auto"/>
        <w:rPr>
          <w:sz w:val="20"/>
          <w:szCs w:val="20"/>
          <w:color w:val="auto"/>
        </w:rPr>
      </w:pPr>
      <w:r>
        <w:rPr>
          <w:rFonts w:ascii="Arial" w:cs="Arial" w:eastAsia="Arial" w:hAnsi="Arial"/>
          <w:sz w:val="18"/>
          <w:szCs w:val="18"/>
          <w:color w:val="auto"/>
        </w:rPr>
        <w:t>FASB ASC 820 provides a framework for measuring fair value and requires expanded disclosures regarding fair value measurements.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59" w:lineRule="exact"/>
        <w:rPr>
          <w:sz w:val="20"/>
          <w:szCs w:val="20"/>
          <w:color w:val="auto"/>
        </w:rPr>
      </w:pPr>
    </w:p>
    <w:p>
      <w:pPr>
        <w:ind w:left="681" w:hanging="330"/>
        <w:spacing w:after="0"/>
        <w:tabs>
          <w:tab w:leader="none" w:pos="681"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81" w:hanging="330"/>
        <w:spacing w:after="0" w:line="253" w:lineRule="auto"/>
        <w:tabs>
          <w:tab w:leader="none" w:pos="681"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w:t>
      </w:r>
      <w:r>
        <w:rPr>
          <w:rFonts w:ascii="Arial" w:cs="Arial" w:eastAsia="Arial" w:hAnsi="Arial"/>
          <w:sz w:val="20"/>
          <w:szCs w:val="20"/>
          <w:b w:val="1"/>
          <w:bCs w:val="1"/>
          <w:color w:val="auto"/>
        </w:rPr>
        <w:t xml:space="preserve"> </w:t>
      </w:r>
      <w:r>
        <w:rPr>
          <w:rFonts w:ascii="Arial" w:cs="Arial" w:eastAsia="Arial" w:hAnsi="Arial"/>
          <w:sz w:val="20"/>
          <w:szCs w:val="20"/>
          <w:color w:val="auto"/>
        </w:rPr>
        <w:t>prices in markets that are not active; or other inputs that are observable or can be corroborated by observable market data for substantially the full term of the related assets or liabilities.</w:t>
      </w:r>
    </w:p>
    <w:p>
      <w:pPr>
        <w:spacing w:after="0" w:line="177" w:lineRule="exact"/>
        <w:rPr>
          <w:rFonts w:ascii="Arial" w:cs="Arial" w:eastAsia="Arial" w:hAnsi="Arial"/>
          <w:sz w:val="20"/>
          <w:szCs w:val="20"/>
          <w:color w:val="auto"/>
        </w:rPr>
      </w:pPr>
    </w:p>
    <w:p>
      <w:pPr>
        <w:ind w:left="681" w:hanging="330"/>
        <w:spacing w:after="0" w:line="267" w:lineRule="auto"/>
        <w:tabs>
          <w:tab w:leader="none" w:pos="681"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assets or liabilities.</w:t>
      </w:r>
    </w:p>
    <w:p>
      <w:pPr>
        <w:spacing w:after="0" w:line="183" w:lineRule="exact"/>
        <w:rPr>
          <w:sz w:val="20"/>
          <w:szCs w:val="20"/>
          <w:color w:val="auto"/>
        </w:rPr>
      </w:pPr>
    </w:p>
    <w:p>
      <w:pPr>
        <w:ind w:left="1" w:firstLine="648"/>
        <w:spacing w:after="0" w:line="260" w:lineRule="auto"/>
        <w:rPr>
          <w:sz w:val="20"/>
          <w:szCs w:val="20"/>
          <w:color w:val="auto"/>
        </w:rPr>
      </w:pPr>
      <w:r>
        <w:rPr>
          <w:rFonts w:ascii="Arial" w:cs="Arial" w:eastAsia="Arial" w:hAnsi="Arial"/>
          <w:sz w:val="20"/>
          <w:szCs w:val="20"/>
          <w:color w:val="auto"/>
        </w:rPr>
        <w:t>FASB ASC 820 requires the use of observable market inputs (quoted market prices) when measuring fair value and requires a Level 1 quoted price to be used to measure fair value whenever possible.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Company’s financial assets that are recorded at fair value on a recurring basis, segregated among the appropriate levels within the fair value hierarchy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rPr>
              <w:t>Cash</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518,178</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518,178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191,131</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191,131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28,049</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96,867</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96,867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Variable rate demand notes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21,680</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21,680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167,224</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167,224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73,634</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73,634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247,162</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247,162</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709,309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633,929</w:t>
            </w:r>
          </w:p>
        </w:tc>
        <w:tc>
          <w:tcPr>
            <w:tcW w:w="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1,343,238</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Amounts included in:</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709,309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88,648</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797,957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533,063</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533,063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329</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12,905</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709,309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633,929</w:t>
            </w:r>
          </w:p>
        </w:tc>
        <w:tc>
          <w:tcPr>
            <w:tcW w:w="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1,343,238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2018</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Level 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Level 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rPr>
              <w:t>Cash</w:t>
            </w:r>
          </w:p>
        </w:tc>
        <w:tc>
          <w:tcPr>
            <w:tcW w:w="2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393,936</w:t>
            </w:r>
          </w:p>
        </w:tc>
        <w:tc>
          <w:tcPr>
            <w:tcW w:w="3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63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ind w:left="2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393,936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191,358</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191,358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14,075</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60,422</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60,422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Variable rate demand notes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4,005</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177,118</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177,118</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39,092</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39,092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U.S. treasuries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78,157</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78,157</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585,294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372,377</w:t>
            </w:r>
          </w:p>
        </w:tc>
        <w:tc>
          <w:tcPr>
            <w:tcW w:w="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957,671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Amounts included in:</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585,294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52,219</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637,513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320,650</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320,650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585,294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372,377</w:t>
            </w:r>
          </w:p>
        </w:tc>
        <w:tc>
          <w:tcPr>
            <w:tcW w:w="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957,671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All of the Company’s short-term and long-term investments are classified within Level 1 or Level 2 within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U.S. treasuries, certificates of deposit, VRDNs and U.S. government agency securities, is based on other observable inputs, specifically a market approach which utilizes valuation models, pricing</w:t>
      </w:r>
    </w:p>
    <w:p>
      <w:pPr>
        <w:sectPr>
          <w:pgSz w:w="11900" w:h="16838" w:orient="portrait"/>
          <w:cols w:equalWidth="0" w:num="1">
            <w:col w:w="10060"/>
          </w:cols>
          <w:pgMar w:left="920" w:top="517" w:right="91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type w:val="continuous"/>
        </w:sectPr>
      </w:pPr>
    </w:p>
    <w:bookmarkStart w:id="96" w:name="page97"/>
    <w:bookmarkEnd w:id="96"/>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left="1"/>
        <w:spacing w:after="0" w:line="263" w:lineRule="auto"/>
        <w:rPr>
          <w:sz w:val="20"/>
          <w:szCs w:val="20"/>
          <w:color w:val="auto"/>
        </w:rPr>
      </w:pPr>
      <w:r>
        <w:rPr>
          <w:rFonts w:ascii="Arial" w:cs="Arial" w:eastAsia="Arial" w:hAnsi="Arial"/>
          <w:sz w:val="19"/>
          <w:szCs w:val="19"/>
          <w:color w:val="auto"/>
        </w:rPr>
        <w:t>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2019 and 2018, and there were no changes in the Company’s valuation techniques.</w:t>
      </w:r>
    </w:p>
    <w:p>
      <w:pPr>
        <w:spacing w:after="0" w:line="190" w:lineRule="exact"/>
        <w:rPr>
          <w:sz w:val="20"/>
          <w:szCs w:val="20"/>
          <w:color w:val="auto"/>
        </w:rPr>
      </w:pPr>
    </w:p>
    <w:p>
      <w:pPr>
        <w:ind w:left="641" w:hanging="641"/>
        <w:spacing w:after="0"/>
        <w:tabs>
          <w:tab w:leader="none" w:pos="641"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16" w:lineRule="exact"/>
        <w:rPr>
          <w:sz w:val="20"/>
          <w:szCs w:val="20"/>
          <w:color w:val="auto"/>
        </w:rPr>
      </w:pPr>
    </w:p>
    <w:p>
      <w:pPr>
        <w:jc w:val="both"/>
        <w:ind w:left="1" w:firstLine="648"/>
        <w:spacing w:after="0" w:line="316" w:lineRule="auto"/>
        <w:rPr>
          <w:sz w:val="20"/>
          <w:szCs w:val="20"/>
          <w:color w:val="auto"/>
        </w:rPr>
      </w:pPr>
      <w:r>
        <w:rPr>
          <w:rFonts w:ascii="Arial" w:cs="Arial" w:eastAsia="Arial" w:hAnsi="Arial"/>
          <w:sz w:val="16"/>
          <w:szCs w:val="16"/>
          <w:color w:val="auto"/>
        </w:rPr>
        <w:t>The Company is exposed to foreign currency exchange rate risks related primarily to its foreign business operations. During the years ended December 31, 2019, 2018 and 2017,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that were outstanding as of December 31, 2019 have terms of three months or less. The Company does not enter into forward currency exchange contracts for speculation or trading purposes.</w:t>
      </w:r>
    </w:p>
    <w:p>
      <w:pPr>
        <w:spacing w:after="0" w:line="140"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The Company has not designated its foreign currency exchange contracts as hedge transactions under FASB ASC 815. Therefore, gains and losses on the Company’s foreign currency exchange contracts are recognized in other income, net, in the consolidated statements of income, and are largely offset by the changes in the fair value of the underlying economically hedged item.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consolidated balance sheets consist of the following at: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Borders>
              <w:top w:val="single" w:sz="8" w:color="auto"/>
            </w:tcBorders>
          </w:tcPr>
          <w:p>
            <w:pPr>
              <w:jc w:val="center"/>
              <w:ind w:left="1350"/>
              <w:spacing w:after="0" w:line="195" w:lineRule="exact"/>
              <w:rPr>
                <w:sz w:val="20"/>
                <w:szCs w:val="20"/>
                <w:color w:val="auto"/>
              </w:rPr>
            </w:pPr>
            <w:r>
              <w:rPr>
                <w:rFonts w:ascii="Arial" w:cs="Arial" w:eastAsia="Arial" w:hAnsi="Arial"/>
                <w:sz w:val="18"/>
                <w:szCs w:val="18"/>
                <w:color w:val="auto"/>
                <w:w w:val="88"/>
              </w:rPr>
              <w:t>Derivatives not designated as</w:t>
            </w:r>
          </w:p>
        </w:tc>
        <w:tc>
          <w:tcPr>
            <w:tcW w:w="1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16"/>
        </w:trPr>
        <w:tc>
          <w:tcPr>
            <w:tcW w:w="4100" w:type="dxa"/>
            <w:vAlign w:val="bottom"/>
          </w:tcPr>
          <w:p>
            <w:pPr>
              <w:jc w:val="center"/>
              <w:ind w:left="1370"/>
              <w:spacing w:after="0"/>
              <w:rPr>
                <w:sz w:val="20"/>
                <w:szCs w:val="20"/>
                <w:color w:val="auto"/>
              </w:rPr>
            </w:pPr>
            <w:r>
              <w:rPr>
                <w:rFonts w:ascii="Arial" w:cs="Arial" w:eastAsia="Arial" w:hAnsi="Arial"/>
                <w:sz w:val="18"/>
                <w:szCs w:val="18"/>
                <w:color w:val="auto"/>
                <w:w w:val="90"/>
              </w:rPr>
              <w:t>hedging instruments under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ind w:left="40"/>
              <w:spacing w:after="0"/>
              <w:rPr>
                <w:sz w:val="20"/>
                <w:szCs w:val="20"/>
                <w:color w:val="auto"/>
              </w:rPr>
            </w:pPr>
            <w:r>
              <w:rPr>
                <w:rFonts w:ascii="Arial" w:cs="Arial" w:eastAsia="Arial" w:hAnsi="Arial"/>
                <w:sz w:val="18"/>
                <w:szCs w:val="18"/>
                <w:color w:val="auto"/>
              </w:rPr>
              <w:t>Notional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Fair</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4100" w:type="dxa"/>
            <w:vAlign w:val="bottom"/>
          </w:tcPr>
          <w:p>
            <w:pPr>
              <w:jc w:val="center"/>
              <w:ind w:left="1350"/>
              <w:spacing w:after="0"/>
              <w:rPr>
                <w:sz w:val="20"/>
                <w:szCs w:val="20"/>
                <w:color w:val="auto"/>
              </w:rPr>
            </w:pPr>
            <w:r>
              <w:rPr>
                <w:rFonts w:ascii="Arial" w:cs="Arial" w:eastAsia="Arial" w:hAnsi="Arial"/>
                <w:sz w:val="18"/>
                <w:szCs w:val="18"/>
                <w:color w:val="auto"/>
                <w:w w:val="91"/>
              </w:rPr>
              <w:t>FASB ASC 815-20</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4"/>
          </w:tcPr>
          <w:p>
            <w:pPr>
              <w:ind w:left="8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w w:val="91"/>
              </w:rPr>
              <w:t>Balance Sheet Location</w:t>
            </w:r>
          </w:p>
        </w:tc>
      </w:tr>
      <w:tr>
        <w:trPr>
          <w:trHeight w:val="195"/>
        </w:trPr>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Assets:</w:t>
            </w: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EUR/pay USD</w:t>
            </w:r>
          </w:p>
        </w:tc>
        <w:tc>
          <w:tcPr>
            <w:tcW w:w="192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w w:val="91"/>
              </w:rPr>
              <w:t>Accounts receivable, net</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RSD/pay USD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w w:val="91"/>
              </w:rPr>
              <w:t>Accounts receivable, net</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NOK/pay USD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w w:val="91"/>
              </w:rPr>
              <w:t>Accounts receivable, net</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SGD</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w w:val="91"/>
              </w:rPr>
              <w:t>Accounts receivable, net</w:t>
            </w: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rPr>
              <w:t>Liabilities: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GBP</w:t>
            </w:r>
          </w:p>
        </w:tc>
        <w:tc>
          <w:tcPr>
            <w:tcW w:w="1920" w:type="dxa"/>
            <w:vAlign w:val="bottom"/>
            <w:gridSpan w:val="5"/>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AUD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RUB</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NZD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ZAR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COP</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DKK</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r>
      <w:tr>
        <w:trPr>
          <w:trHeight w:val="446"/>
        </w:trPr>
        <w:tc>
          <w:tcPr>
            <w:tcW w:w="4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2018</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195"/>
        </w:trPr>
        <w:tc>
          <w:tcPr>
            <w:tcW w:w="4100" w:type="dxa"/>
            <w:vAlign w:val="bottom"/>
          </w:tcPr>
          <w:p>
            <w:pPr>
              <w:jc w:val="center"/>
              <w:ind w:left="1470"/>
              <w:spacing w:after="0" w:line="195" w:lineRule="exact"/>
              <w:rPr>
                <w:sz w:val="20"/>
                <w:szCs w:val="20"/>
                <w:color w:val="auto"/>
              </w:rPr>
            </w:pPr>
            <w:r>
              <w:rPr>
                <w:rFonts w:ascii="Arial" w:cs="Arial" w:eastAsia="Arial" w:hAnsi="Arial"/>
                <w:sz w:val="18"/>
                <w:szCs w:val="18"/>
                <w:color w:val="auto"/>
                <w:w w:val="88"/>
              </w:rPr>
              <w:t>Derivatives not designated as</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16"/>
        </w:trPr>
        <w:tc>
          <w:tcPr>
            <w:tcW w:w="4100" w:type="dxa"/>
            <w:vAlign w:val="bottom"/>
          </w:tcPr>
          <w:p>
            <w:pPr>
              <w:jc w:val="center"/>
              <w:ind w:left="1490"/>
              <w:spacing w:after="0"/>
              <w:rPr>
                <w:sz w:val="20"/>
                <w:szCs w:val="20"/>
                <w:color w:val="auto"/>
              </w:rPr>
            </w:pPr>
            <w:r>
              <w:rPr>
                <w:rFonts w:ascii="Arial" w:cs="Arial" w:eastAsia="Arial" w:hAnsi="Arial"/>
                <w:sz w:val="18"/>
                <w:szCs w:val="18"/>
                <w:color w:val="auto"/>
                <w:w w:val="90"/>
              </w:rPr>
              <w:t>hedging instruments under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Notional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color w:val="auto"/>
              </w:rPr>
              <w:t>Fair</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4100" w:type="dxa"/>
            <w:vAlign w:val="bottom"/>
          </w:tcPr>
          <w:p>
            <w:pPr>
              <w:jc w:val="center"/>
              <w:ind w:left="1470"/>
              <w:spacing w:after="0"/>
              <w:rPr>
                <w:sz w:val="20"/>
                <w:szCs w:val="20"/>
                <w:color w:val="auto"/>
              </w:rPr>
            </w:pPr>
            <w:r>
              <w:rPr>
                <w:rFonts w:ascii="Arial" w:cs="Arial" w:eastAsia="Arial" w:hAnsi="Arial"/>
                <w:sz w:val="18"/>
                <w:szCs w:val="18"/>
                <w:color w:val="auto"/>
                <w:w w:val="91"/>
              </w:rPr>
              <w:t>FASB ASC 815-20</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Value</w:t>
            </w:r>
          </w:p>
        </w:tc>
        <w:tc>
          <w:tcPr>
            <w:tcW w:w="2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w w:val="91"/>
              </w:rPr>
              <w:t>Balance Sheet Location</w:t>
            </w:r>
          </w:p>
        </w:tc>
      </w:tr>
      <w:tr>
        <w:trPr>
          <w:trHeight w:val="195"/>
        </w:trPr>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Assets:</w:t>
            </w:r>
          </w:p>
        </w:tc>
        <w:tc>
          <w:tcPr>
            <w:tcW w:w="1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SGD/pay USD</w:t>
            </w:r>
          </w:p>
        </w:tc>
        <w:tc>
          <w:tcPr>
            <w:tcW w:w="1920" w:type="dxa"/>
            <w:vAlign w:val="bottom"/>
            <w:gridSpan w:val="5"/>
          </w:tcPr>
          <w:p>
            <w:pPr>
              <w:ind w:left="18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8,341</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w w:val="92"/>
              </w:rPr>
              <w:t>Accounts receivable, net</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Receive NOK/pay USD</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w w:val="92"/>
              </w:rPr>
              <w:t>Accounts receivable, net</w:t>
            </w:r>
          </w:p>
        </w:tc>
      </w:tr>
      <w:tr>
        <w:trPr>
          <w:trHeight w:val="418"/>
        </w:trPr>
        <w:tc>
          <w:tcPr>
            <w:tcW w:w="4100" w:type="dxa"/>
            <w:vAlign w:val="bottom"/>
          </w:tcPr>
          <w:p>
            <w:pPr>
              <w:spacing w:after="0"/>
              <w:rPr>
                <w:sz w:val="20"/>
                <w:szCs w:val="20"/>
                <w:color w:val="auto"/>
              </w:rPr>
            </w:pPr>
            <w:r>
              <w:rPr>
                <w:rFonts w:ascii="Arial" w:cs="Arial" w:eastAsia="Arial" w:hAnsi="Arial"/>
                <w:sz w:val="18"/>
                <w:szCs w:val="18"/>
                <w:color w:val="auto"/>
              </w:rPr>
              <w:t>Liabilities: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16"/>
        </w:trPr>
        <w:tc>
          <w:tcPr>
            <w:tcW w:w="4100" w:type="dxa"/>
            <w:vAlign w:val="bottom"/>
          </w:tcPr>
          <w:p>
            <w:pPr>
              <w:ind w:left="120"/>
              <w:spacing w:after="0"/>
              <w:rPr>
                <w:sz w:val="20"/>
                <w:szCs w:val="20"/>
                <w:color w:val="auto"/>
              </w:rPr>
            </w:pPr>
            <w:r>
              <w:rPr>
                <w:rFonts w:ascii="Arial" w:cs="Arial" w:eastAsia="Arial" w:hAnsi="Arial"/>
                <w:sz w:val="18"/>
                <w:szCs w:val="18"/>
                <w:color w:val="auto"/>
              </w:rPr>
              <w:t>Foreign currency exchange contracts: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GBP</w:t>
            </w:r>
          </w:p>
        </w:tc>
        <w:tc>
          <w:tcPr>
            <w:tcW w:w="1920" w:type="dxa"/>
            <w:vAlign w:val="bottom"/>
            <w:gridSpan w:val="5"/>
          </w:tcPr>
          <w:p>
            <w:pPr>
              <w:ind w:left="18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40,648</w:t>
            </w:r>
          </w:p>
        </w:tc>
        <w:tc>
          <w:tcPr>
            <w:tcW w:w="14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(323)</w:t>
            </w:r>
          </w:p>
        </w:tc>
        <w:tc>
          <w:tcPr>
            <w:tcW w:w="1840" w:type="dxa"/>
            <w:vAlign w:val="bottom"/>
            <w:gridSpan w:val="2"/>
          </w:tcPr>
          <w:p>
            <w:pPr>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AUD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(105)</w:t>
            </w:r>
          </w:p>
        </w:tc>
        <w:tc>
          <w:tcPr>
            <w:tcW w:w="1840" w:type="dxa"/>
            <w:vAlign w:val="bottom"/>
            <w:gridSpan w:val="2"/>
          </w:tcPr>
          <w:p>
            <w:pPr>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ZAR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(68)</w:t>
            </w:r>
          </w:p>
        </w:tc>
        <w:tc>
          <w:tcPr>
            <w:tcW w:w="1840" w:type="dxa"/>
            <w:vAlign w:val="bottom"/>
            <w:gridSpan w:val="2"/>
          </w:tcPr>
          <w:p>
            <w:pPr>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COP</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c>
          <w:tcPr>
            <w:tcW w:w="1840" w:type="dxa"/>
            <w:vAlign w:val="bottom"/>
            <w:gridSpan w:val="2"/>
          </w:tcPr>
          <w:p>
            <w:pPr>
              <w:spacing w:after="0"/>
              <w:rPr>
                <w:sz w:val="20"/>
                <w:szCs w:val="20"/>
                <w:color w:val="auto"/>
              </w:rPr>
            </w:pPr>
            <w:r>
              <w:rPr>
                <w:rFonts w:ascii="Arial" w:cs="Arial" w:eastAsia="Arial" w:hAnsi="Arial"/>
                <w:sz w:val="18"/>
                <w:szCs w:val="18"/>
                <w:color w:val="auto"/>
              </w:rPr>
              <w:t>Accrued liabilities</w:t>
            </w: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NZD</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840" w:type="dxa"/>
            <w:vAlign w:val="bottom"/>
            <w:gridSpan w:val="2"/>
          </w:tcPr>
          <w:p>
            <w:pPr>
              <w:spacing w:after="0"/>
              <w:rPr>
                <w:sz w:val="20"/>
                <w:szCs w:val="20"/>
                <w:color w:val="auto"/>
              </w:rPr>
            </w:pPr>
            <w:r>
              <w:rPr>
                <w:rFonts w:ascii="Arial" w:cs="Arial" w:eastAsia="Arial" w:hAnsi="Arial"/>
                <w:sz w:val="18"/>
                <w:szCs w:val="18"/>
                <w:color w:val="auto"/>
              </w:rPr>
              <w:t>Accrued liabilities</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Receive USD/pay EUR</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840" w:type="dxa"/>
            <w:vAlign w:val="bottom"/>
            <w:gridSpan w:val="2"/>
          </w:tcPr>
          <w:p>
            <w:pPr>
              <w:spacing w:after="0"/>
              <w:rPr>
                <w:sz w:val="20"/>
                <w:szCs w:val="20"/>
                <w:color w:val="auto"/>
              </w:rPr>
            </w:pPr>
            <w:r>
              <w:rPr>
                <w:rFonts w:ascii="Arial" w:cs="Arial" w:eastAsia="Arial" w:hAnsi="Arial"/>
                <w:sz w:val="18"/>
                <w:szCs w:val="18"/>
                <w:color w:val="auto"/>
              </w:rPr>
              <w:t>Accrued liabilities</w:t>
            </w:r>
          </w:p>
        </w:tc>
      </w:tr>
      <w:tr>
        <w:trPr>
          <w:trHeight w:val="878"/>
        </w:trPr>
        <w:tc>
          <w:tcPr>
            <w:tcW w:w="4100" w:type="dxa"/>
            <w:vAlign w:val="bottom"/>
          </w:tcPr>
          <w:p>
            <w:pPr>
              <w:spacing w:after="0"/>
              <w:rPr>
                <w:sz w:val="24"/>
                <w:szCs w:val="24"/>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561"/>
        </w:trPr>
        <w:tc>
          <w:tcPr>
            <w:tcW w:w="4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517" w:right="919" w:bottom="1440" w:gutter="0" w:footer="0" w:header="0"/>
        </w:sectPr>
      </w:pPr>
    </w:p>
    <w:bookmarkStart w:id="98" w:name="page99"/>
    <w:bookmarkEnd w:id="98"/>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The net gain (loss) on derivative instruments in the consolidated statements of income was as follows:</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7"/>
          </w:tcPr>
          <w:p>
            <w:pPr>
              <w:jc w:val="center"/>
              <w:ind w:left="530"/>
              <w:spacing w:after="0"/>
              <w:rPr>
                <w:sz w:val="20"/>
                <w:szCs w:val="20"/>
                <w:color w:val="auto"/>
              </w:rPr>
            </w:pPr>
            <w:r>
              <w:rPr>
                <w:rFonts w:ascii="Arial" w:cs="Arial" w:eastAsia="Arial" w:hAnsi="Arial"/>
                <w:sz w:val="18"/>
                <w:szCs w:val="18"/>
                <w:color w:val="auto"/>
                <w:w w:val="92"/>
              </w:rPr>
              <w:t>Amount of gain (loss)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7"/>
          </w:tcPr>
          <w:p>
            <w:pPr>
              <w:jc w:val="center"/>
              <w:ind w:left="530"/>
              <w:spacing w:after="0"/>
              <w:rPr>
                <w:sz w:val="20"/>
                <w:szCs w:val="20"/>
                <w:color w:val="auto"/>
              </w:rPr>
            </w:pPr>
            <w:r>
              <w:rPr>
                <w:rFonts w:ascii="Arial" w:cs="Arial" w:eastAsia="Arial" w:hAnsi="Arial"/>
                <w:sz w:val="18"/>
                <w:szCs w:val="18"/>
                <w:color w:val="auto"/>
                <w:w w:val="91"/>
              </w:rPr>
              <w:t>recognized in income on</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9"/>
              </w:rPr>
              <w:t>Derivatives not designated as</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1"/>
              </w:rPr>
              <w:t>Location of gain (loss)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derivatives</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Year ended</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0"/>
              </w:rPr>
              <w:t>hedging instruments under</w:t>
            </w:r>
          </w:p>
        </w:tc>
        <w:tc>
          <w:tcPr>
            <w:tcW w:w="1980" w:type="dxa"/>
            <w:vAlign w:val="bottom"/>
          </w:tcPr>
          <w:p>
            <w:pPr>
              <w:jc w:val="center"/>
              <w:spacing w:after="0" w:line="195" w:lineRule="exact"/>
              <w:rPr>
                <w:sz w:val="20"/>
                <w:szCs w:val="20"/>
                <w:color w:val="auto"/>
              </w:rPr>
            </w:pPr>
            <w:r>
              <w:rPr>
                <w:rFonts w:ascii="Arial" w:cs="Arial" w:eastAsia="Arial" w:hAnsi="Arial"/>
                <w:sz w:val="18"/>
                <w:szCs w:val="18"/>
                <w:color w:val="auto"/>
                <w:w w:val="91"/>
              </w:rPr>
              <w:t>recognized in income on</w:t>
            </w:r>
          </w:p>
        </w:tc>
        <w:tc>
          <w:tcPr>
            <w:tcW w:w="200" w:type="dxa"/>
            <w:vAlign w:val="bottom"/>
          </w:tcPr>
          <w:p>
            <w:pPr>
              <w:spacing w:after="0"/>
              <w:rPr>
                <w:sz w:val="16"/>
                <w:szCs w:val="16"/>
                <w:color w:val="auto"/>
              </w:rPr>
            </w:pPr>
          </w:p>
        </w:tc>
        <w:tc>
          <w:tcPr>
            <w:tcW w:w="12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December 31,</w:t>
            </w:r>
          </w:p>
        </w:tc>
        <w:tc>
          <w:tcPr>
            <w:tcW w:w="128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6"/>
                <w:szCs w:val="16"/>
                <w:color w:val="auto"/>
              </w:rPr>
            </w:pPr>
          </w:p>
        </w:tc>
        <w:tc>
          <w:tcPr>
            <w:tcW w:w="10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0"/>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FASB ASC 815-20</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derivatives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18"/>
                <w:szCs w:val="18"/>
                <w:color w:val="auto"/>
              </w:rPr>
            </w:pP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Other income, net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41" w:hanging="641"/>
        <w:spacing w:after="0"/>
        <w:tabs>
          <w:tab w:leader="none" w:pos="641"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15"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46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134,885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94,421</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Finished goods</w:t>
            </w:r>
          </w:p>
        </w:tc>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183,284</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360,731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277,705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41" w:hanging="641"/>
        <w:spacing w:after="0"/>
        <w:tabs>
          <w:tab w:leader="none" w:pos="641"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15"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68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5680" w:type="dxa"/>
            <w:vAlign w:val="bottom"/>
            <w:vMerge w:val="continue"/>
          </w:tcPr>
          <w:p>
            <w:pPr>
              <w:spacing w:after="0"/>
              <w:rPr>
                <w:sz w:val="16"/>
                <w:szCs w:val="16"/>
                <w:color w:val="auto"/>
              </w:rPr>
            </w:pPr>
          </w:p>
        </w:tc>
        <w:tc>
          <w:tcPr>
            <w:tcW w:w="21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78,275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44,261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22,766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18,717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Computer software</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Equipment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214,293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183,727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Building</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126,338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115,242</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Vehicles</w:t>
            </w: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39,026</w:t>
            </w:r>
          </w:p>
        </w:tc>
        <w:tc>
          <w:tcPr>
            <w:tcW w:w="0" w:type="dxa"/>
            <w:vAlign w:val="bottom"/>
          </w:tcPr>
          <w:p>
            <w:pPr>
              <w:spacing w:after="0"/>
              <w:rPr>
                <w:sz w:val="1"/>
                <w:szCs w:val="1"/>
                <w:color w:val="auto"/>
              </w:rPr>
            </w:pPr>
          </w:p>
        </w:tc>
      </w:tr>
      <w:tr>
        <w:trPr>
          <w:trHeight w:val="195"/>
        </w:trPr>
        <w:tc>
          <w:tcPr>
            <w:tcW w:w="5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506,074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417,092</w:t>
            </w:r>
          </w:p>
        </w:tc>
        <w:tc>
          <w:tcPr>
            <w:tcW w:w="0" w:type="dxa"/>
            <w:vAlign w:val="bottom"/>
          </w:tcPr>
          <w:p>
            <w:pPr>
              <w:spacing w:after="0"/>
              <w:rPr>
                <w:sz w:val="1"/>
                <w:szCs w:val="1"/>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(207,434)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(174,041)</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298,640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243,051</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Total depreciation and amortization expense recorded was $49.1 million, $45.0 million and $37.0 million for the years ended December 31,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99" w:name="page100"/>
    <w:bookmarkEnd w:id="99"/>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50"/>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15"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18"/>
          <w:szCs w:val="18"/>
          <w:color w:val="auto"/>
        </w:rPr>
        <w:t>The following is a roll-forward of goodwill for the years ended December 31, 2019 and 2018 by reportable segment:</w:t>
      </w:r>
    </w:p>
    <w:p>
      <w:pPr>
        <w:spacing w:after="0" w:line="268"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2"/>
              </w:rPr>
              <w:t>Monster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Energy®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0"/>
              </w:rPr>
              <w:t>Strategic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vMerge w:val="restart"/>
          </w:tcPr>
          <w:p>
            <w:pPr>
              <w:spacing w:after="0"/>
              <w:rPr>
                <w:sz w:val="20"/>
                <w:szCs w:val="20"/>
                <w:color w:val="auto"/>
              </w:rPr>
            </w:pPr>
            <w:r>
              <w:rPr>
                <w:rFonts w:ascii="Arial" w:cs="Arial" w:eastAsia="Arial" w:hAnsi="Arial"/>
                <w:sz w:val="18"/>
                <w:szCs w:val="18"/>
                <w:color w:val="auto"/>
              </w:rPr>
              <w:t>Balance at December 31, 2018</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Drinks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Brands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693,644</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637,999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60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1,331,643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Acquisitions</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693,644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1,331,643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50"/>
              <w:spacing w:after="0"/>
              <w:rPr>
                <w:sz w:val="20"/>
                <w:szCs w:val="20"/>
                <w:color w:val="auto"/>
              </w:rPr>
            </w:pPr>
            <w:r>
              <w:rPr>
                <w:rFonts w:ascii="Arial" w:cs="Arial" w:eastAsia="Arial" w:hAnsi="Arial"/>
                <w:sz w:val="18"/>
                <w:szCs w:val="18"/>
                <w:color w:val="auto"/>
                <w:w w:val="92"/>
              </w:rPr>
              <w:t>Monster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3"/>
              </w:rPr>
              <w:t>Energy®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0"/>
              </w:rPr>
              <w:t>Strategic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vMerge w:val="restart"/>
          </w:tcPr>
          <w:p>
            <w:pPr>
              <w:spacing w:after="0"/>
              <w:rPr>
                <w:sz w:val="20"/>
                <w:szCs w:val="20"/>
                <w:color w:val="auto"/>
              </w:rPr>
            </w:pPr>
            <w:r>
              <w:rPr>
                <w:rFonts w:ascii="Arial" w:cs="Arial" w:eastAsia="Arial" w:hAnsi="Arial"/>
                <w:sz w:val="18"/>
                <w:szCs w:val="18"/>
                <w:color w:val="auto"/>
              </w:rPr>
              <w:t>Balance at December 31, 2017</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Drinks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Brands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693,644</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637,999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600"/>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w w:val="97"/>
              </w:rPr>
              <w:t>1,331,643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Acquisitions</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7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693,644</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1,331,643</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640"/>
              <w:spacing w:after="0"/>
              <w:rPr>
                <w:sz w:val="20"/>
                <w:szCs w:val="20"/>
                <w:color w:val="auto"/>
              </w:rPr>
            </w:pPr>
            <w:r>
              <w:rPr>
                <w:rFonts w:ascii="Arial" w:cs="Arial" w:eastAsia="Arial" w:hAnsi="Arial"/>
                <w:sz w:val="20"/>
                <w:szCs w:val="20"/>
                <w:color w:val="auto"/>
              </w:rPr>
              <w:t>Intangible assets consist of the following at:</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w w:val="97"/>
              </w:rPr>
              <w:t>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4880" w:type="dxa"/>
            <w:vAlign w:val="bottom"/>
            <w:vMerge w:val="restart"/>
          </w:tcPr>
          <w:p>
            <w:pPr>
              <w:spacing w:after="0"/>
              <w:rPr>
                <w:sz w:val="20"/>
                <w:szCs w:val="20"/>
                <w:color w:val="auto"/>
              </w:rPr>
            </w:pPr>
            <w:r>
              <w:rPr>
                <w:rFonts w:ascii="Arial" w:cs="Arial" w:eastAsia="Arial" w:hAnsi="Arial"/>
                <w:sz w:val="18"/>
                <w:szCs w:val="18"/>
                <w:color w:val="auto"/>
              </w:rPr>
              <w:t>Amortizing intangibles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48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66,949</w:t>
            </w:r>
          </w:p>
        </w:tc>
        <w:tc>
          <w:tcPr>
            <w:tcW w:w="4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71,350</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(38,311)</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17,821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33,039</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Non-amortizing intangibles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1,034,284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1,012,839</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1,052,105</w:t>
            </w: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0" w:type="dxa"/>
            <w:vAlign w:val="bottom"/>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1,045,878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9"/>
          <w:szCs w:val="19"/>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$11.6 million, $11.9 million and $11.9 million for the years ended December 31, 2019, 2018 and 2017, respectively.</w:t>
      </w:r>
    </w:p>
    <w:p>
      <w:pPr>
        <w:spacing w:after="0" w:line="177" w:lineRule="exact"/>
        <w:rPr>
          <w:sz w:val="20"/>
          <w:szCs w:val="20"/>
          <w:color w:val="auto"/>
        </w:rPr>
      </w:pPr>
    </w:p>
    <w:p>
      <w:pPr>
        <w:ind w:left="641"/>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December 31, 2019:</w:t>
      </w:r>
    </w:p>
    <w:p>
      <w:pPr>
        <w:spacing w:after="0" w:line="268"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20" w:type="dxa"/>
            <w:vAlign w:val="bottom"/>
          </w:tcPr>
          <w:p>
            <w:pPr>
              <w:spacing w:after="0"/>
              <w:rPr>
                <w:sz w:val="20"/>
                <w:szCs w:val="20"/>
                <w:color w:val="auto"/>
              </w:rPr>
            </w:pPr>
            <w:r>
              <w:rPr>
                <w:rFonts w:ascii="Arial" w:cs="Arial" w:eastAsia="Arial" w:hAnsi="Arial"/>
                <w:sz w:val="18"/>
                <w:szCs w:val="18"/>
                <w:color w:val="auto"/>
              </w:rPr>
              <w:t>2020</w:t>
            </w:r>
          </w:p>
        </w:tc>
        <w:tc>
          <w:tcPr>
            <w:tcW w:w="58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2021</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2022</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2023</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2024</w:t>
            </w: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2025 and thereafter</w:t>
            </w:r>
          </w:p>
        </w:tc>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520" w:type="dxa"/>
            <w:vAlign w:val="bottom"/>
            <w:vMerge w:val="restart"/>
          </w:tcPr>
          <w:p>
            <w:pPr>
              <w:jc w:val="right"/>
              <w:ind w:right="3690"/>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20" w:type="dxa"/>
            <w:vAlign w:val="bottom"/>
          </w:tcPr>
          <w:p>
            <w:pPr>
              <w:spacing w:after="0"/>
              <w:rPr>
                <w:sz w:val="24"/>
                <w:szCs w:val="24"/>
                <w:color w:val="auto"/>
              </w:rPr>
            </w:pPr>
          </w:p>
        </w:tc>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1"/>
          </w:cols>
          <w:pgMar w:left="919" w:top="517" w:right="919" w:bottom="1440" w:gutter="0" w:footer="0" w:header="0"/>
        </w:sectPr>
      </w:pPr>
    </w:p>
    <w:bookmarkStart w:id="100" w:name="page101"/>
    <w:bookmarkEnd w:id="100"/>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1" w:firstLine="648"/>
        <w:spacing w:after="0" w:line="260" w:lineRule="auto"/>
        <w:rPr>
          <w:sz w:val="20"/>
          <w:szCs w:val="20"/>
          <w:color w:val="auto"/>
        </w:rPr>
      </w:pPr>
      <w:r>
        <w:rPr>
          <w:rFonts w:ascii="Arial" w:cs="Arial" w:eastAsia="Arial" w:hAnsi="Arial"/>
          <w:sz w:val="20"/>
          <w:szCs w:val="20"/>
          <w:color w:val="auto"/>
        </w:rPr>
        <w:t>At December 31, 2019, non-amortizing intangibles primarily consist of indefinite-lived tradenames, flavors and formulas.</w:t>
      </w:r>
    </w:p>
    <w:p>
      <w:pPr>
        <w:spacing w:after="0" w:line="190" w:lineRule="exact"/>
        <w:rPr>
          <w:sz w:val="20"/>
          <w:szCs w:val="20"/>
          <w:color w:val="auto"/>
        </w:rPr>
      </w:pPr>
    </w:p>
    <w:p>
      <w:pPr>
        <w:ind w:left="741" w:hanging="741"/>
        <w:spacing w:after="0"/>
        <w:tabs>
          <w:tab w:leader="none" w:pos="741"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16"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In accordance with FASB ASC No. 420 “Exit or Disposal Cost Obligations”, the Company expenses distributor termination costs in the period in which the written notification of termination occurs. As a result, the Company incurred termination costs of $11.3 million, $26.6 million and $35.4 million for the years ended December 31, 2019, 2018 and 2017, respectively. Such termination costs have been expensed in full and are included in operating expenses for the years ended December 31, 2019, 2018 and 2017.</w:t>
      </w:r>
    </w:p>
    <w:p>
      <w:pPr>
        <w:spacing w:after="0" w:line="195"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$25.0 million, $21.9 million and $22.3 million for the years ended December 31, 2019, 2018 and 2017, respectively.</w:t>
      </w:r>
    </w:p>
    <w:p>
      <w:pPr>
        <w:spacing w:after="0" w:line="194" w:lineRule="exact"/>
        <w:rPr>
          <w:sz w:val="20"/>
          <w:szCs w:val="20"/>
          <w:color w:val="auto"/>
        </w:rPr>
      </w:pPr>
    </w:p>
    <w:p>
      <w:pPr>
        <w:ind w:left="641" w:hanging="641"/>
        <w:spacing w:after="0"/>
        <w:tabs>
          <w:tab w:leader="none" w:pos="641" w:val="left"/>
        </w:tabs>
        <w:numPr>
          <w:ilvl w:val="0"/>
          <w:numId w:val="52"/>
        </w:numPr>
        <w:rPr>
          <w:rFonts w:ascii="Arial" w:cs="Arial" w:eastAsia="Arial" w:hAnsi="Arial"/>
          <w:sz w:val="20"/>
          <w:szCs w:val="20"/>
          <w:color w:val="auto"/>
        </w:rPr>
      </w:pPr>
      <w:r>
        <w:rPr>
          <w:rFonts w:ascii="Arial" w:cs="Arial" w:eastAsia="Arial" w:hAnsi="Arial"/>
          <w:sz w:val="20"/>
          <w:szCs w:val="20"/>
          <w:color w:val="auto"/>
        </w:rPr>
        <w:t>DEBT</w:t>
      </w:r>
    </w:p>
    <w:p>
      <w:pPr>
        <w:spacing w:after="0" w:line="216" w:lineRule="exact"/>
        <w:rPr>
          <w:sz w:val="20"/>
          <w:szCs w:val="20"/>
          <w:color w:val="auto"/>
        </w:rPr>
      </w:pPr>
    </w:p>
    <w:p>
      <w:pPr>
        <w:jc w:val="both"/>
        <w:ind w:left="1" w:firstLine="648"/>
        <w:spacing w:after="0" w:line="256" w:lineRule="auto"/>
        <w:rPr>
          <w:sz w:val="20"/>
          <w:szCs w:val="20"/>
          <w:color w:val="auto"/>
        </w:rPr>
      </w:pPr>
      <w:r>
        <w:rPr>
          <w:rFonts w:ascii="Arial" w:cs="Arial" w:eastAsia="Arial" w:hAnsi="Arial"/>
          <w:sz w:val="19"/>
          <w:szCs w:val="19"/>
          <w:color w:val="auto"/>
        </w:rPr>
        <w:t>The Company entered into a credit facility with Comerica Bank (“Comerica”) consisting of a revolving line of credit, which was amended in June 2017, under which the Company may borrow up to $10.0 million of non-collateralized debt. The revolving line of credit is effective through June 1, 2020. Interest on borrowings under the line of credit is based on Comerica’s base (prime) rate minus 1.00% to 1.50%, or London Interbank Offered Rates plus an additional percentage of 1.25% to 1.75%, depending upon certain financial ratios maintained by the Company. The Company had no outstanding borrowings on this line of credit at December 31, 2019.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2019.</w:t>
      </w:r>
    </w:p>
    <w:p>
      <w:pPr>
        <w:spacing w:after="0" w:line="185" w:lineRule="exact"/>
        <w:rPr>
          <w:sz w:val="20"/>
          <w:szCs w:val="20"/>
          <w:color w:val="auto"/>
        </w:rPr>
      </w:pPr>
    </w:p>
    <w:p>
      <w:pPr>
        <w:jc w:val="both"/>
        <w:ind w:left="1" w:firstLine="648"/>
        <w:spacing w:after="0" w:line="263" w:lineRule="auto"/>
        <w:rPr>
          <w:sz w:val="20"/>
          <w:szCs w:val="20"/>
          <w:color w:val="auto"/>
        </w:rPr>
      </w:pPr>
      <w:r>
        <w:rPr>
          <w:rFonts w:ascii="Arial" w:cs="Arial" w:eastAsia="Arial" w:hAnsi="Arial"/>
          <w:sz w:val="19"/>
          <w:szCs w:val="19"/>
          <w:color w:val="auto"/>
        </w:rPr>
        <w:t>In December 2016, the Company entered into a credit facility with HSBC Bank (China) Company Limited, Shanghai Branch consisting of a non-collateralized working capital line of credit. In February 2018, the working capital line limit was increased to $15.0 million. At December 31, 2019, the interest rate on borrowings under the line of credit was 5.5%. As of December 31, 2019, the Company had no amounts outstanding on this line of credit.</w:t>
      </w:r>
    </w:p>
    <w:p>
      <w:pPr>
        <w:spacing w:after="0" w:line="190" w:lineRule="exact"/>
        <w:rPr>
          <w:sz w:val="20"/>
          <w:szCs w:val="20"/>
          <w:color w:val="auto"/>
        </w:rPr>
      </w:pPr>
    </w:p>
    <w:p>
      <w:pPr>
        <w:ind w:left="641" w:hanging="641"/>
        <w:spacing w:after="0"/>
        <w:tabs>
          <w:tab w:leader="none" w:pos="641"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16" w:lineRule="exact"/>
        <w:rPr>
          <w:sz w:val="20"/>
          <w:szCs w:val="20"/>
          <w:color w:val="auto"/>
        </w:rPr>
      </w:pPr>
    </w:p>
    <w:p>
      <w:pPr>
        <w:ind w:left="1" w:firstLine="648"/>
        <w:spacing w:after="0" w:line="287" w:lineRule="auto"/>
        <w:rPr>
          <w:sz w:val="20"/>
          <w:szCs w:val="20"/>
          <w:color w:val="auto"/>
        </w:rPr>
      </w:pPr>
      <w:r>
        <w:rPr>
          <w:rFonts w:ascii="Arial" w:cs="Arial" w:eastAsia="Arial" w:hAnsi="Arial"/>
          <w:sz w:val="19"/>
          <w:szCs w:val="19"/>
          <w:color w:val="auto"/>
        </w:rPr>
        <w:t>The Company is obligated under various non-cancellable lease agreements providing for office space, warehouse space, vehicles and warehouse equipment that expire at various dates through the year 2033. See Note 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has the following contractual obligations related primarily to sponsorships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commitments as of December 31,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8"/>
        </w:trPr>
        <w:tc>
          <w:tcPr>
            <w:tcW w:w="8920" w:type="dxa"/>
            <w:vAlign w:val="bottom"/>
          </w:tcPr>
          <w:p>
            <w:pPr>
              <w:spacing w:after="0"/>
              <w:rPr>
                <w:sz w:val="20"/>
                <w:szCs w:val="20"/>
                <w:color w:val="auto"/>
              </w:rPr>
            </w:pPr>
            <w:r>
              <w:rPr>
                <w:rFonts w:ascii="Arial" w:cs="Arial" w:eastAsia="Arial" w:hAnsi="Arial"/>
                <w:sz w:val="18"/>
                <w:szCs w:val="18"/>
                <w:color w:val="auto"/>
              </w:rPr>
              <w:t>2020</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121,675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43,575</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2025 and thereafter</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9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181,896</w:t>
            </w: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has purchase commitments aggregating approximately $86.7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which represent commitments made by the Company and its subsidiaries to various suppliers of raw materials for the production of its products. These obligations vary in terms, but are generally satisfied within one year.</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purchases various raw material items, including, but not limited to, flavors, ingredients, supplement ingredients, containers, milk, glucose, sucralose, cream and protein,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2019, 2018 and 2017 was $335.3 million, $289.6 million and $273.6 million, respectively.</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8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Litigation </w:t>
      </w:r>
      <w:r>
        <w:rPr>
          <w:rFonts w:ascii="Arial" w:cs="Arial" w:eastAsia="Arial" w:hAnsi="Arial"/>
          <w:sz w:val="20"/>
          <w:szCs w:val="20"/>
          <w:color w:val="auto"/>
        </w:rPr>
        <w:t>– The Company is currently a defendant in a number of personal injury lawsuits, claiming that the death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 serious 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02" w:name="page103"/>
    <w:bookmarkEnd w:id="102"/>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December 31, 2019, the Company’s consolidated balance sheet includes accrued loss contingencies of approximately $15.5 million.</w:t>
      </w:r>
    </w:p>
    <w:p>
      <w:pPr>
        <w:spacing w:after="0" w:line="205" w:lineRule="exact"/>
        <w:rPr>
          <w:sz w:val="20"/>
          <w:szCs w:val="20"/>
          <w:color w:val="auto"/>
        </w:rPr>
      </w:pPr>
    </w:p>
    <w:p>
      <w:pPr>
        <w:ind w:left="641" w:hanging="641"/>
        <w:spacing w:after="0"/>
        <w:tabs>
          <w:tab w:leader="none" w:pos="641" w:val="left"/>
        </w:tabs>
        <w:numPr>
          <w:ilvl w:val="0"/>
          <w:numId w:val="54"/>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15"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20"/>
          <w:szCs w:val="20"/>
          <w:color w:val="auto"/>
        </w:rPr>
        <w:t>The components of accumulated other comprehensive loss are as follows at December 31:</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7840" w:type="dxa"/>
            <w:vAlign w:val="bottom"/>
            <w:vMerge w:val="restart"/>
          </w:tcPr>
          <w:p>
            <w:pPr>
              <w:spacing w:after="0"/>
              <w:rPr>
                <w:sz w:val="20"/>
                <w:szCs w:val="20"/>
                <w:color w:val="auto"/>
              </w:rPr>
            </w:pPr>
            <w:r>
              <w:rPr>
                <w:rFonts w:ascii="Arial" w:cs="Arial" w:eastAsia="Arial" w:hAnsi="Arial"/>
                <w:sz w:val="18"/>
                <w:szCs w:val="18"/>
                <w:color w:val="auto"/>
              </w:rPr>
              <w:t>Accumulated net unrealized (gain) loss on available-for-sale securities</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7840" w:type="dxa"/>
            <w:vAlign w:val="bottom"/>
            <w:vMerge w:val="continue"/>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(194)</w:t>
            </w:r>
          </w:p>
        </w:tc>
        <w:tc>
          <w:tcPr>
            <w:tcW w:w="22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Foreign currency translation adjustments, net of tax</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32,775</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 accumulated other comprehensive loss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1" w:hanging="641"/>
        <w:spacing w:after="0"/>
        <w:tabs>
          <w:tab w:leader="none" w:pos="641" w:val="left"/>
        </w:tabs>
        <w:numPr>
          <w:ilvl w:val="0"/>
          <w:numId w:val="55"/>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16"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0"/>
          <w:szCs w:val="20"/>
          <w:color w:val="auto"/>
        </w:rPr>
        <w:t>On August 7, 2018, the Company’s Board of Directors authorized a share repurchase program for the purchase of up to $500.0 million of the Company’s outstanding common stock (the “August 2018 Repurchase Plan”). During the year ended December 31, 2019, the Company purchased 2.9 million shares of common stock at an average purchase price of $54.68 per share, for a total amount of $159.6 million (excluding broker commissions), which exhausted the availability under the August 2018 Repurchase Plan. Such shares are included in common stock in treasury in the accompanying consolidated balance sheet at December 31, 2019.</w:t>
      </w:r>
    </w:p>
    <w:p>
      <w:pPr>
        <w:spacing w:after="0" w:line="197" w:lineRule="exact"/>
        <w:rPr>
          <w:sz w:val="20"/>
          <w:szCs w:val="20"/>
          <w:color w:val="auto"/>
        </w:rPr>
      </w:pPr>
    </w:p>
    <w:p>
      <w:pPr>
        <w:jc w:val="both"/>
        <w:ind w:left="1" w:firstLine="648"/>
        <w:spacing w:after="0" w:line="316" w:lineRule="auto"/>
        <w:rPr>
          <w:sz w:val="20"/>
          <w:szCs w:val="20"/>
          <w:color w:val="auto"/>
        </w:rPr>
      </w:pPr>
      <w:r>
        <w:rPr>
          <w:rFonts w:ascii="Arial" w:cs="Arial" w:eastAsia="Arial" w:hAnsi="Arial"/>
          <w:sz w:val="16"/>
          <w:szCs w:val="16"/>
          <w:color w:val="auto"/>
        </w:rPr>
        <w:t>On February 26, 2019, the Company’s Board of Directors authorized a share repurchase program for the purchase of up to $500.0 million of the Company’s outstanding common stock (the “February 2019 Repurchase Plan”). During the year ended December 31, 2019, the Company purchased 8.1 million shares of common stock at an average purchase price of $57.16 per share, for a total amount of $463.3 million (excluding broker commissions), under the February 2019 Repurchase Plan. Such shares are included in common stock in treasury in the accompanying consolidated balance sheet at December 31, 2019. As of February 28, 2020, $36.6 million remained available for repurchase under the February 2019 Repurchase Plan.</w:t>
      </w:r>
    </w:p>
    <w:p>
      <w:pPr>
        <w:spacing w:after="0" w:line="140"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8"/>
          <w:szCs w:val="18"/>
          <w:color w:val="auto"/>
        </w:rPr>
        <w:t>On November 6, 2019, the Company’s Board of Directors authorized a new share repurchase program for the purchase of up to $500.0 million of the Company’s outstanding common stock (the “November 2019 Repurchase Plan”). No shares were purchased during the year ended December 31, 2019 under the November 2019 Repurchase Plan. As of February 28, 2020, $500.0 million remained available for repurchase under the November 2019 Repurchase Plan.</w:t>
      </w:r>
    </w:p>
    <w:p>
      <w:pPr>
        <w:spacing w:after="0" w:line="162"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During the year ended December 31, 2019, 1.4 million shares of common stock were purchased from employees in lieu of cash payments for options exercised or withholding taxes due for a total amount of $84.5 million. While such purchases are considered common stock repurchases, they are not counted as purchases against the Company's authorized share repurchase programs. Such shares are included in common stock in treasury in the accompanying consolidated balance sheet at December 31, 2019.</w:t>
      </w:r>
    </w:p>
    <w:p>
      <w:pPr>
        <w:spacing w:after="0" w:line="208" w:lineRule="exact"/>
        <w:rPr>
          <w:sz w:val="20"/>
          <w:szCs w:val="20"/>
          <w:color w:val="auto"/>
        </w:rPr>
      </w:pPr>
    </w:p>
    <w:p>
      <w:pPr>
        <w:ind w:left="641" w:hanging="641"/>
        <w:spacing w:after="0"/>
        <w:tabs>
          <w:tab w:leader="none" w:pos="641" w:val="left"/>
        </w:tabs>
        <w:numPr>
          <w:ilvl w:val="0"/>
          <w:numId w:val="56"/>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16" w:lineRule="exact"/>
        <w:rPr>
          <w:sz w:val="20"/>
          <w:szCs w:val="20"/>
          <w:color w:val="auto"/>
        </w:rPr>
      </w:pPr>
    </w:p>
    <w:p>
      <w:pPr>
        <w:ind w:left="1" w:firstLine="648"/>
        <w:spacing w:after="0" w:line="316" w:lineRule="auto"/>
        <w:rPr>
          <w:sz w:val="20"/>
          <w:szCs w:val="20"/>
          <w:color w:val="auto"/>
        </w:rPr>
      </w:pPr>
      <w:r>
        <w:rPr>
          <w:rFonts w:ascii="Arial" w:cs="Arial" w:eastAsia="Arial" w:hAnsi="Arial"/>
          <w:sz w:val="18"/>
          <w:szCs w:val="18"/>
          <w:color w:val="auto"/>
        </w:rPr>
        <w:t>The Company has two stock-based compensation plans under which shares were available for grant at December 31, 2019: the Monster Beverage Corporation 2011 Omnibus Incentive Plan (the “2011 Omnibus Incentive Plan”), including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Monster Beverage Deferred Compensation Plan (the “Deferred Compensation Plan”) as a sub plan thereunder, and the Monster Beverage Corporation 2017 Compensation Plan for Non-Employee Directors (the “2017 Directors Plan”), including the Monster Beverage Deferred Compensation Plan for Non-Employee Directors as a sub plan thereunder.</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2011 Omnibus Incentive Plan permits the granting of options, stock appreciation rights, restricted stock, restricted stock units, performance awards and other stock-based awards up to an aggregate of 43,500,000 shares of the common stock of the Company to employees or consultants of the Company and its subsidiaries. Shares authorized under the 2011 Omnibus Incentive Plan are reduced by 2.16 shares for each share granted or issued with respect to a Full Value Award (as defined in the 2011 Omnibus Incentive Plan). A Full Value Award is an award other than an incentive stock option, a non-qualified stock option, or a stock appreciation right, which is settled by the issuance of shares. Options granted under the 2011 Omnibus Incentive Plan may be incentive stock options under Section 422 of the Internal Revenue Code, as amended, or non-qualified stock options. The Compensation Committee of the Board of Directors (the “Compensation Committee”) has sole and exclusive authority to grant stock awards to all employees who are not new hires and to all new hires who are subject to Section 16 of the Exchange Act. The Compensation Committee and the Executive Committee of the Board of Directors (the “Executive Committee”) each independently has the authority to grant stock awards to new hires who are not Section 16 employees. Awards granted by the Executive Committee are not subject to approval or ratification by the Board of Directors or the Compensation Committee. Options granted under the 2011 Omnibus Incentive Plan generally vest over a five-year period from the grant date and are generally exercisable up to 10 years after the grant date. As of December 31, 2019, 24,555,792 shares of the Company’s common stock have been granted, net of cancellations, and 14,169,367 shares (as adjusted for Full Value Awards) of the Company’s common stock remain available for grant under the 2011 Omnibus Incentive Plan.</w:t>
      </w:r>
    </w:p>
    <w:p>
      <w:pPr>
        <w:spacing w:after="0" w:line="17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2019, deferrals under the Deferred Compensation Plan are solely comprised of cash compensation and equity compensation and are not material in the aggregate.</w:t>
      </w:r>
    </w:p>
    <w:p>
      <w:pPr>
        <w:spacing w:after="0" w:line="14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based-awards up to an aggregate of 1,250,000 shares of common stock of the Company to non-employee directors of the Company.</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Each calendar year, a non-employee director will receive an annual retainer and annual equity award, as provided for in the 2017 Directors Plan, which may be modified from time to time. Currently, with respect to equity awards, each non-employee director receives an award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based awards in lieu of or in addition to restricted stock units. The Board of Directors may amend or terminate the 2017 Directors Plan at any time, subject to certain limitations set forth in the 2017 Directors Plan. As of December 31, 2019, 68,774 shares of the Company’s common stock had been granted under the 2017 Directors Plan, and 1,181,226 shares of the Company’s common stock remain available for grant.</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Code Section 409A, as applicable), to receive all or any portion of such non-employee director’s compensation, whether payable in cash or in equity, on a deferred basis. Deferrals under the Deferred Compensation Plan for Non-Employee Directors are unfunded and unsecured. As of December 31, 2019,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Under the 2017 Directors Plan, the Board of Directors requires each non-employee director to satisfy the share ownership guidelines set forth below, as may be amended by the Board of Directors from time to time. The current share ownership guidelines provide that non-employee directors of the Company must:</w:t>
      </w:r>
    </w:p>
    <w:p>
      <w:pPr>
        <w:spacing w:after="0" w:line="186" w:lineRule="exact"/>
        <w:rPr>
          <w:sz w:val="20"/>
          <w:szCs w:val="20"/>
          <w:color w:val="auto"/>
        </w:rPr>
      </w:pPr>
    </w:p>
    <w:p>
      <w:pPr>
        <w:ind w:left="1000" w:hanging="326"/>
        <w:spacing w:after="0" w:line="247" w:lineRule="auto"/>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Hold at least 9,000 shares of Company common stock. For this purpose, deferred shares or deferred restricted stock units will be deemed held, to the extent vested.</w:t>
      </w:r>
    </w:p>
    <w:p>
      <w:pPr>
        <w:spacing w:after="0" w:line="1" w:lineRule="exact"/>
        <w:rPr>
          <w:rFonts w:ascii="Arial" w:cs="Arial" w:eastAsia="Arial" w:hAnsi="Arial"/>
          <w:sz w:val="20"/>
          <w:szCs w:val="20"/>
          <w:color w:val="auto"/>
        </w:rPr>
      </w:pPr>
    </w:p>
    <w:p>
      <w:pPr>
        <w:ind w:left="1000" w:right="20" w:hanging="326"/>
        <w:spacing w:after="0" w:line="239" w:lineRule="auto"/>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minimum stock ownership level must be achieved by each non-employee director by the third (3rd) anniversary of such non-employee director’s initial appointment to the Board of Directors.</w:t>
      </w:r>
    </w:p>
    <w:p>
      <w:pPr>
        <w:spacing w:after="0" w:line="1" w:lineRule="exact"/>
        <w:rPr>
          <w:rFonts w:ascii="Arial" w:cs="Arial" w:eastAsia="Arial" w:hAnsi="Arial"/>
          <w:sz w:val="20"/>
          <w:szCs w:val="20"/>
          <w:color w:val="auto"/>
        </w:rPr>
      </w:pPr>
    </w:p>
    <w:p>
      <w:pPr>
        <w:ind w:left="1000" w:hanging="326"/>
        <w:spacing w:after="0" w:line="239" w:lineRule="auto"/>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Once achieved, ownership of the guideline amount should be maintained for so long as the non-employee director retains his or her seat on the Board of Directors.</w:t>
      </w:r>
    </w:p>
    <w:p>
      <w:pPr>
        <w:spacing w:after="0" w:line="1" w:lineRule="exact"/>
        <w:rPr>
          <w:rFonts w:ascii="Arial" w:cs="Arial" w:eastAsia="Arial" w:hAnsi="Arial"/>
          <w:sz w:val="20"/>
          <w:szCs w:val="20"/>
          <w:color w:val="auto"/>
        </w:rPr>
      </w:pPr>
    </w:p>
    <w:p>
      <w:pPr>
        <w:jc w:val="both"/>
        <w:ind w:left="1000" w:hanging="326"/>
        <w:spacing w:after="0" w:line="241" w:lineRule="auto"/>
        <w:tabs>
          <w:tab w:leader="none" w:pos="10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recorded $63.4 million, $57.1 million and $52.3 million of compensation expense relating to stock options, restricted stock awards and restricted stock units during the years ended December 31, 2019, 2018 and 2017,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benefit for tax deductions from non-qualified stock option exercises, disqualifying dispositions of incentive stock options and vesting of restricted stock units for the years ended December 31, 2019, 2018 and 2017 was $25.9 million, $8.5 million and $96.7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Under the Company’s stock-based compensation plans, all stock options granted through December 31, 2019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following weighted-average assumptions were used to estimate the fair value of options granted during:</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020" w:type="dxa"/>
            <w:vAlign w:val="bottom"/>
            <w:vMerge w:val="restart"/>
          </w:tcPr>
          <w:p>
            <w:pPr>
              <w:spacing w:after="0"/>
              <w:rPr>
                <w:sz w:val="20"/>
                <w:szCs w:val="20"/>
                <w:color w:val="auto"/>
              </w:rPr>
            </w:pPr>
            <w:r>
              <w:rPr>
                <w:rFonts w:ascii="Arial" w:cs="Arial" w:eastAsia="Arial" w:hAnsi="Arial"/>
                <w:sz w:val="18"/>
                <w:szCs w:val="18"/>
                <w:color w:val="auto"/>
              </w:rPr>
              <w:t>Dividend yield</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240" w:type="dxa"/>
            <w:vAlign w:val="bottom"/>
            <w:vMerge w:val="continue"/>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240" w:type="dxa"/>
            <w:vAlign w:val="bottom"/>
            <w:vMerge w:val="continue"/>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30.2 %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34.7 %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2.37 %</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2.81 %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Expected term</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w w:val="88"/>
              </w:rPr>
              <w:t>6.0 Years</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w w:val="90"/>
              </w:rPr>
              <w:t>6.0 Years</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w w:val="88"/>
              </w:rPr>
              <w:t>6.1 Years</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 The Company uses historical volatility as it provides a reasonable estimate of the expected</w:t>
      </w:r>
      <w:r>
        <w:rPr>
          <w:rFonts w:ascii="Arial" w:cs="Arial" w:eastAsia="Arial" w:hAnsi="Arial"/>
          <w:sz w:val="20"/>
          <w:szCs w:val="20"/>
          <w:i w:val="1"/>
          <w:iCs w:val="1"/>
          <w:color w:val="auto"/>
        </w:rPr>
        <w:t xml:space="preserve"> </w:t>
      </w:r>
      <w:r>
        <w:rPr>
          <w:rFonts w:ascii="Arial" w:cs="Arial" w:eastAsia="Arial" w:hAnsi="Arial"/>
          <w:sz w:val="20"/>
          <w:szCs w:val="20"/>
          <w:color w:val="auto"/>
        </w:rPr>
        <w:t>volatility. Historical volatility is based on the most recent volatility of the stock price over a period of time equivalent to the expected term of the option.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w:t>
      </w:r>
      <w:r>
        <w:rPr>
          <w:rFonts w:ascii="Arial" w:cs="Arial" w:eastAsia="Arial" w:hAnsi="Arial"/>
          <w:sz w:val="20"/>
          <w:szCs w:val="20"/>
          <w:i w:val="1"/>
          <w:iCs w:val="1"/>
          <w:color w:val="auto"/>
        </w:rPr>
        <w:t xml:space="preserve"> </w:t>
      </w:r>
      <w:r>
        <w:rPr>
          <w:rFonts w:ascii="Arial" w:cs="Arial" w:eastAsia="Arial" w:hAnsi="Arial"/>
          <w:sz w:val="20"/>
          <w:szCs w:val="20"/>
          <w:color w:val="auto"/>
        </w:rPr>
        <w:t>time of grant for the expected term of the option.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 The Company’s expected term represents the weighted-average period that the Company’s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are 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Weighted-</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r>
      <w:tr>
        <w:trPr>
          <w:trHeight w:val="216"/>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Shares (in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Price Per</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Term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6"/>
              </w:rPr>
              <w:t>Intrinsic</w:t>
            </w:r>
          </w:p>
        </w:tc>
      </w:tr>
      <w:tr>
        <w:trPr>
          <w:trHeight w:val="230"/>
        </w:trPr>
        <w:tc>
          <w:tcPr>
            <w:tcW w:w="4720" w:type="dxa"/>
            <w:vAlign w:val="bottom"/>
          </w:tcPr>
          <w:p>
            <w:pPr>
              <w:ind w:left="2520"/>
              <w:spacing w:after="0"/>
              <w:rPr>
                <w:sz w:val="20"/>
                <w:szCs w:val="20"/>
                <w:color w:val="auto"/>
              </w:rPr>
            </w:pPr>
            <w:r>
              <w:rPr>
                <w:rFonts w:ascii="Arial" w:cs="Arial" w:eastAsia="Arial" w:hAnsi="Arial"/>
                <w:sz w:val="18"/>
                <w:szCs w:val="18"/>
                <w:color w:val="auto"/>
              </w:rPr>
              <w:t>Options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thousands)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Share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years)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Value</w:t>
            </w:r>
          </w:p>
        </w:tc>
      </w:tr>
      <w:tr>
        <w:trPr>
          <w:trHeight w:val="195"/>
        </w:trPr>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Outstanding at January 1, 2019</w:t>
            </w: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18,890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34.61</w:t>
            </w: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303,627</w:t>
            </w: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Granted 01/01/19 - 03/31/19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59.52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Granted 04/01/19 - 06/30/19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Granted 07/01/19 - 09/30/19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Granted 10/01/19 - 12/31/19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56.39</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72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(5,224)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17.68</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4720" w:type="dxa"/>
            <w:vAlign w:val="bottom"/>
          </w:tcPr>
          <w:p>
            <w:pPr>
              <w:ind w:left="220"/>
              <w:spacing w:after="0"/>
              <w:rPr>
                <w:sz w:val="20"/>
                <w:szCs w:val="20"/>
                <w:color w:val="auto"/>
              </w:rPr>
            </w:pPr>
            <w:r>
              <w:rPr>
                <w:rFonts w:ascii="Arial" w:cs="Arial" w:eastAsia="Arial" w:hAnsi="Arial"/>
                <w:sz w:val="18"/>
                <w:szCs w:val="18"/>
                <w:color w:val="auto"/>
              </w:rPr>
              <w:t>Cancelled or forfeited</w:t>
            </w:r>
          </w:p>
        </w:tc>
        <w:tc>
          <w:tcPr>
            <w:tcW w:w="2020" w:type="dxa"/>
            <w:vAlign w:val="bottom"/>
            <w:gridSpan w:val="4"/>
          </w:tcPr>
          <w:p>
            <w:pPr>
              <w:jc w:val="right"/>
              <w:ind w:right="100"/>
              <w:spacing w:after="0"/>
              <w:rPr>
                <w:sz w:val="20"/>
                <w:szCs w:val="20"/>
                <w:color w:val="auto"/>
              </w:rPr>
            </w:pPr>
            <w:r>
              <w:rPr>
                <w:rFonts w:ascii="Arial" w:cs="Arial" w:eastAsia="Arial" w:hAnsi="Arial"/>
                <w:sz w:val="18"/>
                <w:szCs w:val="18"/>
                <w:color w:val="auto"/>
              </w:rPr>
              <w:t>(397)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50.83</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5"/>
        </w:trPr>
        <w:tc>
          <w:tcPr>
            <w:tcW w:w="4720" w:type="dxa"/>
            <w:vAlign w:val="bottom"/>
          </w:tcPr>
          <w:p>
            <w:pPr>
              <w:spacing w:after="0" w:line="195" w:lineRule="exact"/>
              <w:rPr>
                <w:sz w:val="20"/>
                <w:szCs w:val="20"/>
                <w:color w:val="auto"/>
              </w:rPr>
            </w:pPr>
            <w:r>
              <w:rPr>
                <w:rFonts w:ascii="Arial" w:cs="Arial" w:eastAsia="Arial" w:hAnsi="Arial"/>
                <w:sz w:val="18"/>
                <w:szCs w:val="18"/>
                <w:color w:val="auto"/>
              </w:rPr>
              <w:t>Outstanding at December 31, 2019</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14,941</w:t>
            </w:r>
          </w:p>
        </w:tc>
        <w:tc>
          <w:tcPr>
            <w:tcW w:w="100" w:type="dxa"/>
            <w:vAlign w:val="bottom"/>
          </w:tcPr>
          <w:p>
            <w:pPr>
              <w:spacing w:after="0"/>
              <w:rPr>
                <w:sz w:val="16"/>
                <w:szCs w:val="16"/>
                <w:color w:val="auto"/>
              </w:rPr>
            </w:pPr>
          </w:p>
        </w:tc>
        <w:tc>
          <w:tcPr>
            <w:tcW w:w="2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42.88</w:t>
            </w:r>
          </w:p>
        </w:tc>
        <w:tc>
          <w:tcPr>
            <w:tcW w:w="22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6.3</w:t>
            </w:r>
          </w:p>
        </w:tc>
        <w:tc>
          <w:tcPr>
            <w:tcW w:w="32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308,884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2"/>
              </w:rPr>
              <w:t>Vested and expected to vest in the future at December 31, 2019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14,205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302,587</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33.70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231,600</w:t>
            </w:r>
          </w:p>
        </w:tc>
      </w:tr>
      <w:tr>
        <w:trPr>
          <w:trHeight w:val="878"/>
        </w:trPr>
        <w:tc>
          <w:tcPr>
            <w:tcW w:w="4720" w:type="dxa"/>
            <w:vAlign w:val="bottom"/>
          </w:tcPr>
          <w:p>
            <w:pPr>
              <w:spacing w:after="0"/>
              <w:rPr>
                <w:sz w:val="24"/>
                <w:szCs w:val="24"/>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1"/>
        </w:trPr>
        <w:tc>
          <w:tcPr>
            <w:tcW w:w="4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517" w:right="91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0" w:type="dxa"/>
            <w:vAlign w:val="bottom"/>
            <w:tcBorders>
              <w:bottom w:val="single" w:sz="8" w:color="auto"/>
            </w:tcBorders>
            <w:gridSpan w:val="4"/>
          </w:tcPr>
          <w:p>
            <w:pPr>
              <w:ind w:left="1580"/>
              <w:spacing w:after="0"/>
              <w:rPr>
                <w:sz w:val="20"/>
                <w:szCs w:val="20"/>
                <w:color w:val="auto"/>
              </w:rPr>
            </w:pPr>
            <w:r>
              <w:rPr>
                <w:rFonts w:ascii="Arial" w:cs="Arial" w:eastAsia="Arial" w:hAnsi="Arial"/>
                <w:sz w:val="18"/>
                <w:szCs w:val="18"/>
                <w:color w:val="auto"/>
              </w:rPr>
              <w:t>Options Outstanding</w:t>
            </w: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2"/>
              </w:rPr>
              <w:t>Options Exercisable</w:t>
            </w:r>
          </w:p>
        </w:tc>
        <w:tc>
          <w:tcPr>
            <w:tcW w:w="480" w:type="dxa"/>
            <w:vAlign w:val="bottom"/>
            <w:tcBorders>
              <w:bottom w:val="single" w:sz="8" w:color="auto"/>
            </w:tcBorders>
          </w:tcPr>
          <w:p>
            <w:pPr>
              <w:spacing w:after="0"/>
              <w:rPr>
                <w:sz w:val="20"/>
                <w:szCs w:val="20"/>
                <w:color w:val="auto"/>
              </w:rPr>
            </w:pPr>
          </w:p>
        </w:tc>
      </w:tr>
      <w:tr>
        <w:trPr>
          <w:trHeight w:val="195"/>
        </w:trPr>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89"/>
              </w:rPr>
              <w:t>Weighted</w:t>
            </w: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Weighted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Weighted</w:t>
            </w:r>
          </w:p>
        </w:tc>
      </w:tr>
      <w:tr>
        <w:trPr>
          <w:trHeight w:val="216"/>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Remaining</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Average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32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Average</w:t>
            </w:r>
          </w:p>
        </w:tc>
      </w:tr>
      <w:tr>
        <w:trPr>
          <w:trHeight w:val="216"/>
        </w:trPr>
        <w:tc>
          <w:tcPr>
            <w:tcW w:w="4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3"/>
              </w:rPr>
              <w:t>Range of Exercise</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Outstanding (In</w:t>
            </w: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Contractual</w:t>
            </w:r>
          </w:p>
        </w:tc>
        <w:tc>
          <w:tcPr>
            <w:tcW w:w="1360" w:type="dxa"/>
            <w:vAlign w:val="bottom"/>
            <w:gridSpan w:val="3"/>
          </w:tcPr>
          <w:p>
            <w:pPr>
              <w:ind w:left="220"/>
              <w:spacing w:after="0"/>
              <w:rPr>
                <w:sz w:val="20"/>
                <w:szCs w:val="20"/>
                <w:color w:val="auto"/>
              </w:rPr>
            </w:pPr>
            <w:r>
              <w:rPr>
                <w:rFonts w:ascii="Arial" w:cs="Arial" w:eastAsia="Arial" w:hAnsi="Arial"/>
                <w:sz w:val="18"/>
                <w:szCs w:val="18"/>
                <w:color w:val="auto"/>
              </w:rPr>
              <w:t>Exercise</w:t>
            </w:r>
          </w:p>
        </w:tc>
        <w:tc>
          <w:tcPr>
            <w:tcW w:w="1140" w:type="dxa"/>
            <w:vAlign w:val="bottom"/>
          </w:tcPr>
          <w:p>
            <w:pPr>
              <w:jc w:val="center"/>
              <w:spacing w:after="0"/>
              <w:rPr>
                <w:sz w:val="20"/>
                <w:szCs w:val="20"/>
                <w:color w:val="auto"/>
              </w:rPr>
            </w:pPr>
            <w:r>
              <w:rPr>
                <w:rFonts w:ascii="Arial" w:cs="Arial" w:eastAsia="Arial" w:hAnsi="Arial"/>
                <w:sz w:val="18"/>
                <w:szCs w:val="18"/>
                <w:color w:val="auto"/>
              </w:rPr>
              <w:t>(In</w:t>
            </w:r>
          </w:p>
        </w:tc>
        <w:tc>
          <w:tcPr>
            <w:tcW w:w="3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Exercise</w:t>
            </w:r>
          </w:p>
        </w:tc>
      </w:tr>
      <w:tr>
        <w:trPr>
          <w:trHeight w:val="230"/>
        </w:trPr>
        <w:tc>
          <w:tcPr>
            <w:tcW w:w="420" w:type="dxa"/>
            <w:vAlign w:val="bottom"/>
          </w:tcPr>
          <w:p>
            <w:pPr>
              <w:spacing w:after="0"/>
              <w:rPr>
                <w:sz w:val="20"/>
                <w:szCs w:val="20"/>
                <w:color w:val="auto"/>
              </w:rPr>
            </w:pPr>
          </w:p>
        </w:tc>
        <w:tc>
          <w:tcPr>
            <w:tcW w:w="1400" w:type="dxa"/>
            <w:vAlign w:val="bottom"/>
            <w:gridSpan w:val="3"/>
          </w:tcPr>
          <w:p>
            <w:pPr>
              <w:jc w:val="right"/>
              <w:ind w:right="230"/>
              <w:spacing w:after="0"/>
              <w:rPr>
                <w:sz w:val="20"/>
                <w:szCs w:val="20"/>
                <w:color w:val="auto"/>
              </w:rPr>
            </w:pPr>
            <w:r>
              <w:rPr>
                <w:rFonts w:ascii="Arial" w:cs="Arial" w:eastAsia="Arial" w:hAnsi="Arial"/>
                <w:sz w:val="18"/>
                <w:szCs w:val="18"/>
                <w:color w:val="auto"/>
              </w:rPr>
              <w:t>Prices ($)</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Thousands)</w:t>
            </w:r>
          </w:p>
        </w:tc>
        <w:tc>
          <w:tcPr>
            <w:tcW w:w="32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Term (Years)</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Price ($)</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Thousands)</w:t>
            </w:r>
          </w:p>
        </w:tc>
        <w:tc>
          <w:tcPr>
            <w:tcW w:w="32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Price ($)</w:t>
            </w:r>
          </w:p>
        </w:tc>
      </w:tr>
      <w:tr>
        <w:trPr>
          <w:trHeight w:val="195"/>
        </w:trPr>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6.40</w:t>
            </w:r>
          </w:p>
        </w:tc>
        <w:tc>
          <w:tcPr>
            <w:tcW w:w="2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17.99</w:t>
            </w:r>
          </w:p>
        </w:tc>
        <w:tc>
          <w:tcPr>
            <w:tcW w:w="300" w:type="dxa"/>
            <w:vAlign w:val="bottom"/>
          </w:tcPr>
          <w:p>
            <w:pPr>
              <w:spacing w:after="0"/>
              <w:rPr>
                <w:sz w:val="16"/>
                <w:szCs w:val="16"/>
                <w:color w:val="auto"/>
              </w:rPr>
            </w:pPr>
          </w:p>
        </w:tc>
        <w:tc>
          <w:tcPr>
            <w:tcW w:w="1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1,741</w:t>
            </w:r>
          </w:p>
        </w:tc>
        <w:tc>
          <w:tcPr>
            <w:tcW w:w="32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6"/>
                <w:szCs w:val="16"/>
                <w:color w:val="auto"/>
              </w:rPr>
            </w:pPr>
          </w:p>
        </w:tc>
        <w:tc>
          <w:tcPr>
            <w:tcW w:w="4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16.88</w:t>
            </w:r>
          </w:p>
        </w:tc>
        <w:tc>
          <w:tcPr>
            <w:tcW w:w="3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1,741</w:t>
            </w:r>
          </w:p>
        </w:tc>
        <w:tc>
          <w:tcPr>
            <w:tcW w:w="320" w:type="dxa"/>
            <w:vAlign w:val="bottom"/>
          </w:tcPr>
          <w:p>
            <w:pPr>
              <w:spacing w:after="0"/>
              <w:rPr>
                <w:sz w:val="16"/>
                <w:szCs w:val="16"/>
                <w:color w:val="auto"/>
              </w:rPr>
            </w:pPr>
          </w:p>
        </w:tc>
        <w:tc>
          <w:tcPr>
            <w:tcW w:w="56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16.88</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18.64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23.35</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22.92</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1,852</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22.92</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36.05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36.05</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36.05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36.05</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37.10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43.64</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42.06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40.91</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43.99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43.99</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43.99</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1,088</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43.99</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45.16</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2,002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45.10</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1,336</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45.11</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45.55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51.50</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47.60</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46.56</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57.95</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55.85</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54.80</w:t>
            </w:r>
          </w:p>
        </w:tc>
      </w:tr>
      <w:tr>
        <w:trPr>
          <w:trHeight w:val="216"/>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58.73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58.73</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58.73</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58.73</w:t>
            </w:r>
          </w:p>
        </w:tc>
      </w:tr>
      <w:tr>
        <w:trPr>
          <w:trHeight w:val="230"/>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58.77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63.46</w:t>
            </w:r>
          </w:p>
        </w:tc>
        <w:tc>
          <w:tcPr>
            <w:tcW w:w="3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0"/>
                <w:szCs w:val="20"/>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59.79</w:t>
            </w:r>
          </w:p>
        </w:tc>
        <w:tc>
          <w:tcPr>
            <w:tcW w:w="3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62.50</w:t>
            </w:r>
          </w:p>
        </w:tc>
      </w:tr>
      <w:tr>
        <w:trPr>
          <w:trHeight w:val="210"/>
        </w:trPr>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42.88</w:t>
            </w:r>
          </w:p>
        </w:tc>
        <w:tc>
          <w:tcPr>
            <w:tcW w:w="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33.70</w:t>
            </w:r>
          </w:p>
        </w:tc>
      </w:tr>
      <w:tr>
        <w:trPr>
          <w:trHeight w:val="20"/>
        </w:trPr>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weighted-average grant-date fair value of options granted during the years ended December 31, 2019, 2018 and 2017 was $20.17 per share, $22.37 per share and $18.29 per share, respectively. The total intrinsic value of options exercised during the years ended December 31, 2019, 2018 and 2017 was $220.2 million, $56.8 million and $285.8 million, respectively.</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years ended December 31, 2019, 2018 and 2017 was $92.4 million, $25.9 million and $52.6 million, respectively.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2019, there was $80.3 million of total unrecognized compensation expense related to non-vested options granted to employees under the Company’s share-based payment plans. That cost is expected to be recognized over a weighted-average period of 2.3 years.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Stock-based compensation cost for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activities with respect to non-vested restricted stock units as follows:</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Weighted</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0"/>
        </w:trPr>
        <w:tc>
          <w:tcPr>
            <w:tcW w:w="6220" w:type="dxa"/>
            <w:vAlign w:val="bottom"/>
            <w:vMerge w:val="restart"/>
          </w:tcPr>
          <w:p>
            <w:pPr>
              <w:spacing w:after="0"/>
              <w:rPr>
                <w:sz w:val="20"/>
                <w:szCs w:val="20"/>
                <w:color w:val="auto"/>
              </w:rPr>
            </w:pPr>
            <w:r>
              <w:rPr>
                <w:rFonts w:ascii="Arial" w:cs="Arial" w:eastAsia="Arial" w:hAnsi="Arial"/>
                <w:sz w:val="18"/>
                <w:szCs w:val="18"/>
                <w:color w:val="auto"/>
              </w:rPr>
              <w:t>Non-vested at January 1, 2019</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529</w:t>
            </w:r>
          </w:p>
        </w:tc>
        <w:tc>
          <w:tcPr>
            <w:tcW w:w="180" w:type="dxa"/>
            <w:vAlign w:val="bottom"/>
          </w:tcPr>
          <w:p>
            <w:pPr>
              <w:spacing w:after="0"/>
              <w:rPr>
                <w:sz w:val="16"/>
                <w:szCs w:val="16"/>
                <w:color w:val="auto"/>
              </w:rPr>
            </w:pPr>
          </w:p>
        </w:tc>
        <w:tc>
          <w:tcPr>
            <w:tcW w:w="100" w:type="dxa"/>
            <w:vAlign w:val="bottom"/>
          </w:tcPr>
          <w:p>
            <w:pPr>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Granted 01/01/19 - 03/31/19</w:t>
            </w:r>
          </w:p>
        </w:tc>
        <w:tc>
          <w:tcPr>
            <w:tcW w:w="820" w:type="dxa"/>
            <w:vAlign w:val="bottom"/>
          </w:tcPr>
          <w:p>
            <w:pPr>
              <w:jc w:val="right"/>
              <w:spacing w:after="0"/>
              <w:rPr>
                <w:sz w:val="20"/>
                <w:szCs w:val="20"/>
                <w:color w:val="auto"/>
              </w:rPr>
            </w:pPr>
            <w:r>
              <w:rPr>
                <w:rFonts w:ascii="Arial" w:cs="Arial" w:eastAsia="Arial" w:hAnsi="Arial"/>
                <w:sz w:val="18"/>
                <w:szCs w:val="18"/>
                <w:color w:val="auto"/>
              </w:rPr>
              <w:t>548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59.66</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Granted 04/01/19 - 06/30/19</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63.48</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Granted 07/01/19 - 09/30/19</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Granted 10/01/19 - 12/31/19</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30"/>
        </w:trPr>
        <w:tc>
          <w:tcPr>
            <w:tcW w:w="6220" w:type="dxa"/>
            <w:vAlign w:val="bottom"/>
          </w:tcPr>
          <w:p>
            <w:pPr>
              <w:ind w:left="220"/>
              <w:spacing w:after="0"/>
              <w:rPr>
                <w:sz w:val="20"/>
                <w:szCs w:val="20"/>
                <w:color w:val="auto"/>
              </w:rPr>
            </w:pPr>
            <w:r>
              <w:rPr>
                <w:rFonts w:ascii="Arial" w:cs="Arial" w:eastAsia="Arial" w:hAnsi="Arial"/>
                <w:sz w:val="18"/>
                <w:szCs w:val="18"/>
                <w:color w:val="auto"/>
              </w:rPr>
              <w:t>Forfeited/cancelled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granted during the years ended December 31, 2019, 2018 and 2017 was $59.79, $57.59 and $46.74 per share, respectively. As of December 31, 2019, 0.7 million of restricted stock units are expected to vest.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At December 31, 2019, total unrecognized compensation expense relating to non-vested restricted stock units was $29.3 million, which is expected to be recognized over a weighted-average period of 2.6 years.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Employee and Non-Employee Share-Based Compensation Expense</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table below shows the amounts recognized in the consolidated financial statements for the years ended December 31, 2019, 2018 and 2017 for share-based compensation related to employees and non-employees. Employee and non-employee share-based compensation expense of $63.4 million for the year ended December 31, 2019 is comprised of $10.0 million relating to incentive stock options and $53.4 million relating to non-qualified stock options and restricted units. Employee and non-employee share-based compensation expense of $57.1 million for the year ended December 31, 2018 is comprised of $10.0 million relating to incentive stock options and $47.1 million relating to non-qualified stock options and restricted units. Employee and non-employee share-based compensation expense of $52.3 million for the year ended December 31, 2017 is comprised of $8.7 million relating to incentive stock options and $43.6 million relating to non-qualified stock options and restricted units.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52,282</w:t>
            </w:r>
          </w:p>
        </w:tc>
        <w:tc>
          <w:tcPr>
            <w:tcW w:w="0" w:type="dxa"/>
            <w:vAlign w:val="bottom"/>
          </w:tcPr>
          <w:p>
            <w:pPr>
              <w:spacing w:after="0"/>
              <w:rPr>
                <w:sz w:val="1"/>
                <w:szCs w:val="1"/>
                <w:color w:val="auto"/>
              </w:rPr>
            </w:pPr>
          </w:p>
        </w:tc>
      </w:tr>
      <w:tr>
        <w:trPr>
          <w:trHeight w:val="182"/>
        </w:trPr>
        <w:tc>
          <w:tcPr>
            <w:tcW w:w="6980" w:type="dxa"/>
            <w:vAlign w:val="bottom"/>
          </w:tcPr>
          <w:p>
            <w:pPr>
              <w:spacing w:after="0" w:line="182" w:lineRule="exact"/>
              <w:rPr>
                <w:sz w:val="20"/>
                <w:szCs w:val="20"/>
                <w:color w:val="auto"/>
              </w:rPr>
            </w:pPr>
            <w:r>
              <w:rPr>
                <w:rFonts w:ascii="Arial" w:cs="Arial" w:eastAsia="Arial" w:hAnsi="Arial"/>
                <w:sz w:val="18"/>
                <w:szCs w:val="18"/>
                <w:color w:val="auto"/>
                <w:w w:val="95"/>
              </w:rPr>
              <w:t>Total employee and non-employee share-based compensation expense included in income,</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Arial" w:cs="Arial" w:eastAsia="Arial" w:hAnsi="Arial"/>
                <w:sz w:val="18"/>
                <w:szCs w:val="18"/>
                <w:color w:val="auto"/>
              </w:rPr>
              <w:t>before income tax</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52,282</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Less: Amount of income tax benefit recognized in earnings</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(36,326)</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(14,892)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(100,635)</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Amount charged against 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900"/>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517" w:right="919" w:bottom="1440" w:gutter="0" w:footer="0" w:header="0"/>
        </w:sectPr>
      </w:pPr>
    </w:p>
    <w:bookmarkStart w:id="108" w:name="page109"/>
    <w:bookmarkEnd w:id="108"/>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6"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8"/>
          <w:szCs w:val="18"/>
          <w:color w:val="auto"/>
        </w:rPr>
        <w:t>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Reform Act. A company may select between one of three scenarios to determine a reasonable estimate for certain income tax effects arising from the Tax Reform Act. Those scenarios are (i) a final estimate which effectively closes the measurement window; (ii) a reasonable estimate leaving the measurement window open for future revisions; and (iii) no estimate as the law is still being analyzed. The Company was able to provide a reasonable estimate for the revaluation of deferred taxes and the effects of the toll charge on undistributed foreign subsidiary earnings and profits (“E&amp;P”). As a result of the reduction in the U.S. corporate income tax rate from 35% to 21% under the Tax Reform Act, the Company revalued its net deferred tax assets at December 31, 2017, resulting in a provisional $39.8 million charge included in the provision for income taxes for the year ended December 31, 2017. The Tax Reform Act also provided for a one-time deemed mandatory repatriation of post-1986 E&amp;P through the year ended December 31, 2017. As a result, the Company recognized a provisional $2.1 million charge in the provision for income taxes for the year ended December 31, 2017 related to such deemed mandatory repatriation. The Company completed its analysis of the Tax Reform Act during 2018 and adjusted the 2017 provisional estimate to the final amounts in accordance with Staff Accounting Bulletin No. 118. The measurement window begins in the reporting period that includes the enactment date and ends when an entity has obtained, prepared and analyzed the information needed in order to complete the accounting requirements under ASC 740. For the year ended December 31, 2018, the Company made an adjustment to the provisional amount and recognized an additional $1.8 million provision for income tax related to the deemed mandatory repatriation.</w:t>
      </w:r>
    </w:p>
    <w:p>
      <w:pPr>
        <w:spacing w:after="0" w:line="182"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The Company has not made additional measurement window adjustments to these items during the year ended December 31, 2019.</w:t>
      </w:r>
    </w:p>
    <w:p>
      <w:pPr>
        <w:spacing w:after="0" w:line="177"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spacing w:after="0" w:line="18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19"/>
          <w:szCs w:val="19"/>
          <w:color w:val="auto"/>
        </w:rPr>
        <w:t>The Company currently considers the earnings of its foreign entities (excluding Japan) to be permanently reinvested outside the United States based on estimates that future domestic cash generation will be sufficient to meet future domestic cash needs. Accordingly, deferred income taxes have not been recorded for the undistributed earnings of the Company’s foreign subsidiaries excluding Japan. Deferred income taxes have not been recorded for Japan, as any federal, state, or foreign withholding taxes associated with the repatriation of those earnings would be immaterial.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domestic and foreign components of the Company’s income before provision for income taxes are as follows:</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8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3940" w:type="dxa"/>
            <w:vAlign w:val="bottom"/>
            <w:vMerge w:val="restart"/>
          </w:tcPr>
          <w:p>
            <w:pPr>
              <w:spacing w:after="0"/>
              <w:rPr>
                <w:sz w:val="20"/>
                <w:szCs w:val="20"/>
                <w:color w:val="auto"/>
              </w:rPr>
            </w:pPr>
            <w:r>
              <w:rPr>
                <w:rFonts w:ascii="Arial" w:cs="Arial" w:eastAsia="Arial" w:hAnsi="Arial"/>
                <w:sz w:val="18"/>
                <w:szCs w:val="18"/>
                <w:color w:val="auto"/>
              </w:rPr>
              <w:t>Domestic*</w:t>
            </w:r>
          </w:p>
        </w:tc>
        <w:tc>
          <w:tcPr>
            <w:tcW w:w="94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$ 1,196,883</w:t>
            </w:r>
          </w:p>
        </w:tc>
        <w:tc>
          <w:tcPr>
            <w:tcW w:w="200" w:type="dxa"/>
            <w:vAlign w:val="bottom"/>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0"/>
              </w:rPr>
              <w:t>$ 1,100,487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1,062,713</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Foreign*</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219,079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192,785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138,910</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9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$ 1,415,962</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$ 1,293,272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1,201,623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i w:val="1"/>
          <w:iCs w:val="1"/>
          <w:color w:val="auto"/>
        </w:rPr>
        <w:t>*After intercompany royalties, management fees and interest charges from the Company’s domestic to foreign entities of $51.2 million, $40.5 million and $42.5 million for the years ended December 31, 2019, 2018 and 2017, respectively.</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Components of the provision for income taxes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8"/>
          </w:tcPr>
          <w:p>
            <w:pPr>
              <w:jc w:val="right"/>
              <w:ind w:right="53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43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5"/>
        </w:trPr>
        <w:tc>
          <w:tcPr>
            <w:tcW w:w="434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Federal</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212,068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209,147</w:t>
            </w:r>
          </w:p>
        </w:tc>
        <w:tc>
          <w:tcPr>
            <w:tcW w:w="200" w:type="dxa"/>
            <w:vAlign w:val="bottom"/>
          </w:tcPr>
          <w:p>
            <w:pPr>
              <w:spacing w:after="0"/>
              <w:rPr>
                <w:sz w:val="18"/>
                <w:szCs w:val="18"/>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243,127</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State</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43,252</w:t>
            </w:r>
          </w:p>
        </w:tc>
        <w:tc>
          <w:tcPr>
            <w:tcW w:w="0" w:type="dxa"/>
            <w:vAlign w:val="bottom"/>
          </w:tcPr>
          <w:p>
            <w:pPr>
              <w:spacing w:after="0"/>
              <w:rPr>
                <w:sz w:val="1"/>
                <w:szCs w:val="1"/>
                <w:color w:val="auto"/>
              </w:rPr>
            </w:pPr>
          </w:p>
        </w:tc>
      </w:tr>
      <w:tr>
        <w:trPr>
          <w:trHeight w:val="230"/>
        </w:trPr>
        <w:tc>
          <w:tcPr>
            <w:tcW w:w="4340" w:type="dxa"/>
            <w:vAlign w:val="bottom"/>
          </w:tcPr>
          <w:p>
            <w:pPr>
              <w:ind w:left="220"/>
              <w:spacing w:after="0"/>
              <w:rPr>
                <w:sz w:val="20"/>
                <w:szCs w:val="20"/>
                <w:color w:val="auto"/>
              </w:rPr>
            </w:pPr>
            <w:r>
              <w:rPr>
                <w:rFonts w:ascii="Arial" w:cs="Arial" w:eastAsia="Arial" w:hAnsi="Arial"/>
                <w:sz w:val="18"/>
                <w:szCs w:val="18"/>
                <w:color w:val="auto"/>
              </w:rPr>
              <w:t>Foreign</w:t>
            </w:r>
          </w:p>
        </w:tc>
        <w:tc>
          <w:tcPr>
            <w:tcW w:w="2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27,522</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307,217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293,622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313,901</w:t>
            </w:r>
          </w:p>
        </w:tc>
        <w:tc>
          <w:tcPr>
            <w:tcW w:w="0" w:type="dxa"/>
            <w:vAlign w:val="bottom"/>
          </w:tcPr>
          <w:p>
            <w:pPr>
              <w:spacing w:after="0"/>
              <w:rPr>
                <w:sz w:val="1"/>
                <w:szCs w:val="1"/>
                <w:color w:val="auto"/>
              </w:rPr>
            </w:pPr>
          </w:p>
        </w:tc>
      </w:tr>
      <w:tr>
        <w:trPr>
          <w:trHeight w:val="404"/>
        </w:trPr>
        <w:tc>
          <w:tcPr>
            <w:tcW w:w="4340" w:type="dxa"/>
            <w:vAlign w:val="bottom"/>
          </w:tcPr>
          <w:p>
            <w:pPr>
              <w:spacing w:after="0"/>
              <w:rPr>
                <w:sz w:val="20"/>
                <w:szCs w:val="20"/>
                <w:color w:val="auto"/>
              </w:rPr>
            </w:pPr>
            <w:r>
              <w:rPr>
                <w:rFonts w:ascii="Arial" w:cs="Arial" w:eastAsia="Arial" w:hAnsi="Arial"/>
                <w:sz w:val="18"/>
                <w:szCs w:val="18"/>
                <w:color w:val="auto"/>
              </w:rPr>
              <w:t>Deferred:</w:t>
            </w: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Federal</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61,797</w:t>
            </w: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State</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0"/>
        </w:trPr>
        <w:tc>
          <w:tcPr>
            <w:tcW w:w="4340" w:type="dxa"/>
            <w:vAlign w:val="bottom"/>
          </w:tcPr>
          <w:p>
            <w:pPr>
              <w:ind w:left="220"/>
              <w:spacing w:after="0"/>
              <w:rPr>
                <w:sz w:val="20"/>
                <w:szCs w:val="20"/>
                <w:color w:val="auto"/>
              </w:rPr>
            </w:pPr>
            <w:r>
              <w:rPr>
                <w:rFonts w:ascii="Arial" w:cs="Arial" w:eastAsia="Arial" w:hAnsi="Arial"/>
                <w:sz w:val="18"/>
                <w:szCs w:val="18"/>
                <w:color w:val="auto"/>
              </w:rPr>
              <w:t>Foreign</w:t>
            </w:r>
          </w:p>
        </w:tc>
        <w:tc>
          <w:tcPr>
            <w:tcW w:w="2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24"/>
        </w:trPr>
        <w:tc>
          <w:tcPr>
            <w:tcW w:w="4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60,280</w:t>
            </w:r>
          </w:p>
        </w:tc>
        <w:tc>
          <w:tcPr>
            <w:tcW w:w="0" w:type="dxa"/>
            <w:vAlign w:val="bottom"/>
          </w:tcPr>
          <w:p>
            <w:pPr>
              <w:spacing w:after="0"/>
              <w:rPr>
                <w:sz w:val="1"/>
                <w:szCs w:val="1"/>
                <w:color w:val="auto"/>
              </w:rPr>
            </w:pPr>
          </w:p>
        </w:tc>
      </w:tr>
      <w:tr>
        <w:trPr>
          <w:trHeight w:val="418"/>
        </w:trPr>
        <w:tc>
          <w:tcPr>
            <w:tcW w:w="434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308,127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300,268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380,945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reconciliation of the total provision for income taxes after applying the U.S. federal statutory rate of 21% for 2019 and 2018 and 35% for 2017 to income before provision for income taxes to the reported provision for income taxes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60" w:type="dxa"/>
            <w:vAlign w:val="bottom"/>
            <w:gridSpan w:val="6"/>
          </w:tcPr>
          <w:p>
            <w:pPr>
              <w:ind w:left="4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4640" w:type="dxa"/>
            <w:vAlign w:val="bottom"/>
            <w:vMerge w:val="restart"/>
          </w:tcPr>
          <w:p>
            <w:pPr>
              <w:ind w:left="1000"/>
              <w:spacing w:after="0"/>
              <w:rPr>
                <w:sz w:val="20"/>
                <w:szCs w:val="20"/>
                <w:color w:val="auto"/>
              </w:rPr>
            </w:pPr>
            <w:r>
              <w:rPr>
                <w:rFonts w:ascii="Arial" w:cs="Arial" w:eastAsia="Arial" w:hAnsi="Arial"/>
                <w:sz w:val="18"/>
                <w:szCs w:val="18"/>
                <w:color w:val="auto"/>
              </w:rPr>
              <w:t>U.S. Federal tax expense at statutory rates</w:t>
            </w:r>
          </w:p>
        </w:tc>
        <w:tc>
          <w:tcPr>
            <w:tcW w:w="1660" w:type="dxa"/>
            <w:vAlign w:val="bottom"/>
          </w:tcPr>
          <w:p>
            <w:pPr>
              <w:spacing w:after="0"/>
              <w:rPr>
                <w:sz w:val="18"/>
                <w:szCs w:val="18"/>
                <w:color w:val="auto"/>
              </w:rPr>
            </w:pPr>
          </w:p>
        </w:tc>
        <w:tc>
          <w:tcPr>
            <w:tcW w:w="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9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2018</w:t>
            </w:r>
          </w:p>
        </w:tc>
        <w:tc>
          <w:tcPr>
            <w:tcW w:w="98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2017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166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$ 297,352</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$ 271,587</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$ 420,568</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rPr>
              <w:t>State income taxes, net of federal tax benefit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30,098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36,312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27,569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rPr>
              <w:t>Permanent differences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10,356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rPr>
              <w:t>Stock based compensation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(13,473)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(79,687)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rPr>
              <w:t>Domestic production deduction</w:t>
            </w:r>
          </w:p>
        </w:tc>
        <w:tc>
          <w:tcPr>
            <w:tcW w:w="1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(22,229)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w w:val="98"/>
              </w:rPr>
              <w:t>Deferred tax asset reduction (Tax Reform Act)</w:t>
            </w:r>
          </w:p>
        </w:tc>
        <w:tc>
          <w:tcPr>
            <w:tcW w:w="1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39,763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rPr>
              <w:t>Other</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(12,423)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(8,438)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3,736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000"/>
              <w:spacing w:after="0"/>
              <w:rPr>
                <w:sz w:val="20"/>
                <w:szCs w:val="20"/>
                <w:color w:val="auto"/>
              </w:rPr>
            </w:pPr>
            <w:r>
              <w:rPr>
                <w:rFonts w:ascii="Arial" w:cs="Arial" w:eastAsia="Arial" w:hAnsi="Arial"/>
                <w:sz w:val="18"/>
                <w:szCs w:val="18"/>
                <w:color w:val="auto"/>
              </w:rPr>
              <w:t>Foreign rate differential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5,014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(25,895)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000"/>
              <w:spacing w:after="0"/>
              <w:rPr>
                <w:sz w:val="20"/>
                <w:szCs w:val="20"/>
                <w:color w:val="auto"/>
              </w:rPr>
            </w:pPr>
            <w:r>
              <w:rPr>
                <w:rFonts w:ascii="Arial" w:cs="Arial" w:eastAsia="Arial" w:hAnsi="Arial"/>
                <w:sz w:val="18"/>
                <w:szCs w:val="18"/>
                <w:color w:val="auto"/>
              </w:rPr>
              <w:t>Valuation allowance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3,687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3,976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6,764</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$ 308,127</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$ 300,268</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$ 380,945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60" w:type="dxa"/>
            <w:vAlign w:val="bottom"/>
            <w:vMerge w:val="restart"/>
          </w:tcPr>
          <w:p>
            <w:pPr>
              <w:jc w:val="right"/>
              <w:ind w:right="1050"/>
              <w:spacing w:after="0"/>
              <w:rPr>
                <w:sz w:val="20"/>
                <w:szCs w:val="20"/>
                <w:color w:val="auto"/>
              </w:rPr>
            </w:pPr>
            <w:r>
              <w:rPr>
                <w:rFonts w:ascii="Arial" w:cs="Arial" w:eastAsia="Arial" w:hAnsi="Arial"/>
                <w:sz w:val="18"/>
                <w:szCs w:val="18"/>
                <w:color w:val="auto"/>
              </w:rPr>
              <w:t>110</w:t>
            </w: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6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517" w:right="91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Major components of the Company’s deferred tax assets (liabilities) at December 31, 2019 and 2018 are as follows:</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6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460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Reserve for sales returns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Reserve for inventory obsolescence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Reserve for marketing development fund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Capitalization of inventory costs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State franchise tax - current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Accrued other liabilities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81,903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87,573</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25,439</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Foreign net operating loss carryforward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28,030</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Prepaid supplies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Termination payments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69,467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71,918</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120"/>
              <w:spacing w:after="0"/>
              <w:rPr>
                <w:sz w:val="20"/>
                <w:szCs w:val="20"/>
                <w:color w:val="auto"/>
              </w:rPr>
            </w:pPr>
            <w:r>
              <w:rPr>
                <w:rFonts w:ascii="Arial" w:cs="Arial" w:eastAsia="Arial" w:hAnsi="Arial"/>
                <w:sz w:val="18"/>
                <w:szCs w:val="18"/>
                <w:color w:val="auto"/>
              </w:rPr>
              <w:t>Other deferred tax assets</w:t>
            </w: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210"/>
        </w:trPr>
        <w:tc>
          <w:tcPr>
            <w:tcW w:w="4600" w:type="dxa"/>
            <w:vAlign w:val="bottom"/>
          </w:tcPr>
          <w:p>
            <w:pPr>
              <w:ind w:left="220"/>
              <w:spacing w:after="0"/>
              <w:rPr>
                <w:sz w:val="20"/>
                <w:szCs w:val="20"/>
                <w:color w:val="auto"/>
              </w:rPr>
            </w:pPr>
            <w:r>
              <w:rPr>
                <w:rFonts w:ascii="Arial" w:cs="Arial" w:eastAsia="Arial" w:hAnsi="Arial"/>
                <w:sz w:val="18"/>
                <w:szCs w:val="18"/>
                <w:color w:val="auto"/>
              </w:rPr>
              <w:t>Total gross deferred tax assets</w:t>
            </w:r>
          </w:p>
        </w:tc>
        <w:tc>
          <w:tcPr>
            <w:tcW w:w="15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248,808</w:t>
            </w:r>
          </w:p>
        </w:tc>
        <w:tc>
          <w:tcPr>
            <w:tcW w:w="0" w:type="dxa"/>
            <w:vAlign w:val="bottom"/>
          </w:tcPr>
          <w:p>
            <w:pPr>
              <w:spacing w:after="0"/>
              <w:rPr>
                <w:sz w:val="1"/>
                <w:szCs w:val="1"/>
                <w:color w:val="auto"/>
              </w:rPr>
            </w:pPr>
          </w:p>
        </w:tc>
      </w:tr>
      <w:tr>
        <w:trPr>
          <w:trHeight w:val="411"/>
        </w:trPr>
        <w:tc>
          <w:tcPr>
            <w:tcW w:w="4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Amortization of trademarks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(35,227)</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(31,445)</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(82,544)</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State franchise tax - deferred</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Operating lease ROU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Other deferred tax liabilities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6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1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10"/>
        </w:trPr>
        <w:tc>
          <w:tcPr>
            <w:tcW w:w="4600" w:type="dxa"/>
            <w:vAlign w:val="bottom"/>
          </w:tcPr>
          <w:p>
            <w:pPr>
              <w:ind w:left="220"/>
              <w:spacing w:after="0"/>
              <w:rPr>
                <w:sz w:val="20"/>
                <w:szCs w:val="20"/>
                <w:color w:val="auto"/>
              </w:rPr>
            </w:pPr>
            <w:r>
              <w:rPr>
                <w:rFonts w:ascii="Arial" w:cs="Arial" w:eastAsia="Arial" w:hAnsi="Arial"/>
                <w:sz w:val="18"/>
                <w:szCs w:val="18"/>
                <w:color w:val="auto"/>
              </w:rPr>
              <w:t>Total gross deferred tax liabilities</w:t>
            </w:r>
          </w:p>
        </w:tc>
        <w:tc>
          <w:tcPr>
            <w:tcW w:w="1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(131,460)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(126,304)</w:t>
            </w:r>
          </w:p>
        </w:tc>
        <w:tc>
          <w:tcPr>
            <w:tcW w:w="0" w:type="dxa"/>
            <w:vAlign w:val="bottom"/>
          </w:tcPr>
          <w:p>
            <w:pPr>
              <w:spacing w:after="0"/>
              <w:rPr>
                <w:sz w:val="1"/>
                <w:szCs w:val="1"/>
                <w:color w:val="auto"/>
              </w:rPr>
            </w:pPr>
          </w:p>
        </w:tc>
      </w:tr>
      <w:tr>
        <w:trPr>
          <w:trHeight w:val="426"/>
        </w:trPr>
        <w:tc>
          <w:tcPr>
            <w:tcW w:w="460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(40,503)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(36,816)</w:t>
            </w:r>
          </w:p>
        </w:tc>
        <w:tc>
          <w:tcPr>
            <w:tcW w:w="0" w:type="dxa"/>
            <w:vAlign w:val="bottom"/>
          </w:tcPr>
          <w:p>
            <w:pPr>
              <w:spacing w:after="0"/>
              <w:rPr>
                <w:sz w:val="1"/>
                <w:szCs w:val="1"/>
                <w:color w:val="auto"/>
              </w:rPr>
            </w:pPr>
          </w:p>
        </w:tc>
      </w:tr>
      <w:tr>
        <w:trPr>
          <w:trHeight w:val="216"/>
        </w:trPr>
        <w:tc>
          <w:tcPr>
            <w:tcW w:w="4600" w:type="dxa"/>
            <w:vAlign w:val="bottom"/>
            <w:vMerge w:val="restart"/>
          </w:tcPr>
          <w:p>
            <w:pPr>
              <w:ind w:left="220"/>
              <w:spacing w:after="0"/>
              <w:rPr>
                <w:sz w:val="20"/>
                <w:szCs w:val="20"/>
                <w:color w:val="auto"/>
              </w:rPr>
            </w:pPr>
            <w:r>
              <w:rPr>
                <w:rFonts w:ascii="Arial" w:cs="Arial" w:eastAsia="Arial" w:hAnsi="Arial"/>
                <w:sz w:val="18"/>
                <w:szCs w:val="18"/>
                <w:color w:val="auto"/>
              </w:rPr>
              <w:t>Net deferred tax assets</w:t>
            </w:r>
          </w:p>
        </w:tc>
        <w:tc>
          <w:tcPr>
            <w:tcW w:w="154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84,777</w:t>
            </w:r>
          </w:p>
        </w:tc>
        <w:tc>
          <w:tcPr>
            <w:tcW w:w="18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During the years ended December 31, 2019, 2018 and 2017,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increase the Company’s provision for income taxes by $3.7 million, $4.0 million and $6.8 million for the years ended December 31, 2019, 2018 and 2017, respectively. At December 31, 2019, the Company had net operating loss carryforwards of approximately $112.4 million. Of this amount, $77.5 million may be carried forward indefinitely. The remaining $34.8 million of net operating loss carryforwards will begin to expire in 2020.</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2019, 2018 and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Gross Unrecognized Tax</w:t>
            </w:r>
          </w:p>
        </w:tc>
        <w:tc>
          <w:tcPr>
            <w:tcW w:w="0" w:type="dxa"/>
            <w:vAlign w:val="bottom"/>
          </w:tcPr>
          <w:p>
            <w:pPr>
              <w:spacing w:after="0"/>
              <w:rPr>
                <w:sz w:val="1"/>
                <w:szCs w:val="1"/>
                <w:color w:val="auto"/>
              </w:rPr>
            </w:pPr>
          </w:p>
        </w:tc>
      </w:tr>
      <w:tr>
        <w:trPr>
          <w:trHeight w:val="234"/>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1, 2017</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195"/>
        </w:trPr>
        <w:tc>
          <w:tcPr>
            <w:tcW w:w="8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ind w:right="202"/>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Additions for tax positions related to the prior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Decreases for tax positions related to prior years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b w:val="1"/>
                <w:bCs w:val="1"/>
                <w:color w:val="auto"/>
              </w:rPr>
              <w:t>Balance at December 31, 2017</w:t>
            </w: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Additions for tax positions related to the prior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Decreases for tax positions related to prior years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Additions for tax positions related to the prior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Decreases for tax positions related to prior years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recognizes accrued interest and penalties related to unrecognized tax benefits in the provision for income taxes in the Company’s consolidated financial statements. As of December 31, 2019, the Company had accrued approximately $0.4 million in interest and penalties related to unrecognized tax benefits. If the Company were to prevail on all uncertain tax positions it would not have a significant impact on the Company’s effective tax rate.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 is expected that the amount of unrecognized tax benefit change within the next 12 months will not be significant.</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is subject to U.S. federal income tax as well as to income tax in multiple state and foreign jurisdictions.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October 18, 2016, the IRS began its examination of the Company’s U.S. federal income tax return for the year ended December 31, 2014. On March 27, 2017, the IRS began its examination of the Company’s U.S. federal income tax return for the year ended December 31, 2015. Both examinations were completed in November 2019 with no material adjustments.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2016 through 2018 U.S. federal income tax returns are subject to examination by the IRS. The Company’s state income tax returns are subject to examination for the 2014 through 2018 tax years.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12" w:name="page113"/>
    <w:bookmarkEnd w:id="112"/>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59"/>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1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2019, 2018 and 2017 is presented below (in thousands):</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726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5"/>
        </w:trPr>
        <w:tc>
          <w:tcPr>
            <w:tcW w:w="72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100"/>
              <w:spacing w:after="0"/>
              <w:rPr>
                <w:sz w:val="20"/>
                <w:szCs w:val="20"/>
                <w:color w:val="auto"/>
              </w:rPr>
            </w:pPr>
            <w:r>
              <w:rPr>
                <w:rFonts w:ascii="Arial" w:cs="Arial" w:eastAsia="Arial" w:hAnsi="Arial"/>
                <w:sz w:val="18"/>
                <w:szCs w:val="18"/>
                <w:color w:val="auto"/>
              </w:rPr>
              <w:t>Basic</w:t>
            </w:r>
          </w:p>
        </w:tc>
        <w:tc>
          <w:tcPr>
            <w:tcW w:w="780" w:type="dxa"/>
            <w:vAlign w:val="bottom"/>
          </w:tcPr>
          <w:p>
            <w:pPr>
              <w:jc w:val="right"/>
              <w:spacing w:after="0"/>
              <w:rPr>
                <w:sz w:val="20"/>
                <w:szCs w:val="20"/>
                <w:color w:val="auto"/>
              </w:rPr>
            </w:pPr>
            <w:r>
              <w:rPr>
                <w:rFonts w:ascii="Arial" w:cs="Arial" w:eastAsia="Arial" w:hAnsi="Arial"/>
                <w:sz w:val="18"/>
                <w:szCs w:val="18"/>
                <w:color w:val="auto"/>
              </w:rPr>
              <w:t>542,191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557,166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566,782</w:t>
            </w:r>
          </w:p>
        </w:tc>
        <w:tc>
          <w:tcPr>
            <w:tcW w:w="0" w:type="dxa"/>
            <w:vAlign w:val="bottom"/>
          </w:tcPr>
          <w:p>
            <w:pPr>
              <w:spacing w:after="0"/>
              <w:rPr>
                <w:sz w:val="1"/>
                <w:szCs w:val="1"/>
                <w:color w:val="auto"/>
              </w:rPr>
            </w:pPr>
          </w:p>
        </w:tc>
      </w:tr>
      <w:tr>
        <w:trPr>
          <w:trHeight w:val="230"/>
        </w:trPr>
        <w:tc>
          <w:tcPr>
            <w:tcW w:w="7260" w:type="dxa"/>
            <w:vAlign w:val="bottom"/>
          </w:tcPr>
          <w:p>
            <w:pPr>
              <w:ind w:left="100"/>
              <w:spacing w:after="0"/>
              <w:rPr>
                <w:sz w:val="20"/>
                <w:szCs w:val="20"/>
                <w:color w:val="auto"/>
              </w:rPr>
            </w:pPr>
            <w:r>
              <w:rPr>
                <w:rFonts w:ascii="Arial" w:cs="Arial" w:eastAsia="Arial" w:hAnsi="Arial"/>
                <w:sz w:val="18"/>
                <w:szCs w:val="18"/>
                <w:color w:val="auto"/>
              </w:rPr>
              <w:t>Dilutive securities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10"/>
        </w:trPr>
        <w:tc>
          <w:tcPr>
            <w:tcW w:w="7260" w:type="dxa"/>
            <w:vAlign w:val="bottom"/>
          </w:tcPr>
          <w:p>
            <w:pPr>
              <w:ind w:left="100"/>
              <w:spacing w:after="0"/>
              <w:rPr>
                <w:sz w:val="20"/>
                <w:szCs w:val="20"/>
                <w:color w:val="auto"/>
              </w:rPr>
            </w:pPr>
            <w:r>
              <w:rPr>
                <w:rFonts w:ascii="Arial" w:cs="Arial" w:eastAsia="Arial" w:hAnsi="Arial"/>
                <w:sz w:val="18"/>
                <w:szCs w:val="18"/>
                <w:color w:val="auto"/>
              </w:rPr>
              <w:t>Diluted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546,608</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564,254</w:t>
            </w: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577,141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For the years ended December 31, 2019, 2018 and 2017, options and awards outstanding totaling 4.4 million shares, 3.2 million shares and 7.9 million shares, respectively, were excluded from the calculations as their effect would have been antidilutive.</w:t>
      </w:r>
    </w:p>
    <w:p>
      <w:pPr>
        <w:spacing w:after="0" w:line="200" w:lineRule="exact"/>
        <w:rPr>
          <w:sz w:val="20"/>
          <w:szCs w:val="20"/>
          <w:color w:val="auto"/>
        </w:rPr>
      </w:pPr>
    </w:p>
    <w:p>
      <w:pPr>
        <w:ind w:left="641" w:hanging="641"/>
        <w:spacing w:after="0"/>
        <w:tabs>
          <w:tab w:leader="none" w:pos="641" w:val="left"/>
        </w:tabs>
        <w:numPr>
          <w:ilvl w:val="0"/>
          <w:numId w:val="60"/>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16"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8"/>
          <w:szCs w:val="18"/>
          <w:color w:val="auto"/>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 of the employee contribution, up to 6% of each employee’s earnings (8% starting January 1, 2020), which vest over four years (2 years of service = 50%, 3 years of service = 75%, 4 years of service = 100%). Matching contributions were $3.4 million, $2.9 million and $2.5 million for the years ended December 31, 2019, 2018 and 2017, respectively.</w:t>
      </w:r>
    </w:p>
    <w:p>
      <w:pPr>
        <w:spacing w:after="0" w:line="179" w:lineRule="exact"/>
        <w:rPr>
          <w:sz w:val="20"/>
          <w:szCs w:val="20"/>
          <w:color w:val="auto"/>
        </w:rPr>
      </w:pPr>
    </w:p>
    <w:p>
      <w:pPr>
        <w:ind w:left="641" w:hanging="641"/>
        <w:spacing w:after="0"/>
        <w:tabs>
          <w:tab w:leader="none" w:pos="641" w:val="left"/>
        </w:tabs>
        <w:numPr>
          <w:ilvl w:val="0"/>
          <w:numId w:val="61"/>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16" w:lineRule="exact"/>
        <w:rPr>
          <w:sz w:val="20"/>
          <w:szCs w:val="20"/>
          <w:color w:val="auto"/>
        </w:rPr>
      </w:pPr>
    </w:p>
    <w:p>
      <w:pPr>
        <w:jc w:val="both"/>
        <w:ind w:left="1" w:firstLine="648"/>
        <w:spacing w:after="0" w:line="223" w:lineRule="auto"/>
        <w:rPr>
          <w:sz w:val="20"/>
          <w:szCs w:val="20"/>
          <w:color w:val="auto"/>
        </w:rPr>
      </w:pPr>
      <w:r>
        <w:rPr>
          <w:rFonts w:ascii="Arial" w:cs="Arial" w:eastAsia="Arial" w:hAnsi="Arial"/>
          <w:sz w:val="20"/>
          <w:szCs w:val="20"/>
          <w:color w:val="auto"/>
        </w:rPr>
        <w:t>The Company has three operating and reportable segments; (i) Monster Energy® Drinks segment, which is primarily comprised of the Company’s Monster Energy® drinks and Reign Total Body Fuel</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high performance energy drinks, (ii) Strategic Brands segment, which is comprised primarily of the various energy drink brands acquired from TCCC in 2015 as well as the Company’s affordable energy brands, and (iii) Other segment, which is comprised of the AFF Third-Party Products.</w:t>
      </w:r>
    </w:p>
    <w:p>
      <w:pPr>
        <w:spacing w:after="0" w:line="199"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The Company’s Monster Energy® Drinks segment primarily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foodservice customers, value stores, e-commerce retailers and the military.</w:t>
      </w:r>
    </w:p>
    <w:p>
      <w:pPr>
        <w:spacing w:after="0" w:line="192" w:lineRule="exact"/>
        <w:rPr>
          <w:sz w:val="20"/>
          <w:szCs w:val="20"/>
          <w:color w:val="auto"/>
        </w:rPr>
      </w:pPr>
    </w:p>
    <w:p>
      <w:pPr>
        <w:jc w:val="both"/>
        <w:ind w:left="1" w:firstLine="648"/>
        <w:spacing w:after="0" w:line="257" w:lineRule="auto"/>
        <w:rPr>
          <w:sz w:val="20"/>
          <w:szCs w:val="20"/>
          <w:color w:val="auto"/>
        </w:rPr>
      </w:pPr>
      <w:r>
        <w:rPr>
          <w:rFonts w:ascii="Arial" w:cs="Arial" w:eastAsia="Arial" w:hAnsi="Arial"/>
          <w:sz w:val="19"/>
          <w:szCs w:val="19"/>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 full service distributors or retailers, including, retail grocery and specialty chains, wholesalers, club stores, mass merchandisers, convenience chains, foodservice customers, drug stores, value stores, e-commerce retailers and the military. To a lesser extent, the Company’s Strategic Brands segment generates net operating revenues by selling certain ready-to-drink packaged energy drinks to bottlers and full service beverage distributors.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 percentages than the Strategic Brands segment.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years ended December 31, 2019, 2018 and 2017 are as follows: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5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tcPr>
          <w:p>
            <w:pPr>
              <w:jc w:val="right"/>
              <w:ind w:right="190"/>
              <w:spacing w:after="0"/>
              <w:rPr>
                <w:sz w:val="20"/>
                <w:szCs w:val="20"/>
                <w:color w:val="auto"/>
              </w:rPr>
            </w:pPr>
            <w:r>
              <w:rPr>
                <w:rFonts w:ascii="Arial" w:cs="Arial" w:eastAsia="Arial" w:hAnsi="Arial"/>
                <w:sz w:val="18"/>
                <w:szCs w:val="18"/>
                <w:color w:val="auto"/>
              </w:rPr>
              <w:t>2019</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line="22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6"/>
                <w:szCs w:val="26"/>
                <w:color w:val="auto"/>
                <w:vertAlign w:val="superscript"/>
              </w:rPr>
              <w:t>(1)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$ 3,904,029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$ 3,498,427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3,047,596</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274,925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285,836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299,844</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Other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21,865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22,920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21,605</w:t>
            </w:r>
          </w:p>
        </w:tc>
        <w:tc>
          <w:tcPr>
            <w:tcW w:w="0" w:type="dxa"/>
            <w:vAlign w:val="bottom"/>
          </w:tcPr>
          <w:p>
            <w:pPr>
              <w:spacing w:after="0"/>
              <w:rPr>
                <w:sz w:val="1"/>
                <w:szCs w:val="1"/>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13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$ 4,200,819</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$ 3,807,183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3,369,045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2220" w:type="dxa"/>
            <w:vAlign w:val="bottom"/>
            <w:gridSpan w:val="2"/>
          </w:tcPr>
          <w:p>
            <w:pPr>
              <w:jc w:val="right"/>
              <w:ind w:right="190"/>
              <w:spacing w:after="0"/>
              <w:rPr>
                <w:sz w:val="20"/>
                <w:szCs w:val="20"/>
                <w:color w:val="auto"/>
              </w:rPr>
            </w:pPr>
            <w:r>
              <w:rPr>
                <w:rFonts w:ascii="Arial" w:cs="Arial" w:eastAsia="Arial" w:hAnsi="Arial"/>
                <w:sz w:val="18"/>
                <w:szCs w:val="18"/>
                <w:color w:val="auto"/>
              </w:rPr>
              <w:t>2019</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line="22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6"/>
                <w:szCs w:val="26"/>
                <w:color w:val="auto"/>
                <w:vertAlign w:val="superscript"/>
              </w:rPr>
              <w:t>(1) (2)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$ 1,565,977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$ 1,371,062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1,264,579</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164,053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176,520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174,458</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Other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(330,741)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(269,325)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(245,833)</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$ 1,402,939</w:t>
            </w:r>
          </w:p>
        </w:tc>
        <w:tc>
          <w:tcPr>
            <w:tcW w:w="2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$ 1,283,619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1,198,787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80" w:type="dxa"/>
            <w:vAlign w:val="bottom"/>
            <w:vMerge w:val="restart"/>
          </w:tcPr>
          <w:p>
            <w:pPr>
              <w:spacing w:after="0"/>
              <w:rPr>
                <w:sz w:val="20"/>
                <w:szCs w:val="20"/>
                <w:color w:val="auto"/>
              </w:rPr>
            </w:pPr>
            <w:r>
              <w:rPr>
                <w:rFonts w:ascii="Arial" w:cs="Arial" w:eastAsia="Arial" w:hAnsi="Arial"/>
                <w:sz w:val="18"/>
                <w:szCs w:val="18"/>
                <w:color w:val="auto"/>
              </w:rPr>
              <w:t>Income before tax:</w:t>
            </w:r>
          </w:p>
        </w:tc>
        <w:tc>
          <w:tcPr>
            <w:tcW w:w="2220" w:type="dxa"/>
            <w:vAlign w:val="bottom"/>
            <w:gridSpan w:val="2"/>
          </w:tcPr>
          <w:p>
            <w:pPr>
              <w:jc w:val="right"/>
              <w:ind w:right="190"/>
              <w:spacing w:after="0"/>
              <w:rPr>
                <w:sz w:val="20"/>
                <w:szCs w:val="20"/>
                <w:color w:val="auto"/>
              </w:rPr>
            </w:pPr>
            <w:r>
              <w:rPr>
                <w:rFonts w:ascii="Arial" w:cs="Arial" w:eastAsia="Arial" w:hAnsi="Arial"/>
                <w:sz w:val="18"/>
                <w:szCs w:val="18"/>
                <w:color w:val="auto"/>
              </w:rPr>
              <w:t>2019</w:t>
            </w:r>
          </w:p>
        </w:tc>
        <w:tc>
          <w:tcPr>
            <w:tcW w:w="1140" w:type="dxa"/>
            <w:vAlign w:val="bottom"/>
            <w:gridSpan w:val="2"/>
          </w:tcPr>
          <w:p>
            <w:pPr>
              <w:jc w:val="right"/>
              <w:ind w:right="21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line="226" w:lineRule="exact"/>
              <w:rPr>
                <w:sz w:val="20"/>
                <w:szCs w:val="20"/>
                <w:color w:val="auto"/>
              </w:rPr>
            </w:pPr>
            <w:r>
              <w:rPr>
                <w:rFonts w:ascii="Arial" w:cs="Arial" w:eastAsia="Arial" w:hAnsi="Arial"/>
                <w:sz w:val="17"/>
                <w:szCs w:val="17"/>
                <w:color w:val="auto"/>
              </w:rPr>
              <w:t>Monster Energy® Drinks</w:t>
            </w:r>
            <w:r>
              <w:rPr>
                <w:rFonts w:ascii="Arial" w:cs="Arial" w:eastAsia="Arial" w:hAnsi="Arial"/>
                <w:sz w:val="26"/>
                <w:szCs w:val="26"/>
                <w:color w:val="auto"/>
                <w:vertAlign w:val="superscript"/>
              </w:rPr>
              <w:t>(1) (2)</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$ 1,567,022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$ 1,372,001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1,264,555</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Strategic Brands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164,049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176,540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174,442</w:t>
            </w: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Arial" w:cs="Arial" w:eastAsia="Arial" w:hAnsi="Arial"/>
                <w:sz w:val="18"/>
                <w:szCs w:val="18"/>
                <w:color w:val="auto"/>
              </w:rPr>
              <w:t>Other</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3,655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(318,764)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(260,631)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(242,957)</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$ 1,415,962</w:t>
            </w:r>
          </w:p>
        </w:tc>
        <w:tc>
          <w:tcPr>
            <w:tcW w:w="2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$ 1,293,272</w:t>
            </w:r>
          </w:p>
        </w:tc>
        <w:tc>
          <w:tcPr>
            <w:tcW w:w="20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1,201,623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80" w:hanging="330"/>
        <w:spacing w:after="0" w:line="293" w:lineRule="auto"/>
        <w:tabs>
          <w:tab w:leader="none" w:pos="68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$46.3 million, $44.3 million and $43.4 million for the years ended December 31, 2019, 2018 and 2017, respectively, related to the recognition of deferred revenue.</w:t>
      </w:r>
    </w:p>
    <w:p>
      <w:pPr>
        <w:spacing w:after="0" w:line="158" w:lineRule="exact"/>
        <w:rPr>
          <w:rFonts w:ascii="Arial" w:cs="Arial" w:eastAsia="Arial" w:hAnsi="Arial"/>
          <w:sz w:val="16"/>
          <w:szCs w:val="16"/>
          <w:i w:val="1"/>
          <w:iCs w:val="1"/>
          <w:color w:val="auto"/>
        </w:rPr>
      </w:pPr>
    </w:p>
    <w:p>
      <w:pPr>
        <w:ind w:left="680" w:hanging="330"/>
        <w:spacing w:after="0" w:line="293" w:lineRule="auto"/>
        <w:tabs>
          <w:tab w:leader="none" w:pos="680" w:val="left"/>
        </w:tabs>
        <w:numPr>
          <w:ilvl w:val="0"/>
          <w:numId w:val="6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$11.3 million, $26.6 million and $35.4 million for the years ended December 31, 2019, 2018 and 2017, respectively, related to distributor termination costs.</w:t>
      </w:r>
    </w:p>
    <w:p>
      <w:pPr>
        <w:spacing w:after="0" w:line="19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68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Monster Energy® Drinks</w:t>
            </w:r>
          </w:p>
        </w:tc>
        <w:tc>
          <w:tcPr>
            <w:tcW w:w="1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39,397</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36,387</w:t>
            </w:r>
          </w:p>
        </w:tc>
        <w:tc>
          <w:tcPr>
            <w:tcW w:w="18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29,591</w:t>
            </w: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Stategic Brands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Corporate and unallocated</w:t>
            </w: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920" w:top="517" w:right="9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379730</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63887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Corporate and unallocated expenses were $330.7 million for the year ended December 31, 2019 and included $203.3 million of payroll costs, of which $63.4 million was attributable to stock-based compensation expense (See Note 15, “Stock-Based Compensation”), $78.5 million of professional service expenses, including accounting and legal costs, $6.1 million of insurance costs and $42.8 million of other operating expenses.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Corporate and unallocated expenses were $269.3 million for the year ended December 31, 2018 and included $174.9 million of payroll costs, of which $57.1 million was attributable to stock-based compensation expense (See Note 15, “Stock-Based Compensation”), $53.6 million of professional service expenses, including accounting and legal costs, $6.0 million of insurance costs and $34.8 million of other operating expenses.</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Corporate and unallocated expenses were $245.8 million for the year ended December 31, 2017 and included $156.3 million of payroll costs, of which $52.3 million was attributable to stock-based compensation expense (See Note 15, “Stock-Based Compensation”), $51.8 million of professional service expenses, including accounting and legal costs, $6.0 million of insurance costs and $31.7 million of other operating expenses.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TCCC, through the TCCC Subsidiaries, accounted for approximately 2%, 3% and 18% of the Company's net sales for the years ended December 31, 2019, 2018 and 2017, respectively. As part of the North America Refranchising, the territories of certain TCCC Subsidiaries have been transitioned to certain independent/non wholly-owned TCCC bottlers/distributors. Accordingly, the Company's percentage of net sales classified as sales to the TCCC Subsidiaries decreased for the years ended December 31, 2019, 2018 and 2017.</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13% of the Company’s net sales for the years ended December 31, 2019, 2018 and 2017.</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12% and 6% of the Company’s net sales for the years ended December 31, 2019, 2018 and 2017,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10% and 9% of the Company’s net sales for the years ended December 31, 2019, 2018 and 2017, respectively.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$1.33 billion, $1.09 billion and $909.3 million for the years ended December 31, 2019, 2018 and 2017, respectively. Such sales were approximately 32%, 29% and 27% of net sales for the years ended December 31, 2019, 2018 and 2017, respectively.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Goodwill and other intangible assets for the Company’s reportable segments as of December 31, 2019 and 2018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vMerge w:val="restart"/>
          </w:tcPr>
          <w:p>
            <w:pPr>
              <w:ind w:left="1000"/>
              <w:spacing w:after="0"/>
              <w:rPr>
                <w:sz w:val="20"/>
                <w:szCs w:val="20"/>
                <w:color w:val="auto"/>
              </w:rPr>
            </w:pPr>
            <w:r>
              <w:rPr>
                <w:rFonts w:ascii="Arial" w:cs="Arial" w:eastAsia="Arial" w:hAnsi="Arial"/>
                <w:sz w:val="18"/>
                <w:szCs w:val="18"/>
                <w:color w:val="auto"/>
              </w:rPr>
              <w:t>Goodwill and other intangible assets:</w:t>
            </w:r>
          </w:p>
        </w:tc>
        <w:tc>
          <w:tcPr>
            <w:tcW w:w="3640" w:type="dxa"/>
            <w:vAlign w:val="bottom"/>
            <w:gridSpan w:val="2"/>
          </w:tcPr>
          <w:p>
            <w:pPr>
              <w:jc w:val="right"/>
              <w:ind w:right="21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3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120"/>
              <w:spacing w:after="0"/>
              <w:rPr>
                <w:sz w:val="20"/>
                <w:szCs w:val="20"/>
                <w:color w:val="auto"/>
              </w:rPr>
            </w:pPr>
            <w:r>
              <w:rPr>
                <w:rFonts w:ascii="Arial" w:cs="Arial" w:eastAsia="Arial" w:hAnsi="Arial"/>
                <w:sz w:val="18"/>
                <w:szCs w:val="18"/>
                <w:color w:val="auto"/>
              </w:rPr>
              <w:t>Monster Energy® Drinks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$ 1,384,940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1,368,620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120"/>
              <w:spacing w:after="0"/>
              <w:rPr>
                <w:sz w:val="20"/>
                <w:szCs w:val="20"/>
                <w:color w:val="auto"/>
              </w:rPr>
            </w:pPr>
            <w:r>
              <w:rPr>
                <w:rFonts w:ascii="Arial" w:cs="Arial" w:eastAsia="Arial" w:hAnsi="Arial"/>
                <w:sz w:val="18"/>
                <w:szCs w:val="18"/>
                <w:color w:val="auto"/>
              </w:rPr>
              <w:t>Strategic Brands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984,393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989,944</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120"/>
              <w:spacing w:after="0"/>
              <w:rPr>
                <w:sz w:val="20"/>
                <w:szCs w:val="20"/>
                <w:color w:val="auto"/>
              </w:rPr>
            </w:pPr>
            <w:r>
              <w:rPr>
                <w:rFonts w:ascii="Arial" w:cs="Arial" w:eastAsia="Arial" w:hAnsi="Arial"/>
                <w:sz w:val="18"/>
                <w:szCs w:val="18"/>
                <w:color w:val="auto"/>
              </w:rPr>
              <w:t>Other</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14,415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120"/>
              <w:spacing w:after="0"/>
              <w:rPr>
                <w:sz w:val="20"/>
                <w:szCs w:val="20"/>
                <w:color w:val="auto"/>
              </w:rPr>
            </w:pPr>
            <w:r>
              <w:rPr>
                <w:rFonts w:ascii="Arial" w:cs="Arial" w:eastAsia="Arial" w:hAnsi="Arial"/>
                <w:sz w:val="18"/>
                <w:szCs w:val="18"/>
                <w:color w:val="auto"/>
              </w:rPr>
              <w:t>Corporate and unallocated</w:t>
            </w:r>
          </w:p>
        </w:tc>
        <w:tc>
          <w:tcPr>
            <w:tcW w:w="27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$ 2,383,748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2,377,521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700" w:type="dxa"/>
            <w:vAlign w:val="bottom"/>
            <w:vMerge w:val="restart"/>
          </w:tcPr>
          <w:p>
            <w:pPr>
              <w:jc w:val="right"/>
              <w:ind w:right="1750"/>
              <w:spacing w:after="0"/>
              <w:rPr>
                <w:sz w:val="20"/>
                <w:szCs w:val="20"/>
                <w:color w:val="auto"/>
              </w:rPr>
            </w:pPr>
            <w:r>
              <w:rPr>
                <w:rFonts w:ascii="Arial" w:cs="Arial" w:eastAsia="Arial" w:hAnsi="Arial"/>
                <w:sz w:val="18"/>
                <w:szCs w:val="18"/>
                <w:color w:val="auto"/>
              </w:rPr>
              <w:t>115</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3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517" w:right="919" w:bottom="1440" w:gutter="0" w:footer="0" w:header="0"/>
        </w:sectPr>
      </w:pPr>
    </w:p>
    <w:bookmarkStart w:id="115" w:name="page116"/>
    <w:bookmarkEnd w:id="115"/>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ind w:left="641" w:hanging="641"/>
        <w:spacing w:after="0"/>
        <w:tabs>
          <w:tab w:leader="none" w:pos="641"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1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TCCC controls approximately 19.0% of the voting interests of the Company. The TCCC Subsidiaries, the TCCC Related Parties and the TCCC Independent Bottlers, purchase and distribute the Company’s products in domestic and certain international markets. The Company also pays TCCC a commission based on certain sales within the TCCC distribution network.</w:t>
      </w:r>
    </w:p>
    <w:p>
      <w:pPr>
        <w:spacing w:after="0" w:line="192"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year ended December 31, 2019 were $50.1 million, and are included as a reduction to net sales. TCCC commissions, based on sales to the TCCC Independent Bottlers for the year ended December 31, 2019 were $17.7 million, and are included in operating expenses.</w:t>
      </w:r>
    </w:p>
    <w:p>
      <w:pPr>
        <w:spacing w:after="0" w:line="192"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year ended December 31, 2018 were $48.0 million, and are included as a reduction to net sales. TCCC commissions, based on sales to the TCCC Independent Bottlers for the year ended December 31, 2018 were $14.8 million, and are included in operating expenses.</w:t>
      </w:r>
    </w:p>
    <w:p>
      <w:pPr>
        <w:spacing w:after="0" w:line="192"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TCCC commissions, based on sales to the TCCC Subsidiaries, for the year ended December 31, 2017 were $9.8 million, and are included as a reduction to net sales. TCCC commissions, based on sales to the TCCC Related Parties and the TCCC Independent Bottlers, for the year ended December 31, 2017 were $45.0 million, and are included in operating expenses.</w:t>
      </w:r>
    </w:p>
    <w:p>
      <w:pPr>
        <w:spacing w:after="0" w:line="192"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Upon adoption of ASC 606, commissions paid to TCCC, based on sales to the TCCC Related Parties, are included as a reduction to net sales. Prior to January 1, 2018, such commissions, based on sales to the TCCC Related Parties, were included in operating expenses.</w:t>
      </w:r>
    </w:p>
    <w:p>
      <w:pPr>
        <w:spacing w:after="0" w:line="186" w:lineRule="exact"/>
        <w:rPr>
          <w:sz w:val="20"/>
          <w:szCs w:val="20"/>
          <w:color w:val="auto"/>
        </w:rPr>
      </w:pPr>
    </w:p>
    <w:p>
      <w:pPr>
        <w:jc w:val="both"/>
        <w:ind w:left="1" w:firstLine="648"/>
        <w:spacing w:after="0" w:line="244" w:lineRule="auto"/>
        <w:rPr>
          <w:sz w:val="20"/>
          <w:szCs w:val="20"/>
          <w:color w:val="auto"/>
        </w:rPr>
      </w:pPr>
      <w:r>
        <w:rPr>
          <w:rFonts w:ascii="Arial" w:cs="Arial" w:eastAsia="Arial" w:hAnsi="Arial"/>
          <w:sz w:val="20"/>
          <w:szCs w:val="20"/>
          <w:color w:val="auto"/>
        </w:rPr>
        <w:t>Net sales to the TCCC Subsidiaries for the years ended December 31, 2019, 2018 and 2017 were $79.5 million, $132.5 million and $594.1 million, respectively. As part of the North America Refranchising, the territories of certain TCCC Subsidiaries have been transitioned to certain independent TCCC bottlers/distributors and/or TCCC Related Parties. Accordingly, the Company’s net sales classified as sales to the TCCC Subsidiaries significantly decreased for the years ended December 31, 2019, 2018 and 2017.</w:t>
      </w:r>
    </w:p>
    <w:p>
      <w:pPr>
        <w:spacing w:after="0" w:line="195"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The Company also purchases concentrates from TCCC which are then sold to certain of the Company's bottlers/distributors. Concentrate purchases from TCCC were $25.4 million, $27.5 million and $26.2 million for the years ended December 31, 2019, 2018 and 2017, respectively.</w:t>
      </w:r>
    </w:p>
    <w:p>
      <w:pPr>
        <w:spacing w:after="0" w:line="186" w:lineRule="exact"/>
        <w:rPr>
          <w:sz w:val="20"/>
          <w:szCs w:val="20"/>
          <w:color w:val="auto"/>
        </w:rPr>
      </w:pPr>
    </w:p>
    <w:p>
      <w:pPr>
        <w:jc w:val="both"/>
        <w:ind w:left="1" w:firstLine="648"/>
        <w:spacing w:after="0" w:line="250" w:lineRule="auto"/>
        <w:rPr>
          <w:sz w:val="20"/>
          <w:szCs w:val="20"/>
          <w:color w:val="auto"/>
        </w:rPr>
      </w:pPr>
      <w:r>
        <w:rPr>
          <w:rFonts w:ascii="Arial" w:cs="Arial" w:eastAsia="Arial" w:hAnsi="Arial"/>
          <w:sz w:val="20"/>
          <w:szCs w:val="20"/>
          <w:color w:val="auto"/>
        </w:rPr>
        <w:t>Certain TCCC Subsidiaries also contract manufacture certain of the Company’s Monster Energy® brand energy drinks. Such contract manufacturing expenses were $17.1 million, $22.8 million and $11.8 million for the years ended December 31, 2019, 2018 and 2017,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116" w:name="page117"/>
    <w:bookmarkEnd w:id="116"/>
    <w:p>
      <w:pPr>
        <w:ind w:left="1"/>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4440"/>
        <w:spacing w:after="0" w:line="273"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38873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186"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3"/>
              </w:rPr>
              <w:t>December 31,</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504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2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504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21,670</w:t>
            </w:r>
          </w:p>
        </w:tc>
        <w:tc>
          <w:tcPr>
            <w:tcW w:w="200" w:type="dxa"/>
            <w:vAlign w:val="bottom"/>
          </w:tcPr>
          <w:p>
            <w:pPr>
              <w:spacing w:after="0"/>
              <w:rPr>
                <w:sz w:val="16"/>
                <w:szCs w:val="16"/>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25,312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Accounts payable</w:t>
            </w:r>
          </w:p>
        </w:tc>
        <w:tc>
          <w:tcPr>
            <w:tcW w:w="288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(18,217)</w:t>
            </w:r>
          </w:p>
        </w:tc>
        <w:tc>
          <w:tcPr>
            <w:tcW w:w="4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(54,430)</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Accrued promotional allowances</w:t>
            </w:r>
          </w:p>
        </w:tc>
        <w:tc>
          <w:tcPr>
            <w:tcW w:w="2880" w:type="dxa"/>
            <w:vAlign w:val="bottom"/>
            <w:gridSpan w:val="2"/>
          </w:tcPr>
          <w:p>
            <w:pPr>
              <w:ind w:left="2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(5,321)</w:t>
            </w:r>
          </w:p>
        </w:tc>
        <w:tc>
          <w:tcPr>
            <w:tcW w:w="4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(4,044)</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One director of the Company and his family, and one director's family, are principal owners of a company that provides promotional materials to the Company. Expenses incurred with such company in connection with promotional materials purchased during the years ended December 31, 2019, 2018 and 2017 were $1.5 million, $1.8 million and $2.2 million, respectively.</w:t>
      </w:r>
    </w:p>
    <w:p>
      <w:pPr>
        <w:spacing w:after="0" w:line="192" w:lineRule="exact"/>
        <w:rPr>
          <w:sz w:val="20"/>
          <w:szCs w:val="20"/>
          <w:color w:val="auto"/>
        </w:rPr>
      </w:pPr>
    </w:p>
    <w:p>
      <w:pPr>
        <w:jc w:val="both"/>
        <w:ind w:left="1" w:firstLine="648"/>
        <w:spacing w:after="0" w:line="258" w:lineRule="auto"/>
        <w:rPr>
          <w:sz w:val="20"/>
          <w:szCs w:val="20"/>
          <w:color w:val="auto"/>
        </w:rPr>
      </w:pPr>
      <w:r>
        <w:rPr>
          <w:rFonts w:ascii="Arial" w:cs="Arial" w:eastAsia="Arial" w:hAnsi="Arial"/>
          <w:sz w:val="19"/>
          <w:szCs w:val="19"/>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and is included in other assets (non-current) in the accompanying consolidated balance sheet at December 31, 2018. During the year ended December 31, 2019, the Company made an additional $0.05 million capital contribution, made a loan of $0.15 million and recorded an equity loss of $0.09 million. As of December 31, 2019, the Company’s equity investment is $1.9 million and is included in other assets (non-current) in the accompanying consolidated balance sheet at December 31, 2019.</w:t>
      </w:r>
    </w:p>
    <w:p>
      <w:pPr>
        <w:spacing w:after="0" w:line="193" w:lineRule="exact"/>
        <w:rPr>
          <w:sz w:val="20"/>
          <w:szCs w:val="20"/>
          <w:color w:val="auto"/>
        </w:rPr>
      </w:pPr>
    </w:p>
    <w:p>
      <w:pPr>
        <w:ind w:left="641" w:hanging="641"/>
        <w:spacing w:after="0"/>
        <w:tabs>
          <w:tab w:leader="none" w:pos="641" w:val="left"/>
        </w:tabs>
        <w:numPr>
          <w:ilvl w:val="0"/>
          <w:numId w:val="64"/>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4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jc w:val="right"/>
              <w:spacing w:after="0"/>
              <w:rPr>
                <w:sz w:val="20"/>
                <w:szCs w:val="20"/>
                <w:color w:val="auto"/>
              </w:rPr>
            </w:pPr>
            <w:r>
              <w:rPr>
                <w:rFonts w:ascii="Arial" w:cs="Arial" w:eastAsia="Arial" w:hAnsi="Arial"/>
                <w:sz w:val="18"/>
                <w:szCs w:val="18"/>
                <w:color w:val="auto"/>
                <w:w w:val="91"/>
              </w:rPr>
              <w:t>Net Income per Common</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color w:val="auto"/>
              </w:rPr>
              <w:t>Net Sales</w:t>
            </w:r>
          </w:p>
        </w:tc>
        <w:tc>
          <w:tcPr>
            <w:tcW w:w="1120" w:type="dxa"/>
            <w:vAlign w:val="bottom"/>
            <w:gridSpan w:val="3"/>
            <w:vMerge w:val="restart"/>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Net Income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Share</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8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w w:val="99"/>
              </w:rPr>
              <w:t>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6"/>
              </w:rPr>
              <w:t>Diluted</w:t>
            </w:r>
          </w:p>
        </w:tc>
        <w:tc>
          <w:tcPr>
            <w:tcW w:w="0" w:type="dxa"/>
            <w:vAlign w:val="bottom"/>
          </w:tcPr>
          <w:p>
            <w:pPr>
              <w:spacing w:after="0"/>
              <w:rPr>
                <w:sz w:val="1"/>
                <w:szCs w:val="1"/>
                <w:color w:val="auto"/>
              </w:rPr>
            </w:pPr>
          </w:p>
        </w:tc>
      </w:tr>
      <w:tr>
        <w:trPr>
          <w:trHeight w:val="195"/>
        </w:trPr>
        <w:tc>
          <w:tcPr>
            <w:tcW w:w="318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March 31, 2019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945,991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573,532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261,485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June 30, 2019</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1,104,045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292,473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September 30, 2019</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1,133,577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673,002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298,923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Arial" w:cs="Arial" w:eastAsia="Arial" w:hAnsi="Arial"/>
                <w:sz w:val="18"/>
                <w:szCs w:val="18"/>
                <w:color w:val="auto"/>
              </w:rPr>
              <w:t>December 31, 2019</w:t>
            </w: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1,017,206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610,768</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4,200,819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2,518,585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1,107,835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March 31, 2018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850,921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515,257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216,050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June 30, 2018</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1,015,873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620,258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Arial" w:cs="Arial" w:eastAsia="Arial" w:hAnsi="Arial"/>
                <w:sz w:val="18"/>
                <w:szCs w:val="18"/>
                <w:color w:val="auto"/>
              </w:rPr>
              <w:t>September 30, 2018</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1,016,160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607,659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267,733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Arial" w:cs="Arial" w:eastAsia="Arial" w:hAnsi="Arial"/>
                <w:sz w:val="18"/>
                <w:szCs w:val="18"/>
                <w:color w:val="auto"/>
              </w:rPr>
              <w:t>December 31, 2018</w:t>
            </w: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924,229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552,201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239,105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3,807,183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2,295,375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993,004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517" w:right="9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II – VALUATION AND QUALIFYING ACCOUNTS</w:t>
      </w:r>
    </w:p>
    <w:p>
      <w:pPr>
        <w:spacing w:after="0"/>
        <w:rPr>
          <w:sz w:val="20"/>
          <w:szCs w:val="20"/>
          <w:color w:val="auto"/>
        </w:rPr>
      </w:pPr>
      <w:r>
        <w:rPr>
          <w:rFonts w:ascii="Arial" w:cs="Arial" w:eastAsia="Arial" w:hAnsi="Arial"/>
          <w:sz w:val="20"/>
          <w:szCs w:val="20"/>
          <w:b w:val="1"/>
          <w:bCs w:val="1"/>
          <w:color w:val="auto"/>
        </w:rPr>
        <w:t>FOR THE YEARS ENDED DECEMBER 31, 2019, 2018 AND 2017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38873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Balance at</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9"/>
              </w:rPr>
              <w:t>Charged to</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4"/>
              </w:rPr>
              <w:t>Balance at</w:t>
            </w:r>
          </w:p>
        </w:tc>
      </w:tr>
      <w:tr>
        <w:trPr>
          <w:trHeight w:val="216"/>
        </w:trPr>
        <w:tc>
          <w:tcPr>
            <w:tcW w:w="5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beginning</w:t>
            </w:r>
          </w:p>
        </w:tc>
        <w:tc>
          <w:tcPr>
            <w:tcW w:w="12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cost and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end of</w:t>
            </w:r>
          </w:p>
        </w:tc>
      </w:tr>
      <w:tr>
        <w:trPr>
          <w:trHeight w:val="230"/>
        </w:trPr>
        <w:tc>
          <w:tcPr>
            <w:tcW w:w="5660" w:type="dxa"/>
            <w:vAlign w:val="bottom"/>
            <w:gridSpan w:val="2"/>
          </w:tcPr>
          <w:p>
            <w:pPr>
              <w:ind w:left="230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of period</w:t>
            </w:r>
          </w:p>
        </w:tc>
        <w:tc>
          <w:tcPr>
            <w:tcW w:w="12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3"/>
              </w:rPr>
              <w:t>expenses</w:t>
            </w:r>
          </w:p>
        </w:tc>
        <w:tc>
          <w:tcPr>
            <w:tcW w:w="220" w:type="dxa"/>
            <w:vAlign w:val="bottom"/>
          </w:tcPr>
          <w:p>
            <w:pPr>
              <w:spacing w:after="0"/>
              <w:rPr>
                <w:sz w:val="20"/>
                <w:szCs w:val="20"/>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w w:val="95"/>
              </w:rPr>
              <w:t>Deductions</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period</w:t>
            </w:r>
          </w:p>
        </w:tc>
      </w:tr>
      <w:tr>
        <w:trPr>
          <w:trHeight w:val="224"/>
        </w:trPr>
        <w:tc>
          <w:tcPr>
            <w:tcW w:w="5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Allowance for doubtful accounts, sales returns and cash discounts: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04"/>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9,583</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(9,127)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7,890</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8,364</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1,105</w:t>
            </w:r>
          </w:p>
        </w:tc>
      </w:tr>
      <w:tr>
        <w:trPr>
          <w:trHeight w:val="432"/>
        </w:trPr>
        <w:tc>
          <w:tcPr>
            <w:tcW w:w="5660" w:type="dxa"/>
            <w:vAlign w:val="bottom"/>
            <w:gridSpan w:val="2"/>
          </w:tcPr>
          <w:p>
            <w:pPr>
              <w:spacing w:after="0"/>
              <w:rPr>
                <w:sz w:val="20"/>
                <w:szCs w:val="20"/>
                <w:color w:val="auto"/>
              </w:rPr>
            </w:pPr>
            <w:r>
              <w:rPr>
                <w:rFonts w:ascii="Arial" w:cs="Arial" w:eastAsia="Arial" w:hAnsi="Arial"/>
                <w:sz w:val="18"/>
                <w:szCs w:val="18"/>
                <w:color w:val="auto"/>
              </w:rPr>
              <w:t>Allowance on Deferred Tax Assets and Unrecognized Tax Benefits: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544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42,748</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43,853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40,680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2,068</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42,748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26,086</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14,594</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40,680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17" w:right="91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color w:val="auto"/>
        </w:rPr>
        <w:t>EXHIBIT 4.1</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DESCRIPTION OF THE REGISTRANT’S SECURITIES REGISTERED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12 OF THE SECURITIES EXCHANGE ACT OF 1934</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Monster Beverage Corporation (the “Company”, “we”, “us” and “our”) has one class of securities registered under Section 12 of the Securities Exchange Act of 1934, as amended: common stock, $0.005 par value per share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following description is a summary of the material provisions of our Certificate of Incorporation, as amended (the “Certificate of Incorporation”), our Second Amended and Restated By-laws (the “By-laws”) and specified provisions of Delaware law, in each case to the extent that they relate to our Common Stock. This summary does not purport to be complete and is subject to, and qualified in its entirety by reference to, all provisions of the Certificate of Incorporation, the By-laws and Delaware law. These documents may be amended from time to time. The Certificate of Incorporation and the By-laws are each incorporated by reference as an exhibit to the Annual Report on Form 10-K of which this Exhibit 4.1 is a part. We encourage you to read the Certificate of Incorporation, the By-laws and the applicable provisions of the Delaware General Corporation Law (the “DGCL”) for additional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Our authorized capital stock consists of 1,250,000,000 shares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Holders of Common Stock are entitled to one vote per share on all matters voted on by the stockholders, including the election of directors. Our Common Stock does not have cumulative voting rights. Generally, all matters to be voted on by stockholders must be approved by a majority, or, in the case of the election of directors, by a plurality, of the votes cast at a meeting at which a quorum is present (consisting of the presence, in person or by proxy, of the holders of one-third of the number of shares entitled to vote).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Holders of Common Stock will share ratably in any dividends declared by the Company’s board of directors (the “Board”). The Company may pay dividends, out of funds legally available for the payment of dividends, consisting of cash, property or shares of capital stock of the Company or its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Upon the liquidation, dissolution or winding up of the Company, all holders of Common Stock are entitled to share ratably in any assets available for distribution to holders of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Preemptive Rights</w:t>
      </w:r>
    </w:p>
    <w:p>
      <w:pPr>
        <w:spacing w:after="0" w:line="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Our Common Stock does not have preemptive rights to purchase additional shares of Common Stock. However, European Refreshments, a subsidiary of The Coca-Cola Company (“TCCC”), has certain preemptive rights as set forth in the Transaction Agreement, dated as of August 14, 2014, by and among the Company, New Laser Corporation, New Laser Merger Corp., TCCC and European Refreshments, which is incorporated by reference as an exhibit to the Annual Report on Form 10-K of which this Exhibit 4.1 is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342265</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Other Rights and Preferences</w:t>
      </w:r>
    </w:p>
    <w:p>
      <w:pPr>
        <w:spacing w:after="0" w:line="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Common Stock has no sinking fund or redemption provisions or conversion or exchange rights. There are no restrictions on transfer of our Common Stock, except as required by law.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w:t>
      </w:r>
    </w:p>
    <w:p>
      <w:pPr>
        <w:spacing w:after="0" w:line="2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Certain provisions of the Certificate of Incorporation or the By-laws and the DGCL could make it less likely that our management would be changed or someone would acquire voting control of us without the consent of the Board. These provisions could delay, deter or prevent tender offers or takeover attempts that stockholders might believe are in their best interests, including tender offers or takeover attempts that could allow stockholders to receive premiums over the market price of their common shares.</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Special Meetings. </w:t>
      </w:r>
      <w:r>
        <w:rPr>
          <w:rFonts w:ascii="Arial" w:cs="Arial" w:eastAsia="Arial" w:hAnsi="Arial"/>
          <w:sz w:val="20"/>
          <w:szCs w:val="20"/>
          <w:color w:val="auto"/>
        </w:rPr>
        <w:t>The By-laws provide that a special meeting of stockholders may be called only by the Board, the</w:t>
      </w:r>
      <w:r>
        <w:rPr>
          <w:rFonts w:ascii="Arial" w:cs="Arial" w:eastAsia="Arial" w:hAnsi="Arial"/>
          <w:sz w:val="20"/>
          <w:szCs w:val="20"/>
          <w:i w:val="1"/>
          <w:iCs w:val="1"/>
          <w:color w:val="auto"/>
        </w:rPr>
        <w:t xml:space="preserve"> </w:t>
      </w:r>
      <w:r>
        <w:rPr>
          <w:rFonts w:ascii="Arial" w:cs="Arial" w:eastAsia="Arial" w:hAnsi="Arial"/>
          <w:sz w:val="20"/>
          <w:szCs w:val="20"/>
          <w:color w:val="auto"/>
        </w:rPr>
        <w:t>chairman of the Board, our president or our secretary.</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Proposal Procedures</w:t>
      </w:r>
      <w:r>
        <w:rPr>
          <w:rFonts w:ascii="Arial" w:cs="Arial" w:eastAsia="Arial" w:hAnsi="Arial"/>
          <w:sz w:val="20"/>
          <w:szCs w:val="20"/>
          <w:color w:val="auto"/>
        </w:rPr>
        <w:t>. Under the By-laws, a stockholder will be able to propose at an annual meeting of our</w:t>
      </w:r>
      <w:r>
        <w:rPr>
          <w:rFonts w:ascii="Arial" w:cs="Arial" w:eastAsia="Arial" w:hAnsi="Arial"/>
          <w:sz w:val="20"/>
          <w:szCs w:val="20"/>
          <w:i w:val="1"/>
          <w:iCs w:val="1"/>
          <w:color w:val="auto"/>
        </w:rPr>
        <w:t xml:space="preserve"> </w:t>
      </w:r>
      <w:r>
        <w:rPr>
          <w:rFonts w:ascii="Arial" w:cs="Arial" w:eastAsia="Arial" w:hAnsi="Arial"/>
          <w:sz w:val="20"/>
          <w:szCs w:val="20"/>
          <w:color w:val="auto"/>
        </w:rPr>
        <w:t>stockholders that business other than nominations to the Board be considered only if the stockholder follows the advance notice procedures described in the By-laws. In general, a stockholder must submit a written notice of the proposal and the stockholder’s interest in the proposal to our corporate secretary at least 90 but not more than 120 days before the date set for the annual meeting of our stockholders.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Nomination Procedures</w:t>
      </w:r>
      <w:r>
        <w:rPr>
          <w:rFonts w:ascii="Arial" w:cs="Arial" w:eastAsia="Arial" w:hAnsi="Arial"/>
          <w:sz w:val="19"/>
          <w:szCs w:val="19"/>
          <w:color w:val="auto"/>
        </w:rPr>
        <w:t>. Under the By-laws, holders of Common Stock will be able nominate candidates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Board. A stockholder must follow the advance notice procedures described in the By-laws. In general, to nominate a person for election to the Board at a meeting of our stockholders, a stockholder must submit a written notice of the proposed nomination to our corporate secretary at least 90 but not more than 120 days before the meeting.</w:t>
      </w:r>
    </w:p>
    <w:p>
      <w:pPr>
        <w:spacing w:after="0" w:line="19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Proxy Access Provisions</w:t>
      </w:r>
      <w:r>
        <w:rPr>
          <w:rFonts w:ascii="Arial" w:cs="Arial" w:eastAsia="Arial" w:hAnsi="Arial"/>
          <w:sz w:val="20"/>
          <w:szCs w:val="20"/>
          <w:color w:val="auto"/>
        </w:rPr>
        <w:t>. The By-laws contain a proxy access provision that permits a stockholder, or a group of up to</w:t>
      </w:r>
      <w:r>
        <w:rPr>
          <w:rFonts w:ascii="Arial" w:cs="Arial" w:eastAsia="Arial" w:hAnsi="Arial"/>
          <w:sz w:val="20"/>
          <w:szCs w:val="20"/>
          <w:i w:val="1"/>
          <w:iCs w:val="1"/>
          <w:color w:val="auto"/>
        </w:rPr>
        <w:t xml:space="preserve"> </w:t>
      </w:r>
      <w:r>
        <w:rPr>
          <w:rFonts w:ascii="Arial" w:cs="Arial" w:eastAsia="Arial" w:hAnsi="Arial"/>
          <w:sz w:val="20"/>
          <w:szCs w:val="20"/>
          <w:color w:val="auto"/>
        </w:rPr>
        <w:t>twenty stockholders, owning 3% or more of the Company’s outstanding Common Stock continuously for at least three years to nominate and include in the Company’s proxy materials director nominees consisting of two nominees or 20% of the Board, whichever is greater, provided that the stockholder(s) and nominee(s) comply with the requirements of the By-laws. Stockholders must provide timely written notice to the Office of the Secretary at the Company’s principal executive offices. The notice must contain the information required by the By-laws, and the stockholder(s) and nominee(s) must comply with the information and other requirements in our By-laws relating to the inclusion of stockholder nominees in our proxy materials.</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Rights Plan. </w:t>
      </w:r>
      <w:r>
        <w:rPr>
          <w:rFonts w:ascii="Arial" w:cs="Arial" w:eastAsia="Arial" w:hAnsi="Arial"/>
          <w:sz w:val="20"/>
          <w:szCs w:val="20"/>
          <w:color w:val="auto"/>
        </w:rPr>
        <w:t>Although the Company does not have a stockholder rights plan (commonly referred to as a “poison</w:t>
      </w:r>
      <w:r>
        <w:rPr>
          <w:rFonts w:ascii="Arial" w:cs="Arial" w:eastAsia="Arial" w:hAnsi="Arial"/>
          <w:sz w:val="20"/>
          <w:szCs w:val="20"/>
          <w:i w:val="1"/>
          <w:iCs w:val="1"/>
          <w:color w:val="auto"/>
        </w:rPr>
        <w:t xml:space="preserve"> </w:t>
      </w:r>
      <w:r>
        <w:rPr>
          <w:rFonts w:ascii="Arial" w:cs="Arial" w:eastAsia="Arial" w:hAnsi="Arial"/>
          <w:sz w:val="20"/>
          <w:szCs w:val="20"/>
          <w:color w:val="auto"/>
        </w:rPr>
        <w:t>pill”), under Delaware law, the Board could adopt such a plan without stockholder approval. If adopted, a stockholder rights plan could operate to cause substantial dilution to a person or group that attempts to acquire us on terms not approved by the Board.</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Amendment of By-laws. </w:t>
      </w:r>
      <w:r>
        <w:rPr>
          <w:rFonts w:ascii="Arial" w:cs="Arial" w:eastAsia="Arial" w:hAnsi="Arial"/>
          <w:sz w:val="19"/>
          <w:szCs w:val="19"/>
          <w:color w:val="auto"/>
        </w:rPr>
        <w:t>Under the By-laws, the Board can make, alter, amend, change, add to or repeal the By-laws,</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to limitations under Delaware law. Our stockholders also have the power to amend or repeal the By-laws.</w:t>
      </w:r>
    </w:p>
    <w:p>
      <w:pPr>
        <w:spacing w:after="0" w:line="1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Authorized But Unissued Shares. </w:t>
      </w:r>
      <w:r>
        <w:rPr>
          <w:rFonts w:ascii="Arial" w:cs="Arial" w:eastAsia="Arial" w:hAnsi="Arial"/>
          <w:sz w:val="20"/>
          <w:szCs w:val="20"/>
          <w:color w:val="auto"/>
        </w:rPr>
        <w:t>The unissued shares of authorized capital stock may be issued for a variety of</w:t>
      </w:r>
      <w:r>
        <w:rPr>
          <w:rFonts w:ascii="Arial" w:cs="Arial" w:eastAsia="Arial" w:hAnsi="Arial"/>
          <w:sz w:val="20"/>
          <w:szCs w:val="20"/>
          <w:i w:val="1"/>
          <w:iCs w:val="1"/>
          <w:color w:val="auto"/>
        </w:rPr>
        <w:t xml:space="preserve"> </w:t>
      </w:r>
      <w:r>
        <w:rPr>
          <w:rFonts w:ascii="Arial" w:cs="Arial" w:eastAsia="Arial" w:hAnsi="Arial"/>
          <w:sz w:val="20"/>
          <w:szCs w:val="20"/>
          <w:color w:val="auto"/>
        </w:rPr>
        <w:t>purposes, including acquisitions, compensation and incentive plans and future public or private offerings to raise additional capital. One of the effects of the existence of such unissued shares may be to enable the Board to discourage or prevent a potential acquisition or takeover (by means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337820</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6" w:right="919" w:bottom="1440" w:gutter="0" w:footer="0" w:header="0"/>
        </w:sectPr>
      </w:pPr>
    </w:p>
    <w:bookmarkStart w:id="120" w:name="page121"/>
    <w:bookmarkEnd w:id="120"/>
    <w:p>
      <w:pPr>
        <w:spacing w:after="0"/>
        <w:rPr>
          <w:sz w:val="20"/>
          <w:szCs w:val="20"/>
          <w:color w:val="auto"/>
        </w:rPr>
      </w:pPr>
      <w:r>
        <w:rPr>
          <w:rFonts w:ascii="Arial" w:cs="Arial" w:eastAsia="Arial" w:hAnsi="Arial"/>
          <w:sz w:val="20"/>
          <w:szCs w:val="20"/>
          <w:color w:val="auto"/>
        </w:rPr>
        <w:t>tender or exchange offer, proxy contest or otherwise) and thereby to protect the continuity of our management.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Statutory Provisions Regarding Business Combinations</w:t>
      </w:r>
      <w:r>
        <w:rPr>
          <w:rFonts w:ascii="Arial" w:cs="Arial" w:eastAsia="Arial" w:hAnsi="Arial"/>
          <w:sz w:val="20"/>
          <w:szCs w:val="20"/>
          <w:color w:val="auto"/>
        </w:rPr>
        <w:t>. We are subject to Section 203 of the DGCL. In general,</w:t>
      </w:r>
      <w:r>
        <w:rPr>
          <w:rFonts w:ascii="Arial" w:cs="Arial" w:eastAsia="Arial" w:hAnsi="Arial"/>
          <w:sz w:val="20"/>
          <w:szCs w:val="20"/>
          <w:i w:val="1"/>
          <w:iCs w:val="1"/>
          <w:color w:val="auto"/>
        </w:rPr>
        <w:t xml:space="preserve"> </w:t>
      </w:r>
      <w:r>
        <w:rPr>
          <w:rFonts w:ascii="Arial" w:cs="Arial" w:eastAsia="Arial" w:hAnsi="Arial"/>
          <w:sz w:val="20"/>
          <w:szCs w:val="20"/>
          <w:color w:val="auto"/>
        </w:rPr>
        <w:t>Section 203 prohibits an “interested stockholder” from engaging in a “business combination” with a Delaware corporation for three years following the date such person became an interested stockholder, unless:</w:t>
      </w:r>
    </w:p>
    <w:p>
      <w:pPr>
        <w:spacing w:after="0" w:line="200" w:lineRule="exact"/>
        <w:rPr>
          <w:sz w:val="20"/>
          <w:szCs w:val="20"/>
          <w:color w:val="auto"/>
        </w:rPr>
      </w:pPr>
    </w:p>
    <w:p>
      <w:pPr>
        <w:jc w:val="both"/>
        <w:ind w:left="640" w:hanging="317"/>
        <w:spacing w:after="0" w:line="245"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prior to the date such person became an interested stockholder, the board of directors of the corporation approved the transaction in which the interested stockholder became an interested stockholder or approved the business combination;</w:t>
      </w:r>
    </w:p>
    <w:p>
      <w:pPr>
        <w:jc w:val="both"/>
        <w:ind w:left="640" w:hanging="317"/>
        <w:spacing w:after="0" w:line="239"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upon consummation of the transaction that resulted in the interested stockholder becoming an interested stockholder, the interested stockholder owned at least 85% of the voting stock of the corporation outstanding at the time the transaction commenced, excluding stock held by directors who are also officers of the corporation and stock held by certain employee stock plans; or</w:t>
      </w:r>
    </w:p>
    <w:p>
      <w:pPr>
        <w:spacing w:after="0" w:line="2" w:lineRule="exact"/>
        <w:rPr>
          <w:rFonts w:ascii="Arial" w:cs="Arial" w:eastAsia="Arial" w:hAnsi="Arial"/>
          <w:sz w:val="20"/>
          <w:szCs w:val="20"/>
          <w:color w:val="auto"/>
        </w:rPr>
      </w:pPr>
    </w:p>
    <w:p>
      <w:pPr>
        <w:jc w:val="both"/>
        <w:ind w:left="640" w:hanging="317"/>
        <w:spacing w:after="0" w:line="241"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on or subsequent to the date of the transaction in which such person became an interested stockholder, the business combination is approved by the board of directors of the corporation and authorized at a meeting of stockholders by the affirmative vote of the holders of at least two-thirds of the outstanding voting stock of the corporation not owned by the interested stockholder.</w:t>
      </w:r>
    </w:p>
    <w:p>
      <w:pPr>
        <w:spacing w:after="0" w:line="208"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Section 203 defines a “business combination” to generally include:</w:t>
      </w:r>
    </w:p>
    <w:p>
      <w:pPr>
        <w:spacing w:after="0" w:line="15" w:lineRule="exact"/>
        <w:rPr>
          <w:rFonts w:ascii="Arial" w:cs="Arial" w:eastAsia="Arial" w:hAnsi="Arial"/>
          <w:sz w:val="20"/>
          <w:szCs w:val="20"/>
          <w:color w:val="auto"/>
        </w:rPr>
      </w:pPr>
    </w:p>
    <w:p>
      <w:pPr>
        <w:ind w:left="640" w:hanging="317"/>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merger or consolidation involving the corporation and an interested stockholder;</w:t>
      </w:r>
    </w:p>
    <w:p>
      <w:pPr>
        <w:ind w:left="640" w:hanging="317"/>
        <w:spacing w:after="0" w:line="239"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sale, transfer, pledge or other disposition involving an interested stockholder of 10% or more of the assets of the corporation;</w:t>
      </w:r>
    </w:p>
    <w:p>
      <w:pPr>
        <w:spacing w:after="0" w:line="1" w:lineRule="exact"/>
        <w:rPr>
          <w:rFonts w:ascii="Arial" w:cs="Arial" w:eastAsia="Arial" w:hAnsi="Arial"/>
          <w:sz w:val="20"/>
          <w:szCs w:val="20"/>
          <w:color w:val="auto"/>
        </w:rPr>
      </w:pPr>
    </w:p>
    <w:p>
      <w:pPr>
        <w:ind w:left="640" w:hanging="317"/>
        <w:spacing w:after="0" w:line="239"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subject to certain exceptions, any transaction which results in the issuance or transfer by the corporation of any stock of the corporation to an interested stockholder;</w:t>
      </w:r>
    </w:p>
    <w:p>
      <w:pPr>
        <w:spacing w:after="0" w:line="1" w:lineRule="exact"/>
        <w:rPr>
          <w:rFonts w:ascii="Arial" w:cs="Arial" w:eastAsia="Arial" w:hAnsi="Arial"/>
          <w:sz w:val="20"/>
          <w:szCs w:val="20"/>
          <w:color w:val="auto"/>
        </w:rPr>
      </w:pPr>
    </w:p>
    <w:p>
      <w:pPr>
        <w:ind w:left="640" w:right="20" w:hanging="317"/>
        <w:spacing w:after="0" w:line="239"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transaction involving the corporation which has the effect of increasing the proportionate share of any class or series of stock of the corporation beneficially owned by the interested stockholder; or</w:t>
      </w:r>
    </w:p>
    <w:p>
      <w:pPr>
        <w:spacing w:after="0" w:line="1" w:lineRule="exact"/>
        <w:rPr>
          <w:rFonts w:ascii="Arial" w:cs="Arial" w:eastAsia="Arial" w:hAnsi="Arial"/>
          <w:sz w:val="20"/>
          <w:szCs w:val="20"/>
          <w:color w:val="auto"/>
        </w:rPr>
      </w:pPr>
    </w:p>
    <w:p>
      <w:pPr>
        <w:ind w:left="640" w:hanging="317"/>
        <w:spacing w:after="0" w:line="244" w:lineRule="auto"/>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receipt by an interested stockholder of any loans, guarantees, pledges or other financial benefits provided by or through the corporation.</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Section 203 generally defines an “interested stockholder” as any entity or person beneficially owning 15% or more of the outstanding voting stock of the corporation and any entity or person affiliated with or controlling or controlled by such entity or person.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Our Common Stock is traded on the Nasdaq Global Select Market under the trading symbol “MNST”.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81"/>
        </w:trPr>
        <w:tc>
          <w:tcPr>
            <w:tcW w:w="11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ind w:left="380"/>
              <w:spacing w:after="0"/>
              <w:rPr>
                <w:sz w:val="20"/>
                <w:szCs w:val="20"/>
                <w:color w:val="auto"/>
              </w:rPr>
            </w:pPr>
            <w:r>
              <w:rPr>
                <w:rFonts w:ascii="Arial" w:cs="Arial" w:eastAsia="Arial" w:hAnsi="Arial"/>
                <w:sz w:val="22"/>
                <w:szCs w:val="22"/>
                <w:b w:val="1"/>
                <w:bCs w:val="1"/>
                <w:color w:val="auto"/>
                <w:w w:val="98"/>
              </w:rPr>
              <w:t>EXHIBIT 21</w:t>
            </w:r>
          </w:p>
        </w:tc>
      </w:tr>
      <w:tr>
        <w:trPr>
          <w:trHeight w:val="449"/>
        </w:trPr>
        <w:tc>
          <w:tcPr>
            <w:tcW w:w="1180" w:type="dxa"/>
            <w:vAlign w:val="bottom"/>
          </w:tcPr>
          <w:p>
            <w:pPr>
              <w:spacing w:after="0"/>
              <w:rPr>
                <w:sz w:val="24"/>
                <w:szCs w:val="24"/>
                <w:color w:val="auto"/>
              </w:rPr>
            </w:pPr>
          </w:p>
        </w:tc>
        <w:tc>
          <w:tcPr>
            <w:tcW w:w="6220" w:type="dxa"/>
            <w:vAlign w:val="bottom"/>
          </w:tcPr>
          <w:p>
            <w:pPr>
              <w:jc w:val="center"/>
              <w:ind w:left="1392"/>
              <w:spacing w:after="0"/>
              <w:rPr>
                <w:sz w:val="20"/>
                <w:szCs w:val="20"/>
                <w:color w:val="auto"/>
              </w:rPr>
            </w:pPr>
            <w:r>
              <w:rPr>
                <w:rFonts w:ascii="Arial" w:cs="Arial" w:eastAsia="Arial" w:hAnsi="Arial"/>
                <w:sz w:val="22"/>
                <w:szCs w:val="22"/>
                <w:b w:val="1"/>
                <w:bCs w:val="1"/>
                <w:color w:val="auto"/>
                <w:w w:val="97"/>
              </w:rPr>
              <w:t>SUBSIDIARIES</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1180" w:type="dxa"/>
            <w:vAlign w:val="bottom"/>
          </w:tcPr>
          <w:p>
            <w:pPr>
              <w:spacing w:after="0"/>
              <w:rPr>
                <w:sz w:val="21"/>
                <w:szCs w:val="21"/>
                <w:color w:val="auto"/>
              </w:rPr>
            </w:pPr>
          </w:p>
        </w:tc>
        <w:tc>
          <w:tcPr>
            <w:tcW w:w="6220" w:type="dxa"/>
            <w:vAlign w:val="bottom"/>
          </w:tcPr>
          <w:p>
            <w:pPr>
              <w:jc w:val="center"/>
              <w:ind w:left="1372"/>
              <w:spacing w:after="0" w:line="243" w:lineRule="exact"/>
              <w:rPr>
                <w:sz w:val="20"/>
                <w:szCs w:val="20"/>
                <w:color w:val="auto"/>
              </w:rPr>
            </w:pPr>
            <w:r>
              <w:rPr>
                <w:rFonts w:ascii="Arial" w:cs="Arial" w:eastAsia="Arial" w:hAnsi="Arial"/>
                <w:sz w:val="22"/>
                <w:szCs w:val="22"/>
                <w:b w:val="1"/>
                <w:bCs w:val="1"/>
                <w:color w:val="auto"/>
                <w:w w:val="98"/>
              </w:rPr>
              <w:t>OF</w:t>
            </w:r>
          </w:p>
        </w:tc>
        <w:tc>
          <w:tcPr>
            <w:tcW w:w="1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1"/>
        </w:trPr>
        <w:tc>
          <w:tcPr>
            <w:tcW w:w="1180" w:type="dxa"/>
            <w:vAlign w:val="bottom"/>
          </w:tcPr>
          <w:p>
            <w:pPr>
              <w:spacing w:after="0"/>
              <w:rPr>
                <w:sz w:val="24"/>
                <w:szCs w:val="24"/>
                <w:color w:val="auto"/>
              </w:rPr>
            </w:pPr>
          </w:p>
        </w:tc>
        <w:tc>
          <w:tcPr>
            <w:tcW w:w="6220" w:type="dxa"/>
            <w:vAlign w:val="bottom"/>
          </w:tcPr>
          <w:p>
            <w:pPr>
              <w:jc w:val="center"/>
              <w:ind w:left="1392"/>
              <w:spacing w:after="0"/>
              <w:rPr>
                <w:sz w:val="20"/>
                <w:szCs w:val="20"/>
                <w:color w:val="auto"/>
              </w:rPr>
            </w:pPr>
            <w:r>
              <w:rPr>
                <w:rFonts w:ascii="Arial" w:cs="Arial" w:eastAsia="Arial" w:hAnsi="Arial"/>
                <w:sz w:val="22"/>
                <w:szCs w:val="22"/>
                <w:b w:val="1"/>
                <w:bCs w:val="1"/>
                <w:color w:val="auto"/>
                <w:w w:val="98"/>
              </w:rPr>
              <w:t>MONSTER BEVERAGE CORPORATION</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63"/>
        </w:trPr>
        <w:tc>
          <w:tcPr>
            <w:tcW w:w="1180" w:type="dxa"/>
            <w:vAlign w:val="bottom"/>
          </w:tcPr>
          <w:p>
            <w:pPr>
              <w:spacing w:after="0"/>
              <w:rPr>
                <w:sz w:val="20"/>
                <w:szCs w:val="20"/>
                <w:color w:val="auto"/>
              </w:rPr>
            </w:pPr>
            <w:r>
              <w:rPr>
                <w:rFonts w:ascii="Arial" w:cs="Arial" w:eastAsia="Arial" w:hAnsi="Arial"/>
                <w:sz w:val="22"/>
                <w:szCs w:val="22"/>
                <w:b w:val="1"/>
                <w:bCs w:val="1"/>
                <w:color w:val="auto"/>
                <w:w w:val="91"/>
              </w:rPr>
              <w:t>Entity Name</w:t>
            </w:r>
          </w:p>
        </w:tc>
        <w:tc>
          <w:tcPr>
            <w:tcW w:w="622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22"/>
                <w:szCs w:val="22"/>
                <w:b w:val="1"/>
                <w:bCs w:val="1"/>
                <w:color w:val="auto"/>
              </w:rPr>
              <w:t>Jurisdiction</w:t>
            </w:r>
          </w:p>
        </w:tc>
      </w:tr>
      <w:tr>
        <w:trPr>
          <w:trHeight w:val="20"/>
        </w:trPr>
        <w:tc>
          <w:tcPr>
            <w:tcW w:w="11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6"/>
        </w:trPr>
        <w:tc>
          <w:tcPr>
            <w:tcW w:w="7400" w:type="dxa"/>
            <w:vAlign w:val="bottom"/>
            <w:gridSpan w:val="2"/>
          </w:tcPr>
          <w:p>
            <w:pPr>
              <w:spacing w:after="0"/>
              <w:rPr>
                <w:sz w:val="20"/>
                <w:szCs w:val="20"/>
                <w:color w:val="auto"/>
              </w:rPr>
            </w:pPr>
            <w:r>
              <w:rPr>
                <w:rFonts w:ascii="Arial" w:cs="Arial" w:eastAsia="Arial" w:hAnsi="Arial"/>
                <w:sz w:val="22"/>
                <w:szCs w:val="22"/>
                <w:color w:val="auto"/>
              </w:rPr>
              <w:t>75-6099 Kuakini Highway,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Hawaii</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American Fruits and Flavors Ireland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Ireland</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American Fruits and Flavors San Fernando,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American Fruits and Flavors,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Energy Beverages Australia Pty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Australia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Energy Beverages Europe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Ireland</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Energy Beverages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Energy Beverages Rus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Russia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Energy Beverages UK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United Kingdom</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Fastest,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Full Throttle Energy Company</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 Management Services, S. de R.L. de C.V.</w:t>
            </w:r>
          </w:p>
        </w:tc>
        <w:tc>
          <w:tcPr>
            <w:tcW w:w="2660" w:type="dxa"/>
            <w:vAlign w:val="bottom"/>
            <w:gridSpan w:val="2"/>
          </w:tcPr>
          <w:p>
            <w:pPr>
              <w:spacing w:after="0"/>
              <w:rPr>
                <w:sz w:val="20"/>
                <w:szCs w:val="20"/>
                <w:color w:val="auto"/>
              </w:rPr>
            </w:pPr>
            <w:r>
              <w:rPr>
                <w:rFonts w:ascii="Arial" w:cs="Arial" w:eastAsia="Arial" w:hAnsi="Arial"/>
                <w:sz w:val="22"/>
                <w:szCs w:val="22"/>
                <w:color w:val="auto"/>
              </w:rPr>
              <w:t>Mexico</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 Corona Summit II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 Corona Summit III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 Corona Summit IV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 Corona Summit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 Kona I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MECEB Productions II,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MECEB Productions,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2535 Anselmo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Beverage Company [Connecticut]</w:t>
            </w:r>
          </w:p>
        </w:tc>
        <w:tc>
          <w:tcPr>
            <w:tcW w:w="2660" w:type="dxa"/>
            <w:vAlign w:val="bottom"/>
            <w:gridSpan w:val="2"/>
          </w:tcPr>
          <w:p>
            <w:pPr>
              <w:spacing w:after="0"/>
              <w:rPr>
                <w:sz w:val="20"/>
                <w:szCs w:val="20"/>
                <w:color w:val="auto"/>
              </w:rPr>
            </w:pPr>
            <w:r>
              <w:rPr>
                <w:rFonts w:ascii="Arial" w:cs="Arial" w:eastAsia="Arial" w:hAnsi="Arial"/>
                <w:sz w:val="22"/>
                <w:szCs w:val="22"/>
                <w:color w:val="auto"/>
              </w:rPr>
              <w:t>Connecticut</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Beverage Company Peru S.R.L.</w:t>
            </w:r>
          </w:p>
        </w:tc>
        <w:tc>
          <w:tcPr>
            <w:tcW w:w="2660" w:type="dxa"/>
            <w:vAlign w:val="bottom"/>
            <w:gridSpan w:val="2"/>
          </w:tcPr>
          <w:p>
            <w:pPr>
              <w:spacing w:after="0"/>
              <w:rPr>
                <w:sz w:val="20"/>
                <w:szCs w:val="20"/>
                <w:color w:val="auto"/>
              </w:rPr>
            </w:pPr>
            <w:r>
              <w:rPr>
                <w:rFonts w:ascii="Arial" w:cs="Arial" w:eastAsia="Arial" w:hAnsi="Arial"/>
                <w:sz w:val="22"/>
                <w:szCs w:val="22"/>
                <w:color w:val="auto"/>
              </w:rPr>
              <w:t>Peru</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Argentina S.A.</w:t>
            </w:r>
          </w:p>
        </w:tc>
        <w:tc>
          <w:tcPr>
            <w:tcW w:w="2660" w:type="dxa"/>
            <w:vAlign w:val="bottom"/>
            <w:gridSpan w:val="2"/>
          </w:tcPr>
          <w:p>
            <w:pPr>
              <w:spacing w:after="0"/>
              <w:rPr>
                <w:sz w:val="20"/>
                <w:szCs w:val="20"/>
                <w:color w:val="auto"/>
              </w:rPr>
            </w:pPr>
            <w:r>
              <w:rPr>
                <w:rFonts w:ascii="Arial" w:cs="Arial" w:eastAsia="Arial" w:hAnsi="Arial"/>
                <w:sz w:val="22"/>
                <w:szCs w:val="22"/>
                <w:color w:val="auto"/>
              </w:rPr>
              <w:t>Argentina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AU Pty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Australia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Austria GmbH</w:t>
            </w:r>
          </w:p>
        </w:tc>
        <w:tc>
          <w:tcPr>
            <w:tcW w:w="2660" w:type="dxa"/>
            <w:vAlign w:val="bottom"/>
            <w:gridSpan w:val="2"/>
          </w:tcPr>
          <w:p>
            <w:pPr>
              <w:spacing w:after="0"/>
              <w:rPr>
                <w:sz w:val="20"/>
                <w:szCs w:val="20"/>
                <w:color w:val="auto"/>
              </w:rPr>
            </w:pPr>
            <w:r>
              <w:rPr>
                <w:rFonts w:ascii="Arial" w:cs="Arial" w:eastAsia="Arial" w:hAnsi="Arial"/>
                <w:sz w:val="22"/>
                <w:szCs w:val="22"/>
                <w:color w:val="auto"/>
              </w:rPr>
              <w:t>Austria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Bebidas Ecuador Cia. Ltda.</w:t>
            </w:r>
          </w:p>
        </w:tc>
        <w:tc>
          <w:tcPr>
            <w:tcW w:w="2660" w:type="dxa"/>
            <w:vAlign w:val="bottom"/>
            <w:gridSpan w:val="2"/>
          </w:tcPr>
          <w:p>
            <w:pPr>
              <w:spacing w:after="0"/>
              <w:rPr>
                <w:sz w:val="20"/>
                <w:szCs w:val="20"/>
                <w:color w:val="auto"/>
              </w:rPr>
            </w:pPr>
            <w:r>
              <w:rPr>
                <w:rFonts w:ascii="Arial" w:cs="Arial" w:eastAsia="Arial" w:hAnsi="Arial"/>
                <w:sz w:val="22"/>
                <w:szCs w:val="22"/>
                <w:color w:val="auto"/>
              </w:rPr>
              <w:t>Ecuador</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Beverage (Shanghai) Co.,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China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Beverage Company of South Africa (Proprietary)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South Africa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Brasil Comercio de Bebidas Ltda.</w:t>
            </w:r>
          </w:p>
        </w:tc>
        <w:tc>
          <w:tcPr>
            <w:tcW w:w="2660" w:type="dxa"/>
            <w:vAlign w:val="bottom"/>
            <w:gridSpan w:val="2"/>
          </w:tcPr>
          <w:p>
            <w:pPr>
              <w:spacing w:after="0"/>
              <w:rPr>
                <w:sz w:val="20"/>
                <w:szCs w:val="20"/>
                <w:color w:val="auto"/>
              </w:rPr>
            </w:pPr>
            <w:r>
              <w:rPr>
                <w:rFonts w:ascii="Arial" w:cs="Arial" w:eastAsia="Arial" w:hAnsi="Arial"/>
                <w:sz w:val="22"/>
                <w:szCs w:val="22"/>
                <w:color w:val="auto"/>
              </w:rPr>
              <w:t>Brazil</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Canada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Canada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Colombia SAS</w:t>
            </w:r>
          </w:p>
        </w:tc>
        <w:tc>
          <w:tcPr>
            <w:tcW w:w="2660" w:type="dxa"/>
            <w:vAlign w:val="bottom"/>
            <w:gridSpan w:val="2"/>
          </w:tcPr>
          <w:p>
            <w:pPr>
              <w:spacing w:after="0"/>
              <w:rPr>
                <w:sz w:val="20"/>
                <w:szCs w:val="20"/>
                <w:color w:val="auto"/>
              </w:rPr>
            </w:pPr>
            <w:r>
              <w:rPr>
                <w:rFonts w:ascii="Arial" w:cs="Arial" w:eastAsia="Arial" w:hAnsi="Arial"/>
                <w:sz w:val="22"/>
                <w:szCs w:val="22"/>
                <w:color w:val="auto"/>
              </w:rPr>
              <w:t>Colombia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Company</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Company (Swaziland) (Proprietary) Limited</w:t>
            </w:r>
          </w:p>
        </w:tc>
        <w:tc>
          <w:tcPr>
            <w:tcW w:w="2660" w:type="dxa"/>
            <w:vAlign w:val="bottom"/>
            <w:gridSpan w:val="2"/>
          </w:tcPr>
          <w:p>
            <w:pPr>
              <w:spacing w:after="0"/>
              <w:rPr>
                <w:sz w:val="20"/>
                <w:szCs w:val="20"/>
                <w:color w:val="auto"/>
              </w:rPr>
            </w:pPr>
            <w:r>
              <w:rPr>
                <w:rFonts w:ascii="Arial" w:cs="Arial" w:eastAsia="Arial" w:hAnsi="Arial"/>
                <w:sz w:val="22"/>
                <w:szCs w:val="22"/>
                <w:color w:val="auto"/>
                <w:w w:val="94"/>
              </w:rPr>
              <w:t>Eswatini, formerly Swaziland</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Company (Taiwan)</w:t>
            </w:r>
          </w:p>
        </w:tc>
        <w:tc>
          <w:tcPr>
            <w:tcW w:w="2660" w:type="dxa"/>
            <w:vAlign w:val="bottom"/>
            <w:gridSpan w:val="2"/>
          </w:tcPr>
          <w:p>
            <w:pPr>
              <w:spacing w:after="0"/>
              <w:rPr>
                <w:sz w:val="20"/>
                <w:szCs w:val="20"/>
                <w:color w:val="auto"/>
              </w:rPr>
            </w:pPr>
            <w:r>
              <w:rPr>
                <w:rFonts w:ascii="Arial" w:cs="Arial" w:eastAsia="Arial" w:hAnsi="Arial"/>
                <w:sz w:val="22"/>
                <w:szCs w:val="22"/>
                <w:color w:val="auto"/>
              </w:rPr>
              <w:t>Taiwan</w:t>
            </w:r>
          </w:p>
        </w:tc>
      </w:tr>
      <w:tr>
        <w:trPr>
          <w:trHeight w:val="275"/>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Company -Chile- Limitada</w:t>
            </w:r>
          </w:p>
        </w:tc>
        <w:tc>
          <w:tcPr>
            <w:tcW w:w="2660" w:type="dxa"/>
            <w:vAlign w:val="bottom"/>
            <w:gridSpan w:val="2"/>
          </w:tcPr>
          <w:p>
            <w:pPr>
              <w:spacing w:after="0"/>
              <w:rPr>
                <w:sz w:val="20"/>
                <w:szCs w:val="20"/>
                <w:color w:val="auto"/>
              </w:rPr>
            </w:pPr>
            <w:r>
              <w:rPr>
                <w:rFonts w:ascii="Arial" w:cs="Arial" w:eastAsia="Arial" w:hAnsi="Arial"/>
                <w:sz w:val="22"/>
                <w:szCs w:val="22"/>
                <w:color w:val="auto"/>
              </w:rPr>
              <w:t>Chile</w:t>
            </w:r>
          </w:p>
        </w:tc>
      </w:tr>
      <w:tr>
        <w:trPr>
          <w:trHeight w:val="891"/>
        </w:trPr>
        <w:tc>
          <w:tcPr>
            <w:tcW w:w="7400" w:type="dxa"/>
            <w:vAlign w:val="bottom"/>
            <w:gridSpan w:val="2"/>
          </w:tcPr>
          <w:p>
            <w:pPr>
              <w:jc w:val="center"/>
              <w:ind w:left="2552"/>
              <w:spacing w:after="0"/>
              <w:rPr>
                <w:sz w:val="20"/>
                <w:szCs w:val="20"/>
                <w:color w:val="auto"/>
              </w:rPr>
            </w:pPr>
            <w:r>
              <w:rPr>
                <w:rFonts w:ascii="Arial" w:cs="Arial" w:eastAsia="Arial" w:hAnsi="Arial"/>
                <w:sz w:val="22"/>
                <w:szCs w:val="22"/>
                <w:color w:val="auto"/>
                <w:w w:val="81"/>
              </w:rPr>
              <w:t>1</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51"/>
        </w:trPr>
        <w:tc>
          <w:tcPr>
            <w:tcW w:w="11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2" w:right="91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spacing w:after="0"/>
              <w:rPr>
                <w:sz w:val="20"/>
                <w:szCs w:val="20"/>
                <w:color w:val="auto"/>
              </w:rPr>
            </w:pPr>
            <w:r>
              <w:rPr>
                <w:rFonts w:ascii="Arial" w:cs="Arial" w:eastAsia="Arial" w:hAnsi="Arial"/>
                <w:sz w:val="22"/>
                <w:szCs w:val="22"/>
                <w:b w:val="1"/>
                <w:bCs w:val="1"/>
                <w:color w:val="auto"/>
                <w:w w:val="91"/>
              </w:rPr>
              <w:t>Entity Name</w:t>
            </w:r>
          </w:p>
        </w:tc>
        <w:tc>
          <w:tcPr>
            <w:tcW w:w="6220" w:type="dxa"/>
            <w:vAlign w:val="bottom"/>
          </w:tcPr>
          <w:p>
            <w:pPr>
              <w:spacing w:after="0"/>
              <w:rPr>
                <w:sz w:val="21"/>
                <w:szCs w:val="21"/>
                <w:color w:val="auto"/>
              </w:rPr>
            </w:pPr>
          </w:p>
        </w:tc>
        <w:tc>
          <w:tcPr>
            <w:tcW w:w="2660" w:type="dxa"/>
            <w:vAlign w:val="bottom"/>
            <w:gridSpan w:val="2"/>
          </w:tcPr>
          <w:p>
            <w:pPr>
              <w:spacing w:after="0"/>
              <w:rPr>
                <w:sz w:val="20"/>
                <w:szCs w:val="20"/>
                <w:color w:val="auto"/>
              </w:rPr>
            </w:pPr>
            <w:r>
              <w:rPr>
                <w:rFonts w:ascii="Arial" w:cs="Arial" w:eastAsia="Arial" w:hAnsi="Arial"/>
                <w:sz w:val="22"/>
                <w:szCs w:val="22"/>
                <w:b w:val="1"/>
                <w:bCs w:val="1"/>
                <w:color w:val="auto"/>
              </w:rPr>
              <w:t>Jurisdiction</w:t>
            </w:r>
          </w:p>
        </w:tc>
      </w:tr>
      <w:tr>
        <w:trPr>
          <w:trHeight w:val="20"/>
        </w:trPr>
        <w:tc>
          <w:tcPr>
            <w:tcW w:w="118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96"/>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Costa Rica, Limitada</w:t>
            </w:r>
          </w:p>
        </w:tc>
        <w:tc>
          <w:tcPr>
            <w:tcW w:w="2660" w:type="dxa"/>
            <w:vAlign w:val="bottom"/>
            <w:gridSpan w:val="2"/>
          </w:tcPr>
          <w:p>
            <w:pPr>
              <w:spacing w:after="0"/>
              <w:rPr>
                <w:sz w:val="20"/>
                <w:szCs w:val="20"/>
                <w:color w:val="auto"/>
              </w:rPr>
            </w:pPr>
            <w:r>
              <w:rPr>
                <w:rFonts w:ascii="Arial" w:cs="Arial" w:eastAsia="Arial" w:hAnsi="Arial"/>
                <w:sz w:val="22"/>
                <w:szCs w:val="22"/>
                <w:color w:val="auto"/>
              </w:rPr>
              <w:t>Costa Rica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Dominican Republic, S.R.L.</w:t>
            </w:r>
          </w:p>
        </w:tc>
        <w:tc>
          <w:tcPr>
            <w:tcW w:w="2660" w:type="dxa"/>
            <w:vAlign w:val="bottom"/>
            <w:gridSpan w:val="2"/>
          </w:tcPr>
          <w:p>
            <w:pPr>
              <w:spacing w:after="0"/>
              <w:rPr>
                <w:sz w:val="20"/>
                <w:szCs w:val="20"/>
                <w:color w:val="auto"/>
              </w:rPr>
            </w:pPr>
            <w:r>
              <w:rPr>
                <w:rFonts w:ascii="Arial" w:cs="Arial" w:eastAsia="Arial" w:hAnsi="Arial"/>
                <w:sz w:val="22"/>
                <w:szCs w:val="22"/>
                <w:color w:val="auto"/>
              </w:rPr>
              <w:t>Dominican Republic</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Egypt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Egypt</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Europe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United Kingdom</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France S.A.S.</w:t>
            </w:r>
          </w:p>
        </w:tc>
        <w:tc>
          <w:tcPr>
            <w:tcW w:w="2660" w:type="dxa"/>
            <w:vAlign w:val="bottom"/>
            <w:gridSpan w:val="2"/>
          </w:tcPr>
          <w:p>
            <w:pPr>
              <w:spacing w:after="0"/>
              <w:rPr>
                <w:sz w:val="20"/>
                <w:szCs w:val="20"/>
                <w:color w:val="auto"/>
              </w:rPr>
            </w:pPr>
            <w:r>
              <w:rPr>
                <w:rFonts w:ascii="Arial" w:cs="Arial" w:eastAsia="Arial" w:hAnsi="Arial"/>
                <w:sz w:val="22"/>
                <w:szCs w:val="22"/>
                <w:color w:val="auto"/>
              </w:rPr>
              <w:t>France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Hong Kong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Hong Kong</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India Private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India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International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Ireland</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Israel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Israel</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Japan Godo Kaisha</w:t>
            </w:r>
          </w:p>
        </w:tc>
        <w:tc>
          <w:tcPr>
            <w:tcW w:w="2660" w:type="dxa"/>
            <w:vAlign w:val="bottom"/>
            <w:gridSpan w:val="2"/>
          </w:tcPr>
          <w:p>
            <w:pPr>
              <w:spacing w:after="0"/>
              <w:rPr>
                <w:sz w:val="20"/>
                <w:szCs w:val="20"/>
                <w:color w:val="auto"/>
              </w:rPr>
            </w:pPr>
            <w:r>
              <w:rPr>
                <w:rFonts w:ascii="Arial" w:cs="Arial" w:eastAsia="Arial" w:hAnsi="Arial"/>
                <w:sz w:val="22"/>
                <w:szCs w:val="22"/>
                <w:color w:val="auto"/>
              </w:rPr>
              <w:t>Japan</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Kazakhstan Limited Liability Partnership</w:t>
            </w:r>
          </w:p>
        </w:tc>
        <w:tc>
          <w:tcPr>
            <w:tcW w:w="2660" w:type="dxa"/>
            <w:vAlign w:val="bottom"/>
            <w:gridSpan w:val="2"/>
          </w:tcPr>
          <w:p>
            <w:pPr>
              <w:spacing w:after="0"/>
              <w:rPr>
                <w:sz w:val="20"/>
                <w:szCs w:val="20"/>
                <w:color w:val="auto"/>
              </w:rPr>
            </w:pPr>
            <w:r>
              <w:rPr>
                <w:rFonts w:ascii="Arial" w:cs="Arial" w:eastAsia="Arial" w:hAnsi="Arial"/>
                <w:sz w:val="22"/>
                <w:szCs w:val="22"/>
                <w:color w:val="auto"/>
              </w:rPr>
              <w:t>Kazakhstan</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Korea,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Republic of Korea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Ireland</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México, S. de R.L. de C.V.</w:t>
            </w:r>
          </w:p>
        </w:tc>
        <w:tc>
          <w:tcPr>
            <w:tcW w:w="2660" w:type="dxa"/>
            <w:vAlign w:val="bottom"/>
            <w:gridSpan w:val="2"/>
          </w:tcPr>
          <w:p>
            <w:pPr>
              <w:spacing w:after="0"/>
              <w:rPr>
                <w:sz w:val="20"/>
                <w:szCs w:val="20"/>
                <w:color w:val="auto"/>
              </w:rPr>
            </w:pPr>
            <w:r>
              <w:rPr>
                <w:rFonts w:ascii="Arial" w:cs="Arial" w:eastAsia="Arial" w:hAnsi="Arial"/>
                <w:sz w:val="22"/>
                <w:szCs w:val="22"/>
                <w:color w:val="auto"/>
              </w:rPr>
              <w:t>Mexico</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Nigeria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Nigeria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Pakistan (Private)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Pakistan</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PRC Holdings (HK)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Hong Kong</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Rus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Russia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SER doo Beograd-Vracar</w:t>
            </w:r>
          </w:p>
        </w:tc>
        <w:tc>
          <w:tcPr>
            <w:tcW w:w="2660" w:type="dxa"/>
            <w:vAlign w:val="bottom"/>
            <w:gridSpan w:val="2"/>
          </w:tcPr>
          <w:p>
            <w:pPr>
              <w:spacing w:after="0"/>
              <w:rPr>
                <w:sz w:val="20"/>
                <w:szCs w:val="20"/>
                <w:color w:val="auto"/>
              </w:rPr>
            </w:pPr>
            <w:r>
              <w:rPr>
                <w:rFonts w:ascii="Arial" w:cs="Arial" w:eastAsia="Arial" w:hAnsi="Arial"/>
                <w:sz w:val="22"/>
                <w:szCs w:val="22"/>
                <w:color w:val="auto"/>
              </w:rPr>
              <w:t>Serbia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Singapore Pte.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Singapore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Southeast Asia Sdn. Bhd.</w:t>
            </w:r>
          </w:p>
        </w:tc>
        <w:tc>
          <w:tcPr>
            <w:tcW w:w="2660" w:type="dxa"/>
            <w:vAlign w:val="bottom"/>
            <w:gridSpan w:val="2"/>
          </w:tcPr>
          <w:p>
            <w:pPr>
              <w:spacing w:after="0"/>
              <w:rPr>
                <w:sz w:val="20"/>
                <w:szCs w:val="20"/>
                <w:color w:val="auto"/>
              </w:rPr>
            </w:pPr>
            <w:r>
              <w:rPr>
                <w:rFonts w:ascii="Arial" w:cs="Arial" w:eastAsia="Arial" w:hAnsi="Arial"/>
                <w:sz w:val="22"/>
                <w:szCs w:val="22"/>
                <w:color w:val="auto"/>
              </w:rPr>
              <w:t>Malaysia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Switzerland Holding GmbH</w:t>
            </w:r>
          </w:p>
        </w:tc>
        <w:tc>
          <w:tcPr>
            <w:tcW w:w="2660" w:type="dxa"/>
            <w:vAlign w:val="bottom"/>
            <w:gridSpan w:val="2"/>
          </w:tcPr>
          <w:p>
            <w:pPr>
              <w:spacing w:after="0"/>
              <w:rPr>
                <w:sz w:val="20"/>
                <w:szCs w:val="20"/>
                <w:color w:val="auto"/>
              </w:rPr>
            </w:pPr>
            <w:r>
              <w:rPr>
                <w:rFonts w:ascii="Arial" w:cs="Arial" w:eastAsia="Arial" w:hAnsi="Arial"/>
                <w:sz w:val="22"/>
                <w:szCs w:val="22"/>
                <w:color w:val="auto"/>
              </w:rPr>
              <w:t>Switzerland</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Trading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United Arab Emirates</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Trinidad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Trinidad and Tobago</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UK Limited</w:t>
            </w:r>
          </w:p>
        </w:tc>
        <w:tc>
          <w:tcPr>
            <w:tcW w:w="2660" w:type="dxa"/>
            <w:vAlign w:val="bottom"/>
            <w:gridSpan w:val="2"/>
          </w:tcPr>
          <w:p>
            <w:pPr>
              <w:spacing w:after="0"/>
              <w:rPr>
                <w:sz w:val="20"/>
                <w:szCs w:val="20"/>
                <w:color w:val="auto"/>
              </w:rPr>
            </w:pPr>
            <w:r>
              <w:rPr>
                <w:rFonts w:ascii="Arial" w:cs="Arial" w:eastAsia="Arial" w:hAnsi="Arial"/>
                <w:sz w:val="22"/>
                <w:szCs w:val="22"/>
                <w:color w:val="auto"/>
              </w:rPr>
              <w:t>United Kingdom</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Ukraine Limited Liability Company</w:t>
            </w:r>
          </w:p>
        </w:tc>
        <w:tc>
          <w:tcPr>
            <w:tcW w:w="2660" w:type="dxa"/>
            <w:vAlign w:val="bottom"/>
            <w:gridSpan w:val="2"/>
          </w:tcPr>
          <w:p>
            <w:pPr>
              <w:spacing w:after="0"/>
              <w:rPr>
                <w:sz w:val="20"/>
                <w:szCs w:val="20"/>
                <w:color w:val="auto"/>
              </w:rPr>
            </w:pPr>
            <w:r>
              <w:rPr>
                <w:rFonts w:ascii="Arial" w:cs="Arial" w:eastAsia="Arial" w:hAnsi="Arial"/>
                <w:sz w:val="22"/>
                <w:szCs w:val="22"/>
                <w:color w:val="auto"/>
              </w:rPr>
              <w:t>Ukraine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US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Energy Vietnam Company Ltd.</w:t>
            </w:r>
          </w:p>
        </w:tc>
        <w:tc>
          <w:tcPr>
            <w:tcW w:w="2660" w:type="dxa"/>
            <w:vAlign w:val="bottom"/>
            <w:gridSpan w:val="2"/>
          </w:tcPr>
          <w:p>
            <w:pPr>
              <w:spacing w:after="0"/>
              <w:rPr>
                <w:sz w:val="20"/>
                <w:szCs w:val="20"/>
                <w:color w:val="auto"/>
              </w:rPr>
            </w:pPr>
            <w:r>
              <w:rPr>
                <w:rFonts w:ascii="Arial" w:cs="Arial" w:eastAsia="Arial" w:hAnsi="Arial"/>
                <w:sz w:val="22"/>
                <w:szCs w:val="22"/>
                <w:color w:val="auto"/>
              </w:rPr>
              <w:t>Viet Nam</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İçecek Ticaret Limited Şirketi</w:t>
            </w:r>
          </w:p>
        </w:tc>
        <w:tc>
          <w:tcPr>
            <w:tcW w:w="2660" w:type="dxa"/>
            <w:vAlign w:val="bottom"/>
            <w:gridSpan w:val="2"/>
          </w:tcPr>
          <w:p>
            <w:pPr>
              <w:spacing w:after="0"/>
              <w:rPr>
                <w:sz w:val="20"/>
                <w:szCs w:val="20"/>
                <w:color w:val="auto"/>
              </w:rPr>
            </w:pPr>
            <w:r>
              <w:rPr>
                <w:rFonts w:ascii="Arial" w:cs="Arial" w:eastAsia="Arial" w:hAnsi="Arial"/>
                <w:sz w:val="22"/>
                <w:szCs w:val="22"/>
                <w:color w:val="auto"/>
              </w:rPr>
              <w:t>Turkey</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Monster LDA Company</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NOS Energy Company</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Reign Beverage Company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270"/>
        </w:trPr>
        <w:tc>
          <w:tcPr>
            <w:tcW w:w="7400" w:type="dxa"/>
            <w:vAlign w:val="bottom"/>
            <w:gridSpan w:val="2"/>
          </w:tcPr>
          <w:p>
            <w:pPr>
              <w:spacing w:after="0"/>
              <w:rPr>
                <w:sz w:val="20"/>
                <w:szCs w:val="20"/>
                <w:color w:val="auto"/>
              </w:rPr>
            </w:pPr>
            <w:r>
              <w:rPr>
                <w:rFonts w:ascii="Arial" w:cs="Arial" w:eastAsia="Arial" w:hAnsi="Arial"/>
                <w:sz w:val="22"/>
                <w:szCs w:val="22"/>
                <w:color w:val="auto"/>
              </w:rPr>
              <w:t>Rialto Renaissance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California</w:t>
            </w:r>
          </w:p>
        </w:tc>
      </w:tr>
      <w:tr>
        <w:trPr>
          <w:trHeight w:val="275"/>
        </w:trPr>
        <w:tc>
          <w:tcPr>
            <w:tcW w:w="7400" w:type="dxa"/>
            <w:vAlign w:val="bottom"/>
            <w:gridSpan w:val="2"/>
          </w:tcPr>
          <w:p>
            <w:pPr>
              <w:spacing w:after="0"/>
              <w:rPr>
                <w:sz w:val="20"/>
                <w:szCs w:val="20"/>
                <w:color w:val="auto"/>
              </w:rPr>
            </w:pPr>
            <w:r>
              <w:rPr>
                <w:rFonts w:ascii="Arial" w:cs="Arial" w:eastAsia="Arial" w:hAnsi="Arial"/>
                <w:sz w:val="22"/>
                <w:szCs w:val="22"/>
                <w:color w:val="auto"/>
              </w:rPr>
              <w:t>Rule Beverage Company LLC</w:t>
            </w:r>
          </w:p>
        </w:tc>
        <w:tc>
          <w:tcPr>
            <w:tcW w:w="2660" w:type="dxa"/>
            <w:vAlign w:val="bottom"/>
            <w:gridSpan w:val="2"/>
          </w:tcPr>
          <w:p>
            <w:pPr>
              <w:spacing w:after="0"/>
              <w:rPr>
                <w:sz w:val="20"/>
                <w:szCs w:val="20"/>
                <w:color w:val="auto"/>
              </w:rPr>
            </w:pPr>
            <w:r>
              <w:rPr>
                <w:rFonts w:ascii="Arial" w:cs="Arial" w:eastAsia="Arial" w:hAnsi="Arial"/>
                <w:sz w:val="22"/>
                <w:szCs w:val="22"/>
                <w:color w:val="auto"/>
              </w:rPr>
              <w:t>Delaware</w:t>
            </w:r>
          </w:p>
        </w:tc>
      </w:tr>
      <w:tr>
        <w:trPr>
          <w:trHeight w:val="891"/>
        </w:trPr>
        <w:tc>
          <w:tcPr>
            <w:tcW w:w="7400" w:type="dxa"/>
            <w:vAlign w:val="bottom"/>
            <w:gridSpan w:val="2"/>
          </w:tcPr>
          <w:p>
            <w:pPr>
              <w:ind w:left="4980"/>
              <w:spacing w:after="0"/>
              <w:rPr>
                <w:sz w:val="20"/>
                <w:szCs w:val="20"/>
                <w:color w:val="auto"/>
              </w:rPr>
            </w:pPr>
            <w:r>
              <w:rPr>
                <w:rFonts w:ascii="Arial" w:cs="Arial" w:eastAsia="Arial" w:hAnsi="Arial"/>
                <w:sz w:val="22"/>
                <w:szCs w:val="22"/>
                <w:color w:val="auto"/>
              </w:rPr>
              <w:t>2</w:t>
            </w: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51"/>
        </w:trPr>
        <w:tc>
          <w:tcPr>
            <w:tcW w:w="11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46" w:right="91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Registration Statement No. 333-218883 and No. 333-215326, Post-Effective Amendment No. 1 to Registration Statement No. 333-41333, No. 333-89123, No. 333-112482, No. 333-131467, No. 333-170713 and No. 333-174614, and Post-Effective Amendment No. 2 to Registration Statement No. 033-92526 on Form S-8 of our reports dated February 28, 2020, relating to the consolidated financial statements and financial statement schedule of Monster Beverage Corporation and subsidiaries (the “Company”), and the effectiveness of the Company’s internal control over financial reporting, appearing in this Annual Report on Form 10-K of Monster Beverage Corporation and subsidiaries for the year ended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w:t>
      </w:r>
      <w:r>
        <w:rPr>
          <w:rFonts w:ascii="Arial" w:cs="Arial" w:eastAsia="Arial" w:hAnsi="Arial"/>
          <w:sz w:val="18"/>
          <w:szCs w:val="18"/>
          <w:i w:val="1"/>
          <w:iCs w:val="1"/>
          <w:color w:val="auto"/>
        </w:rPr>
        <w:t>,</w:t>
      </w:r>
      <w:r>
        <w:rPr>
          <w:rFonts w:ascii="Arial" w:cs="Arial" w:eastAsia="Arial" w:hAnsi="Arial"/>
          <w:sz w:val="18"/>
          <w:szCs w:val="18"/>
          <w:color w:val="auto"/>
        </w:rPr>
        <w:t xml:space="preserv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24" w:name="page125"/>
    <w:bookmarkEnd w:id="124"/>
    <w:p>
      <w:pPr>
        <w:ind w:left="8821"/>
        <w:spacing w:after="0"/>
        <w:rPr>
          <w:sz w:val="20"/>
          <w:szCs w:val="20"/>
          <w:color w:val="auto"/>
        </w:rPr>
      </w:pPr>
      <w:r>
        <w:rPr>
          <w:rFonts w:ascii="Arial" w:cs="Arial" w:eastAsia="Arial" w:hAnsi="Arial"/>
          <w:sz w:val="20"/>
          <w:szCs w:val="20"/>
          <w:b w:val="1"/>
          <w:bCs w:val="1"/>
          <w:color w:val="auto"/>
        </w:rPr>
        <w:t>EXHIBIT 31.1</w:t>
      </w:r>
    </w:p>
    <w:p>
      <w:pPr>
        <w:spacing w:after="0" w:line="223" w:lineRule="exact"/>
        <w:rPr>
          <w:sz w:val="20"/>
          <w:szCs w:val="20"/>
          <w:color w:val="auto"/>
        </w:rPr>
      </w:pPr>
    </w:p>
    <w:p>
      <w:pPr>
        <w:jc w:val="center"/>
        <w:ind w:left="920" w:right="132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color w:val="auto"/>
        </w:rPr>
        <w:t>I, Rodney Sacks, certify that:</w:t>
      </w:r>
    </w:p>
    <w:p>
      <w:pPr>
        <w:spacing w:after="0" w:line="216" w:lineRule="exact"/>
        <w:rPr>
          <w:sz w:val="20"/>
          <w:szCs w:val="20"/>
          <w:color w:val="auto"/>
        </w:rPr>
      </w:pPr>
    </w:p>
    <w:p>
      <w:pPr>
        <w:ind w:left="341" w:hanging="341"/>
        <w:spacing w:after="0"/>
        <w:tabs>
          <w:tab w:leader="none" w:pos="341" w:val="left"/>
        </w:tabs>
        <w:numPr>
          <w:ilvl w:val="0"/>
          <w:numId w:val="6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21" w:hanging="321"/>
        <w:spacing w:after="0" w:line="250" w:lineRule="auto"/>
        <w:tabs>
          <w:tab w:leader="none" w:pos="343" w:val="left"/>
        </w:tabs>
        <w:numPr>
          <w:ilvl w:val="0"/>
          <w:numId w:val="6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jc w:val="both"/>
        <w:ind w:left="321" w:hanging="321"/>
        <w:spacing w:after="0" w:line="250" w:lineRule="auto"/>
        <w:tabs>
          <w:tab w:leader="none" w:pos="359" w:val="left"/>
        </w:tabs>
        <w:numPr>
          <w:ilvl w:val="0"/>
          <w:numId w:val="6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20"/>
          <w:szCs w:val="20"/>
          <w:color w:val="auto"/>
        </w:rPr>
      </w:pPr>
    </w:p>
    <w:p>
      <w:pPr>
        <w:jc w:val="both"/>
        <w:ind w:left="321" w:hanging="321"/>
        <w:spacing w:after="0" w:line="269" w:lineRule="auto"/>
        <w:tabs>
          <w:tab w:leader="none" w:pos="394"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9"/>
          <w:szCs w:val="19"/>
          <w:color w:val="auto"/>
        </w:rPr>
      </w:pPr>
    </w:p>
    <w:p>
      <w:pPr>
        <w:jc w:val="both"/>
        <w:ind w:left="1621" w:hanging="324"/>
        <w:spacing w:after="0" w:line="246" w:lineRule="auto"/>
        <w:tabs>
          <w:tab w:leader="none" w:pos="1638" w:val="left"/>
        </w:tabs>
        <w:numPr>
          <w:ilvl w:val="1"/>
          <w:numId w:val="6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1621" w:hanging="324"/>
        <w:spacing w:after="0" w:line="246" w:lineRule="auto"/>
        <w:tabs>
          <w:tab w:leader="none" w:pos="1748" w:val="left"/>
        </w:tabs>
        <w:numPr>
          <w:ilvl w:val="1"/>
          <w:numId w:val="6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1621" w:hanging="324"/>
        <w:spacing w:after="0" w:line="250" w:lineRule="auto"/>
        <w:tabs>
          <w:tab w:leader="none" w:pos="1724" w:val="left"/>
        </w:tabs>
        <w:numPr>
          <w:ilvl w:val="1"/>
          <w:numId w:val="6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1621" w:hanging="324"/>
        <w:spacing w:after="0" w:line="246" w:lineRule="auto"/>
        <w:tabs>
          <w:tab w:leader="none" w:pos="1805" w:val="left"/>
        </w:tabs>
        <w:numPr>
          <w:ilvl w:val="1"/>
          <w:numId w:val="6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21" w:hanging="321"/>
        <w:spacing w:after="0" w:line="250" w:lineRule="auto"/>
        <w:tabs>
          <w:tab w:leader="none" w:pos="404"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621" w:hanging="324"/>
        <w:spacing w:after="0" w:line="250" w:lineRule="auto"/>
        <w:tabs>
          <w:tab w:leader="none" w:pos="1719"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1621" w:hanging="324"/>
        <w:spacing w:after="0" w:line="260" w:lineRule="auto"/>
        <w:tabs>
          <w:tab w:leader="none" w:pos="1671"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1"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February 28, 2020</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r>
      <w:tr>
        <w:trPr>
          <w:trHeight w:val="206"/>
        </w:trPr>
        <w:tc>
          <w:tcPr>
            <w:tcW w:w="5040" w:type="dxa"/>
            <w:vAlign w:val="bottom"/>
          </w:tcPr>
          <w:p>
            <w:pPr>
              <w:spacing w:after="0"/>
              <w:rPr>
                <w:sz w:val="17"/>
                <w:szCs w:val="17"/>
                <w:color w:val="auto"/>
              </w:rPr>
            </w:pPr>
          </w:p>
        </w:tc>
        <w:tc>
          <w:tcPr>
            <w:tcW w:w="502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50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5040" w:type="dxa"/>
            <w:vAlign w:val="bottom"/>
          </w:tcPr>
          <w:p>
            <w:pPr>
              <w:spacing w:after="0"/>
              <w:rPr>
                <w:sz w:val="21"/>
                <w:szCs w:val="21"/>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r>
      <w:tr>
        <w:trPr>
          <w:trHeight w:val="773"/>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5" w:right="919" w:bottom="1440" w:gutter="0" w:footer="0" w:header="0"/>
        </w:sectPr>
      </w:pPr>
    </w:p>
    <w:bookmarkStart w:id="125" w:name="page126"/>
    <w:bookmarkEnd w:id="125"/>
    <w:p>
      <w:pPr>
        <w:ind w:left="8821"/>
        <w:spacing w:after="0"/>
        <w:rPr>
          <w:sz w:val="20"/>
          <w:szCs w:val="20"/>
          <w:color w:val="auto"/>
        </w:rPr>
      </w:pPr>
      <w:r>
        <w:rPr>
          <w:rFonts w:ascii="Arial" w:cs="Arial" w:eastAsia="Arial" w:hAnsi="Arial"/>
          <w:sz w:val="20"/>
          <w:szCs w:val="20"/>
          <w:b w:val="1"/>
          <w:bCs w:val="1"/>
          <w:color w:val="auto"/>
        </w:rPr>
        <w:t>EXHIBIT 31.2</w:t>
      </w:r>
    </w:p>
    <w:p>
      <w:pPr>
        <w:spacing w:after="0" w:line="223" w:lineRule="exact"/>
        <w:rPr>
          <w:sz w:val="20"/>
          <w:szCs w:val="20"/>
          <w:color w:val="auto"/>
        </w:rPr>
      </w:pPr>
    </w:p>
    <w:p>
      <w:pPr>
        <w:jc w:val="center"/>
        <w:ind w:left="920" w:right="132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20"/>
          <w:szCs w:val="20"/>
          <w:color w:val="auto"/>
        </w:rPr>
        <w:t>I, Hilton Schlosberg, certify that:</w:t>
      </w:r>
    </w:p>
    <w:p>
      <w:pPr>
        <w:spacing w:after="0" w:line="216" w:lineRule="exact"/>
        <w:rPr>
          <w:sz w:val="20"/>
          <w:szCs w:val="20"/>
          <w:color w:val="auto"/>
        </w:rPr>
      </w:pPr>
    </w:p>
    <w:p>
      <w:pPr>
        <w:ind w:left="341" w:hanging="341"/>
        <w:spacing w:after="0"/>
        <w:tabs>
          <w:tab w:leader="none" w:pos="341" w:val="left"/>
        </w:tabs>
        <w:numPr>
          <w:ilvl w:val="0"/>
          <w:numId w:val="6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21" w:hanging="321"/>
        <w:spacing w:after="0" w:line="250" w:lineRule="auto"/>
        <w:tabs>
          <w:tab w:leader="none" w:pos="343" w:val="left"/>
        </w:tabs>
        <w:numPr>
          <w:ilvl w:val="0"/>
          <w:numId w:val="6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20"/>
          <w:szCs w:val="20"/>
          <w:color w:val="auto"/>
        </w:rPr>
      </w:pPr>
    </w:p>
    <w:p>
      <w:pPr>
        <w:jc w:val="both"/>
        <w:ind w:left="321" w:hanging="321"/>
        <w:spacing w:after="0" w:line="250" w:lineRule="auto"/>
        <w:tabs>
          <w:tab w:leader="none" w:pos="359" w:val="left"/>
        </w:tabs>
        <w:numPr>
          <w:ilvl w:val="0"/>
          <w:numId w:val="6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20"/>
          <w:szCs w:val="20"/>
          <w:color w:val="auto"/>
        </w:rPr>
      </w:pPr>
    </w:p>
    <w:p>
      <w:pPr>
        <w:jc w:val="both"/>
        <w:ind w:left="321" w:hanging="321"/>
        <w:spacing w:after="0" w:line="269" w:lineRule="auto"/>
        <w:tabs>
          <w:tab w:leader="none" w:pos="39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9"/>
          <w:szCs w:val="19"/>
          <w:color w:val="auto"/>
        </w:rPr>
      </w:pPr>
    </w:p>
    <w:p>
      <w:pPr>
        <w:jc w:val="both"/>
        <w:ind w:left="1621" w:hanging="324"/>
        <w:spacing w:after="0" w:line="246" w:lineRule="auto"/>
        <w:tabs>
          <w:tab w:leader="none" w:pos="1638" w:val="left"/>
        </w:tabs>
        <w:numPr>
          <w:ilvl w:val="1"/>
          <w:numId w:val="6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1621" w:hanging="324"/>
        <w:spacing w:after="0" w:line="246" w:lineRule="auto"/>
        <w:tabs>
          <w:tab w:leader="none" w:pos="1748" w:val="left"/>
        </w:tabs>
        <w:numPr>
          <w:ilvl w:val="1"/>
          <w:numId w:val="6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1621" w:hanging="324"/>
        <w:spacing w:after="0" w:line="250" w:lineRule="auto"/>
        <w:tabs>
          <w:tab w:leader="none" w:pos="1724" w:val="left"/>
        </w:tabs>
        <w:numPr>
          <w:ilvl w:val="1"/>
          <w:numId w:val="6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1621" w:hanging="324"/>
        <w:spacing w:after="0" w:line="246" w:lineRule="auto"/>
        <w:tabs>
          <w:tab w:leader="none" w:pos="1805" w:val="left"/>
        </w:tabs>
        <w:numPr>
          <w:ilvl w:val="1"/>
          <w:numId w:val="6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21" w:hanging="321"/>
        <w:spacing w:after="0" w:line="250" w:lineRule="auto"/>
        <w:tabs>
          <w:tab w:leader="none" w:pos="404"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6" w:lineRule="exact"/>
        <w:rPr>
          <w:rFonts w:ascii="Arial" w:cs="Arial" w:eastAsia="Arial" w:hAnsi="Arial"/>
          <w:sz w:val="20"/>
          <w:szCs w:val="20"/>
          <w:color w:val="auto"/>
        </w:rPr>
      </w:pPr>
    </w:p>
    <w:p>
      <w:pPr>
        <w:jc w:val="both"/>
        <w:ind w:left="1621" w:hanging="324"/>
        <w:spacing w:after="0" w:line="250" w:lineRule="auto"/>
        <w:tabs>
          <w:tab w:leader="none" w:pos="1719" w:val="left"/>
        </w:tabs>
        <w:numPr>
          <w:ilvl w:val="1"/>
          <w:numId w:val="6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1621" w:hanging="324"/>
        <w:spacing w:after="0" w:line="260" w:lineRule="auto"/>
        <w:tabs>
          <w:tab w:leader="none" w:pos="1671"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1"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 February 28, 2020</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r>
      <w:tr>
        <w:trPr>
          <w:trHeight w:val="206"/>
        </w:trPr>
        <w:tc>
          <w:tcPr>
            <w:tcW w:w="5040" w:type="dxa"/>
            <w:vAlign w:val="bottom"/>
          </w:tcPr>
          <w:p>
            <w:pPr>
              <w:spacing w:after="0"/>
              <w:rPr>
                <w:sz w:val="17"/>
                <w:szCs w:val="17"/>
                <w:color w:val="auto"/>
              </w:rPr>
            </w:pPr>
          </w:p>
        </w:tc>
        <w:tc>
          <w:tcPr>
            <w:tcW w:w="502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r>
      <w:tr>
        <w:trPr>
          <w:trHeight w:val="230"/>
        </w:trPr>
        <w:tc>
          <w:tcPr>
            <w:tcW w:w="50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r>
      <w:tr>
        <w:trPr>
          <w:trHeight w:val="230"/>
        </w:trPr>
        <w:tc>
          <w:tcPr>
            <w:tcW w:w="50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r>
      <w:tr>
        <w:trPr>
          <w:trHeight w:val="250"/>
        </w:trPr>
        <w:tc>
          <w:tcPr>
            <w:tcW w:w="5040" w:type="dxa"/>
            <w:vAlign w:val="bottom"/>
          </w:tcPr>
          <w:p>
            <w:pPr>
              <w:spacing w:after="0"/>
              <w:rPr>
                <w:sz w:val="21"/>
                <w:szCs w:val="21"/>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r>
      <w:tr>
        <w:trPr>
          <w:trHeight w:val="651"/>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115" w:right="91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annual report of Monster Beverage Corporation (the “Company”) on Form 10-K for the year ended December 31, 2019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480" w:hanging="332"/>
        <w:spacing w:after="0" w:line="260" w:lineRule="auto"/>
        <w:tabs>
          <w:tab w:leader="none" w:pos="999"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0" w:hanging="332"/>
        <w:spacing w:after="0" w:line="260" w:lineRule="auto"/>
        <w:tabs>
          <w:tab w:leader="none" w:pos="999"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0"/>
                <w:szCs w:val="20"/>
                <w:color w:val="auto"/>
              </w:rPr>
            </w:pPr>
            <w:r>
              <w:rPr>
                <w:rFonts w:ascii="Arial" w:cs="Arial" w:eastAsia="Arial" w:hAnsi="Arial"/>
                <w:sz w:val="20"/>
                <w:szCs w:val="20"/>
                <w:color w:val="auto"/>
              </w:rPr>
              <w:t>Date: February 28, 2020</w:t>
            </w:r>
          </w:p>
        </w:tc>
        <w:tc>
          <w:tcPr>
            <w:tcW w:w="49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r>
      <w:tr>
        <w:trPr>
          <w:trHeight w:val="206"/>
        </w:trPr>
        <w:tc>
          <w:tcPr>
            <w:tcW w:w="5120" w:type="dxa"/>
            <w:vAlign w:val="bottom"/>
          </w:tcPr>
          <w:p>
            <w:pPr>
              <w:spacing w:after="0"/>
              <w:rPr>
                <w:sz w:val="17"/>
                <w:szCs w:val="17"/>
                <w:color w:val="auto"/>
              </w:rPr>
            </w:pPr>
          </w:p>
        </w:tc>
        <w:tc>
          <w:tcPr>
            <w:tcW w:w="494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512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5120" w:type="dxa"/>
            <w:vAlign w:val="bottom"/>
          </w:tcPr>
          <w:p>
            <w:pPr>
              <w:spacing w:after="0"/>
              <w:rPr>
                <w:sz w:val="21"/>
                <w:szCs w:val="21"/>
                <w:color w:val="auto"/>
              </w:rPr>
            </w:pPr>
          </w:p>
        </w:tc>
        <w:tc>
          <w:tcPr>
            <w:tcW w:w="494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r>
      <w:tr>
        <w:trPr>
          <w:trHeight w:val="786"/>
        </w:trPr>
        <w:tc>
          <w:tcPr>
            <w:tcW w:w="5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6" w:right="91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2019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8" w:lineRule="exact"/>
        <w:rPr>
          <w:sz w:val="20"/>
          <w:szCs w:val="20"/>
          <w:color w:val="auto"/>
        </w:rPr>
      </w:pPr>
    </w:p>
    <w:p>
      <w:pPr>
        <w:ind w:left="980" w:right="480" w:hanging="332"/>
        <w:spacing w:after="0" w:line="260" w:lineRule="auto"/>
        <w:tabs>
          <w:tab w:leader="none" w:pos="99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90" w:lineRule="exact"/>
        <w:rPr>
          <w:rFonts w:ascii="Arial" w:cs="Arial" w:eastAsia="Arial" w:hAnsi="Arial"/>
          <w:sz w:val="20"/>
          <w:szCs w:val="20"/>
          <w:color w:val="auto"/>
        </w:rPr>
      </w:pPr>
    </w:p>
    <w:p>
      <w:pPr>
        <w:ind w:left="980" w:right="40" w:hanging="332"/>
        <w:spacing w:after="0" w:line="260" w:lineRule="auto"/>
        <w:tabs>
          <w:tab w:leader="none" w:pos="99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Pr>
          <w:p>
            <w:pPr>
              <w:spacing w:after="0"/>
              <w:rPr>
                <w:sz w:val="20"/>
                <w:szCs w:val="20"/>
                <w:color w:val="auto"/>
              </w:rPr>
            </w:pPr>
            <w:r>
              <w:rPr>
                <w:rFonts w:ascii="Arial" w:cs="Arial" w:eastAsia="Arial" w:hAnsi="Arial"/>
                <w:sz w:val="20"/>
                <w:szCs w:val="20"/>
                <w:color w:val="auto"/>
              </w:rPr>
              <w:t>Date:February 28, 2020</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r>
      <w:tr>
        <w:trPr>
          <w:trHeight w:val="206"/>
        </w:trPr>
        <w:tc>
          <w:tcPr>
            <w:tcW w:w="5040" w:type="dxa"/>
            <w:vAlign w:val="bottom"/>
          </w:tcPr>
          <w:p>
            <w:pPr>
              <w:spacing w:after="0"/>
              <w:rPr>
                <w:sz w:val="17"/>
                <w:szCs w:val="17"/>
                <w:color w:val="auto"/>
              </w:rPr>
            </w:pPr>
          </w:p>
        </w:tc>
        <w:tc>
          <w:tcPr>
            <w:tcW w:w="502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r>
      <w:tr>
        <w:trPr>
          <w:trHeight w:val="230"/>
        </w:trPr>
        <w:tc>
          <w:tcPr>
            <w:tcW w:w="50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r>
      <w:tr>
        <w:trPr>
          <w:trHeight w:val="230"/>
        </w:trPr>
        <w:tc>
          <w:tcPr>
            <w:tcW w:w="50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r>
      <w:tr>
        <w:trPr>
          <w:trHeight w:val="250"/>
        </w:trPr>
        <w:tc>
          <w:tcPr>
            <w:tcW w:w="5040" w:type="dxa"/>
            <w:vAlign w:val="bottom"/>
          </w:tcPr>
          <w:p>
            <w:pPr>
              <w:spacing w:after="0"/>
              <w:rPr>
                <w:sz w:val="21"/>
                <w:szCs w:val="21"/>
                <w:color w:val="auto"/>
              </w:rPr>
            </w:pPr>
          </w:p>
        </w:tc>
        <w:tc>
          <w:tcPr>
            <w:tcW w:w="502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r>
      <w:tr>
        <w:trPr>
          <w:trHeight w:val="773"/>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18"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5"/>
    </w:lvl>
  </w:abstractNum>
  <w:abstractNum w:abstractNumId="4">
    <w:nsid w:val="77465F01"/>
    <w:multiLevelType w:val="hybridMultilevel"/>
    <w:lvl w:ilvl="0">
      <w:lvlJc w:val="left"/>
      <w:lvlText w:val="%1."/>
      <w:numFmt w:val="decimal"/>
      <w:start w:val="12"/>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1)"/>
      <w:numFmt w:val="lowerRoman"/>
      <w:start w:val="2"/>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2"/>
    </w:lvl>
  </w:abstractNum>
  <w:abstractNum w:abstractNumId="11">
    <w:nsid w:val="580BD78F"/>
    <w:multiLevelType w:val="hybridMultilevel"/>
    <w:lvl w:ilvl="0">
      <w:lvlJc w:val="left"/>
      <w:lvlText w:val="(%1)"/>
      <w:numFmt w:val="decimal"/>
      <w:start w:val="951"/>
    </w:lvl>
  </w:abstractNum>
  <w:abstractNum w:abstractNumId="12">
    <w:nsid w:val="153EA438"/>
    <w:multiLevelType w:val="hybridMultilevel"/>
    <w:lvl w:ilvl="0">
      <w:lvlJc w:val="left"/>
      <w:lvlText w:val="(%1)"/>
      <w:numFmt w:val="decimal"/>
      <w:start w:val="800"/>
    </w:lvl>
  </w:abstractNum>
  <w:abstractNum w:abstractNumId="13">
    <w:nsid w:val="3855585C"/>
    <w:multiLevelType w:val="hybridMultilevel"/>
    <w:lvl w:ilvl="0">
      <w:lvlJc w:val="left"/>
      <w:lvlText w:val="¹"/>
      <w:numFmt w:val="bullet"/>
      <w:start w:val="1"/>
    </w:lvl>
  </w:abstractNum>
  <w:abstractNum w:abstractNumId="14">
    <w:nsid w:val="70A64E2A"/>
    <w:multiLevelType w:val="hybridMultilevel"/>
    <w:lvl w:ilvl="0">
      <w:lvlJc w:val="left"/>
      <w:lvlText w:val="2"/>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2"/>
      <w:numFmt w:val="bullet"/>
      <w:start w:val="1"/>
    </w:lvl>
  </w:abstractNum>
  <w:abstractNum w:abstractNumId="23">
    <w:nsid w:val="542289EC"/>
    <w:multiLevelType w:val="hybridMultilevel"/>
    <w:lvl w:ilvl="0">
      <w:lvlJc w:val="left"/>
      <w:lvlText w:val="(%1)"/>
      <w:numFmt w:val="lowerRoman"/>
      <w:start w:val="3"/>
    </w:lvl>
  </w:abstractNum>
  <w:abstractNum w:abstractNumId="24">
    <w:nsid w:val="6DE91B18"/>
    <w:multiLevelType w:val="hybridMultilevel"/>
    <w:lvl w:ilvl="0">
      <w:lvlJc w:val="left"/>
      <w:lvlText w:val="(%1)"/>
      <w:numFmt w:val="lowerRoman"/>
      <w:start w:val="1"/>
    </w:lvl>
  </w:abstractNum>
  <w:abstractNum w:abstractNumId="25">
    <w:nsid w:val="38437FDB"/>
    <w:multiLevelType w:val="hybridMultilevel"/>
    <w:lvl w:ilvl="0">
      <w:lvlJc w:val="left"/>
      <w:lvlText w:val="1"/>
      <w:numFmt w:val="bullet"/>
      <w:start w:val="1"/>
    </w:lvl>
  </w:abstractNum>
  <w:abstractNum w:abstractNumId="26">
    <w:nsid w:val="7644A45C"/>
    <w:multiLevelType w:val="hybridMultilevel"/>
    <w:lvl w:ilvl="0">
      <w:lvlJc w:val="left"/>
      <w:lvlText w:val="2"/>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740"/>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1)"/>
      <w:numFmt w:val="decimal"/>
      <w:start w:val="951"/>
    </w:lvl>
  </w:abstractNum>
  <w:abstractNum w:abstractNumId="34">
    <w:nsid w:val="75C6C33A"/>
    <w:multiLevelType w:val="hybridMultilevel"/>
    <w:lvl w:ilvl="0">
      <w:lvlJc w:val="left"/>
      <w:lvlText w:val="(%1)"/>
      <w:numFmt w:val="decimal"/>
      <w:start w:val="800"/>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3"/>
    </w:lvl>
  </w:abstractNum>
  <w:abstractNum w:abstractNumId="43">
    <w:nsid w:val="39386575"/>
    <w:multiLevelType w:val="hybridMultilevel"/>
    <w:lvl w:ilvl="0">
      <w:lvlJc w:val="left"/>
      <w:lvlText w:val="%1."/>
      <w:numFmt w:val="decimal"/>
      <w:start w:val="4"/>
    </w:lvl>
  </w:abstractNum>
  <w:abstractNum w:abstractNumId="44">
    <w:nsid w:val="1CF10FD8"/>
    <w:multiLevelType w:val="hybridMultilevel"/>
    <w:lvl w:ilvl="0">
      <w:lvlJc w:val="left"/>
      <w:lvlText w:val="%1."/>
      <w:numFmt w:val="decimal"/>
      <w:start w:val="5"/>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1."/>
      <w:numFmt w:val="decimal"/>
      <w:start w:val="6"/>
    </w:lvl>
  </w:abstractNum>
  <w:abstractNum w:abstractNumId="47">
    <w:nsid w:val="47398C89"/>
    <w:multiLevelType w:val="hybridMultilevel"/>
    <w:lvl w:ilvl="0">
      <w:lvlJc w:val="left"/>
      <w:lvlText w:val="%1."/>
      <w:numFmt w:val="decimal"/>
      <w:start w:val="7"/>
    </w:lvl>
  </w:abstractNum>
  <w:abstractNum w:abstractNumId="48">
    <w:nsid w:val="354FE9F9"/>
    <w:multiLevelType w:val="hybridMultilevel"/>
    <w:lvl w:ilvl="0">
      <w:lvlJc w:val="left"/>
      <w:lvlText w:val="%1."/>
      <w:numFmt w:val="decimal"/>
      <w:start w:val="8"/>
    </w:lvl>
  </w:abstractNum>
  <w:abstractNum w:abstractNumId="49">
    <w:nsid w:val="15B5AF5C"/>
    <w:multiLevelType w:val="hybridMultilevel"/>
    <w:lvl w:ilvl="0">
      <w:lvlJc w:val="left"/>
      <w:lvlText w:val="%1."/>
      <w:numFmt w:val="decimal"/>
      <w:start w:val="9"/>
    </w:lvl>
  </w:abstractNum>
  <w:abstractNum w:abstractNumId="50">
    <w:nsid w:val="741226BB"/>
    <w:multiLevelType w:val="hybridMultilevel"/>
    <w:lvl w:ilvl="0">
      <w:lvlJc w:val="left"/>
      <w:lvlText w:val="%1."/>
      <w:numFmt w:val="decimal"/>
      <w:start w:val="10"/>
    </w:lvl>
  </w:abstractNum>
  <w:abstractNum w:abstractNumId="51">
    <w:nsid w:val="D34B6A8"/>
    <w:multiLevelType w:val="hybridMultilevel"/>
    <w:lvl w:ilvl="0">
      <w:lvlJc w:val="left"/>
      <w:lvlText w:val="%1."/>
      <w:numFmt w:val="decimal"/>
      <w:start w:val="11"/>
    </w:lvl>
  </w:abstractNum>
  <w:abstractNum w:abstractNumId="52">
    <w:nsid w:val="10233C99"/>
    <w:multiLevelType w:val="hybridMultilevel"/>
    <w:lvl w:ilvl="0">
      <w:lvlJc w:val="left"/>
      <w:lvlText w:val="%1."/>
      <w:numFmt w:val="decimal"/>
      <w:start w:val="12"/>
    </w:lvl>
  </w:abstractNum>
  <w:abstractNum w:abstractNumId="53">
    <w:nsid w:val="3F6AB60F"/>
    <w:multiLevelType w:val="hybridMultilevel"/>
    <w:lvl w:ilvl="0">
      <w:lvlJc w:val="left"/>
      <w:lvlText w:val="%1."/>
      <w:numFmt w:val="decimal"/>
      <w:start w:val="13"/>
    </w:lvl>
  </w:abstractNum>
  <w:abstractNum w:abstractNumId="54">
    <w:nsid w:val="61574095"/>
    <w:multiLevelType w:val="hybridMultilevel"/>
    <w:lvl w:ilvl="0">
      <w:lvlJc w:val="left"/>
      <w:lvlText w:val="%1."/>
      <w:numFmt w:val="decimal"/>
      <w:start w:val="14"/>
    </w:lvl>
  </w:abstractNum>
  <w:abstractNum w:abstractNumId="55">
    <w:nsid w:val="7E0C57B1"/>
    <w:multiLevelType w:val="hybridMultilevel"/>
    <w:lvl w:ilvl="0">
      <w:lvlJc w:val="left"/>
      <w:lvlText w:val="%1."/>
      <w:numFmt w:val="decimal"/>
      <w:start w:val="15"/>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16"/>
    </w:lvl>
  </w:abstractNum>
  <w:abstractNum w:abstractNumId="58">
    <w:nsid w:val="310C50B3"/>
    <w:multiLevelType w:val="hybridMultilevel"/>
    <w:lvl w:ilvl="0">
      <w:lvlJc w:val="left"/>
      <w:lvlText w:val="%1."/>
      <w:numFmt w:val="decimal"/>
      <w:start w:val="17"/>
    </w:lvl>
  </w:abstractNum>
  <w:abstractNum w:abstractNumId="59">
    <w:nsid w:val="5FF87E05"/>
    <w:multiLevelType w:val="hybridMultilevel"/>
    <w:lvl w:ilvl="0">
      <w:lvlJc w:val="left"/>
      <w:lvlText w:val="%1."/>
      <w:numFmt w:val="decimal"/>
      <w:start w:val="18"/>
    </w:lvl>
  </w:abstractNum>
  <w:abstractNum w:abstractNumId="60">
    <w:nsid w:val="2F305DEF"/>
    <w:multiLevelType w:val="hybridMultilevel"/>
    <w:lvl w:ilvl="0">
      <w:lvlJc w:val="left"/>
      <w:lvlText w:val="%1."/>
      <w:numFmt w:val="decimal"/>
      <w:start w:val="19"/>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20"/>
    </w:lvl>
  </w:abstractNum>
  <w:abstractNum w:abstractNumId="63">
    <w:nsid w:val="4AD084E9"/>
    <w:multiLevelType w:val="hybridMultilevel"/>
    <w:lvl w:ilvl="0">
      <w:lvlJc w:val="left"/>
      <w:lvlText w:val="%1."/>
      <w:numFmt w:val="decimal"/>
      <w:start w:val="2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jpe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80" Type="http://schemas.openxmlformats.org/officeDocument/2006/relationships/hyperlink" Target="http://www.sec.gov/Archives/edgar/data/865752/000110465914061722/a14-19122_2ex2d1.htm" TargetMode="External"/><Relationship Id="rId81" Type="http://schemas.openxmlformats.org/officeDocument/2006/relationships/hyperlink" Target="http://www.sec.gov/Archives/edgar/data/865752/000110465918018960/a18-8560_1ex2d1.htm" TargetMode="External"/><Relationship Id="rId82" Type="http://schemas.openxmlformats.org/officeDocument/2006/relationships/hyperlink" Target="http://www.sec.gov/Archives/edgar/data/865752/000110465914061722/a14-19122_2ex2d2.htm" TargetMode="External"/><Relationship Id="rId83" Type="http://schemas.openxmlformats.org/officeDocument/2006/relationships/hyperlink" Target="http://www.sec.gov/Archives/edgar/data/865752/000110465916155163/a16-20895_1ex3d1.htm" TargetMode="External"/><Relationship Id="rId84" Type="http://schemas.openxmlformats.org/officeDocument/2006/relationships/hyperlink" Target="http://www.sec.gov/Archives/edgar/data/865752/000110465918024237/a18-10038_1ex3d2.htm" TargetMode="External"/><Relationship Id="rId85" Type="http://schemas.openxmlformats.org/officeDocument/2006/relationships/hyperlink" Target="http://www.sec.gov/Archives/edgar/data/865752/000110465915058216/a15-11963_1ex10d1.htm" TargetMode="External"/><Relationship Id="rId86" Type="http://schemas.openxmlformats.org/officeDocument/2006/relationships/hyperlink" Target="http://www.sec.gov/Archives/edgar/data/865752/000110465915058216/a15-11963_1ex10d2.htm" TargetMode="External"/><Relationship Id="rId87" Type="http://schemas.openxmlformats.org/officeDocument/2006/relationships/hyperlink" Target="http://www.sec.gov/Archives/edgar/data/865752/000110465919034816/a19-11405_1ex10d1.htm" TargetMode="External"/><Relationship Id="rId88" Type="http://schemas.openxmlformats.org/officeDocument/2006/relationships/hyperlink" Target="http://www.sec.gov/Archives/edgar/data/865752/000086575207000126/p091907.htm" TargetMode="External"/><Relationship Id="rId89" Type="http://schemas.openxmlformats.org/officeDocument/2006/relationships/hyperlink" Target="http://www.sec.gov/Archives/edgar/data/865752/000110465916137481/a16-15122_1ex10d1.htm" TargetMode="External"/><Relationship Id="rId90" Type="http://schemas.openxmlformats.org/officeDocument/2006/relationships/hyperlink" Target="http://www.sec.gov/Archives/edgar/data/865752/000110465911045251/a11-12791_1ex10d1.htm" TargetMode="External"/><Relationship Id="rId91" Type="http://schemas.openxmlformats.org/officeDocument/2006/relationships/hyperlink" Target="http://www.sec.gov/Archives/edgar/data/865752/000086575211000006/e101.htm" TargetMode="External"/><Relationship Id="rId92" Type="http://schemas.openxmlformats.org/officeDocument/2006/relationships/hyperlink" Target="http://www.sec.gov/Archives/edgar/data/865752/000086575214000005/e101.htm" TargetMode="External"/><Relationship Id="rId93" Type="http://schemas.openxmlformats.org/officeDocument/2006/relationships/hyperlink" Target="http://www.sec.gov/Archives/edgar/data/865752/000086575214000005/e102.htm" TargetMode="External"/><Relationship Id="rId94" Type="http://schemas.openxmlformats.org/officeDocument/2006/relationships/hyperlink" Target="http://www.sec.gov/Archives/edgar/data/865752/000110465918014057/a18-1123_1ex10d10.htm" TargetMode="External"/><Relationship Id="rId95" Type="http://schemas.openxmlformats.org/officeDocument/2006/relationships/hyperlink" Target="http://www.sec.gov/Archives/edgar/data/865752/000110465918014057/a18-1123_1ex10d11.htm" TargetMode="External"/><Relationship Id="rId96" Type="http://schemas.openxmlformats.org/officeDocument/2006/relationships/hyperlink" Target="http://www.sec.gov/Archives/edgar/data/865752/000110465917040692/a17-15453_1ex4d1.htm" TargetMode="External"/><Relationship Id="rId97" Type="http://schemas.openxmlformats.org/officeDocument/2006/relationships/hyperlink" Target="http://www.sec.gov/Archives/edgar/data/865752/000110465917040692/a17-15453_1ex4d2.htm" TargetMode="External"/><Relationship Id="rId98" Type="http://schemas.openxmlformats.org/officeDocument/2006/relationships/hyperlink" Target="http://www.sec.gov/Archives/edgar/data/865752/000110465918014057/a18-1123_1ex10d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2020-02-28T16:47:12Z</dcterms:created>
  <dcterms:modified xsi:type="dcterms:W3CDTF">2020-02-28T16:47:12Z</dcterms:modified>
</cp:coreProperties>
</file>